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29C96CE">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w:t>
      </w:r>
      <w:bookmarkStart w:id="0" w:name="_Toc1549"/>
    </w:p>
    <w:bookmarkEnd w:id="0"/>
    <w:p w14:paraId="77D7B7E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40"/>
          <w:szCs w:val="40"/>
          <w:highlight w:val="none"/>
          <w:lang w:val="en-US" w:eastAsia="zh-CN"/>
        </w:rPr>
      </w:pPr>
      <w:r>
        <w:rPr>
          <w:rFonts w:hint="eastAsia" w:ascii="宋体" w:hAnsi="宋体" w:eastAsia="宋体" w:cs="宋体"/>
          <w:b/>
          <w:bCs/>
          <w:color w:val="auto"/>
          <w:sz w:val="40"/>
          <w:szCs w:val="40"/>
          <w:highlight w:val="none"/>
          <w:lang w:val="en-US" w:eastAsia="zh-CN"/>
        </w:rPr>
        <w:t>新疆和田学院16号、17号、18号宿舍楼和3号食堂建设项目”全过程跟踪审计、财务决算审核服务采购</w:t>
      </w:r>
    </w:p>
    <w:p w14:paraId="75345942">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8"/>
          <w:szCs w:val="28"/>
          <w:highlight w:val="none"/>
          <w:lang w:eastAsia="zh-CN"/>
        </w:rPr>
      </w:pPr>
    </w:p>
    <w:p w14:paraId="7CD280AB">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kern w:val="0"/>
          <w:sz w:val="28"/>
          <w:szCs w:val="28"/>
          <w:highlight w:val="none"/>
          <w:lang w:val="en-US"/>
        </w:rPr>
      </w:pPr>
      <w:r>
        <w:rPr>
          <w:rFonts w:hint="eastAsia" w:ascii="宋体" w:hAnsi="宋体" w:eastAsia="宋体" w:cs="宋体"/>
          <w:b/>
          <w:bCs/>
          <w:color w:val="auto"/>
          <w:sz w:val="28"/>
          <w:szCs w:val="28"/>
          <w:highlight w:val="none"/>
          <w:lang w:eastAsia="zh-CN"/>
        </w:rPr>
        <w:t>项目编号：</w:t>
      </w:r>
      <w:r>
        <w:rPr>
          <w:rFonts w:hint="eastAsia" w:ascii="宋体" w:hAnsi="宋体" w:eastAsia="宋体" w:cs="宋体"/>
          <w:b/>
          <w:bCs/>
          <w:color w:val="auto"/>
          <w:sz w:val="28"/>
          <w:szCs w:val="28"/>
          <w:highlight w:val="none"/>
          <w:lang w:val="en-US" w:eastAsia="zh-CN"/>
        </w:rPr>
        <w:t>HLY（GK）2026-0507</w:t>
      </w:r>
    </w:p>
    <w:p w14:paraId="7F19C470">
      <w:pPr>
        <w:pStyle w:val="18"/>
        <w:shd w:val="clear"/>
        <w:kinsoku/>
        <w:overflowPunct/>
        <w:topLinePunct w:val="0"/>
        <w:bidi w:val="0"/>
        <w:spacing w:line="500" w:lineRule="exact"/>
        <w:rPr>
          <w:rFonts w:hint="eastAsia" w:ascii="宋体" w:hAnsi="宋体" w:eastAsia="宋体" w:cs="宋体"/>
          <w:color w:val="auto"/>
          <w:sz w:val="28"/>
          <w:szCs w:val="28"/>
          <w:highlight w:val="none"/>
        </w:rPr>
      </w:pPr>
    </w:p>
    <w:p w14:paraId="54A67FA6">
      <w:pPr>
        <w:pStyle w:val="18"/>
        <w:shd w:val="clear"/>
        <w:kinsoku/>
        <w:overflowPunct/>
        <w:topLinePunct w:val="0"/>
        <w:bidi w:val="0"/>
        <w:spacing w:line="500" w:lineRule="exact"/>
        <w:rPr>
          <w:rFonts w:hint="eastAsia" w:ascii="宋体" w:hAnsi="宋体" w:eastAsia="宋体" w:cs="宋体"/>
          <w:color w:val="auto"/>
          <w:sz w:val="28"/>
          <w:szCs w:val="28"/>
          <w:highlight w:val="none"/>
        </w:rPr>
      </w:pPr>
    </w:p>
    <w:p w14:paraId="3E3C261D">
      <w:pPr>
        <w:pStyle w:val="18"/>
        <w:shd w:val="clear"/>
        <w:kinsoku/>
        <w:overflowPunct/>
        <w:topLinePunct w:val="0"/>
        <w:bidi w:val="0"/>
        <w:spacing w:line="500" w:lineRule="exact"/>
        <w:rPr>
          <w:rFonts w:hint="eastAsia" w:ascii="宋体" w:hAnsi="宋体" w:eastAsia="宋体" w:cs="宋体"/>
          <w:color w:val="auto"/>
          <w:sz w:val="28"/>
          <w:szCs w:val="28"/>
          <w:highlight w:val="none"/>
        </w:rPr>
      </w:pPr>
    </w:p>
    <w:p w14:paraId="30CE3D62">
      <w:pPr>
        <w:pStyle w:val="18"/>
        <w:shd w:val="clear"/>
        <w:kinsoku/>
        <w:overflowPunct/>
        <w:topLinePunct w:val="0"/>
        <w:bidi w:val="0"/>
        <w:spacing w:line="500" w:lineRule="exact"/>
        <w:jc w:val="center"/>
        <w:rPr>
          <w:rFonts w:hint="eastAsia" w:ascii="宋体" w:hAnsi="宋体" w:eastAsia="宋体" w:cs="宋体"/>
          <w:color w:val="auto"/>
          <w:sz w:val="44"/>
          <w:szCs w:val="44"/>
          <w:highlight w:val="none"/>
          <w:lang w:eastAsia="zh-CN"/>
        </w:rPr>
      </w:pPr>
    </w:p>
    <w:p w14:paraId="1EA620EF">
      <w:pPr>
        <w:pStyle w:val="18"/>
        <w:shd w:val="clear"/>
        <w:kinsoku/>
        <w:overflowPunct/>
        <w:topLinePunct w:val="0"/>
        <w:bidi w:val="0"/>
        <w:spacing w:line="500" w:lineRule="exact"/>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招标文件</w:t>
      </w:r>
    </w:p>
    <w:p w14:paraId="32C23D78">
      <w:pPr>
        <w:pStyle w:val="18"/>
        <w:shd w:val="clear"/>
        <w:kinsoku/>
        <w:overflowPunct/>
        <w:topLinePunct w:val="0"/>
        <w:bidi w:val="0"/>
        <w:spacing w:line="500" w:lineRule="exact"/>
        <w:rPr>
          <w:rFonts w:hint="eastAsia" w:ascii="宋体" w:hAnsi="宋体" w:eastAsia="宋体" w:cs="宋体"/>
          <w:color w:val="auto"/>
          <w:sz w:val="28"/>
          <w:szCs w:val="28"/>
          <w:highlight w:val="none"/>
        </w:rPr>
      </w:pPr>
    </w:p>
    <w:p w14:paraId="1E86FE20">
      <w:pPr>
        <w:pStyle w:val="18"/>
        <w:shd w:val="clear"/>
        <w:kinsoku/>
        <w:overflowPunct/>
        <w:topLinePunct w:val="0"/>
        <w:bidi w:val="0"/>
        <w:spacing w:line="500" w:lineRule="exact"/>
        <w:rPr>
          <w:rFonts w:hint="eastAsia" w:ascii="宋体" w:hAnsi="宋体" w:eastAsia="宋体" w:cs="宋体"/>
          <w:color w:val="auto"/>
          <w:sz w:val="28"/>
          <w:szCs w:val="28"/>
          <w:highlight w:val="none"/>
        </w:rPr>
      </w:pPr>
    </w:p>
    <w:p w14:paraId="7372C7E2">
      <w:pPr>
        <w:pStyle w:val="18"/>
        <w:shd w:val="clear"/>
        <w:kinsoku/>
        <w:overflowPunct/>
        <w:topLinePunct w:val="0"/>
        <w:bidi w:val="0"/>
        <w:spacing w:line="500" w:lineRule="exact"/>
        <w:rPr>
          <w:rFonts w:hint="eastAsia" w:ascii="宋体" w:hAnsi="宋体" w:eastAsia="宋体" w:cs="宋体"/>
          <w:color w:val="auto"/>
          <w:sz w:val="28"/>
          <w:szCs w:val="28"/>
          <w:highlight w:val="none"/>
        </w:rPr>
      </w:pPr>
    </w:p>
    <w:p w14:paraId="628B518A">
      <w:pPr>
        <w:pStyle w:val="18"/>
        <w:shd w:val="clear"/>
        <w:kinsoku/>
        <w:overflowPunct/>
        <w:topLinePunct w:val="0"/>
        <w:bidi w:val="0"/>
        <w:spacing w:line="500" w:lineRule="exact"/>
        <w:rPr>
          <w:rFonts w:hint="eastAsia" w:ascii="宋体" w:hAnsi="宋体" w:eastAsia="宋体" w:cs="宋体"/>
          <w:color w:val="auto"/>
          <w:sz w:val="28"/>
          <w:szCs w:val="28"/>
          <w:highlight w:val="none"/>
        </w:rPr>
      </w:pPr>
    </w:p>
    <w:p w14:paraId="09566EBB">
      <w:pPr>
        <w:keepNext w:val="0"/>
        <w:keepLines w:val="0"/>
        <w:pageBreakBefore w:val="0"/>
        <w:widowControl w:val="0"/>
        <w:shd w:val="clear"/>
        <w:kinsoku/>
        <w:wordWrap/>
        <w:overflowPunct/>
        <w:topLinePunct w:val="0"/>
        <w:autoSpaceDE/>
        <w:autoSpaceDN/>
        <w:bidi w:val="0"/>
        <w:adjustRightInd/>
        <w:snapToGrid/>
        <w:spacing w:line="500" w:lineRule="exact"/>
        <w:ind w:firstLine="840" w:firstLineChars="3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招标单位</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新疆和田学院</w:t>
      </w:r>
    </w:p>
    <w:p w14:paraId="17A6CE39">
      <w:pPr>
        <w:keepNext w:val="0"/>
        <w:keepLines w:val="0"/>
        <w:pageBreakBefore w:val="0"/>
        <w:widowControl w:val="0"/>
        <w:shd w:val="clear"/>
        <w:kinsoku/>
        <w:wordWrap/>
        <w:overflowPunct/>
        <w:topLinePunct w:val="0"/>
        <w:autoSpaceDE/>
        <w:autoSpaceDN/>
        <w:bidi w:val="0"/>
        <w:adjustRightInd/>
        <w:snapToGrid/>
        <w:spacing w:line="500" w:lineRule="exact"/>
        <w:ind w:firstLine="840"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 系 人：孙老师</w:t>
      </w:r>
    </w:p>
    <w:p w14:paraId="7190401A">
      <w:pPr>
        <w:pStyle w:val="22"/>
        <w:ind w:firstLine="840" w:firstLineChars="3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联系电话：0903-6733232</w:t>
      </w:r>
    </w:p>
    <w:p w14:paraId="344CC9E4">
      <w:pPr>
        <w:rPr>
          <w:rFonts w:hint="eastAsia"/>
          <w:lang w:val="en-US" w:eastAsia="zh-CN"/>
        </w:rPr>
      </w:pPr>
    </w:p>
    <w:p w14:paraId="6D2389B2">
      <w:pPr>
        <w:keepNext w:val="0"/>
        <w:keepLines w:val="0"/>
        <w:pageBreakBefore w:val="0"/>
        <w:widowControl w:val="0"/>
        <w:shd w:val="clear"/>
        <w:kinsoku/>
        <w:wordWrap/>
        <w:overflowPunct/>
        <w:topLinePunct w:val="0"/>
        <w:autoSpaceDE/>
        <w:autoSpaceDN/>
        <w:bidi w:val="0"/>
        <w:adjustRightInd/>
        <w:snapToGrid/>
        <w:spacing w:line="500" w:lineRule="exact"/>
        <w:ind w:firstLine="840" w:firstLineChars="300"/>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sz w:val="28"/>
          <w:szCs w:val="28"/>
          <w:highlight w:val="none"/>
        </w:rPr>
        <w:t>代理机构：</w:t>
      </w:r>
      <w:r>
        <w:rPr>
          <w:rFonts w:hint="eastAsia" w:ascii="宋体" w:hAnsi="宋体" w:eastAsia="宋体" w:cs="宋体"/>
          <w:color w:val="auto"/>
          <w:sz w:val="28"/>
          <w:szCs w:val="28"/>
          <w:highlight w:val="none"/>
          <w:lang w:val="en-US" w:eastAsia="zh-CN"/>
        </w:rPr>
        <w:t>新疆宏力源工程项目管理有限公司</w:t>
      </w:r>
    </w:p>
    <w:p w14:paraId="72627323">
      <w:pPr>
        <w:keepNext w:val="0"/>
        <w:keepLines w:val="0"/>
        <w:pageBreakBefore w:val="0"/>
        <w:widowControl w:val="0"/>
        <w:shd w:val="clear"/>
        <w:kinsoku/>
        <w:wordWrap/>
        <w:overflowPunct/>
        <w:topLinePunct w:val="0"/>
        <w:autoSpaceDE/>
        <w:autoSpaceDN/>
        <w:bidi w:val="0"/>
        <w:adjustRightInd/>
        <w:snapToGrid/>
        <w:spacing w:line="500" w:lineRule="exact"/>
        <w:ind w:firstLine="840" w:firstLineChars="3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w:t>
      </w:r>
      <w:r>
        <w:rPr>
          <w:rFonts w:hint="eastAsia" w:ascii="宋体" w:hAnsi="宋体" w:eastAsia="宋体" w:cs="宋体"/>
          <w:color w:val="auto"/>
          <w:sz w:val="28"/>
          <w:szCs w:val="28"/>
          <w:highlight w:val="none"/>
        </w:rPr>
        <w:t xml:space="preserve"> 系 人：</w:t>
      </w:r>
      <w:r>
        <w:rPr>
          <w:rFonts w:hint="eastAsia" w:ascii="宋体" w:hAnsi="宋体" w:eastAsia="宋体" w:cs="宋体"/>
          <w:color w:val="auto"/>
          <w:sz w:val="28"/>
          <w:szCs w:val="28"/>
          <w:highlight w:val="none"/>
          <w:lang w:val="en-US" w:eastAsia="zh-CN"/>
        </w:rPr>
        <w:t>李曌、张阳、石龙彦</w:t>
      </w:r>
    </w:p>
    <w:p w14:paraId="47B5AADB">
      <w:pPr>
        <w:keepNext w:val="0"/>
        <w:keepLines w:val="0"/>
        <w:pageBreakBefore w:val="0"/>
        <w:widowControl w:val="0"/>
        <w:shd w:val="clear"/>
        <w:kinsoku/>
        <w:wordWrap/>
        <w:overflowPunct/>
        <w:topLinePunct w:val="0"/>
        <w:autoSpaceDE/>
        <w:autoSpaceDN/>
        <w:bidi w:val="0"/>
        <w:adjustRightInd/>
        <w:snapToGrid/>
        <w:spacing w:line="500" w:lineRule="exact"/>
        <w:ind w:firstLine="840" w:firstLineChars="300"/>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sz w:val="28"/>
          <w:szCs w:val="28"/>
          <w:highlight w:val="none"/>
          <w:lang w:val="en-US" w:eastAsia="zh-CN"/>
        </w:rPr>
        <w:t>联系电话：</w:t>
      </w:r>
      <w:r>
        <w:rPr>
          <w:rFonts w:hint="eastAsia" w:ascii="宋体" w:hAnsi="宋体" w:eastAsia="宋体" w:cs="宋体"/>
          <w:color w:val="auto"/>
          <w:kern w:val="0"/>
          <w:sz w:val="28"/>
          <w:szCs w:val="28"/>
          <w:highlight w:val="none"/>
          <w:lang w:val="en-US" w:eastAsia="zh-CN" w:bidi="ar-SA"/>
        </w:rPr>
        <w:t>18130901230、0991-3193331</w:t>
      </w:r>
    </w:p>
    <w:p w14:paraId="2A377866">
      <w:pPr>
        <w:pStyle w:val="22"/>
        <w:shd w:val="clear"/>
        <w:kinsoku/>
        <w:overflowPunct/>
        <w:topLinePunct w:val="0"/>
        <w:bidi w:val="0"/>
        <w:spacing w:line="500" w:lineRule="exact"/>
        <w:rPr>
          <w:rFonts w:hint="eastAsia" w:ascii="宋体" w:hAnsi="宋体" w:eastAsia="宋体" w:cs="宋体"/>
          <w:color w:val="auto"/>
          <w:kern w:val="0"/>
          <w:sz w:val="28"/>
          <w:szCs w:val="28"/>
          <w:highlight w:val="none"/>
          <w:lang w:val="en-US" w:eastAsia="zh-CN" w:bidi="ar-SA"/>
        </w:rPr>
      </w:pPr>
    </w:p>
    <w:p w14:paraId="274C36A6">
      <w:pPr>
        <w:shd w:val="clear"/>
        <w:kinsoku/>
        <w:overflowPunct/>
        <w:topLinePunct w:val="0"/>
        <w:bidi w:val="0"/>
        <w:spacing w:line="500" w:lineRule="exact"/>
        <w:rPr>
          <w:rFonts w:hint="eastAsia" w:ascii="宋体" w:hAnsi="宋体" w:eastAsia="宋体" w:cs="宋体"/>
          <w:sz w:val="28"/>
          <w:szCs w:val="28"/>
          <w:highlight w:val="none"/>
          <w:lang w:val="en-US" w:eastAsia="zh-CN"/>
        </w:rPr>
      </w:pPr>
    </w:p>
    <w:p w14:paraId="3ADFF07D">
      <w:pPr>
        <w:pStyle w:val="5"/>
        <w:shd w:val="clear"/>
        <w:kinsoku/>
        <w:overflowPunct/>
        <w:topLinePunct w:val="0"/>
        <w:bidi w:val="0"/>
        <w:spacing w:line="500" w:lineRule="exact"/>
        <w:jc w:val="center"/>
        <w:outlineLvl w:val="0"/>
        <w:rPr>
          <w:rFonts w:hint="default" w:ascii="宋体" w:hAnsi="宋体" w:eastAsia="宋体" w:cs="宋体"/>
          <w:color w:val="auto"/>
          <w:sz w:val="28"/>
          <w:szCs w:val="28"/>
          <w:highlight w:val="none"/>
          <w:lang w:val="en-US"/>
        </w:rPr>
      </w:pPr>
      <w:bookmarkStart w:id="1" w:name="_Toc19930"/>
      <w:r>
        <w:rPr>
          <w:rFonts w:hint="eastAsia" w:ascii="宋体" w:hAnsi="宋体" w:eastAsia="宋体" w:cs="宋体"/>
          <w:color w:val="auto"/>
          <w:sz w:val="28"/>
          <w:szCs w:val="28"/>
          <w:highlight w:val="none"/>
        </w:rPr>
        <w:t>日  期：</w:t>
      </w:r>
      <w:bookmarkEnd w:id="1"/>
      <w:r>
        <w:rPr>
          <w:rFonts w:hint="eastAsia" w:ascii="宋体" w:hAnsi="宋体" w:eastAsia="宋体" w:cs="宋体"/>
          <w:color w:val="auto"/>
          <w:sz w:val="28"/>
          <w:szCs w:val="28"/>
          <w:highlight w:val="none"/>
          <w:lang w:val="en-US" w:eastAsia="zh-CN"/>
        </w:rPr>
        <w:t>二0二六年六月</w:t>
      </w:r>
    </w:p>
    <w:p w14:paraId="7E7A5B18">
      <w:pPr>
        <w:shd w:val="clear"/>
        <w:kinsoku/>
        <w:overflowPunct/>
        <w:topLinePunct w:val="0"/>
        <w:bidi w:val="0"/>
        <w:spacing w:line="500" w:lineRule="exact"/>
        <w:jc w:val="center"/>
        <w:rPr>
          <w:rFonts w:hint="eastAsia" w:ascii="宋体" w:hAnsi="宋体" w:eastAsia="宋体" w:cs="宋体"/>
          <w:b/>
          <w:color w:val="auto"/>
          <w:sz w:val="24"/>
          <w:szCs w:val="24"/>
          <w:highlight w:val="none"/>
        </w:rPr>
      </w:pPr>
    </w:p>
    <w:p w14:paraId="0D91D732">
      <w:pPr>
        <w:shd w:val="clear"/>
        <w:kinsoku/>
        <w:overflowPunct/>
        <w:topLinePunct w:val="0"/>
        <w:bidi w:val="0"/>
        <w:spacing w:line="500" w:lineRule="exact"/>
        <w:jc w:val="center"/>
        <w:rPr>
          <w:rFonts w:hint="eastAsia" w:ascii="宋体" w:hAnsi="宋体" w:eastAsia="宋体" w:cs="宋体"/>
          <w:b/>
          <w:color w:val="auto"/>
          <w:sz w:val="24"/>
          <w:szCs w:val="24"/>
          <w:highlight w:val="none"/>
        </w:rPr>
        <w:sectPr>
          <w:headerReference r:id="rId5" w:type="first"/>
          <w:footerReference r:id="rId6" w:type="default"/>
          <w:pgSz w:w="11906" w:h="16838"/>
          <w:pgMar w:top="1440" w:right="1080" w:bottom="1440" w:left="1080" w:header="851" w:footer="992" w:gutter="0"/>
          <w:pgNumType w:fmt="decimal" w:start="1"/>
          <w:cols w:space="720" w:num="1"/>
          <w:docGrid w:type="linesAndChars" w:linePitch="312" w:charSpace="0"/>
        </w:sectPr>
      </w:pPr>
    </w:p>
    <w:sdt>
      <w:sdtPr>
        <w:rPr>
          <w:rFonts w:hint="eastAsia" w:ascii="宋体" w:hAnsi="宋体" w:eastAsia="宋体" w:cs="宋体"/>
          <w:color w:val="000000"/>
          <w:spacing w:val="0"/>
          <w:w w:val="100"/>
          <w:position w:val="0"/>
          <w:sz w:val="24"/>
          <w:szCs w:val="24"/>
          <w:highlight w:val="none"/>
          <w:shd w:val="clear" w:color="auto" w:fill="auto"/>
          <w:lang w:val="en-US" w:eastAsia="en-US" w:bidi="en-US"/>
        </w:rPr>
        <w:id w:val="147473210"/>
        <w15:color w:val="DBDBDB"/>
        <w:docPartObj>
          <w:docPartGallery w:val="Table of Contents"/>
          <w:docPartUnique/>
        </w:docPartObj>
      </w:sdtPr>
      <w:sdtEndPr>
        <w:rPr>
          <w:rFonts w:hint="eastAsia" w:ascii="宋体" w:hAnsi="宋体" w:eastAsia="宋体" w:cs="宋体"/>
          <w:color w:val="auto"/>
          <w:spacing w:val="0"/>
          <w:w w:val="100"/>
          <w:position w:val="0"/>
          <w:sz w:val="24"/>
          <w:szCs w:val="24"/>
          <w:highlight w:val="none"/>
          <w:shd w:val="clear" w:color="auto" w:fill="auto"/>
          <w:lang w:val="en-US" w:eastAsia="zh-CN" w:bidi="en-US"/>
        </w:rPr>
      </w:sdtEndPr>
      <w:sdtContent>
        <w:p w14:paraId="6C6B18F3">
          <w:pPr>
            <w:shd w:val="clear"/>
            <w:kinsoku/>
            <w:overflowPunct/>
            <w:topLinePunct w:val="0"/>
            <w:bidi w:val="0"/>
            <w:spacing w:before="0" w:beforeLines="0" w:after="0" w:afterLines="0" w:line="500" w:lineRule="exact"/>
            <w:ind w:left="0" w:leftChars="0" w:right="0" w:rightChars="0"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目录</w:t>
          </w:r>
        </w:p>
        <w:p w14:paraId="6A1E56ED">
          <w:pPr>
            <w:pStyle w:val="87"/>
            <w:shd w:val="clear"/>
            <w:tabs>
              <w:tab w:val="right" w:leader="dot" w:pos="9746"/>
            </w:tabs>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TOC \o "1-1" \h \u </w:instrText>
          </w:r>
          <w:r>
            <w:rPr>
              <w:rFonts w:hint="eastAsia" w:ascii="宋体" w:hAnsi="宋体" w:eastAsia="宋体" w:cs="宋体"/>
              <w:color w:val="auto"/>
              <w:sz w:val="24"/>
              <w:szCs w:val="24"/>
              <w:highlight w:val="none"/>
              <w:lang w:eastAsia="zh-CN"/>
            </w:rPr>
            <w:fldChar w:fldCharType="separate"/>
          </w:r>
        </w:p>
        <w:p w14:paraId="561457E7">
          <w:pPr>
            <w:pStyle w:val="87"/>
            <w:shd w:val="clear"/>
            <w:tabs>
              <w:tab w:val="right" w:leader="dot" w:pos="9746"/>
            </w:tabs>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_Toc25505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rPr>
            <w:t>第一</w:t>
          </w:r>
          <w:r>
            <w:rPr>
              <w:rFonts w:hint="eastAsia" w:ascii="宋体" w:hAnsi="宋体" w:eastAsia="宋体" w:cs="宋体"/>
              <w:sz w:val="24"/>
              <w:szCs w:val="24"/>
              <w:highlight w:val="none"/>
              <w:lang w:eastAsia="zh-CN"/>
            </w:rPr>
            <w:t>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_Toc25505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3250C045">
          <w:pPr>
            <w:pStyle w:val="87"/>
            <w:shd w:val="clear"/>
            <w:tabs>
              <w:tab w:val="right" w:leader="dot" w:pos="9746"/>
            </w:tabs>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_Toc19507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rPr>
            <w:t>第二</w:t>
          </w:r>
          <w:r>
            <w:rPr>
              <w:rFonts w:hint="eastAsia" w:ascii="宋体" w:hAnsi="宋体" w:eastAsia="宋体" w:cs="宋体"/>
              <w:sz w:val="24"/>
              <w:szCs w:val="24"/>
              <w:highlight w:val="none"/>
              <w:lang w:eastAsia="zh-CN"/>
            </w:rPr>
            <w:t>章</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eastAsia="zh-CN"/>
            </w:rPr>
            <w:t>投标单位</w:t>
          </w:r>
          <w:r>
            <w:rPr>
              <w:rFonts w:hint="eastAsia" w:ascii="宋体" w:hAnsi="宋体" w:eastAsia="宋体" w:cs="宋体"/>
              <w:sz w:val="24"/>
              <w:szCs w:val="24"/>
              <w:highlight w:val="none"/>
            </w:rPr>
            <w:t>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_Toc19507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60B96A59">
          <w:pPr>
            <w:pStyle w:val="87"/>
            <w:shd w:val="clear"/>
            <w:tabs>
              <w:tab w:val="right" w:leader="dot" w:pos="9746"/>
            </w:tabs>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_Toc5802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rPr>
            <w:t>第三</w:t>
          </w:r>
          <w:r>
            <w:rPr>
              <w:rFonts w:hint="eastAsia" w:ascii="宋体" w:hAnsi="宋体" w:eastAsia="宋体" w:cs="宋体"/>
              <w:sz w:val="24"/>
              <w:szCs w:val="24"/>
              <w:highlight w:val="none"/>
              <w:lang w:eastAsia="zh-CN"/>
            </w:rPr>
            <w:t>章</w:t>
          </w:r>
          <w:r>
            <w:rPr>
              <w:rFonts w:hint="eastAsia" w:ascii="宋体" w:hAnsi="宋体" w:eastAsia="宋体" w:cs="宋体"/>
              <w:sz w:val="24"/>
              <w:szCs w:val="24"/>
              <w:highlight w:val="none"/>
            </w:rPr>
            <w:t xml:space="preserve">  评标办法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_Toc5802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08AA1DEF">
          <w:pPr>
            <w:pStyle w:val="87"/>
            <w:shd w:val="clear"/>
            <w:tabs>
              <w:tab w:val="right" w:leader="dot" w:pos="9746"/>
            </w:tabs>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_Toc1090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lang w:eastAsia="zh-CN"/>
            </w:rPr>
            <w:t>第四章</w:t>
          </w:r>
          <w:r>
            <w:rPr>
              <w:rFonts w:hint="eastAsia" w:ascii="宋体" w:hAnsi="宋体" w:eastAsia="宋体" w:cs="宋体"/>
              <w:sz w:val="24"/>
              <w:szCs w:val="24"/>
              <w:highlight w:val="none"/>
              <w:lang w:val="en-US" w:eastAsia="zh-CN"/>
            </w:rPr>
            <w:t xml:space="preserve">  服务需求一览表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_Toc1090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66C107B9">
          <w:pPr>
            <w:pStyle w:val="87"/>
            <w:shd w:val="clear"/>
            <w:tabs>
              <w:tab w:val="right" w:leader="dot" w:pos="9746"/>
            </w:tabs>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_Toc3935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lang w:eastAsia="zh-CN"/>
            </w:rPr>
            <w:t>第五章</w:t>
          </w:r>
          <w:r>
            <w:rPr>
              <w:rFonts w:hint="eastAsia" w:ascii="宋体" w:hAnsi="宋体" w:eastAsia="宋体" w:cs="宋体"/>
              <w:sz w:val="24"/>
              <w:szCs w:val="24"/>
              <w:highlight w:val="none"/>
              <w:lang w:val="en-US" w:eastAsia="zh-CN"/>
            </w:rPr>
            <w:t xml:space="preserve">  合同条款及格式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_Toc3935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2A1FA7DB">
          <w:pPr>
            <w:pStyle w:val="87"/>
            <w:shd w:val="clear"/>
            <w:tabs>
              <w:tab w:val="right" w:leader="dot" w:pos="9746"/>
            </w:tabs>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_Toc25051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六章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_Toc25051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82</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78245168">
          <w:pPr>
            <w:pStyle w:val="87"/>
            <w:shd w:val="clear"/>
            <w:tabs>
              <w:tab w:val="right" w:leader="dot" w:pos="9746"/>
            </w:tabs>
            <w:kinsoku/>
            <w:overflowPunct/>
            <w:topLinePunct w:val="0"/>
            <w:bidi w:val="0"/>
            <w:spacing w:line="500" w:lineRule="exact"/>
            <w:rPr>
              <w:rFonts w:hint="eastAsia" w:ascii="宋体" w:hAnsi="宋体" w:eastAsia="宋体" w:cs="宋体"/>
              <w:sz w:val="24"/>
              <w:szCs w:val="24"/>
              <w:highlight w:val="none"/>
            </w:rPr>
          </w:pPr>
        </w:p>
        <w:p w14:paraId="549CB75D">
          <w:pPr>
            <w:pStyle w:val="15"/>
            <w:numPr>
              <w:ilvl w:val="0"/>
              <w:numId w:val="0"/>
            </w:numPr>
            <w:shd w:val="clear"/>
            <w:kinsoku/>
            <w:overflowPunct/>
            <w:topLinePunct w:val="0"/>
            <w:bidi w:val="0"/>
            <w:spacing w:line="5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fldChar w:fldCharType="end"/>
          </w:r>
        </w:p>
      </w:sdtContent>
    </w:sdt>
    <w:p w14:paraId="34322C61">
      <w:pPr>
        <w:shd w:val="clear"/>
        <w:kinsoku/>
        <w:overflowPunct/>
        <w:topLinePunct w:val="0"/>
        <w:bidi w:val="0"/>
        <w:spacing w:line="500" w:lineRule="exact"/>
        <w:rPr>
          <w:rFonts w:hint="eastAsia" w:ascii="宋体" w:hAnsi="宋体" w:eastAsia="宋体" w:cs="宋体"/>
          <w:color w:val="auto"/>
          <w:sz w:val="24"/>
          <w:szCs w:val="24"/>
          <w:highlight w:val="none"/>
          <w:lang w:eastAsia="zh-CN"/>
        </w:rPr>
      </w:pPr>
    </w:p>
    <w:p w14:paraId="100EB550">
      <w:pPr>
        <w:shd w:val="clear"/>
        <w:kinsoku/>
        <w:overflowPunct/>
        <w:topLinePunct w:val="0"/>
        <w:bidi w:val="0"/>
        <w:spacing w:line="500" w:lineRule="exact"/>
        <w:rPr>
          <w:rFonts w:hint="eastAsia" w:ascii="宋体" w:hAnsi="宋体" w:eastAsia="宋体" w:cs="宋体"/>
          <w:color w:val="auto"/>
          <w:sz w:val="24"/>
          <w:szCs w:val="24"/>
          <w:highlight w:val="none"/>
        </w:rPr>
      </w:pPr>
    </w:p>
    <w:p w14:paraId="3EBF6F8F">
      <w:pPr>
        <w:pStyle w:val="5"/>
        <w:shd w:val="clear"/>
        <w:kinsoku/>
        <w:overflowPunct/>
        <w:topLinePunct w:val="0"/>
        <w:bidi w:val="0"/>
        <w:spacing w:line="500" w:lineRule="exact"/>
        <w:outlineLvl w:val="9"/>
        <w:rPr>
          <w:rFonts w:hint="eastAsia" w:ascii="宋体" w:hAnsi="宋体" w:eastAsia="宋体" w:cs="宋体"/>
          <w:color w:val="auto"/>
          <w:sz w:val="24"/>
          <w:szCs w:val="24"/>
          <w:highlight w:val="none"/>
        </w:rPr>
      </w:pPr>
    </w:p>
    <w:p w14:paraId="5B77BD80">
      <w:pPr>
        <w:shd w:val="clear"/>
        <w:kinsoku/>
        <w:overflowPunct/>
        <w:topLinePunct w:val="0"/>
        <w:bidi w:val="0"/>
        <w:spacing w:line="500" w:lineRule="exact"/>
        <w:rPr>
          <w:rFonts w:hint="eastAsia" w:ascii="宋体" w:hAnsi="宋体" w:eastAsia="宋体" w:cs="宋体"/>
          <w:color w:val="auto"/>
          <w:sz w:val="24"/>
          <w:szCs w:val="24"/>
          <w:highlight w:val="none"/>
        </w:rPr>
      </w:pPr>
    </w:p>
    <w:p w14:paraId="42AA80C3">
      <w:pPr>
        <w:pStyle w:val="5"/>
        <w:shd w:val="clear"/>
        <w:kinsoku/>
        <w:overflowPunct/>
        <w:topLinePunct w:val="0"/>
        <w:bidi w:val="0"/>
        <w:spacing w:line="500" w:lineRule="exact"/>
        <w:outlineLvl w:val="9"/>
        <w:rPr>
          <w:rFonts w:hint="eastAsia" w:ascii="宋体" w:hAnsi="宋体" w:eastAsia="宋体" w:cs="宋体"/>
          <w:color w:val="auto"/>
          <w:sz w:val="24"/>
          <w:szCs w:val="24"/>
          <w:highlight w:val="none"/>
        </w:rPr>
      </w:pPr>
    </w:p>
    <w:p w14:paraId="7E9EC7BA">
      <w:pPr>
        <w:shd w:val="clear"/>
        <w:kinsoku/>
        <w:overflowPunct/>
        <w:topLinePunct w:val="0"/>
        <w:bidi w:val="0"/>
        <w:spacing w:line="500" w:lineRule="exact"/>
        <w:rPr>
          <w:rFonts w:hint="eastAsia" w:ascii="宋体" w:hAnsi="宋体" w:eastAsia="宋体" w:cs="宋体"/>
          <w:color w:val="auto"/>
          <w:sz w:val="24"/>
          <w:szCs w:val="24"/>
          <w:highlight w:val="none"/>
        </w:rPr>
      </w:pPr>
    </w:p>
    <w:p w14:paraId="4C77A74E">
      <w:pPr>
        <w:pStyle w:val="5"/>
        <w:shd w:val="clear"/>
        <w:kinsoku/>
        <w:overflowPunct/>
        <w:topLinePunct w:val="0"/>
        <w:bidi w:val="0"/>
        <w:spacing w:line="500" w:lineRule="exact"/>
        <w:outlineLvl w:val="9"/>
        <w:rPr>
          <w:rFonts w:hint="eastAsia" w:ascii="宋体" w:hAnsi="宋体" w:eastAsia="宋体" w:cs="宋体"/>
          <w:color w:val="auto"/>
          <w:sz w:val="24"/>
          <w:szCs w:val="24"/>
          <w:highlight w:val="none"/>
        </w:rPr>
      </w:pPr>
    </w:p>
    <w:p w14:paraId="50E4A7D2">
      <w:pPr>
        <w:shd w:val="clear"/>
        <w:kinsoku/>
        <w:overflowPunct/>
        <w:topLinePunct w:val="0"/>
        <w:bidi w:val="0"/>
        <w:spacing w:line="500" w:lineRule="exact"/>
        <w:rPr>
          <w:rFonts w:hint="eastAsia" w:ascii="宋体" w:hAnsi="宋体" w:eastAsia="宋体" w:cs="宋体"/>
          <w:color w:val="auto"/>
          <w:sz w:val="24"/>
          <w:szCs w:val="24"/>
          <w:highlight w:val="none"/>
        </w:rPr>
      </w:pPr>
    </w:p>
    <w:p w14:paraId="421EEB23">
      <w:pPr>
        <w:pStyle w:val="45"/>
        <w:keepNext/>
        <w:keepLines/>
        <w:widowControl w:val="0"/>
        <w:shd w:val="clear" w:color="auto"/>
        <w:kinsoku/>
        <w:overflowPunct/>
        <w:topLinePunct w:val="0"/>
        <w:bidi w:val="0"/>
        <w:spacing w:before="120" w:after="300" w:line="500" w:lineRule="exact"/>
        <w:ind w:left="0" w:right="0" w:firstLine="0"/>
        <w:jc w:val="center"/>
        <w:outlineLvl w:val="9"/>
        <w:rPr>
          <w:rFonts w:hint="eastAsia" w:ascii="宋体" w:hAnsi="宋体" w:eastAsia="宋体" w:cs="宋体"/>
          <w:b/>
          <w:bCs/>
          <w:color w:val="auto"/>
          <w:spacing w:val="0"/>
          <w:w w:val="100"/>
          <w:position w:val="0"/>
          <w:sz w:val="24"/>
          <w:szCs w:val="24"/>
          <w:highlight w:val="none"/>
        </w:rPr>
        <w:sectPr>
          <w:footerReference r:id="rId7" w:type="default"/>
          <w:pgSz w:w="11906" w:h="16838"/>
          <w:pgMar w:top="1440" w:right="1080" w:bottom="1440" w:left="1080" w:header="851" w:footer="992" w:gutter="0"/>
          <w:pgNumType w:fmt="decimal"/>
          <w:cols w:space="720" w:num="1"/>
          <w:docGrid w:type="linesAndChars" w:linePitch="312" w:charSpace="0"/>
        </w:sectPr>
      </w:pPr>
    </w:p>
    <w:p w14:paraId="53C6AAD2">
      <w:pPr>
        <w:pStyle w:val="3"/>
        <w:shd w:val="clear"/>
        <w:kinsoku/>
        <w:overflowPunct/>
        <w:topLinePunct w:val="0"/>
        <w:bidi w:val="0"/>
        <w:spacing w:line="500" w:lineRule="exact"/>
        <w:rPr>
          <w:rFonts w:hint="eastAsia" w:ascii="宋体" w:hAnsi="宋体" w:eastAsia="宋体" w:cs="宋体"/>
          <w:color w:val="auto"/>
          <w:sz w:val="28"/>
          <w:szCs w:val="28"/>
          <w:highlight w:val="none"/>
          <w:lang w:eastAsia="zh-CN"/>
        </w:rPr>
      </w:pPr>
      <w:bookmarkStart w:id="2" w:name="_Toc18162"/>
      <w:bookmarkStart w:id="3" w:name="_Toc25505"/>
      <w:r>
        <w:rPr>
          <w:rFonts w:hint="eastAsia" w:ascii="宋体" w:hAnsi="宋体" w:eastAsia="宋体" w:cs="宋体"/>
          <w:color w:val="auto"/>
          <w:sz w:val="28"/>
          <w:szCs w:val="28"/>
          <w:highlight w:val="none"/>
        </w:rPr>
        <w:t>第一</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招标公告</w:t>
      </w:r>
      <w:bookmarkEnd w:id="2"/>
      <w:bookmarkEnd w:id="3"/>
    </w:p>
    <w:p w14:paraId="2533ECF6">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0"/>
        <w:jc w:val="center"/>
        <w:rPr>
          <w:rFonts w:hint="eastAsia" w:ascii="宋体" w:hAnsi="宋体" w:eastAsia="宋体" w:cs="宋体"/>
          <w:b/>
          <w:bCs/>
          <w:i w:val="0"/>
          <w:iCs w:val="0"/>
          <w:caps w:val="0"/>
          <w:color w:val="auto"/>
          <w:spacing w:val="0"/>
          <w:kern w:val="0"/>
          <w:sz w:val="28"/>
          <w:szCs w:val="28"/>
          <w:highlight w:val="none"/>
          <w:lang w:val="en-US" w:eastAsia="zh-CN" w:bidi="ar"/>
        </w:rPr>
      </w:pPr>
      <w:r>
        <w:rPr>
          <w:rFonts w:hint="eastAsia" w:ascii="宋体" w:hAnsi="宋体" w:eastAsia="宋体" w:cs="宋体"/>
          <w:b/>
          <w:bCs/>
          <w:i w:val="0"/>
          <w:iCs w:val="0"/>
          <w:caps w:val="0"/>
          <w:color w:val="auto"/>
          <w:spacing w:val="0"/>
          <w:kern w:val="0"/>
          <w:sz w:val="28"/>
          <w:szCs w:val="28"/>
          <w:highlight w:val="none"/>
          <w:lang w:val="en-US" w:eastAsia="zh-CN" w:bidi="ar"/>
        </w:rPr>
        <w:t xml:space="preserve">  新疆和田学院16号、17号、18号宿舍楼和3号食堂建设项目”全过程跟踪审计、财务决算审核服务采购</w:t>
      </w:r>
    </w:p>
    <w:p w14:paraId="619D4D40">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0"/>
        <w:jc w:val="center"/>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b/>
          <w:bCs/>
          <w:i w:val="0"/>
          <w:iCs w:val="0"/>
          <w:caps w:val="0"/>
          <w:color w:val="auto"/>
          <w:spacing w:val="0"/>
          <w:kern w:val="0"/>
          <w:sz w:val="28"/>
          <w:szCs w:val="28"/>
          <w:highlight w:val="none"/>
          <w:lang w:val="en-US" w:eastAsia="zh-CN" w:bidi="ar"/>
        </w:rPr>
        <w:t>公开招标公告</w:t>
      </w:r>
    </w:p>
    <w:tbl>
      <w:tblPr>
        <w:tblStyle w:val="34"/>
        <w:tblW w:w="1028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0280"/>
      </w:tblGrid>
      <w:tr w14:paraId="495893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1490" w:hRule="atLeast"/>
          <w:jc w:val="center"/>
        </w:trPr>
        <w:tc>
          <w:tcPr>
            <w:tcW w:w="1028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A976512">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项目概况</w:t>
            </w:r>
          </w:p>
          <w:p w14:paraId="235F245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0"/>
              <w:rPr>
                <w:rFonts w:hint="eastAsia" w:ascii="宋体" w:hAnsi="宋体" w:eastAsia="宋体" w:cs="宋体"/>
                <w:color w:val="auto"/>
                <w:sz w:val="24"/>
                <w:szCs w:val="24"/>
                <w:highlight w:val="none"/>
              </w:rPr>
            </w:pPr>
            <w:r>
              <w:rPr>
                <w:rFonts w:hint="eastAsia" w:cs="宋体"/>
                <w:i w:val="0"/>
                <w:iCs w:val="0"/>
                <w:caps w:val="0"/>
                <w:color w:val="auto"/>
                <w:spacing w:val="0"/>
                <w:sz w:val="24"/>
                <w:szCs w:val="24"/>
                <w:highlight w:val="none"/>
                <w:lang w:val="en-US" w:eastAsia="zh-CN"/>
              </w:rPr>
              <w:t>新疆和田学院16号、17号、18号宿舍楼和3号食堂建设项目”全过程跟踪审计、财务决算审核服务采购</w:t>
            </w:r>
            <w:r>
              <w:rPr>
                <w:rFonts w:hint="eastAsia" w:ascii="宋体" w:hAnsi="宋体" w:eastAsia="宋体" w:cs="宋体"/>
                <w:i w:val="0"/>
                <w:iCs w:val="0"/>
                <w:caps w:val="0"/>
                <w:color w:val="auto"/>
                <w:spacing w:val="0"/>
                <w:sz w:val="24"/>
                <w:szCs w:val="24"/>
                <w:highlight w:val="none"/>
              </w:rPr>
              <w:t>的潜在投标人应在</w:t>
            </w:r>
            <w:r>
              <w:rPr>
                <w:rFonts w:hint="eastAsia" w:cs="宋体"/>
                <w:i w:val="0"/>
                <w:iCs w:val="0"/>
                <w:caps w:val="0"/>
                <w:color w:val="auto"/>
                <w:spacing w:val="0"/>
                <w:sz w:val="24"/>
                <w:szCs w:val="24"/>
                <w:highlight w:val="none"/>
                <w:lang w:eastAsia="zh-CN"/>
              </w:rPr>
              <w:t>投标单位登录</w:t>
            </w:r>
            <w:r>
              <w:rPr>
                <w:rFonts w:hint="eastAsia" w:ascii="宋体" w:hAnsi="宋体" w:eastAsia="宋体" w:cs="宋体"/>
                <w:i w:val="0"/>
                <w:iCs w:val="0"/>
                <w:caps w:val="0"/>
                <w:color w:val="auto"/>
                <w:spacing w:val="0"/>
                <w:sz w:val="24"/>
                <w:szCs w:val="24"/>
                <w:highlight w:val="none"/>
              </w:rPr>
              <w:t xml:space="preserve">政采云平台http://www.zcygov.cn/，在线申请获取采购文件（登录政府采购云平台 → 项目采购 → 获取采购文件 → 申请，审核通过后可下载招标文件，如有操作性问题，可与政采云在线客服进行咨询，咨询电话：95763），获取招标文件，并于 </w:t>
            </w:r>
            <w:r>
              <w:rPr>
                <w:rFonts w:hint="eastAsia" w:ascii="宋体" w:hAnsi="宋体" w:eastAsia="宋体" w:cs="宋体"/>
                <w:i w:val="0"/>
                <w:iCs w:val="0"/>
                <w:caps w:val="0"/>
                <w:color w:val="auto"/>
                <w:spacing w:val="0"/>
                <w:sz w:val="24"/>
                <w:szCs w:val="24"/>
                <w:highlight w:val="none"/>
                <w:u w:val="single"/>
                <w:lang w:eastAsia="zh-CN"/>
              </w:rPr>
              <w:t>202</w:t>
            </w:r>
            <w:r>
              <w:rPr>
                <w:rFonts w:hint="eastAsia" w:cs="宋体"/>
                <w:i w:val="0"/>
                <w:iCs w:val="0"/>
                <w:caps w:val="0"/>
                <w:color w:val="auto"/>
                <w:spacing w:val="0"/>
                <w:sz w:val="24"/>
                <w:szCs w:val="24"/>
                <w:highlight w:val="none"/>
                <w:u w:val="single"/>
                <w:lang w:val="en-US" w:eastAsia="zh-CN"/>
              </w:rPr>
              <w:t>6</w:t>
            </w:r>
            <w:r>
              <w:rPr>
                <w:rFonts w:hint="eastAsia" w:ascii="宋体" w:hAnsi="宋体" w:eastAsia="宋体" w:cs="宋体"/>
                <w:i w:val="0"/>
                <w:iCs w:val="0"/>
                <w:caps w:val="0"/>
                <w:color w:val="auto"/>
                <w:spacing w:val="0"/>
                <w:sz w:val="24"/>
                <w:szCs w:val="24"/>
                <w:highlight w:val="none"/>
              </w:rPr>
              <w:t>年</w:t>
            </w:r>
            <w:r>
              <w:rPr>
                <w:rFonts w:hint="eastAsia" w:cs="宋体"/>
                <w:i w:val="0"/>
                <w:iCs w:val="0"/>
                <w:caps w:val="0"/>
                <w:color w:val="auto"/>
                <w:spacing w:val="0"/>
                <w:sz w:val="24"/>
                <w:szCs w:val="24"/>
                <w:highlight w:val="none"/>
                <w:u w:val="single"/>
                <w:lang w:val="en-US" w:eastAsia="zh-CN"/>
              </w:rPr>
              <w:t>6</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u w:val="single"/>
                <w:lang w:val="en-US" w:eastAsia="zh-CN"/>
              </w:rPr>
              <w:t>30</w:t>
            </w:r>
            <w:r>
              <w:rPr>
                <w:rFonts w:hint="eastAsia" w:ascii="宋体" w:hAnsi="宋体" w:eastAsia="宋体" w:cs="宋体"/>
                <w:i w:val="0"/>
                <w:iCs w:val="0"/>
                <w:caps w:val="0"/>
                <w:color w:val="auto"/>
                <w:spacing w:val="0"/>
                <w:sz w:val="24"/>
                <w:szCs w:val="24"/>
                <w:highlight w:val="none"/>
              </w:rPr>
              <w:t>日</w:t>
            </w:r>
            <w:r>
              <w:rPr>
                <w:rFonts w:hint="eastAsia"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lang w:val="en-US" w:eastAsia="zh-CN"/>
              </w:rPr>
              <w:t>：</w:t>
            </w:r>
            <w:r>
              <w:rPr>
                <w:rFonts w:hint="eastAsia" w:cs="宋体"/>
                <w:i w:val="0"/>
                <w:iCs w:val="0"/>
                <w:caps w:val="0"/>
                <w:color w:val="auto"/>
                <w:spacing w:val="0"/>
                <w:sz w:val="24"/>
                <w:szCs w:val="24"/>
                <w:highlight w:val="none"/>
                <w:lang w:val="en-US" w:eastAsia="zh-CN"/>
              </w:rPr>
              <w:t>0</w:t>
            </w:r>
            <w:r>
              <w:rPr>
                <w:rFonts w:hint="eastAsia" w:ascii="宋体" w:hAnsi="宋体" w:eastAsia="宋体" w:cs="宋体"/>
                <w:i w:val="0"/>
                <w:iCs w:val="0"/>
                <w:caps w:val="0"/>
                <w:color w:val="auto"/>
                <w:spacing w:val="0"/>
                <w:sz w:val="24"/>
                <w:szCs w:val="24"/>
                <w:highlight w:val="none"/>
                <w:lang w:val="en-US" w:eastAsia="zh-CN"/>
              </w:rPr>
              <w:t>0</w:t>
            </w:r>
            <w:r>
              <w:rPr>
                <w:rFonts w:hint="eastAsia" w:ascii="宋体" w:hAnsi="宋体" w:eastAsia="宋体" w:cs="宋体"/>
                <w:i w:val="0"/>
                <w:iCs w:val="0"/>
                <w:caps w:val="0"/>
                <w:color w:val="auto"/>
                <w:spacing w:val="0"/>
                <w:sz w:val="24"/>
                <w:szCs w:val="24"/>
                <w:highlight w:val="none"/>
              </w:rPr>
              <w:t>（北京时间）前（上传）电子投标文件。</w:t>
            </w:r>
          </w:p>
        </w:tc>
      </w:tr>
    </w:tbl>
    <w:p w14:paraId="3EC0A1D1">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一、项目基本情况</w:t>
      </w:r>
    </w:p>
    <w:p w14:paraId="3AEB3B51">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0"/>
        <w:jc w:val="left"/>
        <w:rPr>
          <w:rFonts w:hint="eastAsia" w:ascii="宋体" w:hAnsi="宋体" w:eastAsia="宋体" w:cs="宋体"/>
          <w:i w:val="0"/>
          <w:iCs w:val="0"/>
          <w:caps w:val="0"/>
          <w:color w:val="auto"/>
          <w:spacing w:val="0"/>
          <w:sz w:val="24"/>
          <w:szCs w:val="24"/>
          <w:highlight w:val="none"/>
          <w:lang w:val="en-US"/>
        </w:rPr>
      </w:pPr>
      <w:r>
        <w:rPr>
          <w:rFonts w:hint="eastAsia" w:ascii="宋体" w:hAnsi="宋体" w:eastAsia="宋体" w:cs="宋体"/>
          <w:i w:val="0"/>
          <w:iCs w:val="0"/>
          <w:caps w:val="0"/>
          <w:color w:val="auto"/>
          <w:spacing w:val="0"/>
          <w:kern w:val="0"/>
          <w:sz w:val="24"/>
          <w:szCs w:val="24"/>
          <w:highlight w:val="none"/>
          <w:lang w:val="en-US" w:eastAsia="zh-CN" w:bidi="ar"/>
        </w:rPr>
        <w:t xml:space="preserve">项目编号：HLY（GK）2026-0507 </w:t>
      </w:r>
    </w:p>
    <w:p w14:paraId="72FD643A">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0"/>
        <w:jc w:val="left"/>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项目名称：新疆和田学院16号、17号、18号宿舍楼和3号食堂建设项目”全过程跟踪审计、财务决算审核服务采购</w:t>
      </w:r>
    </w:p>
    <w:p w14:paraId="6E4508B3">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采购方式：公开招标</w:t>
      </w:r>
    </w:p>
    <w:p w14:paraId="500B0E1A">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0"/>
        <w:jc w:val="left"/>
        <w:rPr>
          <w:rFonts w:hint="default"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预算金额（元）：1208000.00</w:t>
      </w:r>
    </w:p>
    <w:p w14:paraId="4D68DCD8">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0"/>
        <w:jc w:val="left"/>
        <w:rPr>
          <w:rFonts w:hint="default" w:ascii="宋体" w:hAnsi="宋体" w:eastAsia="宋体" w:cs="宋体"/>
          <w:b w:val="0"/>
          <w:bCs w:val="0"/>
          <w:i w:val="0"/>
          <w:iCs w:val="0"/>
          <w:caps w:val="0"/>
          <w:color w:val="auto"/>
          <w:spacing w:val="0"/>
          <w:sz w:val="24"/>
          <w:szCs w:val="24"/>
          <w:highlight w:val="none"/>
          <w:lang w:val="en-US"/>
        </w:rPr>
      </w:pPr>
      <w:r>
        <w:rPr>
          <w:rFonts w:hint="eastAsia" w:ascii="宋体" w:hAnsi="宋体" w:eastAsia="宋体" w:cs="宋体"/>
          <w:b w:val="0"/>
          <w:bCs w:val="0"/>
          <w:i w:val="0"/>
          <w:iCs w:val="0"/>
          <w:caps w:val="0"/>
          <w:color w:val="auto"/>
          <w:spacing w:val="0"/>
          <w:kern w:val="0"/>
          <w:sz w:val="24"/>
          <w:szCs w:val="24"/>
          <w:highlight w:val="none"/>
          <w:lang w:val="en-US" w:eastAsia="zh-CN" w:bidi="ar"/>
        </w:rPr>
        <w:t>最高限价（元）：1208000.00</w:t>
      </w:r>
    </w:p>
    <w:p w14:paraId="786D4593">
      <w:pPr>
        <w:shd w:val="clear" w:color="auto"/>
        <w:kinsoku/>
        <w:overflowPunct/>
        <w:topLinePunct w:val="0"/>
        <w:bidi w:val="0"/>
        <w:spacing w:line="500" w:lineRule="exact"/>
        <w:ind w:firstLine="480" w:firstLineChars="200"/>
        <w:jc w:val="left"/>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采购需求：新疆和田学院新建学生宿舍楼3栋、学生食堂1栋，配套建设排水、供热、硬化等室外附属设施，项目总建筑面积47840平方米。包括单体建筑土建施工、室外附属配套设施及设备购置等，对上述内容进行全过程跟踪审计、竣工决算审核。（详见服务需求）</w:t>
      </w:r>
    </w:p>
    <w:p w14:paraId="3E0D0414">
      <w:pPr>
        <w:keepNext w:val="0"/>
        <w:keepLines w:val="0"/>
        <w:pageBreakBefore w:val="0"/>
        <w:tabs>
          <w:tab w:val="left" w:pos="491"/>
        </w:tabs>
        <w:wordWrap/>
        <w:overflowPunct/>
        <w:topLinePunct w:val="0"/>
        <w:bidi w:val="0"/>
        <w:adjustRightInd/>
        <w:snapToGrid/>
        <w:spacing w:line="240" w:lineRule="auto"/>
        <w:ind w:right="0" w:firstLine="504" w:firstLineChars="200"/>
        <w:rPr>
          <w:rFonts w:hint="eastAsia" w:asciiTheme="minorEastAsia" w:hAnsiTheme="minorEastAsia" w:eastAsiaTheme="minorEastAsia" w:cstheme="minorEastAsia"/>
          <w:spacing w:val="6"/>
          <w:sz w:val="24"/>
          <w:szCs w:val="24"/>
          <w:highlight w:val="none"/>
          <w:lang w:eastAsia="zh-CN"/>
        </w:rPr>
      </w:pPr>
      <w:r>
        <w:rPr>
          <w:rFonts w:hint="eastAsia" w:asciiTheme="minorEastAsia" w:hAnsiTheme="minorEastAsia" w:eastAsiaTheme="minorEastAsia" w:cstheme="minorEastAsia"/>
          <w:spacing w:val="6"/>
          <w:sz w:val="24"/>
          <w:szCs w:val="24"/>
          <w:highlight w:val="none"/>
          <w:lang w:eastAsia="zh-CN"/>
        </w:rPr>
        <w:t>备注：</w:t>
      </w:r>
    </w:p>
    <w:p w14:paraId="7EED5D31">
      <w:pPr>
        <w:pStyle w:val="15"/>
        <w:numPr>
          <w:ilvl w:val="0"/>
          <w:numId w:val="0"/>
        </w:numPr>
        <w:ind w:leftChars="0" w:right="0" w:rightChars="0" w:firstLine="504" w:firstLineChars="200"/>
        <w:rPr>
          <w:rFonts w:hint="eastAsia"/>
          <w:highlight w:val="none"/>
          <w:lang w:val="en-US" w:eastAsia="zh-CN"/>
        </w:rPr>
      </w:pPr>
      <w:r>
        <w:rPr>
          <w:rFonts w:hint="eastAsia" w:asciiTheme="minorEastAsia" w:hAnsiTheme="minorEastAsia" w:eastAsiaTheme="minorEastAsia" w:cstheme="minorEastAsia"/>
          <w:spacing w:val="6"/>
          <w:sz w:val="24"/>
          <w:szCs w:val="24"/>
          <w:highlight w:val="none"/>
          <w:lang w:eastAsia="zh-CN"/>
        </w:rPr>
        <w:t>合同履约期限：</w:t>
      </w:r>
      <w:r>
        <w:rPr>
          <w:rFonts w:hint="eastAsia" w:asciiTheme="minorEastAsia" w:hAnsiTheme="minorEastAsia" w:eastAsiaTheme="minorEastAsia" w:cstheme="minorEastAsia"/>
          <w:spacing w:val="6"/>
          <w:sz w:val="24"/>
          <w:szCs w:val="24"/>
          <w:highlight w:val="none"/>
          <w:lang w:val="en-US" w:eastAsia="zh-CN"/>
        </w:rPr>
        <w:t>自签订合同之日起至竣工决算审核工作完成。</w:t>
      </w:r>
    </w:p>
    <w:p w14:paraId="1DA1BC5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bidi w:val="0"/>
        <w:spacing w:before="0" w:beforeAutospacing="0" w:after="0" w:afterAutospacing="0" w:line="500" w:lineRule="exact"/>
        <w:ind w:left="0" w:right="0" w:firstLine="480"/>
        <w:jc w:val="left"/>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本项目接受联合体投标。</w:t>
      </w:r>
    </w:p>
    <w:p w14:paraId="298B35EE">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二、申请人的资格要求：</w:t>
      </w:r>
    </w:p>
    <w:p w14:paraId="1B370469">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0" w:firstLineChars="200"/>
        <w:jc w:val="left"/>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1.满足《中华人民共和国政府采购法》第二十二条规定；</w:t>
      </w:r>
    </w:p>
    <w:p w14:paraId="280FB13E">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0" w:firstLineChars="200"/>
        <w:jc w:val="left"/>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2、落实政府采购政策需满足的资格要求：根据《政府采购促进中小企业发展暂行办法》(财库(2020)46号)的规定，本项目专门面向中小企业采购;</w:t>
      </w:r>
    </w:p>
    <w:p w14:paraId="1E3C58F8">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0" w:firstLineChars="200"/>
        <w:jc w:val="left"/>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3.本项目的特定资格要求：</w:t>
      </w:r>
    </w:p>
    <w:p w14:paraId="341011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autoSpaceDE/>
        <w:autoSpaceDN/>
        <w:bidi w:val="0"/>
        <w:adjustRightInd w:val="0"/>
        <w:snapToGrid w:val="0"/>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pP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（1）投标人须具有主管部门颁发有效的会计师事务所执业资格证书；</w:t>
      </w:r>
    </w:p>
    <w:p w14:paraId="5B605D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autoSpaceDE/>
        <w:autoSpaceDN/>
        <w:bidi w:val="0"/>
        <w:adjustRightInd w:val="0"/>
        <w:snapToGrid w:val="0"/>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pP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2）投标人须是在“信用中国”（www.creditchina.gov.cn）和中国政府采购网（www.ccgp.gov.cn）网站上未被列入失信被执行人、重大税收违法案件当事人名单以及政府采购严重违法失信行为记录名单；查询时间（须自招标公告发布之日起至首次提交投标文件截止时间内）</w:t>
      </w:r>
    </w:p>
    <w:p w14:paraId="5A643D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autoSpaceDE/>
        <w:autoSpaceDN/>
        <w:bidi w:val="0"/>
        <w:adjustRightInd w:val="0"/>
        <w:snapToGrid w:val="0"/>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pP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3）本项目接受联合体投标（联合体组成单位不得超过两家），联合体以工程造价咨询服务机构为牵头单位，与另一联合体成员（会计师事务所）签署联合体协议（须提供联合体协议书原件），联合体协议书需明确牵头单位、双方权利、义务和责任。联合体各方签订共同投标协议后，不得再以自己的名义单独投标，也不得组成新的联合体或参加其他联合体在同项目中投标。</w:t>
      </w:r>
    </w:p>
    <w:p w14:paraId="0CBD9256">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三、获取采购文件</w:t>
      </w:r>
    </w:p>
    <w:p w14:paraId="6C043BB7">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1、时间：</w:t>
      </w:r>
      <w:r>
        <w:rPr>
          <w:rFonts w:hint="eastAsia" w:ascii="宋体" w:hAnsi="宋体" w:eastAsia="宋体" w:cs="宋体"/>
          <w:i w:val="0"/>
          <w:iCs w:val="0"/>
          <w:caps w:val="0"/>
          <w:color w:val="auto"/>
          <w:spacing w:val="0"/>
          <w:kern w:val="0"/>
          <w:sz w:val="24"/>
          <w:szCs w:val="24"/>
          <w:highlight w:val="none"/>
          <w:u w:val="single"/>
          <w:lang w:val="en-US" w:eastAsia="zh-CN" w:bidi="ar"/>
        </w:rPr>
        <w:t>2026年06月05</w:t>
      </w:r>
      <w:r>
        <w:rPr>
          <w:rFonts w:hint="eastAsia" w:ascii="宋体" w:hAnsi="宋体" w:eastAsia="宋体" w:cs="宋体"/>
          <w:i w:val="0"/>
          <w:iCs w:val="0"/>
          <w:caps w:val="0"/>
          <w:color w:val="auto"/>
          <w:spacing w:val="0"/>
          <w:kern w:val="0"/>
          <w:sz w:val="24"/>
          <w:szCs w:val="24"/>
          <w:highlight w:val="none"/>
          <w:lang w:val="en-US" w:eastAsia="zh-CN" w:bidi="ar"/>
        </w:rPr>
        <w:t>日至</w:t>
      </w:r>
      <w:r>
        <w:rPr>
          <w:rFonts w:hint="eastAsia" w:ascii="宋体" w:hAnsi="宋体" w:eastAsia="宋体" w:cs="宋体"/>
          <w:i w:val="0"/>
          <w:iCs w:val="0"/>
          <w:caps w:val="0"/>
          <w:color w:val="auto"/>
          <w:spacing w:val="0"/>
          <w:kern w:val="0"/>
          <w:sz w:val="24"/>
          <w:szCs w:val="24"/>
          <w:highlight w:val="none"/>
          <w:u w:val="single"/>
          <w:lang w:val="en-US" w:eastAsia="zh-CN" w:bidi="ar"/>
        </w:rPr>
        <w:t>2026年06月12</w:t>
      </w:r>
      <w:r>
        <w:rPr>
          <w:rFonts w:hint="eastAsia" w:ascii="宋体" w:hAnsi="宋体" w:eastAsia="宋体" w:cs="宋体"/>
          <w:i w:val="0"/>
          <w:iCs w:val="0"/>
          <w:caps w:val="0"/>
          <w:color w:val="auto"/>
          <w:spacing w:val="0"/>
          <w:kern w:val="0"/>
          <w:sz w:val="24"/>
          <w:szCs w:val="24"/>
          <w:highlight w:val="none"/>
          <w:lang w:val="en-US" w:eastAsia="zh-CN" w:bidi="ar"/>
        </w:rPr>
        <w:t>日，每天上午00：00至14：00，下午14：00至23：59（北京时间，节假日除外）</w:t>
      </w:r>
    </w:p>
    <w:p w14:paraId="4C23A5D8">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2、地点：投标单位登录政采云平台http://www.zcygov.cn/，在线申请获取招标文件（登录政府采购云平台 → 项目采购 → 获取招标文件→申请，审核通过后可下载招标文件，如有操作性问题，可与政采云在线客服进行咨询，咨询电话：95763）。</w:t>
      </w:r>
    </w:p>
    <w:p w14:paraId="71D54094">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3、方式：（1）线上获取（登录政府采购云平台 → 项目采购 → 获取招标文件→ 申请，审核通过后可下载招标文件）。本次招标不提供纸质版招标文件。（2）投标单位获取招标文件前应注册成为政府采购云平台正式投标单位。</w:t>
      </w:r>
    </w:p>
    <w:p w14:paraId="5942BA69">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4、售价（元）：0</w:t>
      </w:r>
    </w:p>
    <w:p w14:paraId="6615BB91">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四、提交投标文件截止时间、开标时间和地点</w:t>
      </w:r>
    </w:p>
    <w:p w14:paraId="44D661C0">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截止时间：</w:t>
      </w:r>
      <w:r>
        <w:rPr>
          <w:rFonts w:hint="eastAsia" w:ascii="宋体" w:hAnsi="宋体" w:eastAsia="宋体" w:cs="宋体"/>
          <w:i w:val="0"/>
          <w:iCs w:val="0"/>
          <w:caps w:val="0"/>
          <w:color w:val="auto"/>
          <w:spacing w:val="0"/>
          <w:kern w:val="0"/>
          <w:sz w:val="24"/>
          <w:szCs w:val="24"/>
          <w:highlight w:val="none"/>
          <w:u w:val="none"/>
          <w:lang w:val="en-US" w:eastAsia="zh-CN" w:bidi="ar"/>
        </w:rPr>
        <w:t>2026</w:t>
      </w:r>
      <w:r>
        <w:rPr>
          <w:rFonts w:hint="eastAsia" w:ascii="宋体" w:hAnsi="宋体" w:eastAsia="宋体" w:cs="宋体"/>
          <w:i w:val="0"/>
          <w:iCs w:val="0"/>
          <w:caps w:val="0"/>
          <w:color w:val="auto"/>
          <w:spacing w:val="0"/>
          <w:kern w:val="0"/>
          <w:sz w:val="24"/>
          <w:szCs w:val="24"/>
          <w:highlight w:val="none"/>
          <w:lang w:val="en-US" w:eastAsia="zh-CN" w:bidi="ar"/>
        </w:rPr>
        <w:t>年</w:t>
      </w:r>
      <w:r>
        <w:rPr>
          <w:rFonts w:hint="eastAsia" w:ascii="宋体" w:hAnsi="宋体" w:eastAsia="宋体" w:cs="宋体"/>
          <w:i w:val="0"/>
          <w:iCs w:val="0"/>
          <w:caps w:val="0"/>
          <w:color w:val="auto"/>
          <w:spacing w:val="0"/>
          <w:kern w:val="0"/>
          <w:sz w:val="24"/>
          <w:szCs w:val="24"/>
          <w:highlight w:val="none"/>
          <w:u w:val="single"/>
          <w:lang w:val="en-US" w:eastAsia="zh-CN" w:bidi="ar"/>
        </w:rPr>
        <w:t>06</w:t>
      </w:r>
      <w:r>
        <w:rPr>
          <w:rFonts w:hint="eastAsia" w:ascii="宋体" w:hAnsi="宋体" w:eastAsia="宋体" w:cs="宋体"/>
          <w:i w:val="0"/>
          <w:iCs w:val="0"/>
          <w:caps w:val="0"/>
          <w:color w:val="auto"/>
          <w:spacing w:val="0"/>
          <w:kern w:val="0"/>
          <w:sz w:val="24"/>
          <w:szCs w:val="24"/>
          <w:highlight w:val="none"/>
          <w:lang w:val="en-US" w:eastAsia="zh-CN" w:bidi="ar"/>
        </w:rPr>
        <w:t>月30日11：00（北京时间）</w:t>
      </w:r>
    </w:p>
    <w:p w14:paraId="5964510E">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投标地点：政府采购云平台（www.zcygov.cn）</w:t>
      </w:r>
    </w:p>
    <w:p w14:paraId="1D8152F1">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开标时间：</w:t>
      </w:r>
      <w:r>
        <w:rPr>
          <w:rFonts w:hint="eastAsia" w:ascii="宋体" w:hAnsi="宋体" w:eastAsia="宋体" w:cs="宋体"/>
          <w:i w:val="0"/>
          <w:iCs w:val="0"/>
          <w:caps w:val="0"/>
          <w:color w:val="auto"/>
          <w:spacing w:val="0"/>
          <w:kern w:val="0"/>
          <w:sz w:val="24"/>
          <w:szCs w:val="24"/>
          <w:highlight w:val="none"/>
          <w:u w:val="none"/>
          <w:lang w:val="en-US" w:eastAsia="zh-CN" w:bidi="ar"/>
        </w:rPr>
        <w:t>2026</w:t>
      </w:r>
      <w:r>
        <w:rPr>
          <w:rFonts w:hint="eastAsia" w:ascii="宋体" w:hAnsi="宋体" w:eastAsia="宋体" w:cs="宋体"/>
          <w:i w:val="0"/>
          <w:iCs w:val="0"/>
          <w:caps w:val="0"/>
          <w:color w:val="auto"/>
          <w:spacing w:val="0"/>
          <w:kern w:val="0"/>
          <w:sz w:val="24"/>
          <w:szCs w:val="24"/>
          <w:highlight w:val="none"/>
          <w:lang w:val="en-US" w:eastAsia="zh-CN" w:bidi="ar"/>
        </w:rPr>
        <w:t>年</w:t>
      </w:r>
      <w:r>
        <w:rPr>
          <w:rFonts w:hint="eastAsia" w:ascii="宋体" w:hAnsi="宋体" w:eastAsia="宋体" w:cs="宋体"/>
          <w:i w:val="0"/>
          <w:iCs w:val="0"/>
          <w:caps w:val="0"/>
          <w:color w:val="auto"/>
          <w:spacing w:val="0"/>
          <w:kern w:val="0"/>
          <w:sz w:val="24"/>
          <w:szCs w:val="24"/>
          <w:highlight w:val="none"/>
          <w:u w:val="single"/>
          <w:lang w:val="en-US" w:eastAsia="zh-CN" w:bidi="ar"/>
        </w:rPr>
        <w:t>06</w:t>
      </w:r>
      <w:r>
        <w:rPr>
          <w:rFonts w:hint="eastAsia" w:ascii="宋体" w:hAnsi="宋体" w:eastAsia="宋体" w:cs="宋体"/>
          <w:i w:val="0"/>
          <w:iCs w:val="0"/>
          <w:caps w:val="0"/>
          <w:color w:val="auto"/>
          <w:spacing w:val="0"/>
          <w:kern w:val="0"/>
          <w:sz w:val="24"/>
          <w:szCs w:val="24"/>
          <w:highlight w:val="none"/>
          <w:lang w:val="en-US" w:eastAsia="zh-CN" w:bidi="ar"/>
        </w:rPr>
        <w:t>月</w:t>
      </w:r>
      <w:r>
        <w:rPr>
          <w:rFonts w:hint="eastAsia" w:ascii="宋体" w:hAnsi="宋体" w:eastAsia="宋体" w:cs="宋体"/>
          <w:i w:val="0"/>
          <w:iCs w:val="0"/>
          <w:caps w:val="0"/>
          <w:color w:val="auto"/>
          <w:spacing w:val="0"/>
          <w:kern w:val="0"/>
          <w:sz w:val="24"/>
          <w:szCs w:val="24"/>
          <w:highlight w:val="none"/>
          <w:u w:val="single"/>
          <w:lang w:val="en-US" w:eastAsia="zh-CN" w:bidi="ar"/>
        </w:rPr>
        <w:t>30</w:t>
      </w:r>
      <w:r>
        <w:rPr>
          <w:rFonts w:hint="eastAsia" w:ascii="宋体" w:hAnsi="宋体" w:eastAsia="宋体" w:cs="宋体"/>
          <w:i w:val="0"/>
          <w:iCs w:val="0"/>
          <w:caps w:val="0"/>
          <w:color w:val="auto"/>
          <w:spacing w:val="0"/>
          <w:kern w:val="0"/>
          <w:sz w:val="24"/>
          <w:szCs w:val="24"/>
          <w:highlight w:val="none"/>
          <w:lang w:val="en-US" w:eastAsia="zh-CN" w:bidi="ar"/>
        </w:rPr>
        <w:t>日11：00（北京时间）</w:t>
      </w:r>
    </w:p>
    <w:p w14:paraId="62EAED1D">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0"/>
        <w:jc w:val="left"/>
        <w:rPr>
          <w:rFonts w:hint="eastAsia" w:ascii="宋体" w:hAnsi="宋体" w:eastAsia="宋体" w:cs="宋体"/>
          <w:sz w:val="24"/>
          <w:szCs w:val="24"/>
          <w:highlight w:val="none"/>
          <w:lang w:val="en-US"/>
        </w:rPr>
      </w:pPr>
      <w:r>
        <w:rPr>
          <w:rFonts w:hint="eastAsia" w:ascii="宋体" w:hAnsi="宋体" w:eastAsia="宋体" w:cs="宋体"/>
          <w:i w:val="0"/>
          <w:iCs w:val="0"/>
          <w:caps w:val="0"/>
          <w:color w:val="auto"/>
          <w:spacing w:val="0"/>
          <w:kern w:val="0"/>
          <w:sz w:val="24"/>
          <w:szCs w:val="24"/>
          <w:highlight w:val="none"/>
          <w:lang w:val="en-US" w:eastAsia="zh-CN" w:bidi="ar"/>
        </w:rPr>
        <w:t>开标地点：在政府采购云平台（www.zcygov.cn）上开启投标文件，开标时间后，待采购组织机构发出解密通知后30分钟内，投标单位须登录“政采云”平台，用“项目采购-开标评标”功能解密投标文件。</w:t>
      </w:r>
    </w:p>
    <w:p w14:paraId="5C5DAECF">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五、公告期限</w:t>
      </w:r>
    </w:p>
    <w:p w14:paraId="7A9D0BE6">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自本公告发布之日起5个工作日</w:t>
      </w:r>
    </w:p>
    <w:p w14:paraId="70D93BEC">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六、其他补充事宜</w:t>
      </w:r>
    </w:p>
    <w:p w14:paraId="73AD0EAC">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1、本项目实行网上投标，采用电子投标文件。</w:t>
      </w:r>
    </w:p>
    <w:p w14:paraId="3168A066">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167DE9A">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55A61C80">
      <w:pPr>
        <w:widowControl/>
        <w:spacing w:line="360" w:lineRule="auto"/>
        <w:ind w:firstLine="480" w:firstLineChars="200"/>
        <w:jc w:val="left"/>
        <w:rPr>
          <w:rFonts w:hint="eastAsia"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4、其他事项：①</w:t>
      </w:r>
      <w:r>
        <w:rPr>
          <w:rFonts w:hint="eastAsia" w:ascii="宋体" w:hAnsi="宋体" w:eastAsia="宋体" w:cs="宋体"/>
          <w:color w:val="auto"/>
          <w:kern w:val="0"/>
          <w:sz w:val="24"/>
          <w:szCs w:val="24"/>
          <w:highlight w:val="none"/>
          <w:lang w:eastAsia="zh-CN"/>
        </w:rPr>
        <w:t>如需咨询，</w:t>
      </w:r>
      <w:r>
        <w:rPr>
          <w:rFonts w:hint="eastAsia" w:ascii="宋体" w:hAnsi="宋体" w:eastAsia="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lang w:eastAsia="zh-CN"/>
        </w:rPr>
        <w:t>联系新疆CA服务热线 0991-2819290；</w:t>
      </w:r>
      <w:r>
        <w:rPr>
          <w:rFonts w:hint="eastAsia" w:ascii="宋体" w:hAnsi="宋体" w:eastAsia="宋体" w:cs="宋体"/>
          <w:color w:val="auto"/>
          <w:kern w:val="0"/>
          <w:sz w:val="24"/>
          <w:szCs w:val="24"/>
          <w:highlight w:val="none"/>
          <w:lang w:val="en-US" w:eastAsia="zh-CN"/>
        </w:rPr>
        <w:t>②供应商须注意事项：</w:t>
      </w: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本项目实行电子招投标，供应商须登录政采云平台https://www.zcygov.cn/申请获取招标文件，并通过政采云电子投标客户端制作响应文件，同时自行承担与投标有关的一切费用</w:t>
      </w:r>
      <w:r>
        <w:rPr>
          <w:rFonts w:hint="eastAsia" w:cs="宋体"/>
          <w:color w:val="auto"/>
          <w:kern w:val="0"/>
          <w:sz w:val="24"/>
          <w:szCs w:val="24"/>
          <w:highlight w:val="none"/>
          <w:lang w:val="en-US" w:eastAsia="zh-CN"/>
        </w:rPr>
        <w:t>；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626A1228">
      <w:pPr>
        <w:pStyle w:val="32"/>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spacing w:val="0"/>
          <w:w w:val="100"/>
          <w:kern w:val="0"/>
          <w:position w:val="0"/>
          <w:sz w:val="24"/>
          <w:szCs w:val="24"/>
          <w:highlight w:val="none"/>
          <w:shd w:val="clear" w:color="auto" w:fill="auto"/>
          <w:lang w:val="en-US" w:eastAsia="zh-CN" w:bidi="en-US"/>
        </w:rPr>
      </w:pP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特别提示：</w:t>
      </w:r>
    </w:p>
    <w:p w14:paraId="3E8999CD">
      <w:pPr>
        <w:pStyle w:val="32"/>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spacing w:val="0"/>
          <w:w w:val="100"/>
          <w:kern w:val="0"/>
          <w:position w:val="0"/>
          <w:sz w:val="24"/>
          <w:szCs w:val="24"/>
          <w:highlight w:val="none"/>
          <w:shd w:val="clear" w:color="auto" w:fill="auto"/>
          <w:lang w:val="en-US" w:eastAsia="zh-CN" w:bidi="en-US"/>
        </w:rPr>
      </w:pP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  1、采购限额标准以上，200万元以下的货物和服务采购项目、400万元以下的工程采购项目，适宜由中小企业提供的，采购人应当专门面向中小企业采购。</w:t>
      </w:r>
    </w:p>
    <w:p w14:paraId="4E90F4FA">
      <w:pPr>
        <w:pStyle w:val="32"/>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spacing w:val="0"/>
          <w:w w:val="100"/>
          <w:kern w:val="0"/>
          <w:position w:val="0"/>
          <w:sz w:val="24"/>
          <w:szCs w:val="24"/>
          <w:highlight w:val="none"/>
          <w:shd w:val="clear" w:color="auto" w:fill="auto"/>
          <w:lang w:val="en-US" w:eastAsia="zh-CN" w:bidi="en-US"/>
        </w:rPr>
      </w:pP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  2、超过200万元的货物和服务采购项目，预留该部分采购项目预算总额的30%以上专门面向中小企业采购，其中预留给小微企业的比例不低于60%。</w:t>
      </w:r>
    </w:p>
    <w:p w14:paraId="6A9B5080">
      <w:pPr>
        <w:pStyle w:val="32"/>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spacing w:val="0"/>
          <w:w w:val="100"/>
          <w:kern w:val="0"/>
          <w:position w:val="0"/>
          <w:sz w:val="24"/>
          <w:szCs w:val="24"/>
          <w:highlight w:val="none"/>
          <w:shd w:val="clear" w:color="auto" w:fill="auto"/>
          <w:lang w:val="en-US" w:eastAsia="zh-CN" w:bidi="en-US"/>
        </w:rPr>
      </w:pP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  3、超过400万元的工程采购项目中适宜由中小企业提供的，预留该部分采购项目预算总额的40%以上专门面向中小企业采购，其中预留给小微企业的比例不低于60%。</w:t>
      </w:r>
    </w:p>
    <w:p w14:paraId="3CA7BF03">
      <w:pPr>
        <w:pStyle w:val="32"/>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spacing w:val="0"/>
          <w:w w:val="100"/>
          <w:kern w:val="0"/>
          <w:position w:val="0"/>
          <w:sz w:val="24"/>
          <w:szCs w:val="24"/>
          <w:highlight w:val="none"/>
          <w:shd w:val="clear" w:color="auto" w:fill="auto"/>
          <w:lang w:val="en-US" w:eastAsia="zh-CN" w:bidi="en-US"/>
        </w:rPr>
      </w:pP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DAD5C86">
      <w:pPr>
        <w:pStyle w:val="2"/>
        <w:ind w:firstLine="480"/>
        <w:rPr>
          <w:rFonts w:hint="eastAsia" w:ascii="宋体" w:hAnsi="宋体" w:eastAsia="宋体" w:cs="宋体"/>
          <w:color w:val="auto"/>
          <w:spacing w:val="0"/>
          <w:w w:val="100"/>
          <w:kern w:val="0"/>
          <w:position w:val="0"/>
          <w:sz w:val="24"/>
          <w:szCs w:val="24"/>
          <w:highlight w:val="none"/>
          <w:shd w:val="clear" w:color="auto" w:fill="auto"/>
          <w:lang w:val="en-US" w:eastAsia="zh-CN" w:bidi="en-US"/>
        </w:rPr>
      </w:pP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65EA5D8">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 </w:t>
      </w:r>
      <w:r>
        <w:rPr>
          <w:rFonts w:hint="eastAsia" w:ascii="宋体" w:hAnsi="宋体" w:eastAsia="宋体" w:cs="宋体"/>
          <w:b/>
          <w:bCs/>
          <w:i w:val="0"/>
          <w:iCs w:val="0"/>
          <w:caps w:val="0"/>
          <w:color w:val="auto"/>
          <w:spacing w:val="0"/>
          <w:kern w:val="0"/>
          <w:sz w:val="24"/>
          <w:szCs w:val="24"/>
          <w:highlight w:val="none"/>
          <w:lang w:val="en-US" w:eastAsia="zh-CN" w:bidi="ar"/>
        </w:rPr>
        <w:t>七、对本次招标提出询问，请按以下方式联系。</w:t>
      </w:r>
    </w:p>
    <w:p w14:paraId="59CAB9AA">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2"/>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1.招标人信息</w:t>
      </w:r>
    </w:p>
    <w:p w14:paraId="07BE9E4E">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0"/>
        <w:jc w:val="left"/>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名称：新疆和田学院</w:t>
      </w:r>
    </w:p>
    <w:p w14:paraId="75B3087F">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0"/>
        <w:jc w:val="left"/>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地址：</w:t>
      </w:r>
      <w:r>
        <w:rPr>
          <w:rFonts w:hint="eastAsia" w:asciiTheme="minorEastAsia" w:hAnsiTheme="minorEastAsia" w:eastAsiaTheme="minorEastAsia" w:cstheme="minorEastAsia"/>
          <w:color w:val="auto"/>
          <w:sz w:val="24"/>
          <w:szCs w:val="24"/>
          <w:highlight w:val="none"/>
          <w:lang w:val="en-US" w:eastAsia="zh-CN"/>
        </w:rPr>
        <w:t>新疆和田县昆仑路1号</w:t>
      </w:r>
    </w:p>
    <w:p w14:paraId="1F001DD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bidi w:val="0"/>
        <w:spacing w:before="0" w:beforeAutospacing="0" w:after="0" w:afterAutospacing="0" w:line="500" w:lineRule="exact"/>
        <w:ind w:left="0" w:right="0" w:firstLine="480"/>
        <w:jc w:val="left"/>
        <w:rPr>
          <w:rFonts w:hint="default"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联 系 人：孙老师</w:t>
      </w:r>
    </w:p>
    <w:p w14:paraId="437D3B7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bidi w:val="0"/>
        <w:spacing w:before="0" w:beforeAutospacing="0" w:after="0" w:afterAutospacing="0" w:line="500" w:lineRule="exact"/>
        <w:ind w:left="0" w:right="0" w:firstLine="480"/>
        <w:jc w:val="left"/>
        <w:rPr>
          <w:rFonts w:hint="default"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联系电话：0903-6733232</w:t>
      </w:r>
    </w:p>
    <w:p w14:paraId="32A965A0">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2"/>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bCs/>
          <w:i w:val="0"/>
          <w:iCs w:val="0"/>
          <w:caps w:val="0"/>
          <w:color w:val="auto"/>
          <w:spacing w:val="0"/>
          <w:kern w:val="0"/>
          <w:sz w:val="24"/>
          <w:szCs w:val="24"/>
          <w:highlight w:val="none"/>
          <w:lang w:val="en-US" w:eastAsia="zh-CN" w:bidi="ar"/>
        </w:rPr>
        <w:t>2.招标代理机构信息</w:t>
      </w:r>
    </w:p>
    <w:p w14:paraId="04E996BF">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0"/>
        <w:jc w:val="left"/>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名称：新疆宏力源工程项目管理有限公司</w:t>
      </w:r>
    </w:p>
    <w:p w14:paraId="5FC1AC5E">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0"/>
        <w:jc w:val="left"/>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地址：新疆乌鲁木齐高新区（新市区）四平路266号科创花苑B3办公1501室。</w:t>
      </w:r>
    </w:p>
    <w:p w14:paraId="187ED558">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0"/>
        <w:jc w:val="left"/>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联系人：李曌、张阳、石龙彦</w:t>
      </w:r>
    </w:p>
    <w:p w14:paraId="6581FB69">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500" w:lineRule="exact"/>
        <w:ind w:left="0" w:right="0" w:firstLine="480"/>
        <w:jc w:val="left"/>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联系方式：18130901230、0991-3193331</w:t>
      </w:r>
    </w:p>
    <w:p w14:paraId="16AF7D42">
      <w:pPr>
        <w:shd w:val="clear"/>
        <w:kinsoku/>
        <w:overflowPunct/>
        <w:topLinePunct w:val="0"/>
        <w:bidi w:val="0"/>
        <w:spacing w:line="500" w:lineRule="exact"/>
        <w:rPr>
          <w:rFonts w:hint="eastAsia" w:ascii="宋体" w:hAnsi="宋体" w:eastAsia="宋体" w:cs="宋体"/>
          <w:color w:val="auto"/>
          <w:sz w:val="24"/>
          <w:szCs w:val="24"/>
          <w:highlight w:val="none"/>
        </w:rPr>
      </w:pPr>
    </w:p>
    <w:p w14:paraId="26309E12">
      <w:pPr>
        <w:pStyle w:val="18"/>
        <w:rPr>
          <w:rFonts w:hint="eastAsia" w:ascii="宋体" w:hAnsi="宋体" w:eastAsia="宋体" w:cs="宋体"/>
          <w:color w:val="auto"/>
          <w:sz w:val="24"/>
          <w:szCs w:val="24"/>
          <w:highlight w:val="none"/>
        </w:rPr>
      </w:pPr>
    </w:p>
    <w:p w14:paraId="42E898B0">
      <w:pPr>
        <w:rPr>
          <w:rFonts w:hint="eastAsia" w:ascii="宋体" w:hAnsi="宋体" w:eastAsia="宋体" w:cs="宋体"/>
          <w:color w:val="auto"/>
          <w:sz w:val="24"/>
          <w:szCs w:val="24"/>
          <w:highlight w:val="none"/>
        </w:rPr>
      </w:pPr>
    </w:p>
    <w:p w14:paraId="4A59D070">
      <w:pPr>
        <w:pStyle w:val="18"/>
        <w:rPr>
          <w:rFonts w:hint="eastAsia" w:ascii="宋体" w:hAnsi="宋体" w:eastAsia="宋体" w:cs="宋体"/>
          <w:color w:val="auto"/>
          <w:sz w:val="24"/>
          <w:szCs w:val="24"/>
          <w:highlight w:val="none"/>
        </w:rPr>
      </w:pPr>
    </w:p>
    <w:p w14:paraId="41FF0CF7">
      <w:pPr>
        <w:rPr>
          <w:rFonts w:hint="eastAsia" w:ascii="宋体" w:hAnsi="宋体" w:eastAsia="宋体" w:cs="宋体"/>
          <w:color w:val="auto"/>
          <w:sz w:val="24"/>
          <w:szCs w:val="24"/>
          <w:highlight w:val="none"/>
        </w:rPr>
      </w:pPr>
    </w:p>
    <w:p w14:paraId="773F2C8C">
      <w:pPr>
        <w:pStyle w:val="18"/>
        <w:rPr>
          <w:rFonts w:hint="eastAsia" w:ascii="宋体" w:hAnsi="宋体" w:eastAsia="宋体" w:cs="宋体"/>
          <w:color w:val="auto"/>
          <w:sz w:val="24"/>
          <w:szCs w:val="24"/>
          <w:highlight w:val="none"/>
        </w:rPr>
      </w:pPr>
    </w:p>
    <w:p w14:paraId="51B34301">
      <w:pPr>
        <w:rPr>
          <w:rFonts w:hint="eastAsia" w:ascii="宋体" w:hAnsi="宋体" w:eastAsia="宋体" w:cs="宋体"/>
          <w:color w:val="auto"/>
          <w:sz w:val="24"/>
          <w:szCs w:val="24"/>
          <w:highlight w:val="none"/>
        </w:rPr>
      </w:pPr>
    </w:p>
    <w:p w14:paraId="24B0F666">
      <w:pPr>
        <w:pStyle w:val="18"/>
        <w:rPr>
          <w:rFonts w:hint="eastAsia" w:ascii="宋体" w:hAnsi="宋体" w:eastAsia="宋体" w:cs="宋体"/>
          <w:color w:val="auto"/>
          <w:sz w:val="24"/>
          <w:szCs w:val="24"/>
          <w:highlight w:val="none"/>
        </w:rPr>
      </w:pPr>
    </w:p>
    <w:p w14:paraId="480CBEC2">
      <w:pPr>
        <w:rPr>
          <w:rFonts w:hint="eastAsia" w:ascii="宋体" w:hAnsi="宋体" w:eastAsia="宋体" w:cs="宋体"/>
          <w:color w:val="auto"/>
          <w:sz w:val="24"/>
          <w:szCs w:val="24"/>
          <w:highlight w:val="none"/>
        </w:rPr>
      </w:pPr>
    </w:p>
    <w:p w14:paraId="369B7C5F">
      <w:pPr>
        <w:pStyle w:val="18"/>
        <w:rPr>
          <w:rFonts w:hint="eastAsia" w:ascii="宋体" w:hAnsi="宋体" w:eastAsia="宋体" w:cs="宋体"/>
          <w:color w:val="auto"/>
          <w:sz w:val="24"/>
          <w:szCs w:val="24"/>
          <w:highlight w:val="none"/>
        </w:rPr>
      </w:pPr>
    </w:p>
    <w:p w14:paraId="082872BA">
      <w:pPr>
        <w:rPr>
          <w:rFonts w:hint="eastAsia" w:ascii="宋体" w:hAnsi="宋体" w:eastAsia="宋体" w:cs="宋体"/>
          <w:color w:val="auto"/>
          <w:sz w:val="24"/>
          <w:szCs w:val="24"/>
          <w:highlight w:val="none"/>
        </w:rPr>
      </w:pPr>
    </w:p>
    <w:p w14:paraId="0872A2D0">
      <w:pPr>
        <w:pStyle w:val="18"/>
        <w:rPr>
          <w:rFonts w:hint="eastAsia" w:ascii="宋体" w:hAnsi="宋体" w:eastAsia="宋体" w:cs="宋体"/>
          <w:color w:val="auto"/>
          <w:sz w:val="24"/>
          <w:szCs w:val="24"/>
          <w:highlight w:val="none"/>
        </w:rPr>
      </w:pPr>
    </w:p>
    <w:p w14:paraId="3DB54D4C">
      <w:pPr>
        <w:rPr>
          <w:rFonts w:hint="eastAsia" w:ascii="宋体" w:hAnsi="宋体" w:eastAsia="宋体" w:cs="宋体"/>
          <w:color w:val="auto"/>
          <w:sz w:val="24"/>
          <w:szCs w:val="24"/>
          <w:highlight w:val="none"/>
        </w:rPr>
      </w:pPr>
    </w:p>
    <w:p w14:paraId="37F71672">
      <w:pPr>
        <w:pStyle w:val="18"/>
        <w:rPr>
          <w:rFonts w:hint="eastAsia" w:ascii="宋体" w:hAnsi="宋体" w:eastAsia="宋体" w:cs="宋体"/>
          <w:color w:val="auto"/>
          <w:sz w:val="24"/>
          <w:szCs w:val="24"/>
          <w:highlight w:val="none"/>
        </w:rPr>
      </w:pPr>
    </w:p>
    <w:p w14:paraId="5F467B34">
      <w:pPr>
        <w:rPr>
          <w:rFonts w:hint="eastAsia" w:ascii="宋体" w:hAnsi="宋体" w:eastAsia="宋体" w:cs="宋体"/>
          <w:color w:val="auto"/>
          <w:sz w:val="24"/>
          <w:szCs w:val="24"/>
          <w:highlight w:val="none"/>
        </w:rPr>
      </w:pPr>
    </w:p>
    <w:p w14:paraId="219A94D9">
      <w:pPr>
        <w:pStyle w:val="18"/>
        <w:rPr>
          <w:rFonts w:hint="eastAsia" w:ascii="宋体" w:hAnsi="宋体" w:eastAsia="宋体" w:cs="宋体"/>
          <w:color w:val="auto"/>
          <w:sz w:val="24"/>
          <w:szCs w:val="24"/>
          <w:highlight w:val="none"/>
        </w:rPr>
      </w:pPr>
    </w:p>
    <w:p w14:paraId="7A892E12">
      <w:pPr>
        <w:rPr>
          <w:rFonts w:hint="eastAsia" w:ascii="宋体" w:hAnsi="宋体" w:eastAsia="宋体" w:cs="宋体"/>
          <w:color w:val="auto"/>
          <w:sz w:val="24"/>
          <w:szCs w:val="24"/>
          <w:highlight w:val="none"/>
        </w:rPr>
      </w:pPr>
    </w:p>
    <w:p w14:paraId="1488CC7D">
      <w:pPr>
        <w:pStyle w:val="18"/>
        <w:rPr>
          <w:rFonts w:hint="eastAsia" w:ascii="宋体" w:hAnsi="宋体" w:eastAsia="宋体" w:cs="宋体"/>
          <w:color w:val="auto"/>
          <w:sz w:val="24"/>
          <w:szCs w:val="24"/>
          <w:highlight w:val="none"/>
        </w:rPr>
      </w:pPr>
    </w:p>
    <w:p w14:paraId="642B971D">
      <w:pPr>
        <w:rPr>
          <w:rFonts w:hint="eastAsia" w:ascii="宋体" w:hAnsi="宋体" w:eastAsia="宋体" w:cs="宋体"/>
          <w:color w:val="auto"/>
          <w:sz w:val="24"/>
          <w:szCs w:val="24"/>
          <w:highlight w:val="none"/>
        </w:rPr>
      </w:pPr>
    </w:p>
    <w:p w14:paraId="4B33FD04">
      <w:pPr>
        <w:pStyle w:val="18"/>
        <w:rPr>
          <w:rFonts w:hint="eastAsia" w:ascii="宋体" w:hAnsi="宋体" w:eastAsia="宋体" w:cs="宋体"/>
          <w:color w:val="auto"/>
          <w:sz w:val="24"/>
          <w:szCs w:val="24"/>
          <w:highlight w:val="none"/>
        </w:rPr>
      </w:pPr>
    </w:p>
    <w:p w14:paraId="78932DC0">
      <w:pPr>
        <w:rPr>
          <w:rFonts w:hint="eastAsia" w:ascii="宋体" w:hAnsi="宋体" w:eastAsia="宋体" w:cs="宋体"/>
          <w:color w:val="auto"/>
          <w:sz w:val="24"/>
          <w:szCs w:val="24"/>
          <w:highlight w:val="none"/>
        </w:rPr>
      </w:pPr>
    </w:p>
    <w:p w14:paraId="1BC87450">
      <w:pPr>
        <w:pStyle w:val="18"/>
        <w:rPr>
          <w:rFonts w:hint="eastAsia" w:ascii="宋体" w:hAnsi="宋体" w:eastAsia="宋体" w:cs="宋体"/>
          <w:color w:val="auto"/>
          <w:sz w:val="24"/>
          <w:szCs w:val="24"/>
          <w:highlight w:val="none"/>
        </w:rPr>
      </w:pPr>
    </w:p>
    <w:p w14:paraId="44717665">
      <w:pPr>
        <w:rPr>
          <w:rFonts w:hint="eastAsia" w:ascii="宋体" w:hAnsi="宋体" w:eastAsia="宋体" w:cs="宋体"/>
          <w:color w:val="auto"/>
          <w:sz w:val="24"/>
          <w:szCs w:val="24"/>
          <w:highlight w:val="none"/>
        </w:rPr>
      </w:pPr>
    </w:p>
    <w:p w14:paraId="4D28507D">
      <w:pPr>
        <w:pStyle w:val="18"/>
        <w:rPr>
          <w:rFonts w:hint="eastAsia"/>
        </w:rPr>
      </w:pPr>
    </w:p>
    <w:p w14:paraId="338773E6">
      <w:pPr>
        <w:pStyle w:val="18"/>
        <w:rPr>
          <w:rFonts w:hint="eastAsia" w:ascii="宋体" w:hAnsi="宋体" w:eastAsia="宋体" w:cs="宋体"/>
          <w:color w:val="auto"/>
          <w:sz w:val="24"/>
          <w:szCs w:val="24"/>
          <w:highlight w:val="none"/>
        </w:rPr>
      </w:pPr>
    </w:p>
    <w:p w14:paraId="5F83B081">
      <w:pPr>
        <w:rPr>
          <w:rFonts w:hint="eastAsia" w:ascii="宋体" w:hAnsi="宋体" w:eastAsia="宋体" w:cs="宋体"/>
          <w:color w:val="auto"/>
          <w:sz w:val="24"/>
          <w:szCs w:val="24"/>
          <w:highlight w:val="none"/>
        </w:rPr>
      </w:pPr>
    </w:p>
    <w:p w14:paraId="7EF652FF">
      <w:pPr>
        <w:pStyle w:val="18"/>
        <w:rPr>
          <w:rFonts w:hint="eastAsia" w:ascii="宋体" w:hAnsi="宋体" w:eastAsia="宋体" w:cs="宋体"/>
          <w:color w:val="auto"/>
          <w:sz w:val="24"/>
          <w:szCs w:val="24"/>
          <w:highlight w:val="none"/>
        </w:rPr>
      </w:pPr>
    </w:p>
    <w:p w14:paraId="0C2282BF">
      <w:pPr>
        <w:rPr>
          <w:rFonts w:hint="eastAsia" w:ascii="宋体" w:hAnsi="宋体" w:eastAsia="宋体" w:cs="宋体"/>
          <w:color w:val="auto"/>
          <w:sz w:val="24"/>
          <w:szCs w:val="24"/>
          <w:highlight w:val="none"/>
        </w:rPr>
      </w:pPr>
    </w:p>
    <w:p w14:paraId="20C014CA">
      <w:pPr>
        <w:pStyle w:val="18"/>
        <w:rPr>
          <w:rFonts w:hint="eastAsia" w:ascii="宋体" w:hAnsi="宋体" w:eastAsia="宋体" w:cs="宋体"/>
          <w:color w:val="auto"/>
          <w:sz w:val="24"/>
          <w:szCs w:val="24"/>
          <w:highlight w:val="none"/>
        </w:rPr>
      </w:pPr>
    </w:p>
    <w:p w14:paraId="042B817B">
      <w:pPr>
        <w:rPr>
          <w:rFonts w:hint="eastAsia" w:ascii="宋体" w:hAnsi="宋体" w:eastAsia="宋体" w:cs="宋体"/>
          <w:color w:val="auto"/>
          <w:sz w:val="24"/>
          <w:szCs w:val="24"/>
          <w:highlight w:val="none"/>
        </w:rPr>
      </w:pPr>
    </w:p>
    <w:p w14:paraId="496FB092">
      <w:pPr>
        <w:pStyle w:val="3"/>
        <w:shd w:val="clear"/>
        <w:kinsoku/>
        <w:overflowPunct/>
        <w:topLinePunct w:val="0"/>
        <w:bidi w:val="0"/>
        <w:spacing w:line="500" w:lineRule="exact"/>
        <w:rPr>
          <w:rFonts w:hint="eastAsia" w:ascii="宋体" w:hAnsi="宋体" w:eastAsia="宋体" w:cs="宋体"/>
          <w:color w:val="auto"/>
          <w:sz w:val="28"/>
          <w:szCs w:val="28"/>
          <w:highlight w:val="none"/>
        </w:rPr>
      </w:pPr>
      <w:bookmarkStart w:id="4" w:name="_Toc30394"/>
      <w:bookmarkStart w:id="5" w:name="_Toc19507"/>
      <w:r>
        <w:rPr>
          <w:rFonts w:hint="eastAsia" w:ascii="宋体" w:hAnsi="宋体" w:eastAsia="宋体" w:cs="宋体"/>
          <w:color w:val="auto"/>
          <w:sz w:val="28"/>
          <w:szCs w:val="28"/>
          <w:highlight w:val="none"/>
        </w:rPr>
        <w:t>第二</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投标单位</w:t>
      </w:r>
      <w:r>
        <w:rPr>
          <w:rFonts w:hint="eastAsia" w:ascii="宋体" w:hAnsi="宋体" w:eastAsia="宋体" w:cs="宋体"/>
          <w:color w:val="auto"/>
          <w:sz w:val="28"/>
          <w:szCs w:val="28"/>
          <w:highlight w:val="none"/>
        </w:rPr>
        <w:t>须知</w:t>
      </w:r>
      <w:bookmarkEnd w:id="4"/>
      <w:bookmarkEnd w:id="5"/>
    </w:p>
    <w:p w14:paraId="68AB7142">
      <w:pPr>
        <w:pStyle w:val="46"/>
        <w:keepNext w:val="0"/>
        <w:keepLines w:val="0"/>
        <w:pageBreakBefore w:val="0"/>
        <w:widowControl w:val="0"/>
        <w:shd w:val="clear" w:color="auto"/>
        <w:kinsoku/>
        <w:wordWrap/>
        <w:overflowPunct/>
        <w:topLinePunct w:val="0"/>
        <w:autoSpaceDE/>
        <w:autoSpaceDN/>
        <w:bidi w:val="0"/>
        <w:adjustRightInd/>
        <w:snapToGrid/>
        <w:spacing w:before="0" w:after="0" w:line="500" w:lineRule="exact"/>
        <w:ind w:right="0"/>
        <w:jc w:val="center"/>
        <w:textAlignment w:val="auto"/>
        <w:rPr>
          <w:rFonts w:hint="eastAsia" w:ascii="宋体" w:hAnsi="宋体" w:eastAsia="宋体" w:cs="宋体"/>
          <w:b/>
          <w:bCs/>
          <w:color w:val="auto"/>
          <w:spacing w:val="0"/>
          <w:w w:val="100"/>
          <w:position w:val="0"/>
          <w:sz w:val="28"/>
          <w:szCs w:val="28"/>
          <w:highlight w:val="none"/>
        </w:rPr>
      </w:pPr>
      <w:r>
        <w:rPr>
          <w:rFonts w:hint="eastAsia" w:cs="宋体"/>
          <w:b/>
          <w:bCs/>
          <w:color w:val="auto"/>
          <w:spacing w:val="0"/>
          <w:w w:val="100"/>
          <w:position w:val="0"/>
          <w:sz w:val="28"/>
          <w:szCs w:val="28"/>
          <w:highlight w:val="none"/>
          <w:lang w:eastAsia="zh-CN"/>
        </w:rPr>
        <w:t>投标单位</w:t>
      </w:r>
      <w:r>
        <w:rPr>
          <w:rFonts w:hint="eastAsia" w:ascii="宋体" w:hAnsi="宋体" w:eastAsia="宋体" w:cs="宋体"/>
          <w:b/>
          <w:bCs/>
          <w:color w:val="auto"/>
          <w:spacing w:val="0"/>
          <w:w w:val="100"/>
          <w:position w:val="0"/>
          <w:sz w:val="28"/>
          <w:szCs w:val="28"/>
          <w:highlight w:val="none"/>
        </w:rPr>
        <w:t>须知前附表</w:t>
      </w:r>
    </w:p>
    <w:tbl>
      <w:tblPr>
        <w:tblStyle w:val="34"/>
        <w:tblW w:w="9803" w:type="dxa"/>
        <w:jc w:val="center"/>
        <w:tblLayout w:type="fixed"/>
        <w:tblCellMar>
          <w:top w:w="0" w:type="dxa"/>
          <w:left w:w="108" w:type="dxa"/>
          <w:bottom w:w="0" w:type="dxa"/>
          <w:right w:w="108" w:type="dxa"/>
        </w:tblCellMar>
      </w:tblPr>
      <w:tblGrid>
        <w:gridCol w:w="536"/>
        <w:gridCol w:w="1720"/>
        <w:gridCol w:w="7547"/>
      </w:tblGrid>
      <w:tr w14:paraId="40E15A1C">
        <w:tblPrEx>
          <w:tblCellMar>
            <w:top w:w="0" w:type="dxa"/>
            <w:left w:w="108" w:type="dxa"/>
            <w:bottom w:w="0" w:type="dxa"/>
            <w:right w:w="108" w:type="dxa"/>
          </w:tblCellMar>
        </w:tblPrEx>
        <w:trPr>
          <w:trHeight w:val="54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0C855FC9">
            <w:pPr>
              <w:widowControl/>
              <w:shd w:val="clear"/>
              <w:kinsoku/>
              <w:overflowPunct/>
              <w:topLinePunct w:val="0"/>
              <w:bidi w:val="0"/>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 号</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42038649">
            <w:pPr>
              <w:widowControl/>
              <w:shd w:val="clear"/>
              <w:kinsoku/>
              <w:overflowPunct/>
              <w:topLinePunct w:val="0"/>
              <w:bidi w:val="0"/>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  称</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2EA44E41">
            <w:pPr>
              <w:widowControl/>
              <w:shd w:val="clear"/>
              <w:kinsoku/>
              <w:overflowPunct/>
              <w:topLinePunct w:val="0"/>
              <w:bidi w:val="0"/>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  列  内  容</w:t>
            </w:r>
          </w:p>
        </w:tc>
      </w:tr>
      <w:tr w14:paraId="3BCE9CF7">
        <w:tblPrEx>
          <w:tblCellMar>
            <w:top w:w="0" w:type="dxa"/>
            <w:left w:w="108" w:type="dxa"/>
            <w:bottom w:w="0" w:type="dxa"/>
            <w:right w:w="108" w:type="dxa"/>
          </w:tblCellMar>
        </w:tblPrEx>
        <w:trPr>
          <w:trHeight w:val="2284"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23E5EBD9">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473C1398">
            <w:pPr>
              <w:shd w:val="clear" w:color="auto"/>
              <w:kinsoku/>
              <w:overflowPunct/>
              <w:topLinePunct w:val="0"/>
              <w:bidi w:val="0"/>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p w14:paraId="32FDAF16">
            <w:pPr>
              <w:shd w:val="clear" w:color="auto"/>
              <w:kinsoku/>
              <w:overflowPunct/>
              <w:topLinePunct w:val="0"/>
              <w:bidi w:val="0"/>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w:t>
            </w:r>
          </w:p>
          <w:p w14:paraId="4F660814">
            <w:pPr>
              <w:shd w:val="clear" w:color="auto"/>
              <w:kinsoku/>
              <w:overflowPunct/>
              <w:topLinePunct w:val="0"/>
              <w:bidi w:val="0"/>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采购内容</w:t>
            </w:r>
          </w:p>
          <w:p w14:paraId="6781F215">
            <w:pPr>
              <w:shd w:val="clear" w:color="auto"/>
              <w:kinsoku/>
              <w:overflowPunct/>
              <w:topLinePunct w:val="0"/>
              <w:bidi w:val="0"/>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1A6F381D">
            <w:pPr>
              <w:shd w:val="clear" w:color="auto"/>
              <w:kinsoku/>
              <w:overflowPunct/>
              <w:topLinePunct w:val="0"/>
              <w:bidi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项目名称：新疆和田学院16号、17号、18号宿舍楼和3号食堂建设项目”全过程跟踪审计、财务决算审核服务采购</w:t>
            </w:r>
          </w:p>
          <w:p w14:paraId="14EB0ED2">
            <w:pPr>
              <w:shd w:val="clear" w:color="auto"/>
              <w:kinsoku/>
              <w:overflowPunct/>
              <w:topLinePunct w:val="0"/>
              <w:bidi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项目编号：HLY（GK）2026-0507 </w:t>
            </w:r>
            <w:r>
              <w:rPr>
                <w:rFonts w:hint="eastAsia" w:ascii="宋体" w:hAnsi="宋体" w:eastAsia="宋体" w:cs="宋体"/>
                <w:i w:val="0"/>
                <w:iCs w:val="0"/>
                <w:caps w:val="0"/>
                <w:color w:val="auto"/>
                <w:spacing w:val="0"/>
                <w:kern w:val="0"/>
                <w:sz w:val="24"/>
                <w:szCs w:val="24"/>
                <w:highlight w:val="none"/>
                <w:lang w:val="en-US" w:eastAsia="zh-CN" w:bidi="ar"/>
              </w:rPr>
              <w:t xml:space="preserve"> </w:t>
            </w:r>
          </w:p>
          <w:p w14:paraId="67D7E036">
            <w:pPr>
              <w:shd w:val="clear" w:color="auto"/>
              <w:kinsoku/>
              <w:overflowPunct/>
              <w:topLinePunct w:val="0"/>
              <w:bidi w:val="0"/>
              <w:spacing w:line="360" w:lineRule="auto"/>
              <w:jc w:val="left"/>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服务范围：</w:t>
            </w:r>
            <w:r>
              <w:rPr>
                <w:rFonts w:hint="eastAsia" w:ascii="宋体" w:hAnsi="宋体" w:eastAsia="宋体" w:cs="宋体"/>
                <w:b w:val="0"/>
                <w:bCs w:val="0"/>
                <w:i w:val="0"/>
                <w:iCs w:val="0"/>
                <w:caps w:val="0"/>
                <w:color w:val="auto"/>
                <w:spacing w:val="0"/>
                <w:kern w:val="0"/>
                <w:sz w:val="24"/>
                <w:szCs w:val="24"/>
                <w:highlight w:val="none"/>
                <w:lang w:val="en-US" w:eastAsia="zh-CN" w:bidi="ar"/>
              </w:rPr>
              <w:t>新疆和田学院新建学生宿舍楼3栋、学生食堂1栋，配套建设排水、供热、硬化等室外附属设施，项目总建筑面积47840平方米。包括单体建筑土建施工、室外附属配套设施及设备购置等，对上述内容进行全过程跟踪审计、竣工决算审核。（详见服务需求）</w:t>
            </w:r>
          </w:p>
          <w:p w14:paraId="0DFEBEE0">
            <w:pPr>
              <w:pStyle w:val="2"/>
              <w:spacing w:line="360" w:lineRule="auto"/>
              <w:rPr>
                <w:rFonts w:hint="eastAsia" w:ascii="宋体" w:hAnsi="宋体" w:eastAsia="宋体" w:cs="宋体"/>
                <w:color w:val="auto"/>
                <w:spacing w:val="0"/>
                <w:w w:val="100"/>
                <w:position w:val="0"/>
                <w:sz w:val="24"/>
                <w:szCs w:val="24"/>
                <w:highlight w:val="none"/>
                <w:u w:val="none"/>
                <w:shd w:val="clear" w:color="auto" w:fill="auto"/>
                <w:lang w:val="en-US" w:eastAsia="zh-CN" w:bidi="en-US"/>
              </w:rPr>
            </w:pPr>
            <w:r>
              <w:rPr>
                <w:rFonts w:hint="eastAsia" w:ascii="宋体" w:hAnsi="宋体" w:eastAsia="宋体" w:cs="宋体"/>
                <w:color w:val="auto"/>
                <w:spacing w:val="0"/>
                <w:w w:val="100"/>
                <w:position w:val="0"/>
                <w:sz w:val="24"/>
                <w:szCs w:val="24"/>
                <w:highlight w:val="none"/>
                <w:u w:val="none"/>
                <w:shd w:val="clear" w:color="auto" w:fill="auto"/>
                <w:lang w:val="en-US" w:eastAsia="zh-CN" w:bidi="en-US"/>
              </w:rPr>
              <w:t>服务内容：包括但不限于：合同审查、组织材料、设备、机械等市场询价与核价、工程量清单及招标控制价审核、施工过程计量与审核、工程进度款审核、工程变更、索赔计算；竣工结算审核；财务决算审核；工程造价合理性分析；对技术人员及相关人员培训、业务指导和能力提升等与建设工程有关的</w:t>
            </w:r>
            <w:r>
              <w:rPr>
                <w:rFonts w:hint="eastAsia" w:hAnsi="宋体" w:eastAsia="宋体" w:cs="宋体"/>
                <w:color w:val="auto"/>
                <w:spacing w:val="0"/>
                <w:w w:val="100"/>
                <w:position w:val="0"/>
                <w:sz w:val="24"/>
                <w:szCs w:val="24"/>
                <w:highlight w:val="none"/>
                <w:u w:val="none"/>
                <w:shd w:val="clear" w:color="auto" w:fill="auto"/>
                <w:lang w:val="en-US" w:eastAsia="zh-CN" w:bidi="en-US"/>
              </w:rPr>
              <w:t>全过程跟踪审计</w:t>
            </w:r>
            <w:r>
              <w:rPr>
                <w:rFonts w:hint="eastAsia" w:ascii="宋体" w:hAnsi="宋体" w:eastAsia="宋体" w:cs="宋体"/>
                <w:color w:val="auto"/>
                <w:spacing w:val="0"/>
                <w:w w:val="100"/>
                <w:position w:val="0"/>
                <w:sz w:val="24"/>
                <w:szCs w:val="24"/>
                <w:highlight w:val="none"/>
                <w:u w:val="none"/>
                <w:shd w:val="clear" w:color="auto" w:fill="auto"/>
                <w:lang w:val="en-US" w:eastAsia="zh-CN" w:bidi="en-US"/>
              </w:rPr>
              <w:t xml:space="preserve">服务等。 </w:t>
            </w:r>
          </w:p>
          <w:p w14:paraId="7E776C97">
            <w:pPr>
              <w:shd w:val="clear" w:color="auto"/>
              <w:kinsoku/>
              <w:overflowPunct/>
              <w:topLinePunct w:val="0"/>
              <w:bidi w:val="0"/>
              <w:spacing w:line="360" w:lineRule="auto"/>
              <w:jc w:val="left"/>
              <w:rPr>
                <w:rFonts w:hint="eastAsia" w:ascii="宋体" w:hAnsi="宋体" w:eastAsia="宋体" w:cs="宋体"/>
                <w:color w:val="auto"/>
                <w:spacing w:val="0"/>
                <w:w w:val="100"/>
                <w:position w:val="0"/>
                <w:sz w:val="24"/>
                <w:szCs w:val="24"/>
                <w:highlight w:val="none"/>
                <w:u w:val="none"/>
                <w:shd w:val="clear" w:color="auto" w:fill="auto"/>
                <w:lang w:val="en-US" w:eastAsia="zh-CN" w:bidi="en-US"/>
              </w:rPr>
            </w:pPr>
            <w:r>
              <w:rPr>
                <w:rFonts w:hint="eastAsia" w:ascii="宋体" w:hAnsi="宋体" w:eastAsia="宋体" w:cs="宋体"/>
                <w:color w:val="auto"/>
                <w:spacing w:val="0"/>
                <w:w w:val="100"/>
                <w:position w:val="0"/>
                <w:sz w:val="24"/>
                <w:szCs w:val="24"/>
                <w:highlight w:val="none"/>
                <w:u w:val="none"/>
                <w:shd w:val="clear" w:color="auto" w:fill="auto"/>
                <w:lang w:val="en-US" w:eastAsia="zh-CN" w:bidi="en-US"/>
              </w:rPr>
              <w:t>服务期限：自签订合同之日起至竣工决算审核工作完成。</w:t>
            </w:r>
          </w:p>
          <w:p w14:paraId="462F42B8">
            <w:pPr>
              <w:shd w:val="clear" w:color="auto"/>
              <w:kinsoku/>
              <w:overflowPunct/>
              <w:topLinePunct w:val="0"/>
              <w:bidi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color w:val="auto"/>
                <w:spacing w:val="0"/>
                <w:w w:val="100"/>
                <w:position w:val="0"/>
                <w:sz w:val="24"/>
                <w:szCs w:val="24"/>
                <w:highlight w:val="none"/>
                <w:u w:val="none"/>
                <w:shd w:val="clear" w:color="auto" w:fill="auto"/>
                <w:lang w:val="en-US" w:eastAsia="zh-CN" w:bidi="en-US"/>
              </w:rPr>
              <w:t>质量标准：符合现行国家相关法律法规、标</w:t>
            </w:r>
            <w:r>
              <w:rPr>
                <w:rFonts w:hint="eastAsia" w:ascii="宋体" w:hAnsi="宋体" w:eastAsia="宋体" w:cs="宋体"/>
                <w:color w:val="auto"/>
                <w:sz w:val="24"/>
                <w:szCs w:val="24"/>
                <w:highlight w:val="none"/>
                <w:lang w:val="en-US" w:eastAsia="zh-CN"/>
              </w:rPr>
              <w:t>准和规范等，成果资料完整、真实准确、依据清晰。审计成果资料，达到招标人使用要求，服务工作优质高效。</w:t>
            </w:r>
          </w:p>
        </w:tc>
      </w:tr>
      <w:tr w14:paraId="2C7DAF5E">
        <w:tblPrEx>
          <w:tblCellMar>
            <w:top w:w="0" w:type="dxa"/>
            <w:left w:w="108" w:type="dxa"/>
            <w:bottom w:w="0" w:type="dxa"/>
            <w:right w:w="108" w:type="dxa"/>
          </w:tblCellMar>
        </w:tblPrEx>
        <w:trPr>
          <w:trHeight w:val="851"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5850E281">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38451702">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招标人信息</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27620187">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名  称：新疆和田学院</w:t>
            </w:r>
          </w:p>
          <w:p w14:paraId="53F89CC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bidi w:val="0"/>
              <w:spacing w:before="0" w:beforeAutospacing="0" w:after="0" w:afterAutospacing="0" w:line="500" w:lineRule="exact"/>
              <w:ind w:right="0"/>
              <w:jc w:val="left"/>
              <w:rPr>
                <w:rFonts w:hint="default"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联 系 人：孙老师</w:t>
            </w:r>
          </w:p>
          <w:p w14:paraId="24CE4C2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bidi w:val="0"/>
              <w:spacing w:before="0" w:beforeAutospacing="0" w:after="0" w:afterAutospacing="0" w:line="500" w:lineRule="exact"/>
              <w:ind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kern w:val="0"/>
                <w:sz w:val="24"/>
                <w:szCs w:val="24"/>
                <w:highlight w:val="none"/>
                <w:lang w:val="en-US" w:eastAsia="zh-CN" w:bidi="ar"/>
              </w:rPr>
              <w:t>联系电话：0903-6733232</w:t>
            </w:r>
          </w:p>
        </w:tc>
      </w:tr>
      <w:tr w14:paraId="199BA1B0">
        <w:tblPrEx>
          <w:tblCellMar>
            <w:top w:w="0" w:type="dxa"/>
            <w:left w:w="108" w:type="dxa"/>
            <w:bottom w:w="0" w:type="dxa"/>
            <w:right w:w="108" w:type="dxa"/>
          </w:tblCellMar>
        </w:tblPrEx>
        <w:trPr>
          <w:trHeight w:val="1319"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14D54B08">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3C5F5773">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招标代理机构</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73C08984">
            <w:pPr>
              <w:shd w:val="clear" w:color="auto"/>
              <w:kinsoku/>
              <w:overflowPunct/>
              <w:topLinePunct w:val="0"/>
              <w:bidi w:val="0"/>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名  称：新疆宏力源工程项目管理有限公司</w:t>
            </w:r>
          </w:p>
          <w:p w14:paraId="5DC6A5F3">
            <w:pPr>
              <w:shd w:val="clear" w:color="auto"/>
              <w:kinsoku/>
              <w:overflowPunct/>
              <w:topLinePunct w:val="0"/>
              <w:bidi w:val="0"/>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  址：新疆乌鲁木齐高新区（新市区）四平路266号科创花苑B3办公1501室</w:t>
            </w:r>
          </w:p>
          <w:p w14:paraId="51081252">
            <w:pPr>
              <w:shd w:val="clear" w:color="auto"/>
              <w:kinsoku/>
              <w:overflowPunct/>
              <w:topLinePunct w:val="0"/>
              <w:bidi w:val="0"/>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联系人：</w:t>
            </w:r>
            <w:r>
              <w:rPr>
                <w:rFonts w:hint="eastAsia" w:ascii="宋体" w:hAnsi="宋体" w:eastAsia="宋体" w:cs="宋体"/>
                <w:i w:val="0"/>
                <w:iCs w:val="0"/>
                <w:caps w:val="0"/>
                <w:color w:val="auto"/>
                <w:spacing w:val="0"/>
                <w:kern w:val="0"/>
                <w:sz w:val="24"/>
                <w:szCs w:val="24"/>
                <w:highlight w:val="none"/>
                <w:lang w:val="en-US" w:eastAsia="zh-CN" w:bidi="ar"/>
              </w:rPr>
              <w:t>李曌、张阳、石龙彦</w:t>
            </w:r>
            <w:r>
              <w:rPr>
                <w:rFonts w:hint="eastAsia" w:ascii="宋体" w:hAnsi="宋体" w:eastAsia="宋体" w:cs="宋体"/>
                <w:b w:val="0"/>
                <w:bCs w:val="0"/>
                <w:color w:val="auto"/>
                <w:sz w:val="24"/>
                <w:szCs w:val="24"/>
                <w:highlight w:val="none"/>
                <w:lang w:val="en-US" w:eastAsia="zh-CN"/>
              </w:rPr>
              <w:t xml:space="preserve">       电  话：18130901230、0991-3193331</w:t>
            </w:r>
          </w:p>
        </w:tc>
      </w:tr>
      <w:tr w14:paraId="6CDCE7FB">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6F794D5B">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0395F263">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服务地点</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7FF0203A">
            <w:pPr>
              <w:pStyle w:val="11"/>
              <w:spacing w:line="360" w:lineRule="auto"/>
              <w:rPr>
                <w:rFonts w:hint="eastAsia" w:ascii="宋体" w:hAnsi="宋体" w:eastAsia="宋体" w:cs="宋体"/>
                <w:b w:val="0"/>
                <w:bCs w:val="0"/>
                <w:color w:val="auto"/>
                <w:sz w:val="24"/>
                <w:szCs w:val="24"/>
                <w:highlight w:val="none"/>
                <w:lang w:val="en-US" w:eastAsia="zh-CN"/>
              </w:rPr>
            </w:pPr>
            <w:r>
              <w:rPr>
                <w:rFonts w:hint="eastAsia" w:eastAsia="宋体"/>
                <w:lang w:val="en-US" w:eastAsia="zh-CN"/>
              </w:rPr>
              <w:t>新疆和田学院新校区</w:t>
            </w:r>
          </w:p>
        </w:tc>
      </w:tr>
      <w:tr w14:paraId="29B8B920">
        <w:tblPrEx>
          <w:tblCellMar>
            <w:top w:w="0" w:type="dxa"/>
            <w:left w:w="108" w:type="dxa"/>
            <w:bottom w:w="0" w:type="dxa"/>
            <w:right w:w="108" w:type="dxa"/>
          </w:tblCellMar>
        </w:tblPrEx>
        <w:trPr>
          <w:trHeight w:val="404"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4FFA375E">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410D4F23">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资格要求</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5126BE0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360" w:lineRule="auto"/>
              <w:ind w:left="0" w:leftChars="0" w:right="0" w:firstLine="480" w:firstLineChars="200"/>
              <w:jc w:val="left"/>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满足《中华人民共和国政府采购法》第二十二条规定；</w:t>
            </w:r>
          </w:p>
          <w:p w14:paraId="6B46FBFE">
            <w:pPr>
              <w:pStyle w:val="90"/>
              <w:spacing w:line="360" w:lineRule="auto"/>
              <w:ind w:left="0" w:leftChars="0" w:firstLine="480" w:firstLineChars="200"/>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pP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（1）具有独立承担民事责任的能力的投标人（提供合法有效的营业执照复印件/扫描件，并加盖单位公章）；</w:t>
            </w:r>
          </w:p>
          <w:p w14:paraId="520EC284">
            <w:pPr>
              <w:pStyle w:val="90"/>
              <w:spacing w:line="360" w:lineRule="auto"/>
              <w:ind w:left="0" w:leftChars="0" w:firstLine="480" w:firstLineChars="200"/>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pP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（2）具有良好的商业信誉和健全的财务会计制度（提供2025年度财务审计报告，</w:t>
            </w:r>
            <w:r>
              <w:rPr>
                <w:rFonts w:hint="eastAsia" w:ascii="宋体" w:hAnsi="宋体" w:eastAsia="宋体" w:cs="Times New Roman"/>
                <w:color w:val="000000"/>
                <w:sz w:val="24"/>
                <w:szCs w:val="24"/>
                <w:highlight w:val="none"/>
                <w:lang w:val="en-US" w:eastAsia="zh-CN"/>
              </w:rPr>
              <w:t>包括资产负债表、现金流量表、损益表和财务报表附注。</w:t>
            </w: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新成立不满一年的单位需提供基本开户银行出具的资信证明)；</w:t>
            </w:r>
          </w:p>
          <w:p w14:paraId="3385F41D">
            <w:pPr>
              <w:pStyle w:val="90"/>
              <w:spacing w:line="360" w:lineRule="auto"/>
              <w:ind w:left="0" w:leftChars="0" w:firstLine="480" w:firstLineChars="200"/>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pP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（3）具有履行合同所必需的设备和专业技术能力（提供承诺函，加盖单位公章）；</w:t>
            </w:r>
          </w:p>
          <w:p w14:paraId="3AC9D105">
            <w:pPr>
              <w:pStyle w:val="90"/>
              <w:spacing w:line="360" w:lineRule="auto"/>
              <w:ind w:left="0" w:leftChars="0" w:firstLine="480" w:firstLineChars="200"/>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pP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（4）有依法缴纳税收和社会保障资金的良好记录（提供本企业近一年内任意3个月完税证明及缴纳社保记录）；</w:t>
            </w:r>
          </w:p>
          <w:p w14:paraId="2BB62487">
            <w:pPr>
              <w:pStyle w:val="90"/>
              <w:spacing w:line="360" w:lineRule="auto"/>
              <w:ind w:left="0" w:leftChars="0" w:firstLine="480" w:firstLineChars="200"/>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pP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（5）参加本次采购活动前三年内，在经营活动中没有重大违法记录；（提供承诺函，加盖单位公章）</w:t>
            </w:r>
          </w:p>
          <w:p w14:paraId="399CF270">
            <w:pPr>
              <w:pStyle w:val="2"/>
              <w:numPr>
                <w:ilvl w:val="0"/>
                <w:numId w:val="0"/>
              </w:numPr>
              <w:spacing w:line="360" w:lineRule="auto"/>
              <w:ind w:left="0" w:leftChars="0" w:right="0" w:rightChars="0" w:firstLine="480" w:firstLineChars="200"/>
              <w:rPr>
                <w:rFonts w:hint="eastAsia"/>
                <w:highlight w:val="none"/>
                <w:lang w:val="en-US" w:eastAsia="zh-CN"/>
              </w:rPr>
            </w:pP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（6）法律、行政法规规定的其他条件。（提供承诺函，加盖单位公章）</w:t>
            </w:r>
          </w:p>
          <w:p w14:paraId="1AB1DE5B">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360" w:lineRule="auto"/>
              <w:ind w:left="0" w:right="0" w:firstLine="480" w:firstLineChars="200"/>
              <w:jc w:val="left"/>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2、落实政府采购政策需满足的资格要求：根据《政府采购促进中小企业发展暂行办法》(财库(2020)46号)的规定，本项目专门面向中小企业采购;</w:t>
            </w:r>
          </w:p>
          <w:p w14:paraId="729DDFA7">
            <w:pPr>
              <w:keepNext w:val="0"/>
              <w:keepLines w:val="0"/>
              <w:widowControl/>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360" w:lineRule="auto"/>
              <w:ind w:left="0" w:right="0" w:firstLine="480" w:firstLineChars="200"/>
              <w:jc w:val="left"/>
              <w:rPr>
                <w:rFonts w:hint="eastAsia" w:ascii="宋体" w:hAnsi="宋体" w:eastAsia="宋体" w:cs="宋体"/>
                <w:b w:val="0"/>
                <w:bCs w:val="0"/>
                <w:i w:val="0"/>
                <w:iCs w:val="0"/>
                <w:caps w:val="0"/>
                <w:color w:val="auto"/>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highlight w:val="none"/>
                <w:lang w:val="en-US" w:eastAsia="zh-CN" w:bidi="ar"/>
              </w:rPr>
              <w:t>3.本项目的特定资格要求：</w:t>
            </w:r>
          </w:p>
          <w:p w14:paraId="1AC482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autoSpaceDE/>
              <w:autoSpaceDN/>
              <w:bidi w:val="0"/>
              <w:adjustRightInd w:val="0"/>
              <w:snapToGrid w:val="0"/>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pP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（1）投标人须具有主管部门颁发有效的会计师事务所执业资格证书；</w:t>
            </w:r>
          </w:p>
          <w:p w14:paraId="00EB73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autoSpaceDE/>
              <w:autoSpaceDN/>
              <w:bidi w:val="0"/>
              <w:adjustRightInd w:val="0"/>
              <w:snapToGrid w:val="0"/>
              <w:spacing w:before="0" w:beforeAutospacing="0" w:after="0" w:afterAutospacing="0" w:line="500" w:lineRule="exact"/>
              <w:ind w:left="0" w:right="0" w:firstLine="480" w:firstLineChars="200"/>
              <w:jc w:val="left"/>
              <w:textAlignment w:val="auto"/>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pP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2）投标人须是在“信用中国”（www.creditchina.gov.cn）和中国政府采购网（www.ccgp.gov.cn）网站上未被列入失信被执行人、重大税收违法案件当事人名单以及政府采购严重违法失信行为记录名单；查询时间（须自招标公告发布之日起至首次提交投标文件截止时间内）</w:t>
            </w:r>
          </w:p>
          <w:p w14:paraId="32B9E1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autoSpaceDE/>
              <w:autoSpaceDN/>
              <w:bidi w:val="0"/>
              <w:adjustRightInd w:val="0"/>
              <w:snapToGrid w:val="0"/>
              <w:spacing w:before="0" w:beforeAutospacing="0" w:after="0" w:afterAutospacing="0" w:line="500" w:lineRule="exact"/>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3）本项目接受联合体投标（联合体组成单位不得超过两家），联合体以工程造价咨询服务机构为牵头单位，与另一联合体成员（会计师事务所）签署联合体协议（须提供联合体协议书原件），联合体协议书需明确牵头单位、双方权利、义务和责任。联合体各方签订共同投标协议后，不得再以自己的名义单独投标，也不得组成新的联合体或参加其他联合体在同项目中投标。</w:t>
            </w:r>
          </w:p>
        </w:tc>
      </w:tr>
      <w:tr w14:paraId="153454E6">
        <w:tblPrEx>
          <w:tblCellMar>
            <w:top w:w="0" w:type="dxa"/>
            <w:left w:w="108" w:type="dxa"/>
            <w:bottom w:w="0" w:type="dxa"/>
            <w:right w:w="108" w:type="dxa"/>
          </w:tblCellMar>
        </w:tblPrEx>
        <w:trPr>
          <w:trHeight w:val="426"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1EC22C9D">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758F1CF2">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资金来源</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7256FFA4">
            <w:pPr>
              <w:shd w:val="clear" w:color="auto"/>
              <w:kinsoku/>
              <w:overflowPunct/>
              <w:topLinePunct w:val="0"/>
              <w:bidi w:val="0"/>
              <w:spacing w:line="500" w:lineRule="exact"/>
              <w:jc w:val="left"/>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自筹资金、超长期特别国债</w:t>
            </w:r>
            <w:r>
              <w:rPr>
                <w:rFonts w:hint="eastAsia" w:ascii="宋体" w:hAnsi="宋体" w:eastAsia="宋体" w:cs="宋体"/>
                <w:b w:val="0"/>
                <w:bCs w:val="0"/>
                <w:color w:val="auto"/>
                <w:sz w:val="24"/>
                <w:szCs w:val="24"/>
                <w:highlight w:val="none"/>
                <w:lang w:val="en-US" w:eastAsia="zh-CN"/>
              </w:rPr>
              <w:t>资金等</w:t>
            </w:r>
          </w:p>
        </w:tc>
      </w:tr>
      <w:tr w14:paraId="03B78471">
        <w:tblPrEx>
          <w:tblCellMar>
            <w:top w:w="0" w:type="dxa"/>
            <w:left w:w="108" w:type="dxa"/>
            <w:bottom w:w="0" w:type="dxa"/>
            <w:right w:w="108" w:type="dxa"/>
          </w:tblCellMar>
        </w:tblPrEx>
        <w:trPr>
          <w:trHeight w:val="415"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447AB41A">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7394B1C8">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招标方式</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243AF272">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公开招标</w:t>
            </w:r>
          </w:p>
        </w:tc>
      </w:tr>
      <w:tr w14:paraId="57E0BC9E">
        <w:tblPrEx>
          <w:tblCellMar>
            <w:top w:w="0" w:type="dxa"/>
            <w:left w:w="108" w:type="dxa"/>
            <w:bottom w:w="0" w:type="dxa"/>
            <w:right w:w="108" w:type="dxa"/>
          </w:tblCellMar>
        </w:tblPrEx>
        <w:trPr>
          <w:trHeight w:val="697"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18D2B188">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6E0E5082">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投标单位信用查询</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6FA68097">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1、查询渠道：信用中国（网址：http://www.creditchina.gov.cn）、中国政府采购网(网址：http://www.ccgp.gov.cn）。</w:t>
            </w:r>
          </w:p>
          <w:p w14:paraId="49D6034B">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2、截止时点：评标前。</w:t>
            </w:r>
          </w:p>
          <w:p w14:paraId="4C20E149">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3、信用信息查询记录和证据留存的具体方式：由采购组织机构在规定查询时间内打印信用信息查询记录并归入项目档案。</w:t>
            </w:r>
          </w:p>
          <w:p w14:paraId="360F4244">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使用规则：对列入失信被执行人、重大税收违法失信主体名单、政府采购严重违法失信行为记录名单及其他不符合《中华人民共和国政府采购法》第二十二条规定条件的投标单位，将被拒绝其参与政府采购活动。联合体成员任意一方存在不良信用记录的，视同联合体存在不良信用记录。</w:t>
            </w:r>
          </w:p>
        </w:tc>
      </w:tr>
      <w:tr w14:paraId="514F068A">
        <w:tblPrEx>
          <w:tblCellMar>
            <w:top w:w="0" w:type="dxa"/>
            <w:left w:w="108" w:type="dxa"/>
            <w:bottom w:w="0" w:type="dxa"/>
            <w:right w:w="108" w:type="dxa"/>
          </w:tblCellMar>
        </w:tblPrEx>
        <w:trPr>
          <w:trHeight w:val="851"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196CB162">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75841E67">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是否接受联合体投标</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4992EEF2">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□不接受</w:t>
            </w:r>
          </w:p>
          <w:p w14:paraId="2E40343C">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☑接  受</w:t>
            </w:r>
          </w:p>
        </w:tc>
      </w:tr>
      <w:tr w14:paraId="27DE0E8F">
        <w:tblPrEx>
          <w:tblCellMar>
            <w:top w:w="0" w:type="dxa"/>
            <w:left w:w="108" w:type="dxa"/>
            <w:bottom w:w="0" w:type="dxa"/>
            <w:right w:w="108" w:type="dxa"/>
          </w:tblCellMar>
        </w:tblPrEx>
        <w:trPr>
          <w:trHeight w:val="28"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754A740B">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6BD2FDF8">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投标截止时间 （开标时间）</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724F8011">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截止时间：2026年06月30日11时00分（北京时间）</w:t>
            </w:r>
          </w:p>
        </w:tc>
      </w:tr>
      <w:tr w14:paraId="2622F01D">
        <w:tblPrEx>
          <w:tblCellMar>
            <w:top w:w="0" w:type="dxa"/>
            <w:left w:w="108" w:type="dxa"/>
            <w:bottom w:w="0" w:type="dxa"/>
            <w:right w:w="108" w:type="dxa"/>
          </w:tblCellMar>
        </w:tblPrEx>
        <w:trPr>
          <w:trHeight w:val="30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7D470778">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6EAB716F">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投标有效期</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72FC253D">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60天</w:t>
            </w:r>
          </w:p>
        </w:tc>
      </w:tr>
      <w:tr w14:paraId="34D384BE">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700BEAA7">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18C72919">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投标保证金</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4270F56E">
            <w:pPr>
              <w:shd w:val="clear" w:color="auto"/>
              <w:kinsoku/>
              <w:overflowPunct/>
              <w:topLinePunct w:val="0"/>
              <w:bidi w:val="0"/>
              <w:spacing w:line="500" w:lineRule="exact"/>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投标保证金的金额：12000元 </w:t>
            </w:r>
          </w:p>
          <w:p w14:paraId="29C88D35">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yellow"/>
                <w:lang w:val="en-US" w:eastAsia="zh-CN"/>
              </w:rPr>
            </w:pPr>
            <w:r>
              <w:rPr>
                <w:rFonts w:hint="eastAsia" w:ascii="宋体" w:hAnsi="宋体" w:eastAsia="宋体" w:cs="宋体"/>
                <w:b w:val="0"/>
                <w:bCs w:val="0"/>
                <w:color w:val="auto"/>
                <w:sz w:val="24"/>
                <w:szCs w:val="24"/>
                <w:highlight w:val="none"/>
                <w:lang w:val="en-US" w:eastAsia="zh-CN"/>
              </w:rPr>
              <w:t>到账截止时间：2026年06月30日11：00(北京时间)</w:t>
            </w:r>
          </w:p>
          <w:p w14:paraId="128D17B5">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保证金的提交：投标保证金的形式：投标保证金需以电汇、转账、支票、汇票、本票或者金融机构、担保机构出具的保函等非现金形式提交。投标保证金于投标截止时间（开标时间）之前缴纳并到账，必须从投标人基本账户支出。</w:t>
            </w:r>
          </w:p>
          <w:p w14:paraId="4529E860">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保证金采用银行转账方式的应从投标单位的基本账户汇入下面招标人指定的开户银行账户。投标单位应充分考虑资金到账时间，在规定的时限前自行办妥投标保证金缴纳手续，投标保证金的缴付时间以电汇凭证和网银对账单上的时间为准，超过缴纳的时限缴纳投标保证金视为报名无效。投标保证金采用电汇或网银转账的方式，由投标单位基本账户汇至新疆宏力源工程项目管理有限公司</w:t>
            </w:r>
          </w:p>
          <w:p w14:paraId="32282C72">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账户单位:新疆宏力源工程项目管理有限公司；</w:t>
            </w:r>
          </w:p>
          <w:p w14:paraId="58977799">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开户行名称:中国建设银行股份有限公司乌鲁木齐黄河路支行；</w:t>
            </w:r>
          </w:p>
          <w:p w14:paraId="15F8E278">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账号:65050161625000000586；</w:t>
            </w:r>
          </w:p>
          <w:p w14:paraId="0F9AAA46">
            <w:pPr>
              <w:shd w:val="clear" w:color="auto"/>
              <w:kinsoku/>
              <w:overflowPunct/>
              <w:topLinePunct w:val="0"/>
              <w:bidi w:val="0"/>
              <w:spacing w:line="500" w:lineRule="exact"/>
              <w:jc w:val="left"/>
              <w:rPr>
                <w:rFonts w:hint="eastAsia" w:ascii="仿宋" w:hAnsi="仿宋" w:eastAsia="仿宋" w:cs="仿宋"/>
                <w:color w:val="auto"/>
                <w:sz w:val="24"/>
                <w:szCs w:val="24"/>
                <w:lang w:val="en-US" w:eastAsia="zh-CN"/>
              </w:rPr>
            </w:pPr>
            <w:r>
              <w:rPr>
                <w:rFonts w:hint="eastAsia" w:ascii="宋体" w:hAnsi="宋体" w:eastAsia="宋体" w:cs="宋体"/>
                <w:b w:val="0"/>
                <w:bCs w:val="0"/>
                <w:color w:val="auto"/>
                <w:sz w:val="24"/>
                <w:szCs w:val="24"/>
                <w:highlight w:val="none"/>
                <w:lang w:val="en-US" w:eastAsia="zh-CN"/>
              </w:rPr>
              <w:t>开户行行号:</w:t>
            </w:r>
            <w:r>
              <w:rPr>
                <w:rFonts w:hint="eastAsia" w:ascii="仿宋" w:hAnsi="仿宋" w:eastAsia="仿宋" w:cs="仿宋"/>
                <w:color w:val="auto"/>
                <w:sz w:val="24"/>
                <w:szCs w:val="24"/>
                <w:lang w:val="en-US" w:eastAsia="zh-CN"/>
              </w:rPr>
              <w:t>105881000212</w:t>
            </w:r>
          </w:p>
          <w:p w14:paraId="240CA6E6">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不得以现金和其他形式缴纳，不得以分公司、办事处或其他机构名义缴纳，投标单位在缴纳投标保证金时，需在进账凭证上明确资金用途和投标项目名称，并注明联系人及电话，以便查对核实。</w:t>
            </w:r>
          </w:p>
          <w:p w14:paraId="0B637624">
            <w:pPr>
              <w:pStyle w:val="22"/>
              <w:jc w:val="left"/>
              <w:rPr>
                <w:rFonts w:hint="eastAsia"/>
                <w:b/>
                <w:bCs/>
                <w:color w:val="auto"/>
                <w:lang w:val="en-US" w:eastAsia="zh-CN"/>
              </w:rPr>
            </w:pPr>
            <w:r>
              <w:rPr>
                <w:rFonts w:hint="eastAsia"/>
                <w:b/>
                <w:bCs/>
                <w:color w:val="auto"/>
                <w:lang w:val="en-US" w:eastAsia="zh-CN"/>
              </w:rPr>
              <w:t>联合体投标的由联合体牵头单位缴纳。</w:t>
            </w:r>
          </w:p>
          <w:p w14:paraId="33DAED6D">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在退还保证金时需携带以下资料：</w:t>
            </w:r>
          </w:p>
          <w:p w14:paraId="26B6FFF7">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①请贵公司开具对开收据（原件），内容为：收到新疆宏力源工程项目管理有限公司XXXXXXXX项目保证金，金额写清楚，并加盖财务章；②公司开户许可证（复印件盖公章）</w:t>
            </w:r>
          </w:p>
          <w:p w14:paraId="179445C3">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金融机构、担保机构出具的保函，投标人在开具保函时，保函需注明项目名称及单位名称，保函的有效期不得少于投标有效期，担保金额不得少于投标保证金金额。</w:t>
            </w:r>
          </w:p>
          <w:p w14:paraId="0F23D06E">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银行保函、保险保函形式缴纳的投标保证金按协议执行，无需办理退款手续。      </w:t>
            </w:r>
          </w:p>
        </w:tc>
      </w:tr>
      <w:tr w14:paraId="3B9F37E8">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6AB0FF14">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5DAE5A1D">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是否允许递交备选投标方案</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642AC238">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■不允许</w:t>
            </w:r>
          </w:p>
          <w:p w14:paraId="0793C409">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□允  许</w:t>
            </w:r>
          </w:p>
        </w:tc>
      </w:tr>
      <w:tr w14:paraId="073E950B">
        <w:tblPrEx>
          <w:tblCellMar>
            <w:top w:w="0" w:type="dxa"/>
            <w:left w:w="108" w:type="dxa"/>
            <w:bottom w:w="0" w:type="dxa"/>
            <w:right w:w="108" w:type="dxa"/>
          </w:tblCellMar>
        </w:tblPrEx>
        <w:trPr>
          <w:trHeight w:val="67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0D773E59">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7AD2AF6F">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招标文件获取</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4093F513">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时间</w:t>
            </w:r>
            <w:r>
              <w:rPr>
                <w:rFonts w:hint="eastAsia" w:ascii="宋体" w:hAnsi="宋体" w:eastAsia="宋体" w:cs="宋体"/>
                <w:i w:val="0"/>
                <w:iCs w:val="0"/>
                <w:caps w:val="0"/>
                <w:color w:val="auto"/>
                <w:spacing w:val="0"/>
                <w:kern w:val="0"/>
                <w:sz w:val="24"/>
                <w:szCs w:val="24"/>
                <w:highlight w:val="none"/>
                <w:lang w:val="en-US" w:eastAsia="zh-CN" w:bidi="ar"/>
              </w:rPr>
              <w:t>：2026年06月05日至2026年06月12日，每天上午00：00至14：00，下午14：00至23：59</w:t>
            </w:r>
            <w:r>
              <w:rPr>
                <w:rFonts w:hint="eastAsia" w:ascii="宋体" w:hAnsi="宋体" w:eastAsia="宋体" w:cs="宋体"/>
                <w:b w:val="0"/>
                <w:bCs w:val="0"/>
                <w:color w:val="auto"/>
                <w:sz w:val="24"/>
                <w:szCs w:val="24"/>
                <w:highlight w:val="none"/>
                <w:lang w:val="en-US" w:eastAsia="zh-CN"/>
              </w:rPr>
              <w:t>（北京时间，节假日除外）</w:t>
            </w:r>
          </w:p>
          <w:p w14:paraId="058A8ACB">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地点：投标单位登录政采云平台http://www.zcygov.cn/，在线申请获取招标文件 （登录政府采购云平台 → 项目采购 → 获取招标文件 →申请，审核通过后可下载招标文件 ，如有操作性问题，可与政采云在线客服进行咨询，咨询电话：95763）。</w:t>
            </w:r>
          </w:p>
          <w:p w14:paraId="154AC29B">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方式：（1）线上获取（登录政府采购云平台 → 项目采购 → 获取招标文件 → 申请，审核通过后可下载招标文件 ）。本次招标不提供纸质版招标文件 。</w:t>
            </w:r>
          </w:p>
          <w:p w14:paraId="32AEA924">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（2）投标单位获取招标文件前应注册成为政府采购云平台正式投标单位。</w:t>
            </w:r>
          </w:p>
        </w:tc>
      </w:tr>
      <w:tr w14:paraId="471AF283">
        <w:tblPrEx>
          <w:tblCellMar>
            <w:top w:w="0" w:type="dxa"/>
            <w:left w:w="108" w:type="dxa"/>
            <w:bottom w:w="0" w:type="dxa"/>
            <w:right w:w="108" w:type="dxa"/>
          </w:tblCellMar>
        </w:tblPrEx>
        <w:trPr>
          <w:trHeight w:val="67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194125AF">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66C90CBF">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投标文件形式</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4A174D47">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电子投标文件包括“电子加密投标文件”和“备份投标文件”，在投标文件编制完成后同时生成。</w:t>
            </w:r>
          </w:p>
          <w:p w14:paraId="13795F93">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1、“电子加密投标文件”是指通过“政采云电子交易客户端”完成投标文件编制后生成并加密的数据电文形式的投标文件。</w:t>
            </w:r>
          </w:p>
          <w:p w14:paraId="1C320040">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2、“备份投标文件”是指与“电子加密投标文件”同时生成的数据电文形式的电子文件（备份标书，用于投标单位标书解密异常时应急使用），其他方式编制的备份投标文件视为无效备份投标文件。</w:t>
            </w:r>
          </w:p>
        </w:tc>
      </w:tr>
      <w:tr w14:paraId="46AF64FF">
        <w:tblPrEx>
          <w:tblCellMar>
            <w:top w:w="0" w:type="dxa"/>
            <w:left w:w="108" w:type="dxa"/>
            <w:bottom w:w="0" w:type="dxa"/>
            <w:right w:w="108" w:type="dxa"/>
          </w:tblCellMar>
        </w:tblPrEx>
        <w:trPr>
          <w:trHeight w:val="731"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7676E573">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01863B04">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投标文件份数及要求</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765D9509">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待开标结束后，排名第一的企业请按照此文件格式要求提供纸质投标文件两份，电子U盘1份至新疆宏力源工程项目管理有限公司（</w:t>
            </w:r>
            <w:r>
              <w:rPr>
                <w:rFonts w:hint="eastAsia" w:cs="宋体"/>
                <w:color w:val="auto"/>
                <w:sz w:val="24"/>
                <w:szCs w:val="24"/>
                <w:highlight w:val="none"/>
                <w:lang w:val="en-US" w:eastAsia="zh-CN"/>
              </w:rPr>
              <w:t>新疆乌鲁木齐高新区（新市区）四平路266号科创花苑B3办公1501室</w:t>
            </w:r>
            <w:r>
              <w:rPr>
                <w:rFonts w:hint="eastAsia" w:ascii="宋体" w:hAnsi="宋体" w:eastAsia="宋体" w:cs="宋体"/>
                <w:b w:val="0"/>
                <w:bCs w:val="0"/>
                <w:color w:val="auto"/>
                <w:sz w:val="24"/>
                <w:szCs w:val="24"/>
                <w:highlight w:val="none"/>
                <w:lang w:val="en-US" w:eastAsia="zh-CN"/>
              </w:rPr>
              <w:t>）。</w:t>
            </w:r>
          </w:p>
          <w:p w14:paraId="73F62F1E">
            <w:pPr>
              <w:shd w:val="clear" w:color="auto"/>
              <w:kinsoku/>
              <w:overflowPunct/>
              <w:topLinePunct w:val="0"/>
              <w:bidi w:val="0"/>
              <w:spacing w:line="500" w:lineRule="exact"/>
              <w:jc w:val="left"/>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装订形式：不得采用活页、拉杆等形式，必须采用胶装。</w:t>
            </w:r>
          </w:p>
        </w:tc>
      </w:tr>
      <w:tr w14:paraId="6B0C3002">
        <w:tblPrEx>
          <w:tblCellMar>
            <w:top w:w="0" w:type="dxa"/>
            <w:left w:w="108" w:type="dxa"/>
            <w:bottom w:w="0" w:type="dxa"/>
            <w:right w:w="108" w:type="dxa"/>
          </w:tblCellMar>
        </w:tblPrEx>
        <w:trPr>
          <w:trHeight w:val="3610" w:hRule="atLeast"/>
          <w:jc w:val="center"/>
        </w:trPr>
        <w:tc>
          <w:tcPr>
            <w:tcW w:w="536" w:type="dxa"/>
            <w:tcBorders>
              <w:top w:val="single" w:color="auto" w:sz="4" w:space="0"/>
              <w:left w:val="single" w:color="auto" w:sz="4" w:space="0"/>
              <w:right w:val="single" w:color="auto" w:sz="4" w:space="0"/>
            </w:tcBorders>
            <w:noWrap w:val="0"/>
            <w:vAlign w:val="center"/>
          </w:tcPr>
          <w:p w14:paraId="5888A9E7">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w:t>
            </w:r>
          </w:p>
        </w:tc>
        <w:tc>
          <w:tcPr>
            <w:tcW w:w="1720" w:type="dxa"/>
            <w:tcBorders>
              <w:top w:val="single" w:color="auto" w:sz="4" w:space="0"/>
              <w:left w:val="single" w:color="auto" w:sz="4" w:space="0"/>
              <w:right w:val="single" w:color="auto" w:sz="4" w:space="0"/>
            </w:tcBorders>
            <w:noWrap w:val="0"/>
            <w:vAlign w:val="center"/>
          </w:tcPr>
          <w:p w14:paraId="4DA221F3">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投标文件的上传和递交</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5730B006">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1.电子加密投标文件：投标文件制作完成并生成加密标书，在投标截止时间前，投标单位需将加密的投标文件上传至政采云平台，在开标时间开始后，待采购组织机构发出解密通知后30分钟内解密投标文件。</w:t>
            </w:r>
          </w:p>
          <w:p w14:paraId="2E24F6AF">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a.投标单位未能在投标截止时间前成功上传电子加密投标文件的投标无效。</w:t>
            </w:r>
          </w:p>
          <w:p w14:paraId="08517550">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b.投标单位成功上传电子加密投标文件后，可自行打印投标文件接收回执。</w:t>
            </w:r>
          </w:p>
        </w:tc>
      </w:tr>
      <w:tr w14:paraId="71AA22F9">
        <w:tblPrEx>
          <w:tblCellMar>
            <w:top w:w="0" w:type="dxa"/>
            <w:left w:w="108" w:type="dxa"/>
            <w:bottom w:w="0" w:type="dxa"/>
            <w:right w:w="108" w:type="dxa"/>
          </w:tblCellMar>
        </w:tblPrEx>
        <w:trPr>
          <w:trHeight w:val="1518"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0B42B13A">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06954116">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评标委员会的组建</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32402007">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color w:val="auto"/>
                <w:kern w:val="0"/>
                <w:sz w:val="24"/>
                <w:szCs w:val="24"/>
                <w:highlight w:val="none"/>
                <w:lang w:bidi="ar-SA"/>
              </w:rPr>
              <w:t>评标委员会构成：5人，其中招标人代表1人，专家评委4人</w:t>
            </w:r>
            <w:r>
              <w:rPr>
                <w:rFonts w:hint="eastAsia" w:ascii="宋体" w:hAnsi="宋体" w:eastAsia="宋体" w:cs="宋体"/>
                <w:color w:val="auto"/>
                <w:kern w:val="0"/>
                <w:sz w:val="24"/>
                <w:szCs w:val="24"/>
                <w:highlight w:val="none"/>
                <w:lang w:eastAsia="zh-CN" w:bidi="ar-SA"/>
              </w:rPr>
              <w:t>。</w:t>
            </w:r>
          </w:p>
          <w:p w14:paraId="2CFF5579">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评标专家确定方式：专家评委在开标前从政采云专家库中随机抽取。</w:t>
            </w:r>
          </w:p>
        </w:tc>
      </w:tr>
      <w:tr w14:paraId="29FF9AF7">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72F5E40D">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19</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22772776">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是否授权评标委员会确定中标候选人</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13FAEE5F">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en-US" w:eastAsia="zh-CN"/>
              </w:rPr>
              <w:t>是，评标委员会推荐3名中标候选人。</w:t>
            </w:r>
            <w:r>
              <w:rPr>
                <w:rFonts w:hint="eastAsia" w:ascii="宋体" w:hAnsi="宋体" w:eastAsia="宋体" w:cs="宋体"/>
                <w:b w:val="0"/>
                <w:bCs w:val="0"/>
                <w:color w:val="auto"/>
                <w:sz w:val="24"/>
                <w:szCs w:val="24"/>
                <w:highlight w:val="none"/>
                <w:lang w:val="en-US" w:eastAsia="zh-CN"/>
              </w:rPr>
              <w:tab/>
            </w:r>
          </w:p>
        </w:tc>
      </w:tr>
      <w:tr w14:paraId="5CEDDCBF">
        <w:tblPrEx>
          <w:tblCellMar>
            <w:top w:w="0" w:type="dxa"/>
            <w:left w:w="108" w:type="dxa"/>
            <w:bottom w:w="0" w:type="dxa"/>
            <w:right w:w="108" w:type="dxa"/>
          </w:tblCellMar>
        </w:tblPrEx>
        <w:trPr>
          <w:trHeight w:val="756"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5C3EDEFA">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0B7DD76E">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递交投标文件地点</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40EC2D77">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投标截止时间：2026年6月30日11时00分（北京时间）</w:t>
            </w:r>
          </w:p>
          <w:p w14:paraId="4CAA6DE3">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投标地点：新疆政府采购云平台（www.zcygov.cn）</w:t>
            </w:r>
          </w:p>
        </w:tc>
      </w:tr>
      <w:tr w14:paraId="131D2D25">
        <w:tblPrEx>
          <w:tblCellMar>
            <w:top w:w="0" w:type="dxa"/>
            <w:left w:w="108" w:type="dxa"/>
            <w:bottom w:w="0" w:type="dxa"/>
            <w:right w:w="108" w:type="dxa"/>
          </w:tblCellMar>
        </w:tblPrEx>
        <w:trPr>
          <w:trHeight w:val="71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01A163C0">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359A24D7">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开标时间和地点</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7F0263D3">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开标时间：2026年6月30</w:t>
            </w:r>
            <w:bookmarkStart w:id="332" w:name="_GoBack"/>
            <w:bookmarkEnd w:id="332"/>
            <w:r>
              <w:rPr>
                <w:rFonts w:hint="eastAsia" w:ascii="宋体" w:hAnsi="宋体" w:eastAsia="宋体" w:cs="宋体"/>
                <w:b w:val="0"/>
                <w:bCs w:val="0"/>
                <w:color w:val="auto"/>
                <w:sz w:val="24"/>
                <w:szCs w:val="24"/>
                <w:highlight w:val="none"/>
                <w:lang w:val="en-US" w:eastAsia="zh-CN"/>
              </w:rPr>
              <w:t>日11时00分（北京时间）</w:t>
            </w:r>
          </w:p>
          <w:p w14:paraId="67AC0923">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开标地点：新疆政府采购云平台（www.zcygov.cn）         </w:t>
            </w:r>
          </w:p>
        </w:tc>
      </w:tr>
      <w:tr w14:paraId="587EDE7C">
        <w:tblPrEx>
          <w:tblCellMar>
            <w:top w:w="0" w:type="dxa"/>
            <w:left w:w="108" w:type="dxa"/>
            <w:bottom w:w="0" w:type="dxa"/>
            <w:right w:w="108" w:type="dxa"/>
          </w:tblCellMar>
        </w:tblPrEx>
        <w:trPr>
          <w:trHeight w:val="90" w:hRule="atLeast"/>
          <w:jc w:val="center"/>
        </w:trPr>
        <w:tc>
          <w:tcPr>
            <w:tcW w:w="536" w:type="dxa"/>
            <w:vMerge w:val="restart"/>
            <w:tcBorders>
              <w:top w:val="single" w:color="auto" w:sz="4" w:space="0"/>
              <w:left w:val="single" w:color="auto" w:sz="4" w:space="0"/>
              <w:bottom w:val="single" w:color="auto" w:sz="4" w:space="0"/>
              <w:right w:val="single" w:color="auto" w:sz="4" w:space="0"/>
            </w:tcBorders>
            <w:noWrap w:val="0"/>
            <w:vAlign w:val="center"/>
          </w:tcPr>
          <w:p w14:paraId="44A17F6A">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w:t>
            </w:r>
          </w:p>
        </w:tc>
        <w:tc>
          <w:tcPr>
            <w:tcW w:w="1720" w:type="dxa"/>
            <w:vMerge w:val="restart"/>
            <w:tcBorders>
              <w:top w:val="single" w:color="auto" w:sz="4" w:space="0"/>
              <w:left w:val="single" w:color="auto" w:sz="4" w:space="0"/>
              <w:bottom w:val="single" w:color="auto" w:sz="4" w:space="0"/>
              <w:right w:val="single" w:color="auto" w:sz="4" w:space="0"/>
            </w:tcBorders>
            <w:noWrap w:val="0"/>
            <w:vAlign w:val="center"/>
          </w:tcPr>
          <w:p w14:paraId="3FDF2C37">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重要说明</w:t>
            </w:r>
          </w:p>
        </w:tc>
        <w:tc>
          <w:tcPr>
            <w:tcW w:w="7547" w:type="dxa"/>
            <w:tcBorders>
              <w:top w:val="single" w:color="auto" w:sz="4" w:space="0"/>
              <w:left w:val="single" w:color="auto" w:sz="4" w:space="0"/>
              <w:right w:val="single" w:color="auto" w:sz="4" w:space="0"/>
            </w:tcBorders>
            <w:noWrap w:val="0"/>
            <w:vAlign w:val="center"/>
          </w:tcPr>
          <w:p w14:paraId="7A8558DE">
            <w:pPr>
              <w:keepNext w:val="0"/>
              <w:keepLines w:val="0"/>
              <w:pageBreakBefore w:val="0"/>
              <w:widowControl w:val="0"/>
              <w:shd w:val="clear" w:color="auto"/>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pacing w:val="0"/>
                <w:w w:val="100"/>
                <w:kern w:val="0"/>
                <w:position w:val="0"/>
                <w:sz w:val="24"/>
                <w:szCs w:val="24"/>
                <w:highlight w:val="none"/>
                <w:shd w:val="clear" w:color="auto" w:fill="auto"/>
                <w:lang w:val="en-US" w:eastAsia="zh-CN" w:bidi="en-US"/>
              </w:rPr>
            </w:pP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1.本项目采用全流程不见面电子开评标，投标投标单位需要使用CA加密设备，投标单位可通过新疆数字证书认证中心官网（https://www.xjca.com.cn/）或下载“新疆政务通”APP自行进行申领。</w:t>
            </w:r>
          </w:p>
          <w:p w14:paraId="26DB00C6">
            <w:pPr>
              <w:keepNext w:val="0"/>
              <w:keepLines w:val="0"/>
              <w:pageBreakBefore w:val="0"/>
              <w:widowControl w:val="0"/>
              <w:shd w:val="clear" w:color="auto"/>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pacing w:val="0"/>
                <w:w w:val="100"/>
                <w:kern w:val="0"/>
                <w:position w:val="0"/>
                <w:sz w:val="24"/>
                <w:szCs w:val="24"/>
                <w:highlight w:val="none"/>
                <w:shd w:val="clear" w:color="auto" w:fill="auto"/>
                <w:lang w:val="en-US" w:eastAsia="zh-CN" w:bidi="en-US"/>
              </w:rPr>
            </w:pP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2.本项目实行网上投标，采用加密电子投标文件(投标单位须使用CA加密设备通过政采云电子投标客户端制作投标文件)。若投标单位参与投标，自行承担投标一切费用。</w:t>
            </w:r>
          </w:p>
          <w:p w14:paraId="39BFD393">
            <w:pPr>
              <w:keepNext w:val="0"/>
              <w:keepLines w:val="0"/>
              <w:pageBreakBefore w:val="0"/>
              <w:widowControl w:val="0"/>
              <w:shd w:val="clear" w:color="auto"/>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pacing w:val="0"/>
                <w:w w:val="100"/>
                <w:kern w:val="0"/>
                <w:position w:val="0"/>
                <w:sz w:val="24"/>
                <w:szCs w:val="24"/>
                <w:highlight w:val="none"/>
                <w:shd w:val="clear" w:color="auto" w:fill="auto"/>
                <w:lang w:val="en-US" w:eastAsia="zh-CN" w:bidi="en-US"/>
              </w:rPr>
            </w:pP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3.各投标单位在开标前应确保成为新疆维吾尔自治区政府采购网正式注册入库投标单位（已在政采云平台其他省份入驻的投标单位无须重复注册），并完成CA数字证书申领。因未注册入库、未办理CA数字证书等原因造成无法投标或投标失败等后果由投标单位自行承担。</w:t>
            </w:r>
          </w:p>
          <w:p w14:paraId="00793EF0">
            <w:pPr>
              <w:keepNext w:val="0"/>
              <w:keepLines w:val="0"/>
              <w:pageBreakBefore w:val="0"/>
              <w:widowControl w:val="0"/>
              <w:shd w:val="clear" w:color="auto"/>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pacing w:val="0"/>
                <w:w w:val="100"/>
                <w:kern w:val="0"/>
                <w:position w:val="0"/>
                <w:sz w:val="24"/>
                <w:szCs w:val="24"/>
                <w:highlight w:val="none"/>
                <w:shd w:val="clear" w:color="auto" w:fill="auto"/>
                <w:lang w:val="en-US" w:eastAsia="zh-CN" w:bidi="en-US"/>
              </w:rPr>
            </w:pP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4.投标单位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51D0724E">
            <w:pPr>
              <w:keepNext w:val="0"/>
              <w:keepLines w:val="0"/>
              <w:pageBreakBefore w:val="0"/>
              <w:widowControl w:val="0"/>
              <w:shd w:val="clear" w:color="auto"/>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pacing w:val="0"/>
                <w:w w:val="100"/>
                <w:kern w:val="0"/>
                <w:position w:val="0"/>
                <w:sz w:val="24"/>
                <w:szCs w:val="24"/>
                <w:highlight w:val="none"/>
                <w:shd w:val="clear" w:color="auto" w:fill="auto"/>
                <w:lang w:val="en-US" w:eastAsia="zh-CN" w:bidi="en-US"/>
              </w:rPr>
            </w:pP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5.投标单位在开标时须使用制作加密电子投标文件所使用的CA锁及电脑，电脑须提前配置好浏览器（建议使用谷歌浏览器），以便开标时解锁。</w:t>
            </w:r>
          </w:p>
          <w:p w14:paraId="1CAF809A">
            <w:pPr>
              <w:keepNext w:val="0"/>
              <w:keepLines w:val="0"/>
              <w:pageBreakBefore w:val="0"/>
              <w:widowControl w:val="0"/>
              <w:shd w:val="clear" w:color="auto"/>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pacing w:val="0"/>
                <w:w w:val="100"/>
                <w:kern w:val="0"/>
                <w:position w:val="0"/>
                <w:sz w:val="24"/>
                <w:szCs w:val="24"/>
                <w:highlight w:val="none"/>
                <w:shd w:val="clear" w:color="auto" w:fill="auto"/>
                <w:lang w:val="en-US" w:eastAsia="zh-CN" w:bidi="en-US"/>
              </w:rPr>
            </w:pP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6.投标单位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单位”版面获取操作指南。</w:t>
            </w:r>
          </w:p>
          <w:p w14:paraId="09FA4378">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pacing w:val="0"/>
                <w:w w:val="100"/>
                <w:kern w:val="0"/>
                <w:position w:val="0"/>
                <w:sz w:val="24"/>
                <w:szCs w:val="24"/>
                <w:highlight w:val="none"/>
                <w:shd w:val="clear" w:color="auto" w:fill="auto"/>
                <w:lang w:val="en-US" w:eastAsia="zh-CN" w:bidi="en-US"/>
              </w:rPr>
              <w:t>7.为了保证开评标顺利进行，政采云线上开标功能完全实现，投标单位开标所使用的电脑设备须具有视频及语音功能。</w:t>
            </w:r>
          </w:p>
        </w:tc>
      </w:tr>
      <w:tr w14:paraId="1E2DBC4F">
        <w:tblPrEx>
          <w:tblCellMar>
            <w:top w:w="0" w:type="dxa"/>
            <w:left w:w="108" w:type="dxa"/>
            <w:bottom w:w="0" w:type="dxa"/>
            <w:right w:w="108" w:type="dxa"/>
          </w:tblCellMar>
        </w:tblPrEx>
        <w:trPr>
          <w:trHeight w:val="1315" w:hRule="atLeast"/>
          <w:jc w:val="center"/>
        </w:trPr>
        <w:tc>
          <w:tcPr>
            <w:tcW w:w="536" w:type="dxa"/>
            <w:vMerge w:val="continue"/>
            <w:tcBorders>
              <w:top w:val="single" w:color="auto" w:sz="4" w:space="0"/>
              <w:left w:val="single" w:color="auto" w:sz="4" w:space="0"/>
              <w:bottom w:val="single" w:color="auto" w:sz="4" w:space="0"/>
              <w:right w:val="single" w:color="auto" w:sz="4" w:space="0"/>
            </w:tcBorders>
            <w:noWrap w:val="0"/>
            <w:vAlign w:val="center"/>
          </w:tcPr>
          <w:p w14:paraId="11D51B7C">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p>
        </w:tc>
        <w:tc>
          <w:tcPr>
            <w:tcW w:w="1720" w:type="dxa"/>
            <w:vMerge w:val="continue"/>
            <w:tcBorders>
              <w:top w:val="single" w:color="auto" w:sz="4" w:space="0"/>
              <w:left w:val="single" w:color="auto" w:sz="4" w:space="0"/>
              <w:bottom w:val="single" w:color="auto" w:sz="4" w:space="0"/>
              <w:right w:val="single" w:color="auto" w:sz="4" w:space="0"/>
            </w:tcBorders>
            <w:noWrap w:val="0"/>
            <w:vAlign w:val="center"/>
          </w:tcPr>
          <w:p w14:paraId="0A27D986">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p>
        </w:tc>
        <w:tc>
          <w:tcPr>
            <w:tcW w:w="7547" w:type="dxa"/>
            <w:tcBorders>
              <w:top w:val="single" w:color="auto" w:sz="4" w:space="0"/>
              <w:left w:val="single" w:color="auto" w:sz="4" w:space="0"/>
              <w:bottom w:val="single" w:color="auto" w:sz="4" w:space="0"/>
              <w:right w:val="single" w:color="auto" w:sz="4" w:space="0"/>
            </w:tcBorders>
            <w:noWrap w:val="0"/>
            <w:vAlign w:val="center"/>
          </w:tcPr>
          <w:p w14:paraId="2F0A2846">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1、电子招投标情况说明：</w:t>
            </w:r>
          </w:p>
          <w:p w14:paraId="08E88185">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（1）电子招投标：本项目以数据电文形式，依托“政府采购云平台（www.zcygov.cn）”进行招投标活动。</w:t>
            </w:r>
          </w:p>
          <w:p w14:paraId="51D8ED06">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准备：注册账号--点击“商家入驻”，进行政府采购投标单位资料填写；申领CA数字证书---申领流程详见“新疆政府采购网-下载专区-电子交易客户端-CA驱动和申领流程”；安装“政采云电子交易客户端”----前往“新疆政府采购网-下载专区-电子交易客户端”进行下载并安装。</w:t>
            </w:r>
          </w:p>
          <w:p w14:paraId="345058EC">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（3）招标文件的获取：使用账号登录或者短信验证码或者使用CA登录政采云平台；进入“项目采购”应用，在获取招标文件 菜单中选择项目，获取招标文件 </w:t>
            </w:r>
          </w:p>
          <w:p w14:paraId="3787891C">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（4）投标文件的解密：投标单位按照平台提示和招标文件 的规定在半小时内完成在线解密。通过“政府采购云平台”上传递交的投标文件无法按时解密，投标投标单位提供了备份投标文件的，以备份投标文件为依据，否则视为投标文件撤回。通过“政府采购云平台”上传递交的投标文件已按时解密的，备份投标文件自动失效。投标单位仅提供备份投标文件，没有在电子交易平台传输递交投标文件的，投标无效。</w:t>
            </w:r>
          </w:p>
          <w:p w14:paraId="001ED1C1">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（5）具体操作指南：详见政采云平台“服务中心-帮助文档-项目采购-操作流程-电子招投标-政府采购项目电子交易管理操作指南-投标单位”。</w:t>
            </w:r>
          </w:p>
          <w:p w14:paraId="505D7796">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（6）投标单位在进行上述操作时，如遇技术问题可登录政采云（https://</w:t>
            </w:r>
            <w:r>
              <w:rPr>
                <w:rFonts w:hint="eastAsia" w:ascii="宋体" w:hAnsi="宋体" w:eastAsia="宋体" w:cs="宋体"/>
                <w:b w:val="0"/>
                <w:bCs w:val="0"/>
                <w:color w:val="auto"/>
                <w:sz w:val="24"/>
                <w:szCs w:val="24"/>
                <w:highlight w:val="none"/>
                <w:lang w:val="en-US" w:eastAsia="zh-CN"/>
              </w:rPr>
              <w:fldChar w:fldCharType="begin"/>
            </w:r>
            <w:r>
              <w:rPr>
                <w:rFonts w:hint="eastAsia" w:ascii="宋体" w:hAnsi="宋体" w:eastAsia="宋体" w:cs="宋体"/>
                <w:b w:val="0"/>
                <w:bCs w:val="0"/>
                <w:color w:val="auto"/>
                <w:sz w:val="24"/>
                <w:szCs w:val="24"/>
                <w:highlight w:val="none"/>
                <w:lang w:val="en-US" w:eastAsia="zh-CN"/>
              </w:rPr>
              <w:instrText xml:space="preserve">HYPERLINK "http://www.zcygov.cn/" \h</w:instrText>
            </w:r>
            <w:r>
              <w:rPr>
                <w:rFonts w:hint="eastAsia" w:ascii="宋体" w:hAnsi="宋体" w:eastAsia="宋体" w:cs="宋体"/>
                <w:b w:val="0"/>
                <w:bCs w:val="0"/>
                <w:color w:val="auto"/>
                <w:sz w:val="24"/>
                <w:szCs w:val="24"/>
                <w:highlight w:val="none"/>
                <w:lang w:val="en-US" w:eastAsia="zh-CN"/>
              </w:rPr>
              <w:fldChar w:fldCharType="separate"/>
            </w:r>
            <w:r>
              <w:rPr>
                <w:rFonts w:hint="eastAsia" w:ascii="宋体" w:hAnsi="宋体" w:eastAsia="宋体" w:cs="宋体"/>
                <w:b w:val="0"/>
                <w:bCs w:val="0"/>
                <w:color w:val="auto"/>
                <w:sz w:val="24"/>
                <w:szCs w:val="24"/>
                <w:highlight w:val="none"/>
                <w:lang w:val="en-US" w:eastAsia="zh-CN"/>
              </w:rPr>
              <w:t>www.zcygov.cn/</w:t>
            </w:r>
            <w:r>
              <w:rPr>
                <w:rFonts w:hint="eastAsia" w:ascii="宋体" w:hAnsi="宋体" w:eastAsia="宋体" w:cs="宋体"/>
                <w:b w:val="0"/>
                <w:bCs w:val="0"/>
                <w:color w:val="auto"/>
                <w:sz w:val="24"/>
                <w:szCs w:val="24"/>
                <w:highlight w:val="none"/>
                <w:lang w:val="en-US" w:eastAsia="zh-CN"/>
              </w:rPr>
              <w:fldChar w:fldCharType="end"/>
            </w:r>
            <w:r>
              <w:rPr>
                <w:rFonts w:hint="eastAsia" w:ascii="宋体" w:hAnsi="宋体" w:eastAsia="宋体" w:cs="宋体"/>
                <w:b w:val="0"/>
                <w:bCs w:val="0"/>
                <w:color w:val="auto"/>
                <w:sz w:val="24"/>
                <w:szCs w:val="24"/>
                <w:highlight w:val="none"/>
                <w:lang w:val="en-US" w:eastAsia="zh-CN"/>
              </w:rPr>
              <w:t>），点击右侧咨询小采，获取采小蜜智能服务管家帮助，或拨打政采云服务热线95763获取热线服务帮助。</w:t>
            </w:r>
          </w:p>
          <w:p w14:paraId="43FF4BE2">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温馨提醒：投标单位应提前上传，以便在上传时遇到技术问题，有充足的时间请教平台的技术人员。</w:t>
            </w:r>
          </w:p>
          <w:p w14:paraId="13FBE840">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单位认为招标文件使自己的权益受到损害的，可以自收到招标文件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招标人和招标代理机构提出同一环节的质疑。否则，被质疑人可不予接受。质疑投标单位对招标人、招标代理机构的答复不满意或者招标人、招标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w:t>
            </w:r>
          </w:p>
        </w:tc>
      </w:tr>
      <w:tr w14:paraId="4CE88E88">
        <w:tblPrEx>
          <w:tblCellMar>
            <w:top w:w="0" w:type="dxa"/>
            <w:left w:w="108" w:type="dxa"/>
            <w:bottom w:w="0" w:type="dxa"/>
            <w:right w:w="108" w:type="dxa"/>
          </w:tblCellMar>
        </w:tblPrEx>
        <w:trPr>
          <w:trHeight w:val="844"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60004428">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3519EF2F">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中标候选人公示媒介</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736FD8C6">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新疆政府采购网，公示期为一个工作日。</w:t>
            </w:r>
          </w:p>
        </w:tc>
      </w:tr>
      <w:tr w14:paraId="6804649F">
        <w:tblPrEx>
          <w:tblCellMar>
            <w:top w:w="0" w:type="dxa"/>
            <w:left w:w="108" w:type="dxa"/>
            <w:bottom w:w="0" w:type="dxa"/>
            <w:right w:w="108" w:type="dxa"/>
          </w:tblCellMar>
        </w:tblPrEx>
        <w:trPr>
          <w:trHeight w:val="844" w:hRule="atLeast"/>
          <w:jc w:val="center"/>
        </w:trPr>
        <w:tc>
          <w:tcPr>
            <w:tcW w:w="5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7FEFD5">
            <w:pPr>
              <w:shd w:val="clear" w:color="auto"/>
              <w:kinsoku/>
              <w:overflowPunct/>
              <w:topLinePunct w:val="0"/>
              <w:bidi w:val="0"/>
              <w:spacing w:line="500" w:lineRule="exact"/>
              <w:ind w:left="0" w:leftChars="0" w:right="0" w:rightChars="0" w:firstLine="0" w:firstLineChars="0"/>
              <w:jc w:val="center"/>
              <w:rPr>
                <w:rFonts w:hint="eastAsia" w:ascii="宋体" w:hAnsi="宋体" w:eastAsia="宋体" w:cs="宋体"/>
                <w:b w:val="0"/>
                <w:bCs w:val="0"/>
                <w:color w:val="auto"/>
                <w:spacing w:val="0"/>
                <w:w w:val="100"/>
                <w:position w:val="0"/>
                <w:sz w:val="24"/>
                <w:szCs w:val="24"/>
                <w:highlight w:val="none"/>
                <w:shd w:val="clear" w:color="auto" w:fill="auto"/>
                <w:lang w:val="en-US" w:eastAsia="zh-CN" w:bidi="en-US"/>
              </w:rPr>
            </w:pPr>
            <w:r>
              <w:rPr>
                <w:rFonts w:hint="eastAsia" w:ascii="宋体" w:hAnsi="宋体" w:eastAsia="宋体" w:cs="宋体"/>
                <w:b w:val="0"/>
                <w:bCs w:val="0"/>
                <w:color w:val="auto"/>
                <w:sz w:val="24"/>
                <w:szCs w:val="24"/>
                <w:highlight w:val="none"/>
                <w:lang w:val="en-US" w:eastAsia="zh-CN"/>
              </w:rPr>
              <w:t>24</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721334A4">
            <w:pPr>
              <w:shd w:val="clear" w:color="auto"/>
              <w:kinsoku/>
              <w:overflowPunct/>
              <w:topLinePunct w:val="0"/>
              <w:bidi w:val="0"/>
              <w:spacing w:line="50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付款方式 </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3DE7FD22">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1、项目基坑验槽合格后，支付合同价的20%；</w:t>
            </w:r>
          </w:p>
          <w:p w14:paraId="6EB048F8">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2、主体工程验收合格后，支付合同价的30%；</w:t>
            </w:r>
          </w:p>
          <w:p w14:paraId="7472B011">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3、“五方”质量验收合格后，支付合同价的20%；</w:t>
            </w:r>
          </w:p>
          <w:p w14:paraId="36786AAF">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4、提交竣工结算审核、财务决算审核报告后，支付合同价的30%；</w:t>
            </w:r>
          </w:p>
          <w:p w14:paraId="252B3E52">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5、具体付款方式以甲乙双方签订合同为准。</w:t>
            </w:r>
          </w:p>
        </w:tc>
      </w:tr>
      <w:tr w14:paraId="1EB8741D">
        <w:tblPrEx>
          <w:tblCellMar>
            <w:top w:w="0" w:type="dxa"/>
            <w:left w:w="108" w:type="dxa"/>
            <w:bottom w:w="0" w:type="dxa"/>
            <w:right w:w="108" w:type="dxa"/>
          </w:tblCellMar>
        </w:tblPrEx>
        <w:trPr>
          <w:trHeight w:val="390" w:hRule="atLeast"/>
          <w:jc w:val="center"/>
        </w:trPr>
        <w:tc>
          <w:tcPr>
            <w:tcW w:w="5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D4001E">
            <w:pPr>
              <w:shd w:val="clear" w:color="auto"/>
              <w:kinsoku/>
              <w:overflowPunct/>
              <w:topLinePunct w:val="0"/>
              <w:bidi w:val="0"/>
              <w:spacing w:line="500" w:lineRule="exact"/>
              <w:ind w:left="0" w:leftChars="0" w:right="0" w:rightChars="0" w:firstLine="0" w:firstLineChars="0"/>
              <w:jc w:val="center"/>
              <w:rPr>
                <w:rFonts w:hint="eastAsia" w:ascii="宋体" w:hAnsi="宋体" w:eastAsia="宋体" w:cs="宋体"/>
                <w:b w:val="0"/>
                <w:bCs w:val="0"/>
                <w:color w:val="auto"/>
                <w:spacing w:val="0"/>
                <w:w w:val="100"/>
                <w:position w:val="0"/>
                <w:sz w:val="24"/>
                <w:szCs w:val="24"/>
                <w:highlight w:val="none"/>
                <w:shd w:val="clear" w:color="auto" w:fill="auto"/>
                <w:lang w:val="en-US" w:eastAsia="zh-CN" w:bidi="en-US"/>
              </w:rPr>
            </w:pPr>
            <w:r>
              <w:rPr>
                <w:rFonts w:hint="eastAsia" w:ascii="宋体" w:hAnsi="宋体" w:eastAsia="宋体" w:cs="宋体"/>
                <w:b w:val="0"/>
                <w:bCs w:val="0"/>
                <w:color w:val="auto"/>
                <w:sz w:val="24"/>
                <w:szCs w:val="24"/>
                <w:highlight w:val="none"/>
                <w:lang w:val="en-US" w:eastAsia="zh-CN"/>
              </w:rPr>
              <w:t>25</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14:paraId="14B696C9">
            <w:pPr>
              <w:shd w:val="clear" w:color="auto"/>
              <w:kinsoku/>
              <w:overflowPunct/>
              <w:topLinePunct w:val="0"/>
              <w:bidi w:val="0"/>
              <w:spacing w:line="500" w:lineRule="exact"/>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招标代理服务费:</w:t>
            </w:r>
            <w:r>
              <w:rPr>
                <w:rFonts w:hint="eastAsia" w:cs="Arial" w:asciiTheme="minorEastAsia" w:hAnsiTheme="minorEastAsia"/>
                <w:kern w:val="0"/>
                <w:sz w:val="24"/>
                <w:szCs w:val="24"/>
                <w:highlight w:val="none"/>
              </w:rPr>
              <w:t>本项目招标代理服务费依据《招标代理服务收费管理暂行办法》计价格[2002]1980号文件（</w:t>
            </w:r>
            <w:r>
              <w:rPr>
                <w:rFonts w:hint="eastAsia" w:cs="Arial" w:asciiTheme="minorEastAsia" w:hAnsiTheme="minorEastAsia"/>
                <w:kern w:val="0"/>
                <w:sz w:val="24"/>
                <w:szCs w:val="24"/>
              </w:rPr>
              <w:t>发改办价格[2003]857号文件）及财库[2018]2号文件计取，由成交人向采购代理机构予以支付。</w:t>
            </w:r>
          </w:p>
        </w:tc>
      </w:tr>
      <w:tr w14:paraId="055216BE">
        <w:tblPrEx>
          <w:tblCellMar>
            <w:top w:w="0" w:type="dxa"/>
            <w:left w:w="108" w:type="dxa"/>
            <w:bottom w:w="0" w:type="dxa"/>
            <w:right w:w="108" w:type="dxa"/>
          </w:tblCellMar>
        </w:tblPrEx>
        <w:trPr>
          <w:trHeight w:val="376" w:hRule="atLeast"/>
          <w:jc w:val="center"/>
        </w:trPr>
        <w:tc>
          <w:tcPr>
            <w:tcW w:w="5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2167F1">
            <w:pPr>
              <w:shd w:val="clear" w:color="auto" w:fill="auto"/>
              <w:kinsoku/>
              <w:overflowPunct/>
              <w:topLinePunct w:val="0"/>
              <w:bidi w:val="0"/>
              <w:spacing w:line="500" w:lineRule="exact"/>
              <w:ind w:left="0" w:leftChars="0" w:right="0" w:rightChars="0" w:firstLine="0" w:firstLineChars="0"/>
              <w:jc w:val="left"/>
              <w:rPr>
                <w:rFonts w:hint="eastAsia" w:ascii="宋体" w:hAnsi="宋体" w:eastAsia="宋体" w:cs="宋体"/>
                <w:b w:val="0"/>
                <w:bCs w:val="0"/>
                <w:color w:val="auto"/>
                <w:spacing w:val="0"/>
                <w:w w:val="100"/>
                <w:position w:val="0"/>
                <w:sz w:val="24"/>
                <w:szCs w:val="24"/>
                <w:highlight w:val="none"/>
                <w:shd w:val="clear" w:color="auto" w:fill="auto"/>
                <w:lang w:val="en-US" w:eastAsia="zh-CN" w:bidi="en-US"/>
              </w:rPr>
            </w:pPr>
            <w:r>
              <w:rPr>
                <w:rFonts w:hint="eastAsia" w:ascii="宋体" w:hAnsi="宋体" w:eastAsia="宋体" w:cs="宋体"/>
                <w:b w:val="0"/>
                <w:bCs w:val="0"/>
                <w:color w:val="auto"/>
                <w:sz w:val="24"/>
                <w:szCs w:val="24"/>
                <w:highlight w:val="none"/>
                <w:lang w:val="en-US" w:eastAsia="zh-CN"/>
              </w:rPr>
              <w:t>26</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14:paraId="60380097">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评标办法：本项目采用综合评分法</w:t>
            </w:r>
          </w:p>
        </w:tc>
      </w:tr>
      <w:tr w14:paraId="29DDC7BC">
        <w:tblPrEx>
          <w:tblCellMar>
            <w:top w:w="0" w:type="dxa"/>
            <w:left w:w="108" w:type="dxa"/>
            <w:bottom w:w="0" w:type="dxa"/>
            <w:right w:w="108" w:type="dxa"/>
          </w:tblCellMar>
        </w:tblPrEx>
        <w:trPr>
          <w:trHeight w:val="403" w:hRule="atLeast"/>
          <w:jc w:val="center"/>
        </w:trPr>
        <w:tc>
          <w:tcPr>
            <w:tcW w:w="5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85F0FC">
            <w:pPr>
              <w:shd w:val="clear" w:color="auto" w:fill="auto"/>
              <w:kinsoku/>
              <w:overflowPunct/>
              <w:topLinePunct w:val="0"/>
              <w:bidi w:val="0"/>
              <w:spacing w:line="500" w:lineRule="exact"/>
              <w:ind w:left="0" w:leftChars="0" w:right="0" w:rightChars="0" w:firstLine="0" w:firstLineChars="0"/>
              <w:jc w:val="left"/>
              <w:rPr>
                <w:rFonts w:hint="eastAsia" w:ascii="宋体" w:hAnsi="宋体" w:eastAsia="宋体" w:cs="宋体"/>
                <w:b w:val="0"/>
                <w:bCs w:val="0"/>
                <w:color w:val="auto"/>
                <w:spacing w:val="0"/>
                <w:w w:val="100"/>
                <w:position w:val="0"/>
                <w:sz w:val="24"/>
                <w:szCs w:val="24"/>
                <w:highlight w:val="none"/>
                <w:shd w:val="clear" w:color="auto" w:fill="auto"/>
                <w:lang w:val="en-US" w:eastAsia="zh-CN" w:bidi="en-US"/>
              </w:rPr>
            </w:pPr>
            <w:r>
              <w:rPr>
                <w:rFonts w:hint="eastAsia" w:ascii="宋体" w:hAnsi="宋体" w:eastAsia="宋体" w:cs="宋体"/>
                <w:b w:val="0"/>
                <w:bCs w:val="0"/>
                <w:color w:val="auto"/>
                <w:sz w:val="24"/>
                <w:szCs w:val="24"/>
                <w:highlight w:val="none"/>
                <w:lang w:val="en-US" w:eastAsia="zh-CN"/>
              </w:rPr>
              <w:t>27</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14:paraId="0F16B3F7">
            <w:pPr>
              <w:shd w:val="clear" w:color="auto" w:fill="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不管投标结果如何，投标人均应承担自己投标所需一切费用。</w:t>
            </w:r>
          </w:p>
        </w:tc>
      </w:tr>
      <w:tr w14:paraId="5FFB5BFD">
        <w:tblPrEx>
          <w:tblCellMar>
            <w:top w:w="0" w:type="dxa"/>
            <w:left w:w="108" w:type="dxa"/>
            <w:bottom w:w="0" w:type="dxa"/>
            <w:right w:w="108" w:type="dxa"/>
          </w:tblCellMar>
        </w:tblPrEx>
        <w:trPr>
          <w:trHeight w:val="467" w:hRule="atLeast"/>
          <w:jc w:val="center"/>
        </w:trPr>
        <w:tc>
          <w:tcPr>
            <w:tcW w:w="5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CD9B8E">
            <w:pPr>
              <w:shd w:val="clear" w:color="auto"/>
              <w:kinsoku/>
              <w:overflowPunct/>
              <w:topLinePunct w:val="0"/>
              <w:bidi w:val="0"/>
              <w:spacing w:line="500" w:lineRule="exact"/>
              <w:ind w:left="0" w:leftChars="0" w:right="0" w:rightChars="0" w:firstLine="0" w:firstLineChars="0"/>
              <w:jc w:val="center"/>
              <w:rPr>
                <w:rFonts w:hint="eastAsia" w:ascii="宋体" w:hAnsi="宋体" w:eastAsia="宋体" w:cs="宋体"/>
                <w:b w:val="0"/>
                <w:bCs w:val="0"/>
                <w:color w:val="auto"/>
                <w:spacing w:val="0"/>
                <w:w w:val="100"/>
                <w:position w:val="0"/>
                <w:sz w:val="24"/>
                <w:szCs w:val="24"/>
                <w:highlight w:val="none"/>
                <w:shd w:val="clear" w:color="auto" w:fill="auto"/>
                <w:lang w:val="en-US" w:eastAsia="zh-CN" w:bidi="en-US"/>
              </w:rPr>
            </w:pPr>
            <w:r>
              <w:rPr>
                <w:rFonts w:hint="eastAsia" w:ascii="宋体" w:hAnsi="宋体" w:eastAsia="宋体" w:cs="宋体"/>
                <w:b w:val="0"/>
                <w:bCs w:val="0"/>
                <w:color w:val="auto"/>
                <w:sz w:val="24"/>
                <w:szCs w:val="24"/>
                <w:highlight w:val="none"/>
                <w:lang w:val="en-US" w:eastAsia="zh-CN"/>
              </w:rPr>
              <w:t>28</w:t>
            </w:r>
          </w:p>
        </w:tc>
        <w:tc>
          <w:tcPr>
            <w:tcW w:w="9267" w:type="dxa"/>
            <w:gridSpan w:val="2"/>
            <w:tcBorders>
              <w:top w:val="single" w:color="auto" w:sz="4" w:space="0"/>
              <w:left w:val="single" w:color="auto" w:sz="4" w:space="0"/>
              <w:bottom w:val="single" w:color="auto" w:sz="4" w:space="0"/>
              <w:right w:val="single" w:color="auto" w:sz="4" w:space="0"/>
            </w:tcBorders>
            <w:noWrap w:val="0"/>
            <w:vAlign w:val="center"/>
          </w:tcPr>
          <w:p w14:paraId="5156D7E9">
            <w:pPr>
              <w:shd w:val="clear" w:color="auto" w:fill="auto"/>
              <w:kinsoku/>
              <w:overflowPunct/>
              <w:topLinePunct w:val="0"/>
              <w:bidi w:val="0"/>
              <w:spacing w:line="500" w:lineRule="exact"/>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本次招标最高限价：</w:t>
            </w:r>
            <w:r>
              <w:rPr>
                <w:rFonts w:hint="eastAsia" w:ascii="宋体" w:hAnsi="宋体" w:eastAsia="宋体" w:cs="宋体"/>
                <w:b/>
                <w:bCs/>
                <w:i w:val="0"/>
                <w:iCs w:val="0"/>
                <w:caps w:val="0"/>
                <w:color w:val="auto"/>
                <w:spacing w:val="0"/>
                <w:kern w:val="0"/>
                <w:sz w:val="24"/>
                <w:szCs w:val="24"/>
                <w:highlight w:val="none"/>
                <w:lang w:val="en-US" w:eastAsia="zh-CN" w:bidi="ar"/>
              </w:rPr>
              <w:t>1208000.00元，</w:t>
            </w:r>
            <w:r>
              <w:rPr>
                <w:rFonts w:hint="eastAsia" w:cs="Arial" w:asciiTheme="minorEastAsia" w:hAnsiTheme="minorEastAsia"/>
                <w:b/>
                <w:bCs/>
                <w:kern w:val="0"/>
                <w:sz w:val="24"/>
                <w:szCs w:val="24"/>
              </w:rPr>
              <w:t>供应商投标报价不得超此采购最高限价，否则，按废标处理。</w:t>
            </w:r>
          </w:p>
        </w:tc>
      </w:tr>
      <w:tr w14:paraId="7DFF3310">
        <w:tblPrEx>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7B3EA6">
            <w:pPr>
              <w:shd w:val="clear" w:color="auto"/>
              <w:kinsoku/>
              <w:overflowPunct/>
              <w:topLinePunct w:val="0"/>
              <w:bidi w:val="0"/>
              <w:spacing w:line="500" w:lineRule="exact"/>
              <w:ind w:left="0" w:leftChars="0" w:right="0" w:rightChars="0" w:firstLine="0" w:firstLineChars="0"/>
              <w:jc w:val="center"/>
              <w:rPr>
                <w:rFonts w:hint="eastAsia" w:ascii="宋体" w:hAnsi="宋体" w:eastAsia="宋体" w:cs="宋体"/>
                <w:b w:val="0"/>
                <w:bCs w:val="0"/>
                <w:color w:val="auto"/>
                <w:spacing w:val="0"/>
                <w:w w:val="100"/>
                <w:position w:val="0"/>
                <w:sz w:val="24"/>
                <w:szCs w:val="24"/>
                <w:highlight w:val="none"/>
                <w:shd w:val="clear" w:color="auto" w:fill="auto"/>
                <w:lang w:val="en-US" w:eastAsia="zh-CN" w:bidi="en-US"/>
              </w:rPr>
            </w:pPr>
            <w:r>
              <w:rPr>
                <w:rFonts w:hint="eastAsia" w:ascii="宋体" w:hAnsi="宋体" w:eastAsia="宋体" w:cs="宋体"/>
                <w:b w:val="0"/>
                <w:bCs w:val="0"/>
                <w:color w:val="auto"/>
                <w:sz w:val="24"/>
                <w:szCs w:val="24"/>
                <w:highlight w:val="none"/>
                <w:lang w:val="en-US" w:eastAsia="zh-CN"/>
              </w:rPr>
              <w:t>29</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0BCF970F">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bCs/>
                <w:sz w:val="24"/>
                <w:szCs w:val="24"/>
                <w:lang w:val="en-US" w:eastAsia="zh-CN"/>
              </w:rPr>
              <w:t>关于落实中小企业政府采购政策</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4F2BDE73">
            <w:pPr>
              <w:autoSpaceDE w:val="0"/>
              <w:autoSpaceDN w:val="0"/>
              <w:adjustRightInd w:val="0"/>
              <w:spacing w:line="240" w:lineRule="auto"/>
              <w:jc w:val="left"/>
              <w:rPr>
                <w:rFonts w:hint="eastAsia" w:ascii="宋体" w:hAnsi="宋体" w:cs="宋体"/>
                <w:sz w:val="24"/>
                <w:szCs w:val="24"/>
                <w:highlight w:val="none"/>
                <w:lang w:val="en-US" w:eastAsia="zh-CN"/>
              </w:rPr>
            </w:pPr>
            <w:r>
              <w:rPr>
                <w:rFonts w:hint="eastAsia" w:ascii="宋体" w:hAnsi="宋体" w:cs="宋体"/>
                <w:sz w:val="24"/>
                <w:szCs w:val="24"/>
                <w:lang w:val="en-US" w:eastAsia="zh-CN"/>
              </w:rPr>
              <w:t>因本项目为专门</w:t>
            </w:r>
            <w:r>
              <w:rPr>
                <w:rFonts w:hint="eastAsia" w:ascii="宋体" w:hAnsi="宋体" w:cs="宋体"/>
                <w:sz w:val="24"/>
                <w:szCs w:val="24"/>
                <w:highlight w:val="none"/>
                <w:lang w:val="en-US" w:eastAsia="zh-CN"/>
              </w:rPr>
              <w:t>面向中小企业采购项目,不再执行价格评审优惠的扶持政策；</w:t>
            </w:r>
          </w:p>
          <w:p w14:paraId="014A940A">
            <w:pPr>
              <w:pStyle w:val="88"/>
              <w:keepNext w:val="0"/>
              <w:keepLines w:val="0"/>
              <w:pageBreakBefore w:val="0"/>
              <w:widowControl/>
              <w:kinsoku/>
              <w:wordWrap/>
              <w:topLinePunct w:val="0"/>
              <w:autoSpaceDE w:val="0"/>
              <w:autoSpaceDN w:val="0"/>
              <w:bidi w:val="0"/>
              <w:adjustRightInd w:val="0"/>
              <w:snapToGrid w:val="0"/>
              <w:spacing w:line="380" w:lineRule="exact"/>
              <w:ind w:left="0" w:right="0"/>
              <w:jc w:val="both"/>
              <w:textAlignment w:val="baseline"/>
              <w:rPr>
                <w:spacing w:val="0"/>
                <w:sz w:val="24"/>
                <w:szCs w:val="24"/>
              </w:rPr>
            </w:pPr>
            <w:r>
              <w:rPr>
                <w:spacing w:val="0"/>
                <w:sz w:val="24"/>
                <w:szCs w:val="24"/>
              </w:rPr>
              <w:t>根据《政府采购促进中小企业发展管理办法》（财库〔2020〕46号）文的有关规定，供应商属于符合本办法第二条之规定的中小企业者，应在响应文件中按财库〔2020〕46号文规定的《中小企业声明函》格式提供《中小企业声明函》（详见：响应文件格式）。</w:t>
            </w:r>
          </w:p>
          <w:p w14:paraId="76EB10AA">
            <w:pPr>
              <w:pStyle w:val="88"/>
              <w:keepNext w:val="0"/>
              <w:keepLines w:val="0"/>
              <w:pageBreakBefore w:val="0"/>
              <w:widowControl/>
              <w:kinsoku/>
              <w:wordWrap/>
              <w:overflowPunct w:val="0"/>
              <w:topLinePunct w:val="0"/>
              <w:autoSpaceDE w:val="0"/>
              <w:autoSpaceDN w:val="0"/>
              <w:bidi w:val="0"/>
              <w:adjustRightInd w:val="0"/>
              <w:snapToGrid w:val="0"/>
              <w:spacing w:line="380" w:lineRule="exact"/>
              <w:ind w:left="0" w:right="0"/>
              <w:jc w:val="both"/>
              <w:textAlignment w:val="baseline"/>
              <w:rPr>
                <w:b/>
                <w:bCs/>
                <w:spacing w:val="0"/>
                <w:sz w:val="24"/>
                <w:szCs w:val="24"/>
              </w:rPr>
            </w:pPr>
            <w:r>
              <w:rPr>
                <w:b/>
                <w:bCs/>
                <w:spacing w:val="0"/>
                <w:sz w:val="24"/>
                <w:szCs w:val="24"/>
              </w:rPr>
              <w:t>本项目所属行业：</w:t>
            </w:r>
            <w:r>
              <w:rPr>
                <w:rFonts w:hint="eastAsia"/>
                <w:b/>
                <w:bCs/>
                <w:spacing w:val="0"/>
                <w:sz w:val="24"/>
                <w:szCs w:val="24"/>
              </w:rPr>
              <w:t>其他未列明行业</w:t>
            </w:r>
            <w:r>
              <w:rPr>
                <w:b/>
                <w:bCs/>
                <w:spacing w:val="0"/>
                <w:sz w:val="24"/>
                <w:szCs w:val="24"/>
              </w:rPr>
              <w:t>。</w:t>
            </w:r>
          </w:p>
          <w:p w14:paraId="7AFC8C7B">
            <w:pPr>
              <w:pStyle w:val="88"/>
              <w:keepNext w:val="0"/>
              <w:keepLines w:val="0"/>
              <w:pageBreakBefore w:val="0"/>
              <w:widowControl/>
              <w:kinsoku/>
              <w:wordWrap/>
              <w:overflowPunct w:val="0"/>
              <w:topLinePunct w:val="0"/>
              <w:autoSpaceDE w:val="0"/>
              <w:autoSpaceDN w:val="0"/>
              <w:bidi w:val="0"/>
              <w:adjustRightInd w:val="0"/>
              <w:snapToGrid w:val="0"/>
              <w:spacing w:line="380" w:lineRule="exact"/>
              <w:ind w:left="0" w:right="0"/>
              <w:jc w:val="both"/>
              <w:textAlignment w:val="baseline"/>
              <w:rPr>
                <w:spacing w:val="0"/>
                <w:sz w:val="24"/>
                <w:szCs w:val="24"/>
              </w:rPr>
            </w:pPr>
            <w:r>
              <w:rPr>
                <w:b/>
                <w:bCs/>
                <w:spacing w:val="0"/>
                <w:sz w:val="24"/>
                <w:szCs w:val="24"/>
              </w:rPr>
              <w:t>根据《中小企业划型标准规定》（工信部联企业[2011]300号），企业类型标准如下：</w:t>
            </w:r>
          </w:p>
          <w:p w14:paraId="63459C75">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b/>
                <w:bCs/>
                <w:spacing w:val="0"/>
                <w:sz w:val="24"/>
                <w:szCs w:val="24"/>
              </w:rPr>
              <w:t>其他未列明行业。从业人员300人以下的为中小微型企业。其中，从业人员100人及以上的为中型企业；从业人员10人及以上的为小型企业；从业人员10人以下的为微型企业。</w:t>
            </w:r>
          </w:p>
        </w:tc>
      </w:tr>
      <w:tr w14:paraId="715752BC">
        <w:tblPrEx>
          <w:tblCellMar>
            <w:top w:w="0" w:type="dxa"/>
            <w:left w:w="108" w:type="dxa"/>
            <w:bottom w:w="0" w:type="dxa"/>
            <w:right w:w="108" w:type="dxa"/>
          </w:tblCellMar>
        </w:tblPrEx>
        <w:trPr>
          <w:trHeight w:val="48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009D01A6">
            <w:pPr>
              <w:shd w:val="clear" w:color="auto"/>
              <w:kinsoku/>
              <w:overflowPunct/>
              <w:topLinePunct w:val="0"/>
              <w:bidi w:val="0"/>
              <w:spacing w:line="500" w:lineRule="exact"/>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30</w:t>
            </w:r>
          </w:p>
        </w:tc>
        <w:tc>
          <w:tcPr>
            <w:tcW w:w="1720" w:type="dxa"/>
            <w:tcBorders>
              <w:top w:val="single" w:color="auto" w:sz="4" w:space="0"/>
              <w:left w:val="single" w:color="auto" w:sz="4" w:space="0"/>
              <w:bottom w:val="single" w:color="auto" w:sz="4" w:space="0"/>
              <w:right w:val="single" w:color="auto" w:sz="4" w:space="0"/>
            </w:tcBorders>
            <w:noWrap w:val="0"/>
            <w:vAlign w:val="center"/>
          </w:tcPr>
          <w:p w14:paraId="13057ADE">
            <w:pPr>
              <w:shd w:val="clear" w:color="auto"/>
              <w:kinsoku/>
              <w:overflowPunct/>
              <w:topLinePunct w:val="0"/>
              <w:bidi w:val="0"/>
              <w:spacing w:line="500" w:lineRule="exact"/>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履约保证金</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5BB5FEDC">
            <w:pPr>
              <w:shd w:val="clear" w:color="auto"/>
              <w:kinsoku/>
              <w:overflowPunct/>
              <w:topLinePunct w:val="0"/>
              <w:bidi w:val="0"/>
              <w:spacing w:line="50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r>
      <w:tr w14:paraId="299ED378">
        <w:tblPrEx>
          <w:tblCellMar>
            <w:top w:w="0" w:type="dxa"/>
            <w:left w:w="108" w:type="dxa"/>
            <w:bottom w:w="0" w:type="dxa"/>
            <w:right w:w="108" w:type="dxa"/>
          </w:tblCellMar>
        </w:tblPrEx>
        <w:trPr>
          <w:trHeight w:val="84" w:hRule="atLeast"/>
          <w:jc w:val="center"/>
        </w:trPr>
        <w:tc>
          <w:tcPr>
            <w:tcW w:w="2256" w:type="dxa"/>
            <w:gridSpan w:val="2"/>
            <w:tcBorders>
              <w:top w:val="single" w:color="auto" w:sz="4" w:space="0"/>
              <w:left w:val="single" w:color="auto" w:sz="4" w:space="0"/>
              <w:bottom w:val="single" w:color="auto" w:sz="4" w:space="0"/>
              <w:right w:val="single" w:color="auto" w:sz="4" w:space="0"/>
            </w:tcBorders>
            <w:noWrap w:val="0"/>
            <w:vAlign w:val="center"/>
          </w:tcPr>
          <w:p w14:paraId="2FD0141A">
            <w:pPr>
              <w:shd w:val="clear" w:color="auto"/>
              <w:kinsoku/>
              <w:overflowPunct/>
              <w:topLinePunct w:val="0"/>
              <w:bidi w:val="0"/>
              <w:spacing w:line="50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rPr>
              <w:t>备注</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1F7CF6E2">
            <w:pPr>
              <w:pStyle w:val="91"/>
              <w:numPr>
                <w:ilvl w:val="0"/>
                <w:numId w:val="0"/>
              </w:numPr>
              <w:spacing w:line="240" w:lineRule="auto"/>
              <w:ind w:left="0" w:leftChars="0" w:firstLine="0" w:firstLineChars="0"/>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1、投标人使用相同IP地址的，一经发现，相关部门将进一步核实，查实后按串通投标处理。</w:t>
            </w:r>
          </w:p>
          <w:p w14:paraId="32DD3804">
            <w:pPr>
              <w:pStyle w:val="91"/>
              <w:numPr>
                <w:ilvl w:val="0"/>
                <w:numId w:val="0"/>
              </w:numPr>
              <w:spacing w:line="240" w:lineRule="auto"/>
              <w:ind w:left="0" w:leftChars="0" w:firstLine="0" w:firstLineChars="0"/>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lang w:val="en-US" w:eastAsia="zh-CN"/>
              </w:rPr>
              <w:t>2、</w:t>
            </w:r>
            <w:r>
              <w:rPr>
                <w:rFonts w:hint="eastAsia" w:ascii="宋体" w:hAnsi="宋体" w:eastAsia="宋体" w:cs="宋体"/>
                <w:b w:val="0"/>
                <w:bCs w:val="0"/>
                <w:color w:val="auto"/>
                <w:kern w:val="2"/>
                <w:sz w:val="24"/>
                <w:szCs w:val="24"/>
                <w:highlight w:val="none"/>
              </w:rPr>
              <w:t>为保证本项目质量，良好的售后服务，最低报价不作为中标的唯一依据。</w:t>
            </w:r>
          </w:p>
          <w:p w14:paraId="6B6EC74B">
            <w:pPr>
              <w:pStyle w:val="91"/>
              <w:numPr>
                <w:ilvl w:val="0"/>
                <w:numId w:val="0"/>
              </w:numPr>
              <w:spacing w:line="240" w:lineRule="auto"/>
              <w:ind w:left="0" w:leftChars="0" w:firstLine="0" w:firstLineChars="0"/>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eastAsia="zh-CN"/>
              </w:rPr>
              <w:t>招标人</w:t>
            </w:r>
            <w:r>
              <w:rPr>
                <w:rFonts w:hint="eastAsia" w:ascii="宋体" w:hAnsi="宋体" w:eastAsia="宋体" w:cs="宋体"/>
                <w:b w:val="0"/>
                <w:bCs w:val="0"/>
                <w:color w:val="auto"/>
                <w:kern w:val="2"/>
                <w:sz w:val="24"/>
                <w:szCs w:val="24"/>
                <w:highlight w:val="none"/>
              </w:rPr>
              <w:t>若发现成交候选</w:t>
            </w:r>
            <w:r>
              <w:rPr>
                <w:rFonts w:hint="eastAsia" w:ascii="宋体" w:hAnsi="宋体" w:eastAsia="宋体" w:cs="宋体"/>
                <w:b w:val="0"/>
                <w:bCs w:val="0"/>
                <w:color w:val="auto"/>
                <w:kern w:val="2"/>
                <w:sz w:val="24"/>
                <w:szCs w:val="24"/>
                <w:highlight w:val="none"/>
                <w:lang w:eastAsia="zh-CN"/>
              </w:rPr>
              <w:t>投标单位</w:t>
            </w:r>
            <w:r>
              <w:rPr>
                <w:rFonts w:hint="eastAsia" w:ascii="宋体" w:hAnsi="宋体" w:eastAsia="宋体" w:cs="宋体"/>
                <w:b w:val="0"/>
                <w:bCs w:val="0"/>
                <w:color w:val="auto"/>
                <w:kern w:val="2"/>
                <w:sz w:val="24"/>
                <w:szCs w:val="24"/>
                <w:highlight w:val="none"/>
              </w:rPr>
              <w:t>在投标过程中提供虚假证明文件，故意隐瞒公司不良信誉和财务状况，以及其他可能对合同圆满履行造成风险的因素等，则按规定取消其成交资格，监管部门依法进行处理。</w:t>
            </w:r>
          </w:p>
          <w:p w14:paraId="6D7BC1C6">
            <w:pPr>
              <w:pStyle w:val="91"/>
              <w:numPr>
                <w:ilvl w:val="0"/>
                <w:numId w:val="0"/>
              </w:numPr>
              <w:spacing w:line="240" w:lineRule="auto"/>
              <w:ind w:left="0" w:leftChars="0" w:firstLine="0" w:firstLineChars="0"/>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rPr>
              <w:t>其它：</w:t>
            </w:r>
          </w:p>
          <w:p w14:paraId="5C54B446">
            <w:pPr>
              <w:pStyle w:val="91"/>
              <w:numPr>
                <w:ilvl w:val="0"/>
                <w:numId w:val="0"/>
              </w:numPr>
              <w:spacing w:line="240" w:lineRule="auto"/>
              <w:ind w:left="0" w:leftChars="0" w:firstLine="0" w:firstLineChars="0"/>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（1）投标企业严格遵守国家的法律法规及招标纪律，无违法违纪及商业贿赂行为。</w:t>
            </w:r>
          </w:p>
          <w:p w14:paraId="37FF6DF8">
            <w:pPr>
              <w:pStyle w:val="91"/>
              <w:numPr>
                <w:ilvl w:val="0"/>
                <w:numId w:val="0"/>
              </w:numPr>
              <w:spacing w:line="240" w:lineRule="auto"/>
              <w:ind w:left="0" w:leftChars="0" w:firstLine="0" w:firstLineChars="0"/>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（2）不管投标结果如何，</w:t>
            </w:r>
            <w:r>
              <w:rPr>
                <w:rFonts w:hint="eastAsia" w:ascii="宋体" w:hAnsi="宋体" w:eastAsia="宋体" w:cs="宋体"/>
                <w:b w:val="0"/>
                <w:bCs w:val="0"/>
                <w:color w:val="auto"/>
                <w:kern w:val="2"/>
                <w:sz w:val="24"/>
                <w:szCs w:val="24"/>
                <w:highlight w:val="none"/>
                <w:lang w:eastAsia="zh-CN"/>
              </w:rPr>
              <w:t>投标单位</w:t>
            </w:r>
            <w:r>
              <w:rPr>
                <w:rFonts w:hint="eastAsia" w:ascii="宋体" w:hAnsi="宋体" w:eastAsia="宋体" w:cs="宋体"/>
                <w:b w:val="0"/>
                <w:bCs w:val="0"/>
                <w:color w:val="auto"/>
                <w:kern w:val="2"/>
                <w:sz w:val="24"/>
                <w:szCs w:val="24"/>
                <w:highlight w:val="none"/>
              </w:rPr>
              <w:t>均应自行承担投标所需一切费用。</w:t>
            </w:r>
          </w:p>
          <w:p w14:paraId="747E7741">
            <w:pPr>
              <w:pStyle w:val="91"/>
              <w:numPr>
                <w:ilvl w:val="0"/>
                <w:numId w:val="0"/>
              </w:numPr>
              <w:spacing w:line="240" w:lineRule="auto"/>
              <w:ind w:left="0" w:leftChars="0" w:firstLine="0" w:firstLineChars="0"/>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（3）</w:t>
            </w:r>
            <w:r>
              <w:rPr>
                <w:rFonts w:hint="eastAsia" w:ascii="宋体" w:hAnsi="宋体" w:eastAsia="宋体" w:cs="宋体"/>
                <w:b w:val="0"/>
                <w:bCs w:val="0"/>
                <w:color w:val="auto"/>
                <w:kern w:val="2"/>
                <w:sz w:val="24"/>
                <w:szCs w:val="24"/>
                <w:highlight w:val="none"/>
                <w:lang w:eastAsia="zh-CN"/>
              </w:rPr>
              <w:t>投标单位</w:t>
            </w:r>
            <w:r>
              <w:rPr>
                <w:rFonts w:hint="eastAsia" w:ascii="宋体" w:hAnsi="宋体" w:eastAsia="宋体" w:cs="宋体"/>
                <w:b w:val="0"/>
                <w:bCs w:val="0"/>
                <w:color w:val="auto"/>
                <w:kern w:val="2"/>
                <w:sz w:val="24"/>
                <w:szCs w:val="24"/>
                <w:highlight w:val="none"/>
              </w:rPr>
              <w:t>应以书面形式保证中标后由本公司组织实施，不得以任何理由将项目转包给其他机构。</w:t>
            </w:r>
          </w:p>
          <w:p w14:paraId="3610BDEB">
            <w:pPr>
              <w:pStyle w:val="91"/>
              <w:numPr>
                <w:ilvl w:val="0"/>
                <w:numId w:val="0"/>
              </w:numPr>
              <w:spacing w:line="24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lang w:eastAsia="zh-CN"/>
              </w:rPr>
              <w:t>）招标文件</w:t>
            </w:r>
            <w:r>
              <w:rPr>
                <w:rFonts w:hint="eastAsia" w:ascii="宋体" w:hAnsi="宋体" w:eastAsia="宋体" w:cs="宋体"/>
                <w:b w:val="0"/>
                <w:bCs w:val="0"/>
                <w:color w:val="auto"/>
                <w:kern w:val="2"/>
                <w:sz w:val="24"/>
                <w:szCs w:val="24"/>
                <w:highlight w:val="none"/>
              </w:rPr>
              <w:t>中如出现前后不一致情况，均以前附表内容为准。</w:t>
            </w:r>
          </w:p>
        </w:tc>
      </w:tr>
      <w:tr w14:paraId="1B8FBF0E">
        <w:tblPrEx>
          <w:tblCellMar>
            <w:top w:w="0" w:type="dxa"/>
            <w:left w:w="108" w:type="dxa"/>
            <w:bottom w:w="0" w:type="dxa"/>
            <w:right w:w="108" w:type="dxa"/>
          </w:tblCellMar>
        </w:tblPrEx>
        <w:trPr>
          <w:trHeight w:val="84" w:hRule="atLeast"/>
          <w:jc w:val="center"/>
        </w:trPr>
        <w:tc>
          <w:tcPr>
            <w:tcW w:w="2256" w:type="dxa"/>
            <w:gridSpan w:val="2"/>
            <w:tcBorders>
              <w:top w:val="single" w:color="auto" w:sz="4" w:space="0"/>
              <w:left w:val="single" w:color="auto" w:sz="4" w:space="0"/>
              <w:bottom w:val="single" w:color="auto" w:sz="4" w:space="0"/>
              <w:right w:val="single" w:color="auto" w:sz="4" w:space="0"/>
            </w:tcBorders>
            <w:noWrap w:val="0"/>
            <w:vAlign w:val="center"/>
          </w:tcPr>
          <w:p w14:paraId="5EEEA8F0">
            <w:pPr>
              <w:shd w:val="clear" w:color="auto"/>
              <w:kinsoku/>
              <w:overflowPunct/>
              <w:topLinePunct w:val="0"/>
              <w:bidi w:val="0"/>
              <w:spacing w:line="500" w:lineRule="exact"/>
              <w:jc w:val="center"/>
              <w:rPr>
                <w:rFonts w:hint="eastAsia" w:ascii="宋体" w:hAnsi="宋体" w:eastAsia="宋体" w:cs="宋体"/>
                <w:b/>
                <w:bCs/>
                <w:color w:val="auto"/>
                <w:sz w:val="24"/>
                <w:szCs w:val="24"/>
                <w:highlight w:val="none"/>
              </w:rPr>
            </w:pPr>
            <w:bookmarkStart w:id="6" w:name="_Toc363135205"/>
            <w:bookmarkStart w:id="7" w:name="_Toc7366"/>
            <w:bookmarkStart w:id="8" w:name="OLE_LINK4"/>
            <w:r>
              <w:rPr>
                <w:rFonts w:hint="eastAsia" w:ascii="宋体" w:hAnsi="宋体" w:eastAsia="宋体" w:cs="宋体"/>
                <w:b/>
                <w:bCs/>
                <w:color w:val="auto"/>
                <w:sz w:val="24"/>
                <w:szCs w:val="24"/>
                <w:highlight w:val="none"/>
              </w:rPr>
              <w:t>异常低价情形认定</w:t>
            </w:r>
          </w:p>
        </w:tc>
        <w:tc>
          <w:tcPr>
            <w:tcW w:w="7547" w:type="dxa"/>
            <w:tcBorders>
              <w:top w:val="single" w:color="auto" w:sz="4" w:space="0"/>
              <w:left w:val="single" w:color="auto" w:sz="4" w:space="0"/>
              <w:bottom w:val="single" w:color="auto" w:sz="4" w:space="0"/>
              <w:right w:val="single" w:color="auto" w:sz="4" w:space="0"/>
            </w:tcBorders>
            <w:noWrap w:val="0"/>
            <w:vAlign w:val="center"/>
          </w:tcPr>
          <w:p w14:paraId="1F2D5C1B">
            <w:pPr>
              <w:pStyle w:val="91"/>
              <w:numPr>
                <w:ilvl w:val="0"/>
                <w:numId w:val="0"/>
              </w:numPr>
              <w:spacing w:line="240" w:lineRule="auto"/>
              <w:ind w:left="0" w:leftChars="0" w:firstLine="0" w:firstLineChars="0"/>
              <w:rPr>
                <w:rFonts w:hint="eastAsia"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投标（响应）供应商出现下列情形之一的，评审委员会将启动异常低价审查程序：</w:t>
            </w:r>
          </w:p>
          <w:p w14:paraId="0F0AEE2B">
            <w:pPr>
              <w:pStyle w:val="91"/>
              <w:numPr>
                <w:ilvl w:val="0"/>
                <w:numId w:val="0"/>
              </w:numPr>
              <w:spacing w:line="240" w:lineRule="auto"/>
              <w:ind w:left="0" w:leftChars="0" w:firstLine="0" w:firstLineChars="0"/>
              <w:rPr>
                <w:rFonts w:hint="eastAsia"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①投标（响应）报价低于全部通过符合性审查供应商报价平均值的 50%；</w:t>
            </w:r>
          </w:p>
          <w:p w14:paraId="7A59E8ED">
            <w:pPr>
              <w:pStyle w:val="91"/>
              <w:numPr>
                <w:ilvl w:val="0"/>
                <w:numId w:val="0"/>
              </w:numPr>
              <w:spacing w:line="240" w:lineRule="auto"/>
              <w:ind w:left="0" w:leftChars="0" w:firstLine="0" w:firstLineChars="0"/>
              <w:rPr>
                <w:rFonts w:hint="eastAsia"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②投标（响应）报价低于通过符合性审查次低报价的 50%；</w:t>
            </w:r>
          </w:p>
          <w:p w14:paraId="3B72D442">
            <w:pPr>
              <w:pStyle w:val="91"/>
              <w:numPr>
                <w:ilvl w:val="0"/>
                <w:numId w:val="0"/>
              </w:numPr>
              <w:spacing w:line="240" w:lineRule="auto"/>
              <w:ind w:left="0" w:leftChars="0" w:firstLine="0" w:firstLineChars="0"/>
              <w:rPr>
                <w:rFonts w:hint="eastAsia"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③投标（响应）报价低于本项目最高限价的 45%；</w:t>
            </w:r>
          </w:p>
          <w:p w14:paraId="0768F036">
            <w:pPr>
              <w:pStyle w:val="91"/>
              <w:numPr>
                <w:ilvl w:val="0"/>
                <w:numId w:val="0"/>
              </w:numPr>
              <w:spacing w:line="240" w:lineRule="auto"/>
              <w:ind w:left="0" w:leftChars="0" w:firstLine="0" w:firstLineChars="0"/>
              <w:rPr>
                <w:rFonts w:hint="eastAsia"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④评审委员会基于专业判断，认为报价过低可能影响项目履约质量、不能满足采购需求或无法诚信履约的其他情形。</w:t>
            </w:r>
          </w:p>
          <w:p w14:paraId="1F26F33B">
            <w:pPr>
              <w:pStyle w:val="91"/>
              <w:numPr>
                <w:ilvl w:val="0"/>
                <w:numId w:val="0"/>
              </w:numPr>
              <w:spacing w:line="240" w:lineRule="auto"/>
              <w:ind w:left="0" w:leftChars="0" w:firstLine="0" w:firstLineChars="0"/>
              <w:rPr>
                <w:rFonts w:hint="eastAsia"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4.审查要求及处理</w:t>
            </w:r>
          </w:p>
          <w:p w14:paraId="4704BBBD">
            <w:pPr>
              <w:pStyle w:val="91"/>
              <w:numPr>
                <w:ilvl w:val="0"/>
                <w:numId w:val="0"/>
              </w:numPr>
              <w:spacing w:line="240" w:lineRule="auto"/>
              <w:ind w:left="0" w:leftChars="0" w:firstLine="0" w:firstLineChars="0"/>
              <w:rPr>
                <w:rFonts w:hint="eastAsia"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被启动审查的供应商，须在合理时间内（不少于 30 分钟），就报价合理性提交书面说明，并提供项目成本测算明细、原材料采购意向协议、人工成本核算依据等可核验的证明材料。</w:t>
            </w:r>
          </w:p>
          <w:p w14:paraId="7EA538E5">
            <w:pPr>
              <w:shd w:val="clear" w:color="auto"/>
              <w:kinsoku/>
              <w:overflowPunct/>
              <w:topLinePunct w:val="0"/>
              <w:bidi w:val="0"/>
              <w:spacing w:line="5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rPr>
              <w:t>供应商未按要求提交说明及证明材料，或提交的材料无法有效证明报价合理性的，评审委员会将其投标（响应）作无效处理。</w:t>
            </w:r>
          </w:p>
        </w:tc>
      </w:tr>
    </w:tbl>
    <w:p w14:paraId="0A1CC154">
      <w:pPr>
        <w:pageBreakBefore/>
        <w:shd w:val="clear" w:color="auto"/>
        <w:kinsoku/>
        <w:overflowPunct/>
        <w:topLinePunct w:val="0"/>
        <w:bidi w:val="0"/>
        <w:spacing w:before="312" w:beforeLines="100" w:after="312" w:afterLines="100" w:line="240"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二、投标人须知</w:t>
      </w:r>
    </w:p>
    <w:p w14:paraId="0FE5D1F2">
      <w:pPr>
        <w:shd w:val="clear" w:color="auto"/>
        <w:kinsoku/>
        <w:overflowPunct/>
        <w:topLinePunct w:val="0"/>
        <w:bidi w:val="0"/>
        <w:spacing w:line="240" w:lineRule="auto"/>
        <w:jc w:val="center"/>
        <w:outlineLvl w:val="2"/>
        <w:rPr>
          <w:rFonts w:hint="eastAsia" w:ascii="宋体" w:hAnsi="宋体" w:eastAsia="宋体" w:cs="宋体"/>
          <w:color w:val="auto"/>
          <w:sz w:val="24"/>
          <w:szCs w:val="24"/>
          <w:highlight w:val="none"/>
        </w:rPr>
      </w:pPr>
      <w:bookmarkStart w:id="9" w:name="_Toc469495724"/>
      <w:r>
        <w:rPr>
          <w:rFonts w:hint="eastAsia" w:ascii="宋体" w:hAnsi="宋体" w:eastAsia="宋体" w:cs="宋体"/>
          <w:b/>
          <w:color w:val="auto"/>
          <w:sz w:val="24"/>
          <w:szCs w:val="24"/>
          <w:highlight w:val="none"/>
        </w:rPr>
        <w:t>（一）总  则</w:t>
      </w:r>
      <w:bookmarkEnd w:id="9"/>
    </w:p>
    <w:p w14:paraId="37ECBF5A">
      <w:pPr>
        <w:shd w:val="clear" w:color="auto"/>
        <w:kinsoku/>
        <w:overflowPunct/>
        <w:topLinePunct w:val="0"/>
        <w:bidi w:val="0"/>
        <w:snapToGrid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1.项目概况</w:t>
      </w:r>
    </w:p>
    <w:p w14:paraId="1400B6DC">
      <w:pPr>
        <w:shd w:val="clear" w:color="auto"/>
        <w:kinsoku/>
        <w:overflowPunct/>
        <w:topLinePunct w:val="0"/>
        <w:bidi w:val="0"/>
        <w:snapToGrid w:val="0"/>
        <w:spacing w:line="500" w:lineRule="exact"/>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1.1本次招标采购项目名称：见投标人须知前附表。</w:t>
      </w:r>
    </w:p>
    <w:p w14:paraId="51CDF878">
      <w:pPr>
        <w:shd w:val="clear" w:color="auto"/>
        <w:kinsoku/>
        <w:overflowPunct/>
        <w:topLinePunct w:val="0"/>
        <w:bidi w:val="0"/>
        <w:snapToGrid w:val="0"/>
        <w:spacing w:line="5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项目编号：见投标人须知前附表。</w:t>
      </w:r>
    </w:p>
    <w:p w14:paraId="13CD385F">
      <w:pPr>
        <w:shd w:val="clear" w:color="auto"/>
        <w:kinsoku/>
        <w:overflowPunct/>
        <w:topLinePunct w:val="0"/>
        <w:bidi w:val="0"/>
        <w:snapToGrid w:val="0"/>
        <w:spacing w:line="500" w:lineRule="exact"/>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招标人：见投标人须知前附表。</w:t>
      </w:r>
    </w:p>
    <w:p w14:paraId="1C0DE853">
      <w:pPr>
        <w:shd w:val="clear" w:color="auto"/>
        <w:kinsoku/>
        <w:overflowPunct/>
        <w:topLinePunct w:val="0"/>
        <w:bidi w:val="0"/>
        <w:snapToGrid w:val="0"/>
        <w:spacing w:line="500" w:lineRule="exact"/>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服务期限</w:t>
      </w:r>
      <w:r>
        <w:rPr>
          <w:rFonts w:hint="eastAsia" w:ascii="宋体" w:hAnsi="宋体" w:eastAsia="宋体" w:cs="宋体"/>
          <w:color w:val="auto"/>
          <w:sz w:val="24"/>
          <w:szCs w:val="24"/>
          <w:highlight w:val="none"/>
        </w:rPr>
        <w:t>：见投标人须知前附表。</w:t>
      </w:r>
    </w:p>
    <w:p w14:paraId="4EFF1A1F">
      <w:pPr>
        <w:shd w:val="clear" w:color="auto"/>
        <w:kinsoku/>
        <w:overflowPunct/>
        <w:topLinePunct w:val="0"/>
        <w:bidi w:val="0"/>
        <w:snapToGrid w:val="0"/>
        <w:spacing w:line="500" w:lineRule="exact"/>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地点：见投标人须知前附表。</w:t>
      </w:r>
    </w:p>
    <w:p w14:paraId="29128CBA">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1.2招标人及联系人: 见投标人须知前附表。</w:t>
      </w:r>
    </w:p>
    <w:p w14:paraId="0F085075">
      <w:pPr>
        <w:shd w:val="clear" w:color="auto"/>
        <w:kinsoku/>
        <w:overflowPunct/>
        <w:topLinePunct w:val="0"/>
        <w:bidi w:val="0"/>
        <w:snapToGrid w:val="0"/>
        <w:spacing w:line="500" w:lineRule="exact"/>
        <w:ind w:firstLine="600" w:firstLineChars="2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代理机构及联系人: 见投标人须知前附表。</w:t>
      </w:r>
    </w:p>
    <w:p w14:paraId="05D0703D">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1.3资金来源：见投标人须知前附表。</w:t>
      </w:r>
    </w:p>
    <w:p w14:paraId="046D9E6C">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1.4本项目预算：见投标人须知前附表。</w:t>
      </w:r>
    </w:p>
    <w:p w14:paraId="3C9CAC8F">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1.5本项目控制价：见投标人须知前附表。</w:t>
      </w:r>
    </w:p>
    <w:p w14:paraId="36ABC145">
      <w:pPr>
        <w:shd w:val="clear" w:color="auto"/>
        <w:kinsoku/>
        <w:overflowPunct/>
        <w:topLinePunct w:val="0"/>
        <w:bidi w:val="0"/>
        <w:snapToGrid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2.招标范围：</w:t>
      </w:r>
    </w:p>
    <w:p w14:paraId="1DAA1658">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 采购内容：见投标人须知前附表。</w:t>
      </w:r>
    </w:p>
    <w:p w14:paraId="48D90CFF">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技术要求：详见</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第四章采购内容及技术要求。</w:t>
      </w:r>
    </w:p>
    <w:p w14:paraId="389FDC0C">
      <w:pPr>
        <w:shd w:val="clear" w:color="auto"/>
        <w:kinsoku/>
        <w:overflowPunct/>
        <w:topLinePunct w:val="0"/>
        <w:bidi w:val="0"/>
        <w:snapToGrid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3.标包划分：</w:t>
      </w:r>
    </w:p>
    <w:p w14:paraId="5AABA1E3">
      <w:pPr>
        <w:shd w:val="clear" w:color="auto"/>
        <w:kinsoku/>
        <w:overflowPunct/>
        <w:topLinePunct w:val="0"/>
        <w:bidi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3.1本项目划分：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个包</w:t>
      </w:r>
      <w:r>
        <w:rPr>
          <w:rFonts w:hint="eastAsia" w:ascii="宋体" w:hAnsi="宋体" w:eastAsia="宋体" w:cs="宋体"/>
          <w:color w:val="auto"/>
          <w:kern w:val="0"/>
          <w:sz w:val="24"/>
          <w:szCs w:val="24"/>
          <w:highlight w:val="none"/>
        </w:rPr>
        <w:t>。</w:t>
      </w:r>
    </w:p>
    <w:p w14:paraId="1EA70EBB">
      <w:pPr>
        <w:shd w:val="clear" w:color="auto"/>
        <w:kinsoku/>
        <w:overflowPunct/>
        <w:topLinePunct w:val="0"/>
        <w:bidi w:val="0"/>
        <w:snapToGrid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4.招标方式：</w:t>
      </w:r>
    </w:p>
    <w:p w14:paraId="154692AB">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4.1本项目招标方式：见投标人须知前附表。</w:t>
      </w:r>
    </w:p>
    <w:p w14:paraId="187D36DD">
      <w:pPr>
        <w:shd w:val="clear" w:color="auto"/>
        <w:kinsoku/>
        <w:overflowPunct/>
        <w:topLinePunct w:val="0"/>
        <w:bidi w:val="0"/>
        <w:snapToGrid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5.计价方式：</w:t>
      </w:r>
    </w:p>
    <w:p w14:paraId="736B51E8">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5.1本次招标项目合同采用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总价合同</w:t>
      </w:r>
      <w:r>
        <w:rPr>
          <w:rFonts w:hint="eastAsia" w:ascii="宋体" w:hAnsi="宋体" w:eastAsia="宋体" w:cs="宋体"/>
          <w:color w:val="auto"/>
          <w:sz w:val="24"/>
          <w:szCs w:val="24"/>
          <w:highlight w:val="none"/>
          <w:u w:val="single"/>
        </w:rPr>
        <w:t>。</w:t>
      </w:r>
    </w:p>
    <w:p w14:paraId="4CD9B9AE">
      <w:pPr>
        <w:shd w:val="clear" w:color="auto"/>
        <w:kinsoku/>
        <w:overflowPunct/>
        <w:topLinePunct w:val="0"/>
        <w:bidi w:val="0"/>
        <w:snapToGrid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6.评标办法：</w:t>
      </w:r>
    </w:p>
    <w:p w14:paraId="787297C3">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6.1本次招标评标采用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综合评分</w:t>
      </w:r>
      <w:r>
        <w:rPr>
          <w:rFonts w:hint="eastAsia" w:ascii="宋体" w:hAnsi="宋体" w:eastAsia="宋体" w:cs="宋体"/>
          <w:color w:val="auto"/>
          <w:sz w:val="24"/>
          <w:szCs w:val="24"/>
          <w:highlight w:val="none"/>
          <w:u w:val="single"/>
        </w:rPr>
        <w:t xml:space="preserve">法 </w:t>
      </w:r>
      <w:r>
        <w:rPr>
          <w:rFonts w:hint="eastAsia" w:ascii="宋体" w:hAnsi="宋体" w:eastAsia="宋体" w:cs="宋体"/>
          <w:color w:val="auto"/>
          <w:sz w:val="24"/>
          <w:szCs w:val="24"/>
          <w:highlight w:val="none"/>
        </w:rPr>
        <w:t>（详见第三章评标办法）</w:t>
      </w:r>
    </w:p>
    <w:p w14:paraId="09406B5D">
      <w:pPr>
        <w:shd w:val="clear" w:color="auto"/>
        <w:kinsoku/>
        <w:overflowPunct/>
        <w:topLinePunct w:val="0"/>
        <w:bidi w:val="0"/>
        <w:snapToGrid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7.投标人资格：</w:t>
      </w:r>
    </w:p>
    <w:p w14:paraId="69563996">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7.1参与采购活动的投标人必须是满足《中华人民共和国政府采购法》规定条件的法人、其他组织或者自然人：</w:t>
      </w:r>
    </w:p>
    <w:p w14:paraId="605D8B5E">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7.2由于政府采购项目的差异性，投标人在参与具体政府采购项目活动时，应仔细阅读该项目的资质要求,具体见投标人须知前附表。</w:t>
      </w:r>
    </w:p>
    <w:p w14:paraId="47723FA4">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7.3根据电子化政府采购的特点，各</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在开标前应确保成为新疆维吾尔自治区政府采购网正式注册入库</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（已在政采云平台其他省份入驻的</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无须重复注册），并完成CA数字证书申领。因未注册入库、未办理CA数字证书等原因造成无法投标或投标失败等后果由</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自行承担。</w:t>
      </w:r>
    </w:p>
    <w:p w14:paraId="32F161AC">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7.4投标人必须确保自己在信息库中注册的信息真实、准确，并保证投标文件中的有关信息与库中的信息相一致。否则，投标人因此蒙受损失，招标人概不负责。</w:t>
      </w:r>
    </w:p>
    <w:p w14:paraId="59B91673">
      <w:pPr>
        <w:shd w:val="clear" w:color="auto"/>
        <w:kinsoku/>
        <w:overflowPunct/>
        <w:topLinePunct w:val="0"/>
        <w:bidi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投标费用</w:t>
      </w:r>
    </w:p>
    <w:p w14:paraId="3CA99432">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8.1投标人准备和参加投标活动发生的费用自理。</w:t>
      </w:r>
    </w:p>
    <w:p w14:paraId="646BBFB8">
      <w:pPr>
        <w:shd w:val="clear" w:color="auto"/>
        <w:kinsoku/>
        <w:overflowPunct/>
        <w:topLinePunct w:val="0"/>
        <w:bidi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w:t>
      </w:r>
      <w:bookmarkStart w:id="10" w:name="_Toc152042315"/>
      <w:bookmarkStart w:id="11" w:name="_Toc152045539"/>
      <w:bookmarkStart w:id="12" w:name="_Toc144974507"/>
      <w:bookmarkStart w:id="13" w:name="_Toc247592876"/>
      <w:bookmarkStart w:id="14" w:name="_Toc247513962"/>
      <w:bookmarkStart w:id="15" w:name="_Toc247527563"/>
      <w:bookmarkStart w:id="16" w:name="_Toc296602429"/>
      <w:r>
        <w:rPr>
          <w:rFonts w:hint="eastAsia" w:ascii="宋体" w:hAnsi="宋体" w:eastAsia="宋体" w:cs="宋体"/>
          <w:b/>
          <w:color w:val="auto"/>
          <w:sz w:val="24"/>
          <w:szCs w:val="24"/>
          <w:highlight w:val="none"/>
        </w:rPr>
        <w:t xml:space="preserve"> 踏勘现场</w:t>
      </w:r>
      <w:bookmarkEnd w:id="10"/>
      <w:bookmarkEnd w:id="11"/>
      <w:bookmarkEnd w:id="12"/>
      <w:bookmarkEnd w:id="13"/>
      <w:bookmarkEnd w:id="14"/>
      <w:bookmarkEnd w:id="15"/>
      <w:bookmarkEnd w:id="16"/>
    </w:p>
    <w:p w14:paraId="566A2041">
      <w:pPr>
        <w:shd w:val="clear" w:color="auto"/>
        <w:kinsoku/>
        <w:overflowPunct/>
        <w:topLinePunct w:val="0"/>
        <w:bidi w:val="0"/>
        <w:spacing w:line="500" w:lineRule="exact"/>
        <w:ind w:firstLine="468" w:firstLineChars="195"/>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9.1 投标人须知前附表规定组织踏勘现场的，招标人按投标人须知前附表规定的时间、地点</w:t>
      </w:r>
      <w:r>
        <w:rPr>
          <w:rFonts w:hint="eastAsia" w:ascii="宋体" w:hAnsi="宋体" w:eastAsia="宋体" w:cs="宋体"/>
          <w:b w:val="0"/>
          <w:bCs w:val="0"/>
          <w:color w:val="auto"/>
          <w:sz w:val="24"/>
          <w:szCs w:val="24"/>
          <w:highlight w:val="none"/>
        </w:rPr>
        <w:t>组织投标人踏勘项目现场。</w:t>
      </w:r>
      <w:r>
        <w:rPr>
          <w:rFonts w:hint="eastAsia" w:ascii="宋体" w:hAnsi="宋体" w:eastAsia="宋体" w:cs="宋体"/>
          <w:b w:val="0"/>
          <w:bCs w:val="0"/>
          <w:color w:val="auto"/>
          <w:sz w:val="24"/>
          <w:szCs w:val="24"/>
          <w:highlight w:val="none"/>
          <w:lang w:eastAsia="zh-CN"/>
        </w:rPr>
        <w:t>如需踏勘现场，投标人自行踏勘现场的，可咨询本项目招标人或招标代理机构联系人。投标人自行踏勘现场的，可咨询本项目招标人或招标代理机构联系人。</w:t>
      </w:r>
      <w:r>
        <w:rPr>
          <w:rFonts w:hint="eastAsia" w:ascii="宋体" w:hAnsi="宋体" w:eastAsia="宋体" w:cs="宋体"/>
          <w:b w:val="0"/>
          <w:bCs w:val="0"/>
          <w:color w:val="auto"/>
          <w:sz w:val="24"/>
          <w:szCs w:val="24"/>
          <w:highlight w:val="none"/>
        </w:rPr>
        <w:t xml:space="preserve"> </w:t>
      </w:r>
    </w:p>
    <w:p w14:paraId="6E4D08C1">
      <w:pPr>
        <w:shd w:val="clear" w:color="auto"/>
        <w:kinsoku/>
        <w:overflowPunct/>
        <w:topLinePunct w:val="0"/>
        <w:bidi w:val="0"/>
        <w:spacing w:line="500" w:lineRule="exact"/>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投标人踏勘现场发生的费用自理。</w:t>
      </w:r>
    </w:p>
    <w:p w14:paraId="4D47E69B">
      <w:pPr>
        <w:shd w:val="clear" w:color="auto"/>
        <w:kinsoku/>
        <w:overflowPunct/>
        <w:topLinePunct w:val="0"/>
        <w:bidi w:val="0"/>
        <w:spacing w:line="500" w:lineRule="exact"/>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除招标人的原因外，投标人自行负责在踏勘现场中所发生的人员伤亡和财产损失。</w:t>
      </w:r>
    </w:p>
    <w:p w14:paraId="05314F5B">
      <w:pPr>
        <w:shd w:val="clear" w:color="auto"/>
        <w:kinsoku/>
        <w:overflowPunct/>
        <w:topLinePunct w:val="0"/>
        <w:bidi w:val="0"/>
        <w:spacing w:line="500" w:lineRule="exact"/>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招标人在踏勘现场中介绍的场地和相关的周边环境情况，供投标人在编制投标文件时参考，招标人不对投标人据此作出的判断和决策负责。</w:t>
      </w:r>
      <w:bookmarkStart w:id="17" w:name="_Toc152042316"/>
      <w:bookmarkStart w:id="18" w:name="_Toc247513963"/>
      <w:bookmarkStart w:id="19" w:name="_Toc247592877"/>
      <w:bookmarkStart w:id="20" w:name="_Toc247527564"/>
      <w:bookmarkStart w:id="21" w:name="_Toc296602430"/>
      <w:bookmarkStart w:id="22" w:name="_Toc144974508"/>
      <w:bookmarkStart w:id="23" w:name="_Toc152045540"/>
    </w:p>
    <w:p w14:paraId="3C4BFD6E">
      <w:pPr>
        <w:shd w:val="clear" w:color="auto"/>
        <w:kinsoku/>
        <w:overflowPunct/>
        <w:topLinePunct w:val="0"/>
        <w:bidi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 投标预备会</w:t>
      </w:r>
      <w:bookmarkEnd w:id="17"/>
      <w:bookmarkEnd w:id="18"/>
      <w:bookmarkEnd w:id="19"/>
      <w:bookmarkEnd w:id="20"/>
      <w:bookmarkEnd w:id="21"/>
      <w:bookmarkEnd w:id="22"/>
      <w:bookmarkEnd w:id="23"/>
    </w:p>
    <w:p w14:paraId="551DDF8E">
      <w:pPr>
        <w:shd w:val="clear" w:color="auto"/>
        <w:kinsoku/>
        <w:overflowPunct/>
        <w:topLinePunct w:val="0"/>
        <w:bidi w:val="0"/>
        <w:spacing w:line="500" w:lineRule="exact"/>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10.1投标人须知前附表规定召开投标预备会的，招标人按投标人须知前附表规定的时间和地点召开投标预备会，澄清投标人提出的问题。</w:t>
      </w:r>
    </w:p>
    <w:p w14:paraId="11C5B4DD">
      <w:pPr>
        <w:shd w:val="clear" w:color="auto"/>
        <w:kinsoku/>
        <w:overflowPunct/>
        <w:topLinePunct w:val="0"/>
        <w:bidi w:val="0"/>
        <w:spacing w:line="500" w:lineRule="exact"/>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10.2投标人应在投标人须知前附表规定的时间前，将提出的问题送达招标人，以便招标人澄清。</w:t>
      </w:r>
    </w:p>
    <w:p w14:paraId="786D5098">
      <w:pPr>
        <w:shd w:val="clear" w:color="auto"/>
        <w:kinsoku/>
        <w:overflowPunct/>
        <w:topLinePunct w:val="0"/>
        <w:bidi w:val="0"/>
        <w:spacing w:line="500" w:lineRule="exact"/>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10.3招标人在投标人须知前附表规定的时间，将对投标人所提的问题进行澄清。该澄清内容为</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的组成部分。</w:t>
      </w:r>
    </w:p>
    <w:p w14:paraId="6D48FC88">
      <w:pPr>
        <w:shd w:val="clear" w:color="auto"/>
        <w:kinsoku/>
        <w:overflowPunct/>
        <w:topLinePunct w:val="0"/>
        <w:bidi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 联合</w:t>
      </w:r>
      <w:r>
        <w:rPr>
          <w:rFonts w:hint="eastAsia" w:ascii="宋体" w:hAnsi="宋体" w:eastAsia="宋体" w:cs="宋体"/>
          <w:b/>
          <w:color w:val="auto"/>
          <w:sz w:val="24"/>
          <w:szCs w:val="24"/>
          <w:highlight w:val="none"/>
          <w:lang w:eastAsia="zh-CN"/>
        </w:rPr>
        <w:t>体</w:t>
      </w:r>
      <w:r>
        <w:rPr>
          <w:rFonts w:hint="eastAsia" w:ascii="宋体" w:hAnsi="宋体" w:eastAsia="宋体" w:cs="宋体"/>
          <w:b/>
          <w:color w:val="auto"/>
          <w:sz w:val="24"/>
          <w:szCs w:val="24"/>
          <w:highlight w:val="none"/>
        </w:rPr>
        <w:t>投标</w:t>
      </w:r>
    </w:p>
    <w:p w14:paraId="492D6661">
      <w:pPr>
        <w:shd w:val="clear" w:color="auto"/>
        <w:kinsoku/>
        <w:overflowPunct/>
        <w:topLinePunct w:val="0"/>
        <w:bidi w:val="0"/>
        <w:spacing w:line="500" w:lineRule="exact"/>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14:paraId="08AC8FD9">
      <w:pPr>
        <w:shd w:val="clear" w:color="auto"/>
        <w:kinsoku/>
        <w:overflowPunct/>
        <w:topLinePunct w:val="0"/>
        <w:bidi w:val="0"/>
        <w:spacing w:line="500" w:lineRule="exact"/>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78EEB6CC">
      <w:pPr>
        <w:shd w:val="clear" w:color="auto"/>
        <w:kinsoku/>
        <w:overflowPunct/>
        <w:topLinePunct w:val="0"/>
        <w:bidi w:val="0"/>
        <w:spacing w:line="50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联合体应当确定其中一个单位为投标的全权代表，负责参加投标的一切事务，并承担投标及履约中应承担的全部责任与义务。</w:t>
      </w:r>
    </w:p>
    <w:p w14:paraId="59676381">
      <w:pPr>
        <w:pStyle w:val="17"/>
        <w:shd w:val="clear" w:color="auto"/>
        <w:kinsoku/>
        <w:overflowPunct/>
        <w:topLinePunct w:val="0"/>
        <w:bidi w:val="0"/>
        <w:spacing w:after="0" w:line="500" w:lineRule="exact"/>
        <w:ind w:left="0" w:leftChars="0"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联合体各方应当共同与招标人签订采购合同，就采购合同约定的事项对招标人承担连带责任。</w:t>
      </w:r>
    </w:p>
    <w:p w14:paraId="28B5A26F">
      <w:pPr>
        <w:shd w:val="clear" w:color="auto"/>
        <w:kinsoku/>
        <w:overflowPunct/>
        <w:topLinePunct w:val="0"/>
        <w:bidi w:val="0"/>
        <w:spacing w:line="500" w:lineRule="exact"/>
        <w:ind w:firstLine="470"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12.招标代理费</w:t>
      </w:r>
    </w:p>
    <w:p w14:paraId="120C20B7">
      <w:pPr>
        <w:shd w:val="clear" w:color="auto"/>
        <w:kinsoku/>
        <w:overflowPunct/>
        <w:topLinePunct w:val="0"/>
        <w:bidi w:val="0"/>
        <w:spacing w:line="500" w:lineRule="exact"/>
        <w:ind w:left="240" w:leftChars="100" w:firstLine="360" w:firstLineChars="15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12.1</w:t>
      </w:r>
      <w:r>
        <w:rPr>
          <w:rFonts w:hint="eastAsia" w:ascii="宋体" w:hAnsi="宋体" w:eastAsia="宋体" w:cs="宋体"/>
          <w:color w:val="auto"/>
          <w:kern w:val="2"/>
          <w:sz w:val="24"/>
          <w:szCs w:val="24"/>
          <w:highlight w:val="none"/>
          <w:lang w:val="en-US" w:eastAsia="zh-CN" w:bidi="ar-SA"/>
        </w:rPr>
        <w:t>中标单位在领取本项目中标通知书时，</w:t>
      </w:r>
      <w:r>
        <w:rPr>
          <w:rFonts w:hint="eastAsia" w:cs="Arial" w:asciiTheme="minorEastAsia" w:hAnsiTheme="minorEastAsia"/>
          <w:kern w:val="0"/>
          <w:sz w:val="24"/>
          <w:szCs w:val="24"/>
        </w:rPr>
        <w:t>本项目招标代理服务费依据《招标代理服务收费管理暂行办法》计价格[2002]1980号文件（发改办价格[2003]857号文件）及财库[2018]2号文件计取，由成交人向采购代理机构予以支付。</w:t>
      </w:r>
    </w:p>
    <w:p w14:paraId="0F4B6C61">
      <w:pPr>
        <w:shd w:val="clear" w:color="auto"/>
        <w:kinsoku/>
        <w:overflowPunct/>
        <w:topLinePunct w:val="0"/>
        <w:bidi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13.投标人应注意的事项</w:t>
      </w:r>
    </w:p>
    <w:p w14:paraId="058AE85D">
      <w:pPr>
        <w:shd w:val="clear" w:color="auto"/>
        <w:kinsoku/>
        <w:overflowPunct/>
        <w:topLinePunct w:val="0"/>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13.1投标人一旦按规定缴纳了投标保证金并参加投标，即被认为接受了本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文件中的所有条件和规定。投标人必须严格按</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的要求编制投标文件，投标文件宜编制页码和目录，以便评委审核。否则，由此产生的一切后果由投标人承担。</w:t>
      </w:r>
    </w:p>
    <w:p w14:paraId="0DBC4790">
      <w:pPr>
        <w:shd w:val="clear" w:color="auto"/>
        <w:kinsoku/>
        <w:overflowPunct/>
        <w:topLinePunct w:val="0"/>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投标人对采购内容中规定的技术参数、规格等要求必须完全响应或优于</w:t>
      </w:r>
      <w:r>
        <w:rPr>
          <w:rFonts w:hint="eastAsia" w:ascii="宋体" w:hAnsi="宋体" w:eastAsia="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中的要求。</w:t>
      </w:r>
    </w:p>
    <w:p w14:paraId="1AA172F4">
      <w:pPr>
        <w:shd w:val="clear" w:color="auto"/>
        <w:kinsoku/>
        <w:overflowPunct/>
        <w:topLinePunct w:val="0"/>
        <w:bidi w:val="0"/>
        <w:spacing w:line="500" w:lineRule="exact"/>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所有投标人的投标保证金都应在</w:t>
      </w:r>
      <w:r>
        <w:rPr>
          <w:rFonts w:hint="eastAsia" w:ascii="宋体" w:hAnsi="宋体" w:eastAsia="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规定的投标保证金缴纳截止日期前缴纳。</w:t>
      </w:r>
    </w:p>
    <w:p w14:paraId="2275DEA6">
      <w:pPr>
        <w:shd w:val="clear" w:color="auto"/>
        <w:kinsoku/>
        <w:overflowPunct/>
        <w:topLinePunct w:val="0"/>
        <w:bidi w:val="0"/>
        <w:spacing w:line="500" w:lineRule="exact"/>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单位负责人为同一人或者存在直接控股、管理关系的不同</w:t>
      </w:r>
      <w:r>
        <w:rPr>
          <w:rFonts w:hint="eastAsia" w:ascii="宋体" w:hAnsi="宋体" w:eastAsia="宋体" w:cs="宋体"/>
          <w:bCs/>
          <w:color w:val="auto"/>
          <w:sz w:val="24"/>
          <w:szCs w:val="24"/>
          <w:highlight w:val="none"/>
          <w:lang w:eastAsia="zh-CN"/>
        </w:rPr>
        <w:t>投标单位</w:t>
      </w:r>
      <w:r>
        <w:rPr>
          <w:rFonts w:hint="eastAsia" w:ascii="宋体" w:hAnsi="宋体" w:eastAsia="宋体" w:cs="宋体"/>
          <w:bCs/>
          <w:color w:val="auto"/>
          <w:sz w:val="24"/>
          <w:szCs w:val="24"/>
          <w:highlight w:val="none"/>
        </w:rPr>
        <w:t>，不得参加同一合同项下的政府采购活动。</w:t>
      </w:r>
      <w:r>
        <w:rPr>
          <w:rFonts w:hint="eastAsia" w:ascii="宋体" w:hAnsi="宋体" w:eastAsia="宋体" w:cs="宋体"/>
          <w:color w:val="auto"/>
          <w:sz w:val="24"/>
          <w:szCs w:val="24"/>
          <w:highlight w:val="none"/>
        </w:rPr>
        <w:t>为采购项目提供整体设计、规范编制或者项目管理、监理、检测等服务的</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，不得再参加该采购项目的其他采购活动。</w:t>
      </w:r>
    </w:p>
    <w:p w14:paraId="0FB33552">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13.</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本项目只接受</w:t>
      </w:r>
      <w:r>
        <w:rPr>
          <w:rFonts w:hint="eastAsia" w:ascii="宋体" w:hAnsi="宋体" w:eastAsia="宋体" w:cs="宋体"/>
          <w:color w:val="auto"/>
          <w:sz w:val="24"/>
          <w:szCs w:val="24"/>
          <w:highlight w:val="none"/>
        </w:rPr>
        <w:t>成为新疆维吾尔自治区政府采购网正式注册入库（已在政采云平台其他省份入驻的</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无须重复注册）并完成CA数字证书申领</w:t>
      </w:r>
      <w:r>
        <w:rPr>
          <w:rFonts w:hint="eastAsia" w:ascii="宋体" w:hAnsi="宋体" w:eastAsia="宋体" w:cs="宋体"/>
          <w:color w:val="auto"/>
          <w:sz w:val="24"/>
          <w:szCs w:val="24"/>
          <w:highlight w:val="none"/>
          <w:lang w:eastAsia="zh-CN"/>
        </w:rPr>
        <w:t>投标单位参与投标</w:t>
      </w:r>
      <w:r>
        <w:rPr>
          <w:rFonts w:hint="eastAsia" w:ascii="宋体" w:hAnsi="宋体" w:eastAsia="宋体" w:cs="宋体"/>
          <w:color w:val="auto"/>
          <w:sz w:val="24"/>
          <w:szCs w:val="24"/>
          <w:highlight w:val="none"/>
        </w:rPr>
        <w:t>。因未注册入库、未办理CA数字证书等原因造成无法投标或投标失败等后果由</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自行承担。</w:t>
      </w:r>
    </w:p>
    <w:p w14:paraId="2523C22B">
      <w:pPr>
        <w:shd w:val="clear" w:color="auto"/>
        <w:kinsoku/>
        <w:wordWrap w:val="0"/>
        <w:overflowPunct/>
        <w:topLinePunct w:val="0"/>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投标人被视为充分熟悉本招标项目所在地的与履行合同有关的各种情况，包括但不限于：</w:t>
      </w:r>
    </w:p>
    <w:p w14:paraId="1C479053">
      <w:pPr>
        <w:shd w:val="clear" w:color="auto"/>
        <w:kinsoku/>
        <w:overflowPunct/>
        <w:topLinePunct w:val="0"/>
        <w:bidi w:val="0"/>
        <w:spacing w:line="500" w:lineRule="exact"/>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（1）国家对本次投标货物和服务的生产、安装调试、验收、维修等有关法律、法规及行业管理标准；</w:t>
      </w:r>
    </w:p>
    <w:p w14:paraId="4B936513">
      <w:pPr>
        <w:shd w:val="clear" w:color="auto"/>
        <w:kinsoku/>
        <w:overflowPunct/>
        <w:topLinePunct w:val="0"/>
        <w:bidi w:val="0"/>
        <w:spacing w:line="500" w:lineRule="exact"/>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本地区</w:t>
      </w:r>
      <w:r>
        <w:rPr>
          <w:rFonts w:hint="eastAsia" w:ascii="宋体" w:hAnsi="宋体" w:eastAsia="宋体" w:cs="宋体"/>
          <w:bCs/>
          <w:color w:val="auto"/>
          <w:sz w:val="24"/>
          <w:szCs w:val="24"/>
          <w:highlight w:val="none"/>
        </w:rPr>
        <w:t>有关管理部门的相关规定；</w:t>
      </w:r>
    </w:p>
    <w:p w14:paraId="149EBB3F">
      <w:pPr>
        <w:shd w:val="clear" w:color="auto"/>
        <w:kinsoku/>
        <w:overflowPunct/>
        <w:topLinePunct w:val="0"/>
        <w:bidi w:val="0"/>
        <w:spacing w:line="500" w:lineRule="exact"/>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（3）招标人的相关场地情况、基础建设、电力供应情况及相关设计标准。</w:t>
      </w:r>
    </w:p>
    <w:p w14:paraId="4A71F253">
      <w:pPr>
        <w:shd w:val="clear" w:color="auto"/>
        <w:kinsoku/>
        <w:overflowPunct/>
        <w:topLinePunct w:val="0"/>
        <w:bidi w:val="0"/>
        <w:spacing w:line="500" w:lineRule="exact"/>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w:t>
      </w:r>
      <w:r>
        <w:rPr>
          <w:rFonts w:hint="eastAsia" w:ascii="宋体" w:hAnsi="宋体" w:eastAsia="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不再对上述情况进行描述。</w:t>
      </w:r>
    </w:p>
    <w:p w14:paraId="705CFED4">
      <w:pPr>
        <w:shd w:val="clear" w:color="auto"/>
        <w:kinsoku/>
        <w:overflowPunct/>
        <w:topLinePunct w:val="0"/>
        <w:bidi w:val="0"/>
        <w:spacing w:before="312" w:beforeLines="100" w:after="312" w:afterLines="100" w:line="500" w:lineRule="exact"/>
        <w:jc w:val="center"/>
        <w:outlineLvl w:val="2"/>
        <w:rPr>
          <w:rFonts w:hint="eastAsia" w:ascii="宋体" w:hAnsi="宋体" w:eastAsia="宋体" w:cs="宋体"/>
          <w:b/>
          <w:color w:val="auto"/>
          <w:sz w:val="24"/>
          <w:szCs w:val="24"/>
          <w:highlight w:val="none"/>
          <w:lang w:eastAsia="zh-CN"/>
        </w:rPr>
      </w:pPr>
      <w:bookmarkStart w:id="24" w:name="_Toc469495725"/>
      <w:r>
        <w:rPr>
          <w:rFonts w:hint="eastAsia" w:ascii="宋体" w:hAnsi="宋体" w:eastAsia="宋体" w:cs="宋体"/>
          <w:b/>
          <w:color w:val="auto"/>
          <w:sz w:val="24"/>
          <w:szCs w:val="24"/>
          <w:highlight w:val="none"/>
        </w:rPr>
        <w:t>（二）</w:t>
      </w:r>
      <w:bookmarkEnd w:id="24"/>
      <w:r>
        <w:rPr>
          <w:rFonts w:hint="eastAsia" w:ascii="宋体" w:hAnsi="宋体" w:eastAsia="宋体" w:cs="宋体"/>
          <w:b/>
          <w:color w:val="auto"/>
          <w:sz w:val="24"/>
          <w:szCs w:val="24"/>
          <w:highlight w:val="none"/>
          <w:lang w:eastAsia="zh-CN"/>
        </w:rPr>
        <w:t>招标文件</w:t>
      </w:r>
    </w:p>
    <w:p w14:paraId="3BF545BC">
      <w:pPr>
        <w:shd w:val="clear" w:color="auto"/>
        <w:kinsoku/>
        <w:overflowPunct/>
        <w:topLinePunct w:val="0"/>
        <w:bidi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15. </w:t>
      </w:r>
      <w:r>
        <w:rPr>
          <w:rFonts w:hint="eastAsia" w:ascii="宋体" w:hAnsi="宋体" w:eastAsia="宋体" w:cs="宋体"/>
          <w:b/>
          <w:color w:val="auto"/>
          <w:sz w:val="24"/>
          <w:szCs w:val="24"/>
          <w:highlight w:val="none"/>
          <w:lang w:eastAsia="zh-CN"/>
        </w:rPr>
        <w:t>采购文件</w:t>
      </w:r>
      <w:r>
        <w:rPr>
          <w:rFonts w:hint="eastAsia" w:ascii="宋体" w:hAnsi="宋体" w:eastAsia="宋体" w:cs="宋体"/>
          <w:b/>
          <w:color w:val="auto"/>
          <w:sz w:val="24"/>
          <w:szCs w:val="24"/>
          <w:highlight w:val="none"/>
        </w:rPr>
        <w:t>的编制依据</w:t>
      </w:r>
    </w:p>
    <w:p w14:paraId="14A8CCE7">
      <w:pPr>
        <w:shd w:val="clear" w:color="auto"/>
        <w:kinsoku/>
        <w:overflowPunct/>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根据《中华人民共和国政府采购法》、《政府采购货物和服务招标投标管理办法》和《中华人民共和国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w:t>
      </w:r>
      <w:r>
        <w:rPr>
          <w:rFonts w:hint="eastAsia" w:ascii="宋体" w:hAnsi="宋体" w:eastAsia="宋体" w:cs="宋体"/>
          <w:color w:val="auto"/>
          <w:spacing w:val="-2"/>
          <w:sz w:val="24"/>
          <w:szCs w:val="24"/>
          <w:highlight w:val="none"/>
        </w:rPr>
        <w:t>等相关法律法规和规章及部、省、市级规范性文件的规定，编制本</w:t>
      </w:r>
      <w:r>
        <w:rPr>
          <w:rFonts w:hint="eastAsia" w:ascii="宋体" w:hAnsi="宋体" w:eastAsia="宋体" w:cs="宋体"/>
          <w:color w:val="auto"/>
          <w:spacing w:val="-2"/>
          <w:sz w:val="24"/>
          <w:szCs w:val="24"/>
          <w:highlight w:val="none"/>
          <w:lang w:eastAsia="zh-CN"/>
        </w:rPr>
        <w:t>采购文件</w:t>
      </w:r>
      <w:r>
        <w:rPr>
          <w:rFonts w:hint="eastAsia" w:ascii="宋体" w:hAnsi="宋体" w:eastAsia="宋体" w:cs="宋体"/>
          <w:color w:val="auto"/>
          <w:spacing w:val="-2"/>
          <w:sz w:val="24"/>
          <w:szCs w:val="24"/>
          <w:highlight w:val="none"/>
        </w:rPr>
        <w:t>。</w:t>
      </w:r>
    </w:p>
    <w:p w14:paraId="4C8CB1A3">
      <w:pPr>
        <w:shd w:val="clear" w:color="auto"/>
        <w:kinsoku/>
        <w:overflowPunct/>
        <w:topLinePunct w:val="0"/>
        <w:bidi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16. </w:t>
      </w:r>
      <w:r>
        <w:rPr>
          <w:rFonts w:hint="eastAsia" w:ascii="宋体" w:hAnsi="宋体" w:eastAsia="宋体" w:cs="宋体"/>
          <w:b/>
          <w:color w:val="auto"/>
          <w:sz w:val="24"/>
          <w:szCs w:val="24"/>
          <w:highlight w:val="none"/>
          <w:lang w:eastAsia="zh-CN"/>
        </w:rPr>
        <w:t>采购文件</w:t>
      </w:r>
      <w:r>
        <w:rPr>
          <w:rFonts w:hint="eastAsia" w:ascii="宋体" w:hAnsi="宋体" w:eastAsia="宋体" w:cs="宋体"/>
          <w:b/>
          <w:color w:val="auto"/>
          <w:sz w:val="24"/>
          <w:szCs w:val="24"/>
          <w:highlight w:val="none"/>
        </w:rPr>
        <w:t>的组成</w:t>
      </w:r>
    </w:p>
    <w:p w14:paraId="08C0B0F8">
      <w:pPr>
        <w:shd w:val="clear" w:color="auto"/>
        <w:kinsoku/>
        <w:overflowPunct/>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16.1 </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包括内容：</w:t>
      </w:r>
    </w:p>
    <w:p w14:paraId="4AE7E63C">
      <w:pPr>
        <w:shd w:val="clear" w:color="auto"/>
        <w:kinsoku/>
        <w:overflowPunct/>
        <w:topLinePunct w:val="0"/>
        <w:bidi w:val="0"/>
        <w:spacing w:line="500" w:lineRule="exact"/>
        <w:ind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eastAsia="zh-CN"/>
        </w:rPr>
        <w:t>招</w:t>
      </w:r>
      <w:r>
        <w:rPr>
          <w:rFonts w:hint="eastAsia" w:ascii="宋体" w:hAnsi="宋体" w:eastAsia="宋体" w:cs="宋体"/>
          <w:color w:val="auto"/>
          <w:sz w:val="24"/>
          <w:szCs w:val="24"/>
          <w:highlight w:val="none"/>
        </w:rPr>
        <w:t>标公告</w:t>
      </w:r>
    </w:p>
    <w:p w14:paraId="251D33B7">
      <w:pPr>
        <w:shd w:val="clear" w:color="auto"/>
        <w:kinsoku/>
        <w:overflowPunct/>
        <w:topLinePunct w:val="0"/>
        <w:bidi w:val="0"/>
        <w:spacing w:line="500" w:lineRule="exact"/>
        <w:ind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投标须知</w:t>
      </w:r>
    </w:p>
    <w:p w14:paraId="5DC650EA">
      <w:pPr>
        <w:shd w:val="clear" w:color="auto"/>
        <w:kinsoku/>
        <w:overflowPunct/>
        <w:topLinePunct w:val="0"/>
        <w:bidi w:val="0"/>
        <w:spacing w:line="500" w:lineRule="exact"/>
        <w:ind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评标办法</w:t>
      </w:r>
    </w:p>
    <w:p w14:paraId="50F3A670">
      <w:pPr>
        <w:shd w:val="clear" w:color="auto"/>
        <w:kinsoku/>
        <w:overflowPunct/>
        <w:topLinePunct w:val="0"/>
        <w:bidi w:val="0"/>
        <w:spacing w:line="500" w:lineRule="exact"/>
        <w:ind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第四章  </w:t>
      </w:r>
      <w:r>
        <w:rPr>
          <w:rFonts w:hint="eastAsia" w:ascii="宋体" w:hAnsi="宋体" w:eastAsia="宋体" w:cs="宋体"/>
          <w:color w:val="auto"/>
          <w:sz w:val="24"/>
          <w:szCs w:val="24"/>
          <w:highlight w:val="none"/>
          <w:lang w:val="en-US" w:eastAsia="zh-CN"/>
        </w:rPr>
        <w:t>服务需求一览表</w:t>
      </w:r>
    </w:p>
    <w:p w14:paraId="19823309">
      <w:pPr>
        <w:shd w:val="clear" w:color="auto"/>
        <w:kinsoku/>
        <w:overflowPunct/>
        <w:topLinePunct w:val="0"/>
        <w:bidi w:val="0"/>
        <w:spacing w:line="500" w:lineRule="exact"/>
        <w:ind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合同条款及格式</w:t>
      </w:r>
    </w:p>
    <w:p w14:paraId="1154B85F">
      <w:pPr>
        <w:shd w:val="clear" w:color="auto"/>
        <w:kinsoku/>
        <w:overflowPunct/>
        <w:topLinePunct w:val="0"/>
        <w:bidi w:val="0"/>
        <w:spacing w:line="500" w:lineRule="exact"/>
        <w:ind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投标文件格式</w:t>
      </w:r>
    </w:p>
    <w:p w14:paraId="461F25E1">
      <w:pPr>
        <w:shd w:val="clear" w:color="auto"/>
        <w:kinsoku/>
        <w:overflowPunct/>
        <w:topLinePunct w:val="0"/>
        <w:bidi w:val="0"/>
        <w:spacing w:line="500" w:lineRule="exact"/>
        <w:ind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招标单位、招标代理机构对本文件的确认</w:t>
      </w:r>
    </w:p>
    <w:p w14:paraId="0B153DF5">
      <w:pPr>
        <w:shd w:val="clear" w:color="auto"/>
        <w:kinsoku/>
        <w:overflowPunct/>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16.2 除16.1内容外，招标答疑亦为</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的组成部分，对招标人和投标人起约束作用。</w:t>
      </w:r>
    </w:p>
    <w:p w14:paraId="18629E7C">
      <w:pPr>
        <w:pStyle w:val="2"/>
        <w:shd w:val="clear" w:color="auto"/>
        <w:kinsoku/>
        <w:wordWrap w:val="0"/>
        <w:overflowPunct/>
        <w:topLinePunct w:val="0"/>
        <w:bidi w:val="0"/>
        <w:spacing w:line="500" w:lineRule="exac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 xml:space="preserve">   16.3</w:t>
      </w:r>
      <w:r>
        <w:rPr>
          <w:rFonts w:hint="eastAsia" w:ascii="宋体" w:hAnsi="宋体" w:eastAsia="宋体" w:cs="宋体"/>
          <w:color w:val="auto"/>
          <w:sz w:val="24"/>
          <w:szCs w:val="24"/>
          <w:highlight w:val="none"/>
          <w:u w:val="none" w:color="auto"/>
        </w:rPr>
        <w:t>投标人应仔细阅读和检查</w:t>
      </w:r>
      <w:r>
        <w:rPr>
          <w:rFonts w:hint="eastAsia" w:ascii="宋体" w:hAnsi="宋体" w:eastAsia="宋体" w:cs="宋体"/>
          <w:color w:val="auto"/>
          <w:sz w:val="24"/>
          <w:szCs w:val="24"/>
          <w:highlight w:val="none"/>
          <w:u w:val="none" w:color="auto"/>
          <w:lang w:eastAsia="zh-CN"/>
        </w:rPr>
        <w:t>采购文件</w:t>
      </w:r>
      <w:r>
        <w:rPr>
          <w:rFonts w:hint="eastAsia" w:ascii="宋体" w:hAnsi="宋体" w:eastAsia="宋体" w:cs="宋体"/>
          <w:color w:val="auto"/>
          <w:sz w:val="24"/>
          <w:szCs w:val="24"/>
          <w:highlight w:val="none"/>
          <w:u w:val="none" w:color="auto"/>
        </w:rPr>
        <w:t>的全部内容。如发现缺页或附件不全，应及时向招标人提出，以便补齐。如有疑问，投标人应在</w:t>
      </w:r>
      <w:r>
        <w:rPr>
          <w:rFonts w:hint="eastAsia" w:ascii="宋体" w:hAnsi="宋体" w:eastAsia="宋体" w:cs="宋体"/>
          <w:color w:val="auto"/>
          <w:sz w:val="24"/>
          <w:szCs w:val="24"/>
          <w:highlight w:val="none"/>
        </w:rPr>
        <w:t>以书面形式一次性向</w:t>
      </w:r>
      <w:r>
        <w:rPr>
          <w:rFonts w:hint="eastAsia"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w:t>
      </w:r>
      <w:r>
        <w:rPr>
          <w:rFonts w:hint="eastAsia" w:hAnsi="宋体" w:eastAsia="宋体" w:cs="宋体"/>
          <w:color w:val="auto"/>
          <w:sz w:val="24"/>
          <w:szCs w:val="24"/>
          <w:highlight w:val="none"/>
          <w:lang w:eastAsia="zh-CN"/>
        </w:rPr>
        <w:t>招标代理</w:t>
      </w:r>
      <w:r>
        <w:rPr>
          <w:rFonts w:hint="eastAsia" w:ascii="宋体" w:hAnsi="宋体" w:eastAsia="宋体" w:cs="宋体"/>
          <w:color w:val="auto"/>
          <w:sz w:val="24"/>
          <w:szCs w:val="24"/>
          <w:highlight w:val="none"/>
        </w:rPr>
        <w:t>机构提出同一环节的质疑</w:t>
      </w:r>
      <w:r>
        <w:rPr>
          <w:rFonts w:hint="eastAsia" w:ascii="宋体" w:hAnsi="宋体" w:eastAsia="宋体" w:cs="宋体"/>
          <w:color w:val="auto"/>
          <w:sz w:val="24"/>
          <w:szCs w:val="24"/>
          <w:highlight w:val="none"/>
          <w:u w:val="none" w:color="auto"/>
        </w:rPr>
        <w:t>。</w:t>
      </w:r>
    </w:p>
    <w:p w14:paraId="705C0623">
      <w:pPr>
        <w:shd w:val="clear" w:color="auto"/>
        <w:kinsoku/>
        <w:wordWrap w:val="0"/>
        <w:overflowPunct/>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16.4</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招标代理</w:t>
      </w:r>
      <w:r>
        <w:rPr>
          <w:rFonts w:hint="eastAsia" w:ascii="宋体" w:hAnsi="宋体" w:eastAsia="宋体" w:cs="宋体"/>
          <w:color w:val="auto"/>
          <w:sz w:val="24"/>
          <w:szCs w:val="24"/>
          <w:highlight w:val="none"/>
        </w:rPr>
        <w:t>机构提出同一环节的质疑。否则，被质疑人可不予接受。质疑</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招标代理</w:t>
      </w:r>
      <w:r>
        <w:rPr>
          <w:rFonts w:hint="eastAsia" w:ascii="宋体" w:hAnsi="宋体" w:eastAsia="宋体" w:cs="宋体"/>
          <w:color w:val="auto"/>
          <w:sz w:val="24"/>
          <w:szCs w:val="24"/>
          <w:highlight w:val="none"/>
        </w:rPr>
        <w:t>机构的答复不满意或者</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招标代理</w:t>
      </w:r>
      <w:r>
        <w:rPr>
          <w:rFonts w:hint="eastAsia" w:ascii="宋体" w:hAnsi="宋体" w:eastAsia="宋体" w:cs="宋体"/>
          <w:color w:val="auto"/>
          <w:sz w:val="24"/>
          <w:szCs w:val="24"/>
          <w:highlight w:val="none"/>
        </w:rPr>
        <w:t>机构未在规定的时间内作出答复的，可以在答复期满后十五个工作日内向同级政府采购监督管理部门投诉。质疑函范本、投诉书范本请到政府采购网下载专区下载。</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的澄清将在</w:t>
      </w:r>
      <w:r>
        <w:rPr>
          <w:rFonts w:hint="eastAsia" w:ascii="宋体" w:hAnsi="宋体" w:eastAsia="宋体" w:cs="宋体"/>
          <w:color w:val="auto"/>
          <w:sz w:val="24"/>
          <w:szCs w:val="24"/>
          <w:highlight w:val="none"/>
          <w:lang w:eastAsia="zh-CN"/>
        </w:rPr>
        <w:t>政采云平台“更正公告”栏目予以公告</w:t>
      </w:r>
      <w:r>
        <w:rPr>
          <w:rFonts w:hint="eastAsia" w:ascii="宋体" w:hAnsi="宋体" w:eastAsia="宋体" w:cs="宋体"/>
          <w:color w:val="auto"/>
          <w:sz w:val="24"/>
          <w:szCs w:val="24"/>
          <w:highlight w:val="none"/>
        </w:rPr>
        <w:t>，但不指明澄清问题的来源。如果澄清内容影响投标文件编制的，将相应延长投标截止时间。</w:t>
      </w:r>
    </w:p>
    <w:p w14:paraId="23E3F84B">
      <w:pPr>
        <w:shd w:val="clear" w:color="auto"/>
        <w:kinsoku/>
        <w:overflowPunct/>
        <w:topLinePunct w:val="0"/>
        <w:bidi w:val="0"/>
        <w:spacing w:line="50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17. </w:t>
      </w:r>
      <w:r>
        <w:rPr>
          <w:rFonts w:hint="eastAsia" w:ascii="宋体" w:hAnsi="宋体" w:eastAsia="宋体" w:cs="宋体"/>
          <w:b/>
          <w:bCs/>
          <w:color w:val="auto"/>
          <w:sz w:val="24"/>
          <w:szCs w:val="24"/>
          <w:highlight w:val="none"/>
          <w:lang w:eastAsia="zh-CN"/>
        </w:rPr>
        <w:t>采购文件</w:t>
      </w:r>
      <w:r>
        <w:rPr>
          <w:rFonts w:hint="eastAsia" w:ascii="宋体" w:hAnsi="宋体" w:eastAsia="宋体" w:cs="宋体"/>
          <w:b/>
          <w:bCs/>
          <w:color w:val="auto"/>
          <w:sz w:val="24"/>
          <w:szCs w:val="24"/>
          <w:highlight w:val="none"/>
        </w:rPr>
        <w:t>的修改、补充、解释</w:t>
      </w:r>
    </w:p>
    <w:p w14:paraId="5520CE9B">
      <w:pPr>
        <w:shd w:val="clear" w:color="auto"/>
        <w:kinsoku/>
        <w:wordWrap w:val="0"/>
        <w:overflowPunct/>
        <w:topLinePunct w:val="0"/>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发出后，招标人在规定的投标截止时间前可对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进行必要的修改和补充，并以</w:t>
      </w:r>
      <w:r>
        <w:rPr>
          <w:rFonts w:hint="eastAsia" w:ascii="宋体" w:hAnsi="宋体" w:eastAsia="宋体" w:cs="宋体"/>
          <w:color w:val="auto"/>
          <w:sz w:val="24"/>
          <w:szCs w:val="24"/>
          <w:highlight w:val="none"/>
          <w:lang w:eastAsia="zh-CN"/>
        </w:rPr>
        <w:t>更正</w:t>
      </w:r>
      <w:r>
        <w:rPr>
          <w:rFonts w:hint="eastAsia" w:ascii="宋体" w:hAnsi="宋体" w:eastAsia="宋体" w:cs="宋体"/>
          <w:color w:val="auto"/>
          <w:sz w:val="24"/>
          <w:szCs w:val="24"/>
          <w:highlight w:val="none"/>
        </w:rPr>
        <w:t>公告形式在</w:t>
      </w:r>
      <w:r>
        <w:rPr>
          <w:rFonts w:hint="eastAsia" w:ascii="宋体" w:hAnsi="宋体" w:eastAsia="宋体" w:cs="宋体"/>
          <w:color w:val="auto"/>
          <w:sz w:val="24"/>
          <w:szCs w:val="24"/>
          <w:highlight w:val="none"/>
          <w:lang w:eastAsia="zh-CN"/>
        </w:rPr>
        <w:t>政采云平台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更正公告</w:t>
      </w:r>
      <w:r>
        <w:rPr>
          <w:rFonts w:hint="eastAsia" w:ascii="宋体" w:hAnsi="宋体" w:eastAsia="宋体" w:cs="宋体"/>
          <w:color w:val="auto"/>
          <w:sz w:val="24"/>
          <w:szCs w:val="24"/>
          <w:highlight w:val="none"/>
        </w:rPr>
        <w:t>”栏目予以公告，请各位投标人注意查看有关澄清内容，如不及时查看造成后果由投标人自负。</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的修改、补充等内容作为</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的组成部分，具有约束作用。</w:t>
      </w:r>
    </w:p>
    <w:p w14:paraId="43A6AC91">
      <w:pPr>
        <w:shd w:val="clear" w:color="auto"/>
        <w:kinsoku/>
        <w:wordWrap w:val="0"/>
        <w:overflowPunct/>
        <w:topLinePunct w:val="0"/>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17.2 </w:t>
      </w:r>
      <w:r>
        <w:rPr>
          <w:rFonts w:hint="eastAsia" w:ascii="宋体" w:hAnsi="宋体" w:eastAsia="宋体" w:cs="宋体"/>
          <w:color w:val="auto"/>
          <w:sz w:val="24"/>
          <w:szCs w:val="24"/>
          <w:highlight w:val="none"/>
          <w:lang w:eastAsia="zh-CN"/>
        </w:rPr>
        <w:t>招标代理</w:t>
      </w:r>
      <w:r>
        <w:rPr>
          <w:rFonts w:hint="eastAsia" w:ascii="宋体" w:hAnsi="宋体" w:eastAsia="宋体" w:cs="宋体"/>
          <w:color w:val="auto"/>
          <w:sz w:val="24"/>
          <w:szCs w:val="24"/>
          <w:highlight w:val="none"/>
        </w:rPr>
        <w:t xml:space="preserve">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14:paraId="1BBD0024">
      <w:pPr>
        <w:shd w:val="clear" w:color="auto"/>
        <w:kinsoku/>
        <w:wordWrap w:val="0"/>
        <w:overflowPunct/>
        <w:topLinePunct w:val="0"/>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17.</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在规定的时间内未对采购文件提出疑问、质疑或要求澄清的，将视其为无异议。</w:t>
      </w:r>
    </w:p>
    <w:p w14:paraId="6BBAA102">
      <w:pPr>
        <w:shd w:val="clear" w:color="auto"/>
        <w:kinsoku/>
        <w:overflowPunct/>
        <w:topLinePunct w:val="0"/>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的解释</w:t>
      </w:r>
    </w:p>
    <w:p w14:paraId="33615C3B">
      <w:pPr>
        <w:shd w:val="clear" w:color="auto"/>
        <w:kinsoku/>
        <w:overflowPunct/>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由招标人（或其委托的招标代理机构）负责解释。</w:t>
      </w:r>
    </w:p>
    <w:p w14:paraId="6049FBF6">
      <w:pPr>
        <w:shd w:val="clear" w:color="auto"/>
        <w:kinsoku/>
        <w:overflowPunct/>
        <w:topLinePunct w:val="0"/>
        <w:bidi w:val="0"/>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18. </w:t>
      </w:r>
      <w:r>
        <w:rPr>
          <w:rFonts w:hint="eastAsia" w:ascii="宋体" w:hAnsi="宋体" w:eastAsia="宋体" w:cs="宋体"/>
          <w:b/>
          <w:color w:val="auto"/>
          <w:sz w:val="24"/>
          <w:szCs w:val="24"/>
          <w:highlight w:val="none"/>
          <w:lang w:eastAsia="zh-CN"/>
        </w:rPr>
        <w:t>采购文件</w:t>
      </w:r>
      <w:r>
        <w:rPr>
          <w:rFonts w:hint="eastAsia" w:ascii="宋体" w:hAnsi="宋体" w:eastAsia="宋体" w:cs="宋体"/>
          <w:b/>
          <w:color w:val="auto"/>
          <w:sz w:val="24"/>
          <w:szCs w:val="24"/>
          <w:highlight w:val="none"/>
        </w:rPr>
        <w:t>的发出</w:t>
      </w:r>
    </w:p>
    <w:p w14:paraId="20F700E5">
      <w:pPr>
        <w:shd w:val="clear" w:color="auto"/>
        <w:kinsoku/>
        <w:overflowPunct/>
        <w:topLinePunct w:val="0"/>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18.1  </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的澄清、修改、补充及招标答疑等均应报</w:t>
      </w:r>
      <w:r>
        <w:rPr>
          <w:rFonts w:hint="eastAsia" w:ascii="宋体" w:hAnsi="宋体" w:eastAsia="宋体" w:cs="宋体"/>
          <w:color w:val="auto"/>
          <w:sz w:val="24"/>
          <w:szCs w:val="24"/>
          <w:highlight w:val="none"/>
          <w:lang w:eastAsia="zh-CN"/>
        </w:rPr>
        <w:t>相关部门</w:t>
      </w:r>
      <w:r>
        <w:rPr>
          <w:rFonts w:hint="eastAsia" w:ascii="宋体" w:hAnsi="宋体" w:eastAsia="宋体" w:cs="宋体"/>
          <w:color w:val="auto"/>
          <w:sz w:val="24"/>
          <w:szCs w:val="24"/>
          <w:highlight w:val="none"/>
        </w:rPr>
        <w:t>备案后，方可发出。</w:t>
      </w:r>
    </w:p>
    <w:p w14:paraId="2EE50194">
      <w:pPr>
        <w:shd w:val="clear" w:color="auto"/>
        <w:kinsoku/>
        <w:overflowPunct/>
        <w:topLinePunct w:val="0"/>
        <w:bidi w:val="0"/>
        <w:spacing w:line="500" w:lineRule="exact"/>
        <w:ind w:firstLine="420"/>
        <w:rPr>
          <w:rFonts w:hint="eastAsia" w:ascii="宋体" w:hAnsi="宋体" w:eastAsia="宋体" w:cs="宋体"/>
          <w:color w:val="auto"/>
          <w:sz w:val="24"/>
          <w:szCs w:val="24"/>
          <w:highlight w:val="none"/>
        </w:rPr>
      </w:pPr>
      <w:bookmarkStart w:id="25" w:name="_Toc469495726"/>
      <w:r>
        <w:rPr>
          <w:rFonts w:hint="eastAsia" w:ascii="宋体" w:hAnsi="宋体" w:eastAsia="宋体" w:cs="宋体"/>
          <w:b/>
          <w:color w:val="auto"/>
          <w:sz w:val="24"/>
          <w:szCs w:val="24"/>
          <w:highlight w:val="none"/>
        </w:rPr>
        <w:t xml:space="preserve">19. </w:t>
      </w:r>
      <w:r>
        <w:rPr>
          <w:rFonts w:hint="eastAsia" w:ascii="宋体" w:hAnsi="宋体" w:eastAsia="宋体" w:cs="宋体"/>
          <w:color w:val="auto"/>
          <w:sz w:val="24"/>
          <w:szCs w:val="24"/>
          <w:highlight w:val="none"/>
        </w:rPr>
        <w:t>凡需要设置样品情形时，必须明确是否需要随样品提交检测报告，并明确检测机构的要求、检测内容、</w:t>
      </w:r>
      <w:r>
        <w:rPr>
          <w:rFonts w:hint="eastAsia" w:ascii="宋体" w:hAnsi="宋体" w:eastAsia="宋体" w:cs="宋体"/>
          <w:b w:val="0"/>
          <w:bCs w:val="0"/>
          <w:color w:val="auto"/>
          <w:sz w:val="24"/>
          <w:szCs w:val="24"/>
          <w:highlight w:val="none"/>
        </w:rPr>
        <w:t>中标样品封存</w:t>
      </w:r>
      <w:r>
        <w:rPr>
          <w:rFonts w:hint="eastAsia" w:ascii="宋体" w:hAnsi="宋体" w:eastAsia="宋体" w:cs="宋体"/>
          <w:color w:val="auto"/>
          <w:sz w:val="24"/>
          <w:szCs w:val="24"/>
          <w:highlight w:val="none"/>
        </w:rPr>
        <w:t>等事项。</w:t>
      </w:r>
    </w:p>
    <w:p w14:paraId="0974C737">
      <w:pPr>
        <w:shd w:val="clear" w:color="auto"/>
        <w:kinsoku/>
        <w:overflowPunct/>
        <w:topLinePunct w:val="0"/>
        <w:bidi w:val="0"/>
        <w:spacing w:before="312" w:beforeLines="100" w:after="312" w:afterLines="100" w:line="500" w:lineRule="exact"/>
        <w:jc w:val="center"/>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（三）投标文件的编制</w:t>
      </w:r>
      <w:bookmarkEnd w:id="25"/>
    </w:p>
    <w:p w14:paraId="7F33E5EA">
      <w:pPr>
        <w:shd w:val="clear" w:color="auto"/>
        <w:kinsoku/>
        <w:overflowPunct/>
        <w:topLinePunct w:val="0"/>
        <w:bidi w:val="0"/>
        <w:spacing w:line="500" w:lineRule="exact"/>
        <w:ind w:firstLine="348" w:firstLineChars="14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 投标的语言及度量衡单位</w:t>
      </w:r>
    </w:p>
    <w:p w14:paraId="0C082300">
      <w:pPr>
        <w:shd w:val="clear" w:color="auto"/>
        <w:kinsoku/>
        <w:overflowPunct/>
        <w:topLinePunct w:val="0"/>
        <w:bidi w:val="0"/>
        <w:spacing w:line="500" w:lineRule="exact"/>
        <w:ind w:firstLine="324" w:firstLineChars="1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14:paraId="3F147274">
      <w:pPr>
        <w:shd w:val="clear" w:color="auto"/>
        <w:kinsoku/>
        <w:overflowPunct/>
        <w:topLinePunct w:val="0"/>
        <w:bidi w:val="0"/>
        <w:spacing w:line="500" w:lineRule="exact"/>
        <w:ind w:firstLine="324" w:firstLineChars="1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20.2除</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中另有规定外，投标书所使用的度量衡均须采用法定计量单位。</w:t>
      </w:r>
    </w:p>
    <w:p w14:paraId="34384BD8">
      <w:pPr>
        <w:shd w:val="clear" w:color="auto"/>
        <w:kinsoku/>
        <w:overflowPunct/>
        <w:topLinePunct w:val="0"/>
        <w:bidi w:val="0"/>
        <w:spacing w:line="500" w:lineRule="exact"/>
        <w:ind w:firstLine="475" w:firstLineChars="19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投标文件的组成</w:t>
      </w:r>
    </w:p>
    <w:p w14:paraId="49569890">
      <w:pPr>
        <w:shd w:val="clear" w:color="auto"/>
        <w:kinsoku/>
        <w:overflowPunct/>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商务及技术文件</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部分。</w:t>
      </w:r>
    </w:p>
    <w:p w14:paraId="27302579">
      <w:pPr>
        <w:shd w:val="clear" w:color="auto"/>
        <w:kinsoku/>
        <w:overflowPunct/>
        <w:topLinePunct w:val="0"/>
        <w:bidi w:val="0"/>
        <w:spacing w:line="500" w:lineRule="exact"/>
        <w:ind w:firstLine="352" w:firstLineChars="147"/>
        <w:rPr>
          <w:rFonts w:hint="eastAsia" w:ascii="宋体" w:hAnsi="宋体" w:eastAsia="宋体" w:cs="宋体"/>
          <w:color w:val="auto"/>
          <w:spacing w:val="0"/>
          <w:w w:val="100"/>
          <w:kern w:val="0"/>
          <w:position w:val="0"/>
          <w:sz w:val="24"/>
          <w:szCs w:val="24"/>
          <w:highlight w:val="none"/>
          <w:shd w:val="clear" w:color="auto" w:fill="auto"/>
          <w:lang w:val="en-US" w:eastAsia="zh-CN" w:bidi="en-US"/>
        </w:rPr>
      </w:pPr>
      <w:r>
        <w:rPr>
          <w:rFonts w:hint="eastAsia" w:ascii="宋体" w:hAnsi="宋体" w:eastAsia="宋体" w:cs="宋体"/>
          <w:b/>
          <w:color w:val="auto"/>
          <w:sz w:val="24"/>
          <w:szCs w:val="24"/>
          <w:highlight w:val="none"/>
        </w:rPr>
        <w:t>21.</w:t>
      </w:r>
      <w:r>
        <w:rPr>
          <w:rFonts w:hint="eastAsia" w:ascii="宋体" w:hAnsi="宋体" w:eastAsia="宋体" w:cs="宋体"/>
          <w:b/>
          <w:color w:val="auto"/>
          <w:sz w:val="24"/>
          <w:szCs w:val="24"/>
          <w:highlight w:val="none"/>
          <w:lang w:val="en-US" w:eastAsia="zh-CN"/>
        </w:rPr>
        <w:t>1商务及技术文件</w:t>
      </w:r>
      <w:r>
        <w:rPr>
          <w:rFonts w:hint="eastAsia" w:ascii="宋体" w:hAnsi="宋体" w:eastAsia="宋体" w:cs="宋体"/>
          <w:b/>
          <w:color w:val="auto"/>
          <w:sz w:val="24"/>
          <w:szCs w:val="24"/>
          <w:highlight w:val="none"/>
          <w:lang w:eastAsia="zh-CN"/>
        </w:rPr>
        <w:t>（包括但不限于）</w:t>
      </w:r>
    </w:p>
    <w:p w14:paraId="204E09F4">
      <w:pPr>
        <w:shd w:val="clear" w:color="auto"/>
        <w:kinsoku/>
        <w:overflowPunct/>
        <w:topLinePunct w:val="0"/>
        <w:bidi w:val="0"/>
        <w:spacing w:line="500" w:lineRule="exact"/>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第一部分　商务部分</w:t>
      </w:r>
    </w:p>
    <w:p w14:paraId="1F1B353D">
      <w:pPr>
        <w:shd w:val="clear" w:color="auto"/>
        <w:kinsoku/>
        <w:overflowPunct/>
        <w:topLinePunct w:val="0"/>
        <w:bidi w:val="0"/>
        <w:spacing w:line="500" w:lineRule="exact"/>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一、投标函(格式附后)</w:t>
      </w:r>
    </w:p>
    <w:p w14:paraId="5BA2B6BE">
      <w:pPr>
        <w:shd w:val="clear" w:color="auto"/>
        <w:kinsoku/>
        <w:overflowPunct/>
        <w:topLinePunct w:val="0"/>
        <w:bidi w:val="0"/>
        <w:spacing w:line="500" w:lineRule="exact"/>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　法定代表人身份证明复印件(法定代表人参加投标)</w:t>
      </w:r>
    </w:p>
    <w:p w14:paraId="2043A856">
      <w:pPr>
        <w:shd w:val="clear" w:color="auto"/>
        <w:kinsoku/>
        <w:overflowPunct/>
        <w:topLinePunct w:val="0"/>
        <w:bidi w:val="0"/>
        <w:spacing w:line="500" w:lineRule="exact"/>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　法定代表人授权书(授权代表参加投标)</w:t>
      </w:r>
    </w:p>
    <w:p w14:paraId="62F04559">
      <w:pPr>
        <w:shd w:val="clear" w:color="auto"/>
        <w:kinsoku/>
        <w:overflowPunct/>
        <w:topLinePunct w:val="0"/>
        <w:bidi w:val="0"/>
        <w:spacing w:line="500" w:lineRule="exact"/>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二、开标一览表(格式附后)</w:t>
      </w:r>
    </w:p>
    <w:p w14:paraId="741C130B">
      <w:pPr>
        <w:shd w:val="clear" w:color="auto"/>
        <w:kinsoku/>
        <w:overflowPunct/>
        <w:topLinePunct w:val="0"/>
        <w:bidi w:val="0"/>
        <w:spacing w:line="500" w:lineRule="exact"/>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三、商务条款偏离表(格式附后)</w:t>
      </w:r>
    </w:p>
    <w:p w14:paraId="709BD553">
      <w:pPr>
        <w:shd w:val="clear" w:color="auto"/>
        <w:kinsoku/>
        <w:overflowPunct/>
        <w:topLinePunct w:val="0"/>
        <w:bidi w:val="0"/>
        <w:spacing w:line="500" w:lineRule="exact"/>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四、投标保证金(格式附后)</w:t>
      </w:r>
    </w:p>
    <w:p w14:paraId="6086EAE6">
      <w:pPr>
        <w:shd w:val="clear" w:color="auto"/>
        <w:kinsoku/>
        <w:overflowPunct/>
        <w:topLinePunct w:val="0"/>
        <w:bidi w:val="0"/>
        <w:spacing w:line="500" w:lineRule="exact"/>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基本情况表(附件5－1)</w:t>
      </w:r>
    </w:p>
    <w:p w14:paraId="33BD50B4">
      <w:pPr>
        <w:shd w:val="clear" w:color="auto"/>
        <w:kinsoku/>
        <w:overflowPunct/>
        <w:topLinePunct w:val="0"/>
        <w:bidi w:val="0"/>
        <w:spacing w:line="500" w:lineRule="exact"/>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六、提供符合政府采购政策的证明材料</w:t>
      </w:r>
    </w:p>
    <w:p w14:paraId="2FDE3557">
      <w:pPr>
        <w:shd w:val="clear" w:color="auto"/>
        <w:kinsoku/>
        <w:overflowPunct/>
        <w:topLinePunct w:val="0"/>
        <w:bidi w:val="0"/>
        <w:spacing w:line="500" w:lineRule="exact"/>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附件6－1　中小企业声明函(格式附后)</w:t>
      </w:r>
    </w:p>
    <w:p w14:paraId="7850E549">
      <w:pPr>
        <w:shd w:val="clear" w:color="auto"/>
        <w:kinsoku/>
        <w:overflowPunct/>
        <w:topLinePunct w:val="0"/>
        <w:bidi w:val="0"/>
        <w:spacing w:line="500" w:lineRule="exact"/>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须提供类似业绩</w:t>
      </w:r>
    </w:p>
    <w:p w14:paraId="50FF3613">
      <w:pPr>
        <w:shd w:val="clear" w:color="auto"/>
        <w:kinsoku/>
        <w:overflowPunct/>
        <w:topLinePunct w:val="0"/>
        <w:bidi w:val="0"/>
        <w:spacing w:line="500" w:lineRule="exact"/>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认为需提供的其他资料</w:t>
      </w:r>
    </w:p>
    <w:p w14:paraId="5339DD56">
      <w:pPr>
        <w:shd w:val="clear" w:color="auto"/>
        <w:kinsoku/>
        <w:overflowPunct/>
        <w:topLinePunct w:val="0"/>
        <w:bidi w:val="0"/>
        <w:spacing w:line="500" w:lineRule="exact"/>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　技术部分</w:t>
      </w:r>
    </w:p>
    <w:p w14:paraId="64D03BA0">
      <w:pPr>
        <w:shd w:val="clear" w:color="auto"/>
        <w:kinsoku/>
        <w:overflowPunct/>
        <w:topLinePunct w:val="0"/>
        <w:bidi w:val="0"/>
        <w:spacing w:line="500" w:lineRule="exact"/>
        <w:ind w:firstLine="477" w:firstLineChars="19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部分　</w:t>
      </w:r>
      <w:r>
        <w:rPr>
          <w:rFonts w:hint="eastAsia" w:ascii="宋体" w:hAnsi="宋体" w:eastAsia="宋体" w:cs="宋体"/>
          <w:color w:val="auto"/>
          <w:sz w:val="24"/>
          <w:szCs w:val="24"/>
          <w:highlight w:val="none"/>
          <w:lang w:val="en-US" w:eastAsia="zh-CN"/>
        </w:rPr>
        <w:t>资格证明文件</w:t>
      </w:r>
    </w:p>
    <w:p w14:paraId="054DE690">
      <w:pPr>
        <w:shd w:val="clear" w:color="auto" w:fill="auto"/>
        <w:kinsoku/>
        <w:overflowPunct/>
        <w:topLinePunct w:val="0"/>
        <w:bidi w:val="0"/>
        <w:spacing w:line="500" w:lineRule="exact"/>
        <w:ind w:firstLine="477" w:firstLineChars="19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一、满足《中华人民共和国政府采购法》第二十二条规定</w:t>
      </w:r>
    </w:p>
    <w:p w14:paraId="4D18EA00">
      <w:pPr>
        <w:shd w:val="clear" w:color="auto" w:fill="auto"/>
        <w:kinsoku/>
        <w:overflowPunct/>
        <w:topLinePunct w:val="0"/>
        <w:bidi w:val="0"/>
        <w:spacing w:line="500" w:lineRule="exact"/>
        <w:ind w:firstLine="477" w:firstLineChars="19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二、联合体协议书（如有）</w:t>
      </w:r>
    </w:p>
    <w:p w14:paraId="0A6ED392">
      <w:pPr>
        <w:shd w:val="clear" w:color="auto" w:fill="auto"/>
        <w:kinsoku/>
        <w:overflowPunct/>
        <w:topLinePunct w:val="0"/>
        <w:bidi w:val="0"/>
        <w:spacing w:line="500" w:lineRule="exact"/>
        <w:ind w:firstLine="477" w:firstLineChars="19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投标文件的要求</w:t>
      </w:r>
    </w:p>
    <w:p w14:paraId="2517E160">
      <w:pPr>
        <w:shd w:val="clear" w:color="auto"/>
        <w:kinsoku/>
        <w:overflowPunct/>
        <w:topLinePunct w:val="0"/>
        <w:bidi w:val="0"/>
        <w:spacing w:line="500" w:lineRule="exact"/>
        <w:ind w:firstLine="477" w:firstLineChars="19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单位应仔细阅读采购文件的所有内容，按照采购文件的要求详细编制投标文件，所提交的全部资料必须真实有效，并且要保证字迹清晰易于辨认。投标文件应对采购文件实质性内容作出响应，否则按无效标处理。</w:t>
      </w:r>
    </w:p>
    <w:p w14:paraId="4FC8DAAD">
      <w:pPr>
        <w:shd w:val="clear" w:color="auto"/>
        <w:kinsoku/>
        <w:overflowPunct/>
        <w:topLinePunct w:val="0"/>
        <w:bidi w:val="0"/>
        <w:spacing w:line="500" w:lineRule="exact"/>
        <w:ind w:firstLine="477" w:firstLineChars="19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）投标文件格式应按本采购文件第六章</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eastAsia="zh-CN"/>
        </w:rPr>
        <w:t>格式要求编制，不得对采购文件格式进行增删更改，否则按无效标处理。</w:t>
      </w:r>
    </w:p>
    <w:p w14:paraId="7AF5D309">
      <w:pPr>
        <w:shd w:val="clear" w:color="auto"/>
        <w:kinsoku/>
        <w:overflowPunct/>
        <w:topLinePunct w:val="0"/>
        <w:bidi w:val="0"/>
        <w:spacing w:line="500" w:lineRule="exact"/>
        <w:ind w:firstLine="477" w:firstLineChars="19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）对采购文件格式可更改的例外情况：采购文件第六章</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eastAsia="zh-CN"/>
        </w:rPr>
        <w:t xml:space="preserve">格式要求中明确规定表格中行数不够用时可按相同格式增加行数，其他一切内容和格式不得更改。 </w:t>
      </w:r>
    </w:p>
    <w:p w14:paraId="6BBDD7AB">
      <w:pPr>
        <w:shd w:val="clear" w:color="auto"/>
        <w:kinsoku/>
        <w:overflowPunct/>
        <w:topLinePunct w:val="0"/>
        <w:bidi w:val="0"/>
        <w:spacing w:line="500" w:lineRule="exact"/>
        <w:ind w:firstLine="477" w:firstLineChars="19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）投标文件为电子投标文件，电子投标文件按“政采云投标单位项目采购-电子招投标操作指南”及本采购文件要求制作、加密传输。</w:t>
      </w:r>
    </w:p>
    <w:p w14:paraId="6AC951D7">
      <w:pPr>
        <w:shd w:val="clear" w:color="auto"/>
        <w:kinsoku/>
        <w:overflowPunct/>
        <w:topLinePunct w:val="0"/>
        <w:bidi w:val="0"/>
        <w:spacing w:line="500" w:lineRule="exact"/>
        <w:ind w:firstLine="477" w:firstLineChars="1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）投标文件未在投标截止时间前完成传输的，视为投标文件撤回；投标文件未按时解密也未提供备份投标文件的，亦视为投标文件撤回。</w:t>
      </w:r>
    </w:p>
    <w:p w14:paraId="3B86F7FF">
      <w:pPr>
        <w:shd w:val="clear" w:color="auto"/>
        <w:kinsoku/>
        <w:overflowPunct/>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22</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投标报价</w:t>
      </w:r>
    </w:p>
    <w:p w14:paraId="572B846D">
      <w:pPr>
        <w:shd w:val="clear" w:color="auto"/>
        <w:kinsoku/>
        <w:overflowPunct/>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22.1投标报价文件中的单价和总价全部采用人民币表示。</w:t>
      </w:r>
    </w:p>
    <w:p w14:paraId="5C77D89F">
      <w:pPr>
        <w:shd w:val="clear" w:color="auto"/>
        <w:kinsoku/>
        <w:overflowPunct/>
        <w:topLinePunct w:val="0"/>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
          <w:color w:val="auto"/>
          <w:sz w:val="24"/>
          <w:szCs w:val="24"/>
          <w:highlight w:val="none"/>
        </w:rPr>
        <w:t>投标人投标总报价，不得高于本次招标设置的最高限价，</w:t>
      </w:r>
      <w:r>
        <w:rPr>
          <w:rFonts w:hint="eastAsia" w:ascii="宋体" w:hAnsi="宋体" w:eastAsia="宋体" w:cs="宋体"/>
          <w:b/>
          <w:bCs/>
          <w:color w:val="auto"/>
          <w:sz w:val="24"/>
          <w:szCs w:val="24"/>
          <w:highlight w:val="none"/>
        </w:rPr>
        <w:t>否则将作为无效投标处理。</w:t>
      </w:r>
    </w:p>
    <w:p w14:paraId="67893564">
      <w:pPr>
        <w:shd w:val="clear" w:color="auto"/>
        <w:kinsoku/>
        <w:overflowPunct/>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总投标价中不得包含</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要求以外的内容，否则，在评标时不予核减，但在授予合同时，招标人有权将这部分价格从其中标价格中扣除。</w:t>
      </w:r>
    </w:p>
    <w:p w14:paraId="589D04D0">
      <w:pPr>
        <w:shd w:val="clear" w:color="auto"/>
        <w:kinsoku/>
        <w:overflowPunct/>
        <w:topLinePunct w:val="0"/>
        <w:bidi w:val="0"/>
        <w:spacing w:line="500" w:lineRule="exact"/>
        <w:ind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总投标价中不得缺漏</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宋体" w:hAnsi="宋体" w:eastAsia="宋体" w:cs="宋体"/>
          <w:color w:val="auto"/>
          <w:sz w:val="24"/>
          <w:szCs w:val="24"/>
          <w:highlight w:val="none"/>
          <w:lang w:val="en-US" w:eastAsia="zh-CN"/>
        </w:rPr>
        <w:t xml:space="preserve">    </w:t>
      </w:r>
    </w:p>
    <w:p w14:paraId="5E5E2339">
      <w:pPr>
        <w:shd w:val="clear" w:color="auto"/>
        <w:kinsoku/>
        <w:overflowPunct/>
        <w:topLinePunct w:val="0"/>
        <w:bidi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 投标有效期</w:t>
      </w:r>
    </w:p>
    <w:p w14:paraId="7C1E0D38">
      <w:pPr>
        <w:shd w:val="clear" w:color="auto"/>
        <w:kinsoku/>
        <w:overflowPunct/>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除投标人须知前附表另有规定外，投标有效期为60天。</w:t>
      </w:r>
    </w:p>
    <w:p w14:paraId="29751DE8">
      <w:pPr>
        <w:shd w:val="clear" w:color="auto"/>
        <w:kinsoku/>
        <w:overflowPunct/>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23.2在投标有效期内，投标人撤销或修改其投标文件的，应承担</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和法律规定的责任。</w:t>
      </w:r>
    </w:p>
    <w:p w14:paraId="5E31F31B">
      <w:pPr>
        <w:shd w:val="clear" w:color="auto"/>
        <w:kinsoku/>
        <w:overflowPunct/>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2B0B2168">
      <w:pPr>
        <w:shd w:val="clear" w:color="auto"/>
        <w:kinsoku/>
        <w:overflowPunct/>
        <w:topLinePunct w:val="0"/>
        <w:bidi w:val="0"/>
        <w:spacing w:line="500" w:lineRule="exact"/>
        <w:ind w:firstLine="460" w:firstLineChars="19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投标保证金</w:t>
      </w:r>
    </w:p>
    <w:p w14:paraId="0747E1A4">
      <w:pPr>
        <w:shd w:val="clear" w:color="auto"/>
        <w:kinsoku/>
        <w:overflowPunct/>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14:paraId="4D864B74">
      <w:pPr>
        <w:shd w:val="clear" w:color="auto"/>
        <w:kinsoku/>
        <w:overflowPunct/>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24.2自中标通知书发出之日起5个工作日内退还未中标投标人的投标保证金，自政府采购合同签订之日起5个工作日内退还中标人的投标保证金。</w:t>
      </w:r>
    </w:p>
    <w:p w14:paraId="207AC855">
      <w:pPr>
        <w:shd w:val="clear" w:color="auto"/>
        <w:kinsoku/>
        <w:overflowPunct/>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24.3有下列情形之一的，投标保证金将不予退还： </w:t>
      </w:r>
    </w:p>
    <w:p w14:paraId="49D83DA4">
      <w:pPr>
        <w:shd w:val="clear" w:color="auto"/>
        <w:kinsoku/>
        <w:overflowPunct/>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（1）投标人在规定的投标有效期内撤回或修改其投标文件；</w:t>
      </w:r>
    </w:p>
    <w:p w14:paraId="3B2E85D7">
      <w:pPr>
        <w:shd w:val="clear" w:color="auto"/>
        <w:kinsoku/>
        <w:overflowPunct/>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（2）中标通知书发出后三十天内，中标人无正当理由拒签合同协议书或未按</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规定提交履约</w:t>
      </w:r>
      <w:r>
        <w:rPr>
          <w:rFonts w:hint="eastAsia" w:ascii="宋体" w:hAnsi="宋体" w:eastAsia="宋体" w:cs="宋体"/>
          <w:color w:val="auto"/>
          <w:sz w:val="24"/>
          <w:szCs w:val="24"/>
          <w:highlight w:val="none"/>
          <w:lang w:eastAsia="zh-CN"/>
        </w:rPr>
        <w:t>保证金</w:t>
      </w:r>
      <w:r>
        <w:rPr>
          <w:rFonts w:hint="eastAsia" w:ascii="宋体" w:hAnsi="宋体" w:eastAsia="宋体" w:cs="宋体"/>
          <w:color w:val="auto"/>
          <w:sz w:val="24"/>
          <w:szCs w:val="24"/>
          <w:highlight w:val="none"/>
        </w:rPr>
        <w:t>。</w:t>
      </w:r>
    </w:p>
    <w:p w14:paraId="0C2A5767">
      <w:pPr>
        <w:shd w:val="clear" w:color="auto"/>
        <w:kinsoku/>
        <w:overflowPunct/>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（3）提供虚假材料谋取中标的；</w:t>
      </w:r>
    </w:p>
    <w:p w14:paraId="2E504D16">
      <w:pPr>
        <w:shd w:val="clear" w:color="auto"/>
        <w:kinsoku/>
        <w:overflowPunct/>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（4）经查实属于陪标、串通投标的等。</w:t>
      </w:r>
    </w:p>
    <w:p w14:paraId="17C84186">
      <w:pPr>
        <w:shd w:val="clear" w:color="auto"/>
        <w:kinsoku/>
        <w:overflowPunct/>
        <w:topLinePunct w:val="0"/>
        <w:bidi w:val="0"/>
        <w:spacing w:line="500" w:lineRule="exact"/>
        <w:ind w:firstLine="480" w:firstLineChars="200"/>
        <w:rPr>
          <w:rFonts w:hint="eastAsia" w:ascii="宋体" w:hAnsi="宋体" w:eastAsia="宋体" w:cs="宋体"/>
          <w:color w:val="auto"/>
          <w:sz w:val="24"/>
          <w:szCs w:val="24"/>
          <w:highlight w:val="none"/>
        </w:rPr>
      </w:pPr>
      <w:bookmarkStart w:id="26" w:name="_Toc469495727"/>
      <w:r>
        <w:rPr>
          <w:rFonts w:hint="eastAsia" w:ascii="宋体" w:hAnsi="宋体" w:eastAsia="宋体" w:cs="宋体"/>
          <w:color w:val="auto"/>
          <w:sz w:val="24"/>
          <w:szCs w:val="24"/>
          <w:highlight w:val="none"/>
        </w:rPr>
        <w:t>24.4投标保证金按</w:t>
      </w:r>
      <w:r>
        <w:rPr>
          <w:rFonts w:hint="eastAsia" w:ascii="宋体" w:hAnsi="宋体" w:eastAsia="宋体" w:cs="宋体"/>
          <w:color w:val="auto"/>
          <w:sz w:val="24"/>
          <w:szCs w:val="24"/>
          <w:highlight w:val="none"/>
          <w:lang w:eastAsia="zh-CN"/>
        </w:rPr>
        <w:t>投标人须知前附表第</w:t>
      </w:r>
      <w:r>
        <w:rPr>
          <w:rFonts w:hint="eastAsia" w:ascii="宋体" w:hAnsi="宋体" w:eastAsia="宋体" w:cs="宋体"/>
          <w:color w:val="auto"/>
          <w:sz w:val="24"/>
          <w:szCs w:val="24"/>
          <w:highlight w:val="none"/>
          <w:lang w:val="en-US" w:eastAsia="zh-CN"/>
        </w:rPr>
        <w:t>24条</w:t>
      </w:r>
      <w:r>
        <w:rPr>
          <w:rFonts w:hint="eastAsia" w:ascii="宋体" w:hAnsi="宋体" w:eastAsia="宋体" w:cs="宋体"/>
          <w:color w:val="auto"/>
          <w:sz w:val="24"/>
          <w:szCs w:val="24"/>
          <w:highlight w:val="none"/>
        </w:rPr>
        <w:t>规定执行。</w:t>
      </w:r>
    </w:p>
    <w:p w14:paraId="5D5BF640">
      <w:pPr>
        <w:shd w:val="clear" w:color="auto"/>
        <w:kinsoku/>
        <w:overflowPunct/>
        <w:topLinePunct w:val="0"/>
        <w:bidi w:val="0"/>
        <w:spacing w:before="312" w:beforeLines="100" w:after="312" w:afterLines="100" w:line="500" w:lineRule="exact"/>
        <w:jc w:val="both"/>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w:t>
      </w:r>
      <w:bookmarkEnd w:id="26"/>
      <w:r>
        <w:rPr>
          <w:rFonts w:hint="eastAsia" w:ascii="宋体" w:hAnsi="宋体" w:eastAsia="宋体" w:cs="宋体"/>
          <w:b/>
          <w:color w:val="auto"/>
          <w:sz w:val="24"/>
          <w:szCs w:val="24"/>
          <w:highlight w:val="none"/>
        </w:rPr>
        <w:t>投标文件的制作、上传及递交要求</w:t>
      </w:r>
    </w:p>
    <w:p w14:paraId="16D2165E">
      <w:pPr>
        <w:shd w:val="clear" w:color="auto"/>
        <w:kinsoku/>
        <w:overflowPunct/>
        <w:topLinePunct w:val="0"/>
        <w:bidi w:val="0"/>
        <w:snapToGrid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rPr>
        <w:t>投标文件的制作要求</w:t>
      </w:r>
    </w:p>
    <w:p w14:paraId="443DAECC">
      <w:pPr>
        <w:pStyle w:val="8"/>
        <w:shd w:val="clear" w:color="auto"/>
        <w:kinsoku/>
        <w:overflowPunct/>
        <w:topLinePunct w:val="0"/>
        <w:bidi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（1）</w:t>
      </w:r>
      <w:r>
        <w:rPr>
          <w:rFonts w:hint="eastAsia" w:hAnsi="宋体" w:eastAsia="宋体" w:cs="宋体"/>
          <w:b w:val="0"/>
          <w:bCs/>
          <w:color w:val="auto"/>
          <w:sz w:val="24"/>
          <w:szCs w:val="24"/>
          <w:highlight w:val="none"/>
          <w:lang w:eastAsia="zh-CN"/>
        </w:rPr>
        <w:t>投标单位</w:t>
      </w:r>
      <w:r>
        <w:rPr>
          <w:rFonts w:hint="eastAsia" w:ascii="宋体" w:hAnsi="宋体" w:eastAsia="宋体" w:cs="宋体"/>
          <w:b w:val="0"/>
          <w:bCs/>
          <w:color w:val="auto"/>
          <w:sz w:val="24"/>
          <w:szCs w:val="24"/>
          <w:highlight w:val="none"/>
        </w:rPr>
        <w:t>应按照投标文件组成内容及项目招标需求和</w:t>
      </w:r>
      <w:r>
        <w:rPr>
          <w:rFonts w:hint="eastAsia" w:ascii="宋体" w:hAnsi="宋体" w:eastAsia="宋体" w:cs="宋体"/>
          <w:b w:val="0"/>
          <w:bCs/>
          <w:color w:val="auto"/>
          <w:sz w:val="24"/>
          <w:szCs w:val="24"/>
          <w:highlight w:val="none"/>
          <w:lang w:eastAsia="zh-CN"/>
        </w:rPr>
        <w:t>新疆</w:t>
      </w:r>
      <w:r>
        <w:rPr>
          <w:rFonts w:hint="eastAsia" w:ascii="宋体" w:hAnsi="宋体" w:eastAsia="宋体" w:cs="宋体"/>
          <w:b w:val="0"/>
          <w:bCs/>
          <w:color w:val="auto"/>
          <w:sz w:val="24"/>
          <w:szCs w:val="24"/>
          <w:highlight w:val="none"/>
        </w:rPr>
        <w:t>政府采购云平台要求制作投标文件，不按采购文件和</w:t>
      </w:r>
      <w:r>
        <w:rPr>
          <w:rFonts w:hint="eastAsia" w:ascii="宋体" w:hAnsi="宋体" w:eastAsia="宋体" w:cs="宋体"/>
          <w:b w:val="0"/>
          <w:bCs/>
          <w:color w:val="auto"/>
          <w:sz w:val="24"/>
          <w:szCs w:val="24"/>
          <w:highlight w:val="none"/>
          <w:lang w:eastAsia="zh-CN"/>
        </w:rPr>
        <w:t>新疆</w:t>
      </w:r>
      <w:r>
        <w:rPr>
          <w:rFonts w:hint="eastAsia" w:ascii="宋体" w:hAnsi="宋体" w:eastAsia="宋体" w:cs="宋体"/>
          <w:b w:val="0"/>
          <w:bCs/>
          <w:color w:val="auto"/>
          <w:sz w:val="24"/>
          <w:szCs w:val="24"/>
          <w:highlight w:val="none"/>
        </w:rPr>
        <w:t>政府采购云平台要求制作投标文件的将视情况处理（拒收等），由此产生的责任由</w:t>
      </w:r>
      <w:r>
        <w:rPr>
          <w:rFonts w:hint="eastAsia" w:hAnsi="宋体" w:eastAsia="宋体" w:cs="宋体"/>
          <w:b w:val="0"/>
          <w:bCs/>
          <w:color w:val="auto"/>
          <w:sz w:val="24"/>
          <w:szCs w:val="24"/>
          <w:highlight w:val="none"/>
          <w:lang w:eastAsia="zh-CN"/>
        </w:rPr>
        <w:t>投标单位</w:t>
      </w:r>
      <w:r>
        <w:rPr>
          <w:rFonts w:hint="eastAsia" w:ascii="宋体" w:hAnsi="宋体" w:eastAsia="宋体" w:cs="宋体"/>
          <w:b w:val="0"/>
          <w:bCs/>
          <w:color w:val="auto"/>
          <w:sz w:val="24"/>
          <w:szCs w:val="24"/>
          <w:highlight w:val="none"/>
        </w:rPr>
        <w:t>自行承担。</w:t>
      </w:r>
    </w:p>
    <w:p w14:paraId="7098A347">
      <w:pPr>
        <w:pStyle w:val="8"/>
        <w:shd w:val="clear" w:color="auto"/>
        <w:kinsoku/>
        <w:overflowPunct/>
        <w:topLinePunct w:val="0"/>
        <w:bidi w:val="0"/>
        <w:snapToGrid w:val="0"/>
        <w:spacing w:line="500" w:lineRule="exact"/>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Cs/>
          <w:color w:val="auto"/>
          <w:sz w:val="24"/>
          <w:szCs w:val="24"/>
          <w:highlight w:val="none"/>
        </w:rPr>
        <w:t>电子投标文件部分：</w:t>
      </w:r>
      <w:r>
        <w:rPr>
          <w:rFonts w:hint="eastAsia" w:hAnsi="宋体" w:eastAsia="宋体" w:cs="宋体"/>
          <w:bCs/>
          <w:color w:val="auto"/>
          <w:sz w:val="24"/>
          <w:szCs w:val="24"/>
          <w:highlight w:val="none"/>
          <w:lang w:eastAsia="zh-CN"/>
        </w:rPr>
        <w:t>投标单位</w:t>
      </w:r>
      <w:r>
        <w:rPr>
          <w:rFonts w:hint="eastAsia" w:ascii="宋体" w:hAnsi="宋体" w:eastAsia="宋体" w:cs="宋体"/>
          <w:bCs/>
          <w:color w:val="auto"/>
          <w:sz w:val="24"/>
          <w:szCs w:val="24"/>
          <w:highlight w:val="none"/>
        </w:rPr>
        <w:t>应根据“政采云</w:t>
      </w:r>
      <w:r>
        <w:rPr>
          <w:rFonts w:hint="eastAsia" w:hAnsi="宋体" w:eastAsia="宋体" w:cs="宋体"/>
          <w:bCs/>
          <w:color w:val="auto"/>
          <w:sz w:val="24"/>
          <w:szCs w:val="24"/>
          <w:highlight w:val="none"/>
          <w:lang w:eastAsia="zh-CN"/>
        </w:rPr>
        <w:t>投标单位</w:t>
      </w:r>
      <w:r>
        <w:rPr>
          <w:rFonts w:hint="eastAsia" w:ascii="宋体" w:hAnsi="宋体" w:eastAsia="宋体" w:cs="宋体"/>
          <w:bCs/>
          <w:color w:val="auto"/>
          <w:sz w:val="24"/>
          <w:szCs w:val="24"/>
          <w:highlight w:val="none"/>
        </w:rPr>
        <w:t>项目采购-电子招投标操作指南”及本采购文件规定的格式和顺序编制电子投标文件并进行关联定位。本</w:t>
      </w:r>
      <w:r>
        <w:rPr>
          <w:rFonts w:hint="eastAsia" w:ascii="宋体" w:hAnsi="宋体" w:eastAsia="宋体" w:cs="宋体"/>
          <w:bCs/>
          <w:color w:val="auto"/>
          <w:sz w:val="24"/>
          <w:szCs w:val="24"/>
          <w:highlight w:val="none"/>
          <w:lang w:val="en-US" w:eastAsia="zh-CN"/>
        </w:rPr>
        <w:t>招标</w:t>
      </w:r>
      <w:r>
        <w:rPr>
          <w:rFonts w:hint="eastAsia" w:ascii="宋体" w:hAnsi="宋体" w:eastAsia="宋体" w:cs="宋体"/>
          <w:bCs/>
          <w:color w:val="auto"/>
          <w:sz w:val="24"/>
          <w:szCs w:val="24"/>
          <w:highlight w:val="none"/>
        </w:rPr>
        <w:t>文件《第六章投标文件格式》中有提供格式的，</w:t>
      </w:r>
      <w:r>
        <w:rPr>
          <w:rFonts w:hint="eastAsia" w:hAnsi="宋体" w:eastAsia="宋体" w:cs="宋体"/>
          <w:bCs/>
          <w:color w:val="auto"/>
          <w:sz w:val="24"/>
          <w:szCs w:val="24"/>
          <w:highlight w:val="none"/>
          <w:lang w:eastAsia="zh-CN"/>
        </w:rPr>
        <w:t>投标单位</w:t>
      </w:r>
      <w:r>
        <w:rPr>
          <w:rFonts w:hint="eastAsia" w:ascii="宋体" w:hAnsi="宋体" w:eastAsia="宋体" w:cs="宋体"/>
          <w:bCs/>
          <w:color w:val="auto"/>
          <w:sz w:val="24"/>
          <w:szCs w:val="24"/>
          <w:highlight w:val="none"/>
        </w:rPr>
        <w:t>应按照格式进行编制（格式中要求提供相关证明材料的还需后附相关证明材料），并按格式要求在指定位置根据要求进行签章，否则视为未提供；本</w:t>
      </w:r>
      <w:r>
        <w:rPr>
          <w:rFonts w:hint="eastAsia" w:ascii="宋体" w:hAnsi="宋体" w:eastAsia="宋体" w:cs="宋体"/>
          <w:bCs/>
          <w:color w:val="auto"/>
          <w:sz w:val="24"/>
          <w:szCs w:val="24"/>
          <w:highlight w:val="none"/>
          <w:lang w:val="en-US" w:eastAsia="zh-CN"/>
        </w:rPr>
        <w:t>招标</w:t>
      </w:r>
      <w:r>
        <w:rPr>
          <w:rFonts w:hint="eastAsia" w:ascii="宋体" w:hAnsi="宋体" w:eastAsia="宋体" w:cs="宋体"/>
          <w:bCs/>
          <w:color w:val="auto"/>
          <w:sz w:val="24"/>
          <w:szCs w:val="24"/>
          <w:highlight w:val="none"/>
        </w:rPr>
        <w:t>文件《第六章投标文件格式》未提供格式的，请</w:t>
      </w:r>
      <w:r>
        <w:rPr>
          <w:rFonts w:hint="eastAsia" w:hAnsi="宋体" w:eastAsia="宋体" w:cs="宋体"/>
          <w:bCs/>
          <w:color w:val="auto"/>
          <w:sz w:val="24"/>
          <w:szCs w:val="24"/>
          <w:highlight w:val="none"/>
          <w:lang w:eastAsia="zh-CN"/>
        </w:rPr>
        <w:t>投标单位</w:t>
      </w:r>
      <w:r>
        <w:rPr>
          <w:rFonts w:hint="eastAsia" w:ascii="宋体" w:hAnsi="宋体" w:eastAsia="宋体" w:cs="宋体"/>
          <w:bCs/>
          <w:color w:val="auto"/>
          <w:sz w:val="24"/>
          <w:szCs w:val="24"/>
          <w:highlight w:val="none"/>
        </w:rPr>
        <w:t>自行拟定格式，并加盖单位公章，否则视为未提供。</w:t>
      </w:r>
    </w:p>
    <w:p w14:paraId="31DFB651">
      <w:pPr>
        <w:pStyle w:val="8"/>
        <w:shd w:val="clear" w:color="auto"/>
        <w:kinsoku/>
        <w:overflowPunct/>
        <w:topLinePunct w:val="0"/>
        <w:bidi w:val="0"/>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备份电子投标文件：通过“政采云”平台电子投标工具制作投标文件所产生的备份文件。</w:t>
      </w:r>
    </w:p>
    <w:p w14:paraId="13AE2477">
      <w:pPr>
        <w:pStyle w:val="8"/>
        <w:shd w:val="clear" w:color="auto"/>
        <w:kinsoku/>
        <w:overflowPunct/>
        <w:topLinePunct w:val="0"/>
        <w:bidi w:val="0"/>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hAnsi="宋体" w:eastAsia="宋体" w:cs="宋体"/>
          <w:b w:val="0"/>
          <w:bCs/>
          <w:color w:val="auto"/>
          <w:sz w:val="24"/>
          <w:szCs w:val="24"/>
          <w:highlight w:val="none"/>
          <w:lang w:eastAsia="zh-CN"/>
        </w:rPr>
        <w:t>投标单位</w:t>
      </w:r>
      <w:r>
        <w:rPr>
          <w:rFonts w:hint="eastAsia" w:ascii="宋体" w:hAnsi="宋体" w:eastAsia="宋体" w:cs="宋体"/>
          <w:b w:val="0"/>
          <w:bCs/>
          <w:color w:val="auto"/>
          <w:sz w:val="24"/>
          <w:szCs w:val="24"/>
          <w:highlight w:val="none"/>
        </w:rPr>
        <w:t>应对所提供的全部资料的真实性、有效性承担法律责任，电子投标文件中所须加盖公章部分均采用CA签章。</w:t>
      </w:r>
    </w:p>
    <w:p w14:paraId="0C30EF9D">
      <w:pPr>
        <w:pStyle w:val="8"/>
        <w:shd w:val="clear" w:color="auto"/>
        <w:kinsoku/>
        <w:overflowPunct/>
        <w:topLinePunct w:val="0"/>
        <w:bidi w:val="0"/>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（3）投标文件以及</w:t>
      </w:r>
      <w:r>
        <w:rPr>
          <w:rFonts w:hint="eastAsia" w:hAnsi="宋体" w:eastAsia="宋体" w:cs="宋体"/>
          <w:b w:val="0"/>
          <w:bCs/>
          <w:color w:val="auto"/>
          <w:sz w:val="24"/>
          <w:szCs w:val="24"/>
          <w:highlight w:val="none"/>
          <w:lang w:eastAsia="zh-CN"/>
        </w:rPr>
        <w:t>投标单位</w:t>
      </w:r>
      <w:r>
        <w:rPr>
          <w:rFonts w:hint="eastAsia" w:ascii="宋体" w:hAnsi="宋体" w:eastAsia="宋体" w:cs="宋体"/>
          <w:b w:val="0"/>
          <w:bCs/>
          <w:color w:val="auto"/>
          <w:sz w:val="24"/>
          <w:szCs w:val="24"/>
          <w:highlight w:val="none"/>
        </w:rPr>
        <w:t>与采购组织机构就有关投标事宜的所有来往函电，均应以中文汉语书写。除</w:t>
      </w:r>
      <w:r>
        <w:rPr>
          <w:rFonts w:hint="eastAsia" w:ascii="宋体" w:hAnsi="宋体" w:eastAsia="宋体" w:cs="宋体"/>
          <w:b w:val="0"/>
          <w:bCs/>
          <w:color w:val="auto"/>
          <w:sz w:val="24"/>
          <w:szCs w:val="24"/>
          <w:highlight w:val="none"/>
          <w:lang w:eastAsia="zh-CN"/>
        </w:rPr>
        <w:t>签章</w:t>
      </w:r>
      <w:r>
        <w:rPr>
          <w:rFonts w:hint="eastAsia" w:ascii="宋体" w:hAnsi="宋体" w:eastAsia="宋体" w:cs="宋体"/>
          <w:b w:val="0"/>
          <w:bCs/>
          <w:color w:val="auto"/>
          <w:sz w:val="24"/>
          <w:szCs w:val="24"/>
          <w:highlight w:val="none"/>
        </w:rPr>
        <w:t>、盖章、专用名称等特殊情形外，以中文汉语以外的文字表述的投标文件视同未提供。</w:t>
      </w:r>
    </w:p>
    <w:p w14:paraId="7E3121EF">
      <w:pPr>
        <w:pStyle w:val="8"/>
        <w:shd w:val="clear" w:color="auto"/>
        <w:kinsoku/>
        <w:overflowPunct/>
        <w:topLinePunct w:val="0"/>
        <w:bidi w:val="0"/>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（4）投标计量单位，采购文件已有明确规定的，使用采购文件规定的计量单位；采购文件没有规定的，应采用中华人民共和国法定计量单位（货币单位：人民币元）。</w:t>
      </w:r>
    </w:p>
    <w:p w14:paraId="2B31ED3A">
      <w:pPr>
        <w:pStyle w:val="8"/>
        <w:shd w:val="clear" w:color="auto"/>
        <w:kinsoku/>
        <w:overflowPunct/>
        <w:topLinePunct w:val="0"/>
        <w:bidi w:val="0"/>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（5）若</w:t>
      </w:r>
      <w:r>
        <w:rPr>
          <w:rFonts w:hint="eastAsia" w:hAnsi="宋体" w:eastAsia="宋体" w:cs="宋体"/>
          <w:b w:val="0"/>
          <w:bCs/>
          <w:color w:val="auto"/>
          <w:sz w:val="24"/>
          <w:szCs w:val="24"/>
          <w:highlight w:val="none"/>
          <w:lang w:eastAsia="zh-CN"/>
        </w:rPr>
        <w:t>投标单位</w:t>
      </w:r>
      <w:r>
        <w:rPr>
          <w:rFonts w:hint="eastAsia" w:ascii="宋体" w:hAnsi="宋体" w:eastAsia="宋体" w:cs="宋体"/>
          <w:b w:val="0"/>
          <w:bCs/>
          <w:color w:val="auto"/>
          <w:sz w:val="24"/>
          <w:szCs w:val="24"/>
          <w:highlight w:val="none"/>
        </w:rPr>
        <w:t>不按采购文件的要求提供资格审查材料，其风险由</w:t>
      </w:r>
      <w:r>
        <w:rPr>
          <w:rFonts w:hint="eastAsia" w:hAnsi="宋体" w:eastAsia="宋体" w:cs="宋体"/>
          <w:b w:val="0"/>
          <w:bCs/>
          <w:color w:val="auto"/>
          <w:sz w:val="24"/>
          <w:szCs w:val="24"/>
          <w:highlight w:val="none"/>
          <w:lang w:eastAsia="zh-CN"/>
        </w:rPr>
        <w:t>投标单位</w:t>
      </w:r>
      <w:r>
        <w:rPr>
          <w:rFonts w:hint="eastAsia" w:ascii="宋体" w:hAnsi="宋体" w:eastAsia="宋体" w:cs="宋体"/>
          <w:b w:val="0"/>
          <w:bCs/>
          <w:color w:val="auto"/>
          <w:sz w:val="24"/>
          <w:szCs w:val="24"/>
          <w:highlight w:val="none"/>
        </w:rPr>
        <w:t>自行承担。</w:t>
      </w:r>
    </w:p>
    <w:p w14:paraId="18DA688D">
      <w:pPr>
        <w:pStyle w:val="8"/>
        <w:shd w:val="clear" w:color="auto"/>
        <w:kinsoku/>
        <w:overflowPunct/>
        <w:topLinePunct w:val="0"/>
        <w:bidi w:val="0"/>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（6）与本次投标无关的内容请不要制作在内，确保投标文件有针对性、简洁明了。</w:t>
      </w:r>
    </w:p>
    <w:p w14:paraId="6E472A98">
      <w:pPr>
        <w:shd w:val="clear" w:color="auto"/>
        <w:kinsoku/>
        <w:overflowPunct/>
        <w:topLinePunct w:val="0"/>
        <w:bidi w:val="0"/>
        <w:snapToGrid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rPr>
        <w:t>投标文件的上传</w:t>
      </w:r>
    </w:p>
    <w:p w14:paraId="365130DF">
      <w:pPr>
        <w:pStyle w:val="8"/>
        <w:shd w:val="clear" w:color="auto"/>
        <w:kinsoku/>
        <w:overflowPunct/>
        <w:topLinePunct w:val="0"/>
        <w:bidi w:val="0"/>
        <w:snapToGrid w:val="0"/>
        <w:spacing w:line="5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bidi="zh-CN"/>
        </w:rPr>
        <w:t>电子加密投标文件（“.jmbs”格式）</w:t>
      </w:r>
      <w:r>
        <w:rPr>
          <w:rFonts w:hint="eastAsia" w:ascii="宋体" w:hAnsi="宋体" w:eastAsia="宋体" w:cs="宋体"/>
          <w:b/>
          <w:bCs/>
          <w:color w:val="auto"/>
          <w:sz w:val="24"/>
          <w:szCs w:val="24"/>
          <w:highlight w:val="none"/>
        </w:rPr>
        <w:t>：</w:t>
      </w:r>
    </w:p>
    <w:p w14:paraId="4A39FE8F">
      <w:pPr>
        <w:pStyle w:val="8"/>
        <w:shd w:val="clear" w:color="auto"/>
        <w:kinsoku/>
        <w:overflowPunct/>
        <w:topLinePunct w:val="0"/>
        <w:bidi w:val="0"/>
        <w:snapToGrid w:val="0"/>
        <w:spacing w:line="500" w:lineRule="exact"/>
        <w:ind w:firstLine="600" w:firstLineChars="250"/>
        <w:rPr>
          <w:rFonts w:hint="eastAsia" w:ascii="宋体" w:hAnsi="宋体" w:eastAsia="宋体" w:cs="宋体"/>
          <w:b w:val="0"/>
          <w:bCs/>
          <w:color w:val="auto"/>
          <w:sz w:val="24"/>
          <w:szCs w:val="24"/>
          <w:highlight w:val="none"/>
          <w:lang w:bidi="zh-CN"/>
        </w:rPr>
      </w:pPr>
      <w:r>
        <w:rPr>
          <w:rFonts w:hint="eastAsia" w:ascii="宋体" w:hAnsi="宋体" w:eastAsia="宋体" w:cs="宋体"/>
          <w:b w:val="0"/>
          <w:bCs/>
          <w:color w:val="auto"/>
          <w:sz w:val="24"/>
          <w:szCs w:val="24"/>
          <w:highlight w:val="none"/>
          <w:lang w:bidi="zh-CN"/>
        </w:rPr>
        <w:t>a.</w:t>
      </w:r>
      <w:r>
        <w:rPr>
          <w:rFonts w:hint="eastAsia" w:ascii="宋体" w:hAnsi="宋体" w:eastAsia="宋体" w:cs="宋体"/>
          <w:b w:val="0"/>
          <w:bCs/>
          <w:color w:val="auto"/>
          <w:kern w:val="0"/>
          <w:sz w:val="24"/>
          <w:szCs w:val="24"/>
          <w:highlight w:val="none"/>
        </w:rPr>
        <w:t xml:space="preserve"> </w:t>
      </w:r>
      <w:r>
        <w:rPr>
          <w:rFonts w:hint="eastAsia" w:hAnsi="宋体" w:eastAsia="宋体" w:cs="宋体"/>
          <w:b w:val="0"/>
          <w:bCs/>
          <w:color w:val="auto"/>
          <w:sz w:val="24"/>
          <w:szCs w:val="24"/>
          <w:highlight w:val="none"/>
          <w:lang w:bidi="zh-CN"/>
        </w:rPr>
        <w:t>投标单位</w:t>
      </w:r>
      <w:r>
        <w:rPr>
          <w:rFonts w:hint="eastAsia" w:ascii="宋体" w:hAnsi="宋体" w:eastAsia="宋体" w:cs="宋体"/>
          <w:b w:val="0"/>
          <w:bCs/>
          <w:color w:val="auto"/>
          <w:sz w:val="24"/>
          <w:szCs w:val="24"/>
          <w:highlight w:val="none"/>
          <w:lang w:bidi="zh-CN"/>
        </w:rPr>
        <w:t>应在投标截止时间前将电子加密投标文件成功上传递交至新疆政府采购云平台，否则投标无效；</w:t>
      </w:r>
    </w:p>
    <w:p w14:paraId="6E8ACE03">
      <w:pPr>
        <w:pStyle w:val="8"/>
        <w:shd w:val="clear" w:color="auto"/>
        <w:kinsoku/>
        <w:overflowPunct/>
        <w:topLinePunct w:val="0"/>
        <w:bidi w:val="0"/>
        <w:snapToGrid w:val="0"/>
        <w:spacing w:line="500" w:lineRule="exact"/>
        <w:ind w:firstLine="600" w:firstLineChars="25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bidi="zh-CN"/>
        </w:rPr>
        <w:t>b.</w:t>
      </w:r>
      <w:r>
        <w:rPr>
          <w:rFonts w:hint="eastAsia" w:hAnsi="宋体" w:eastAsia="宋体" w:cs="宋体"/>
          <w:b w:val="0"/>
          <w:bCs/>
          <w:color w:val="auto"/>
          <w:sz w:val="24"/>
          <w:szCs w:val="24"/>
          <w:highlight w:val="none"/>
          <w:lang w:bidi="zh-CN"/>
        </w:rPr>
        <w:t>投标单位</w:t>
      </w:r>
      <w:r>
        <w:rPr>
          <w:rFonts w:hint="eastAsia" w:ascii="宋体" w:hAnsi="宋体" w:eastAsia="宋体" w:cs="宋体"/>
          <w:b w:val="0"/>
          <w:bCs/>
          <w:color w:val="auto"/>
          <w:sz w:val="24"/>
          <w:szCs w:val="24"/>
          <w:highlight w:val="none"/>
          <w:lang w:bidi="zh-CN"/>
        </w:rPr>
        <w:t>成功上传电子加密投标文件后，可自行打印投标文件接收回执。</w:t>
      </w:r>
    </w:p>
    <w:p w14:paraId="35CBAFE7">
      <w:pPr>
        <w:shd w:val="clear" w:color="auto"/>
        <w:kinsoku/>
        <w:overflowPunct/>
        <w:topLinePunct w:val="0"/>
        <w:bidi w:val="0"/>
        <w:snapToGrid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27.</w:t>
      </w:r>
      <w:r>
        <w:rPr>
          <w:rFonts w:hint="eastAsia" w:ascii="宋体" w:hAnsi="宋体" w:eastAsia="宋体" w:cs="宋体"/>
          <w:b/>
          <w:color w:val="auto"/>
          <w:sz w:val="24"/>
          <w:szCs w:val="24"/>
          <w:highlight w:val="none"/>
        </w:rPr>
        <w:t>投标文件的递交要求</w:t>
      </w:r>
    </w:p>
    <w:p w14:paraId="41DDC289">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须按照采购文件和政采云平台的要求编制并加密投标文件。在投标文件递交截止时间以前完成投标文件的传输递交，截止时间后递交的投标文件，将被拒收。</w:t>
      </w:r>
    </w:p>
    <w:p w14:paraId="7F3E484F">
      <w:pPr>
        <w:shd w:val="clear" w:color="auto"/>
        <w:tabs>
          <w:tab w:val="left" w:pos="1418"/>
        </w:tabs>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（2）备份电子投标文件必须在投标截止时间前送达指定的投标地点。备份电子投标文件在截止时间后提交，采购组织机构将拒绝接收。</w:t>
      </w:r>
    </w:p>
    <w:p w14:paraId="5F2C49D5">
      <w:pPr>
        <w:shd w:val="clear" w:color="auto"/>
        <w:tabs>
          <w:tab w:val="left" w:pos="1418"/>
        </w:tabs>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（3）如有特殊情况，采购组织机构延长截止时间和开标时间，采购组织机构和</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的权利和义务将受到新的截止时间和开标时间的约束。</w:t>
      </w:r>
    </w:p>
    <w:p w14:paraId="2C67C63A">
      <w:pPr>
        <w:shd w:val="clear" w:color="auto"/>
        <w:kinsoku/>
        <w:overflowPunct/>
        <w:topLinePunct w:val="0"/>
        <w:bidi w:val="0"/>
        <w:snapToGrid w:val="0"/>
        <w:spacing w:line="500" w:lineRule="exact"/>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28．投标文件的补充、修改与撤回</w:t>
      </w:r>
    </w:p>
    <w:p w14:paraId="3C30C25E">
      <w:pPr>
        <w:shd w:val="clear" w:color="auto"/>
        <w:tabs>
          <w:tab w:val="left" w:pos="960"/>
          <w:tab w:val="left" w:pos="1418"/>
        </w:tabs>
        <w:kinsoku/>
        <w:overflowPunct/>
        <w:topLinePunct w:val="0"/>
        <w:autoSpaceDE w:val="0"/>
        <w:autoSpaceDN w:val="0"/>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不得修改（补充）或撤回其投标文件。</w:t>
      </w:r>
      <w:bookmarkStart w:id="27" w:name="_Toc469495728"/>
    </w:p>
    <w:p w14:paraId="68689206">
      <w:pPr>
        <w:shd w:val="clear" w:color="auto"/>
        <w:tabs>
          <w:tab w:val="left" w:pos="960"/>
          <w:tab w:val="left" w:pos="1418"/>
        </w:tabs>
        <w:kinsoku/>
        <w:overflowPunct/>
        <w:topLinePunct w:val="0"/>
        <w:autoSpaceDE w:val="0"/>
        <w:autoSpaceDN w:val="0"/>
        <w:bidi w:val="0"/>
        <w:adjustRightInd w:val="0"/>
        <w:snapToGrid w:val="0"/>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（五）开标、评标和定标</w:t>
      </w:r>
      <w:bookmarkEnd w:id="27"/>
    </w:p>
    <w:p w14:paraId="77643E1B">
      <w:pPr>
        <w:shd w:val="clear" w:color="auto"/>
        <w:kinsoku/>
        <w:overflowPunct/>
        <w:topLinePunct w:val="0"/>
        <w:bidi w:val="0"/>
        <w:snapToGrid w:val="0"/>
        <w:spacing w:line="500" w:lineRule="exact"/>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29. 开标</w:t>
      </w:r>
    </w:p>
    <w:p w14:paraId="370EF08B">
      <w:pPr>
        <w:shd w:val="clear" w:color="auto"/>
        <w:kinsoku/>
        <w:overflowPunct/>
        <w:topLinePunct w:val="0"/>
        <w:bidi w:val="0"/>
        <w:snapToGrid w:val="0"/>
        <w:spacing w:line="500" w:lineRule="exact"/>
        <w:ind w:firstLine="480" w:firstLineChars="200"/>
        <w:rPr>
          <w:rFonts w:hint="eastAsia" w:ascii="宋体" w:hAnsi="宋体" w:eastAsia="宋体" w:cs="宋体"/>
          <w:b/>
          <w:bCs/>
          <w:color w:val="auto"/>
          <w:sz w:val="24"/>
          <w:szCs w:val="24"/>
          <w:highlight w:val="none"/>
          <w:lang w:val="en-US" w:eastAsia="zh-CN"/>
        </w:rPr>
      </w:pPr>
      <w:bookmarkStart w:id="28" w:name="_Toc73975822"/>
      <w:r>
        <w:rPr>
          <w:rFonts w:hint="eastAsia" w:ascii="宋体" w:hAnsi="宋体" w:eastAsia="宋体" w:cs="宋体"/>
          <w:b/>
          <w:bCs/>
          <w:color w:val="auto"/>
          <w:sz w:val="24"/>
          <w:szCs w:val="24"/>
          <w:highlight w:val="none"/>
          <w:lang w:val="en-US" w:eastAsia="zh-CN"/>
        </w:rPr>
        <w:t>29.1开标邀请</w:t>
      </w:r>
      <w:bookmarkEnd w:id="28"/>
    </w:p>
    <w:p w14:paraId="4CE7A797">
      <w:pPr>
        <w:pStyle w:val="2"/>
        <w:shd w:val="clear" w:color="auto"/>
        <w:kinsoku/>
        <w:overflowPunct/>
        <w:topLinePunct w:val="0"/>
        <w:bidi w:val="0"/>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开标准备：本项目开标的准备工作由采购组织机构负责落实，开标过程由采购组织机构负责记录；</w:t>
      </w:r>
    </w:p>
    <w:p w14:paraId="3EFEC502">
      <w:pPr>
        <w:pStyle w:val="2"/>
        <w:shd w:val="clear" w:color="auto"/>
        <w:kinsoku/>
        <w:overflowPunct/>
        <w:topLinePunct w:val="0"/>
        <w:bidi w:val="0"/>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开标主持：本项目开标由</w:t>
      </w:r>
      <w:r>
        <w:rPr>
          <w:rFonts w:hint="eastAsia" w:hAnsi="宋体" w:eastAsia="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rPr>
        <w:t>或者</w:t>
      </w:r>
      <w:r>
        <w:rPr>
          <w:rFonts w:hint="eastAsia" w:hAnsi="宋体" w:eastAsia="宋体" w:cs="宋体"/>
          <w:b w:val="0"/>
          <w:bCs/>
          <w:color w:val="auto"/>
          <w:sz w:val="24"/>
          <w:szCs w:val="24"/>
          <w:highlight w:val="none"/>
          <w:lang w:eastAsia="zh-CN"/>
        </w:rPr>
        <w:t>招标代理</w:t>
      </w:r>
      <w:r>
        <w:rPr>
          <w:rFonts w:hint="eastAsia" w:ascii="宋体" w:hAnsi="宋体" w:eastAsia="宋体" w:cs="宋体"/>
          <w:b w:val="0"/>
          <w:bCs/>
          <w:color w:val="auto"/>
          <w:sz w:val="24"/>
          <w:szCs w:val="24"/>
          <w:highlight w:val="none"/>
        </w:rPr>
        <w:t>机构主持；</w:t>
      </w:r>
    </w:p>
    <w:p w14:paraId="4E8F6D91">
      <w:pPr>
        <w:pStyle w:val="2"/>
        <w:shd w:val="clear" w:color="auto"/>
        <w:kinsoku/>
        <w:overflowPunct/>
        <w:topLinePunct w:val="0"/>
        <w:bidi w:val="0"/>
        <w:snapToGrid w:val="0"/>
        <w:spacing w:line="500" w:lineRule="exact"/>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3</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开标邀请：本项目采用电子交易，采购组织机构将按照采购文件规定的时间通过“</w:t>
      </w:r>
      <w:r>
        <w:rPr>
          <w:rFonts w:hint="eastAsia" w:ascii="宋体" w:hAnsi="宋体" w:eastAsia="宋体" w:cs="宋体"/>
          <w:b w:val="0"/>
          <w:color w:val="auto"/>
          <w:sz w:val="24"/>
          <w:szCs w:val="24"/>
          <w:highlight w:val="none"/>
          <w:lang w:eastAsia="zh-CN"/>
        </w:rPr>
        <w:t>新疆</w:t>
      </w:r>
      <w:r>
        <w:rPr>
          <w:rFonts w:hint="eastAsia" w:ascii="宋体" w:hAnsi="宋体" w:eastAsia="宋体" w:cs="宋体"/>
          <w:b w:val="0"/>
          <w:color w:val="auto"/>
          <w:sz w:val="24"/>
          <w:szCs w:val="24"/>
          <w:highlight w:val="none"/>
        </w:rPr>
        <w:t>政府采购云平台，网址：</w:t>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HYPERLINK "http://www.zcygov.cn"</w:instrText>
      </w:r>
      <w:r>
        <w:rPr>
          <w:rFonts w:hint="eastAsia" w:ascii="宋体" w:hAnsi="宋体" w:eastAsia="宋体" w:cs="宋体"/>
          <w:b w:val="0"/>
          <w:color w:val="auto"/>
          <w:sz w:val="24"/>
          <w:szCs w:val="24"/>
          <w:highlight w:val="none"/>
        </w:rPr>
        <w:fldChar w:fldCharType="separate"/>
      </w:r>
      <w:r>
        <w:rPr>
          <w:rStyle w:val="39"/>
          <w:rFonts w:hint="eastAsia" w:ascii="宋体" w:hAnsi="宋体" w:eastAsia="宋体" w:cs="宋体"/>
          <w:b w:val="0"/>
          <w:color w:val="auto"/>
          <w:sz w:val="24"/>
          <w:szCs w:val="24"/>
          <w:highlight w:val="none"/>
          <w:u w:val="none"/>
        </w:rPr>
        <w:t>www.zcygov.cn</w:t>
      </w:r>
      <w:r>
        <w:rPr>
          <w:rFonts w:hint="eastAsia" w:ascii="宋体" w:hAnsi="宋体" w:eastAsia="宋体" w:cs="宋体"/>
          <w:color w:val="auto"/>
          <w:sz w:val="24"/>
          <w:szCs w:val="24"/>
          <w:highlight w:val="none"/>
        </w:rPr>
        <w:fldChar w:fldCharType="end"/>
      </w:r>
      <w:r>
        <w:rPr>
          <w:rFonts w:hint="eastAsia" w:ascii="宋体" w:hAnsi="宋体" w:eastAsia="宋体" w:cs="宋体"/>
          <w:b w:val="0"/>
          <w:color w:val="auto"/>
          <w:sz w:val="24"/>
          <w:szCs w:val="24"/>
          <w:highlight w:val="none"/>
        </w:rPr>
        <w:t>”组织开标、开启投标响应文件，所有</w:t>
      </w:r>
      <w:r>
        <w:rPr>
          <w:rFonts w:hint="eastAsia" w:hAnsi="宋体" w:eastAsia="宋体" w:cs="宋体"/>
          <w:b w:val="0"/>
          <w:color w:val="auto"/>
          <w:sz w:val="24"/>
          <w:szCs w:val="24"/>
          <w:highlight w:val="none"/>
          <w:lang w:eastAsia="zh-CN"/>
        </w:rPr>
        <w:t>投标单位</w:t>
      </w:r>
      <w:r>
        <w:rPr>
          <w:rFonts w:hint="eastAsia" w:ascii="宋体" w:hAnsi="宋体" w:eastAsia="宋体" w:cs="宋体"/>
          <w:b w:val="0"/>
          <w:color w:val="auto"/>
          <w:sz w:val="24"/>
          <w:szCs w:val="24"/>
          <w:highlight w:val="none"/>
        </w:rPr>
        <w:t>均应当准时在线参加。</w:t>
      </w:r>
    </w:p>
    <w:p w14:paraId="3CF6E7FC">
      <w:pPr>
        <w:pStyle w:val="2"/>
        <w:shd w:val="clear" w:color="auto"/>
        <w:kinsoku/>
        <w:overflowPunct/>
        <w:topLinePunct w:val="0"/>
        <w:bidi w:val="0"/>
        <w:snapToGrid w:val="0"/>
        <w:spacing w:line="500" w:lineRule="exact"/>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4</w:t>
      </w:r>
      <w:r>
        <w:rPr>
          <w:rFonts w:hint="eastAsia" w:ascii="宋体" w:hAnsi="宋体" w:eastAsia="宋体" w:cs="宋体"/>
          <w:b w:val="0"/>
          <w:color w:val="auto"/>
          <w:sz w:val="24"/>
          <w:szCs w:val="24"/>
          <w:highlight w:val="none"/>
          <w:lang w:eastAsia="zh-CN"/>
        </w:rPr>
        <w:t>）</w:t>
      </w:r>
      <w:r>
        <w:rPr>
          <w:rFonts w:hint="eastAsia" w:hAnsi="宋体" w:eastAsia="宋体" w:cs="宋体"/>
          <w:b w:val="0"/>
          <w:color w:val="auto"/>
          <w:sz w:val="24"/>
          <w:szCs w:val="24"/>
          <w:highlight w:val="none"/>
          <w:lang w:eastAsia="zh-CN"/>
        </w:rPr>
        <w:t>投标单位</w:t>
      </w:r>
      <w:r>
        <w:rPr>
          <w:rFonts w:hint="eastAsia" w:ascii="宋体" w:hAnsi="宋体" w:eastAsia="宋体" w:cs="宋体"/>
          <w:b w:val="0"/>
          <w:color w:val="auto"/>
          <w:sz w:val="24"/>
          <w:szCs w:val="24"/>
          <w:highlight w:val="none"/>
        </w:rPr>
        <w:t>对开标过程和开标记录有疑义，以及认为</w:t>
      </w:r>
      <w:r>
        <w:rPr>
          <w:rFonts w:hint="eastAsia" w:hAnsi="宋体" w:eastAsia="宋体" w:cs="宋体"/>
          <w:b w:val="0"/>
          <w:color w:val="auto"/>
          <w:sz w:val="24"/>
          <w:szCs w:val="24"/>
          <w:highlight w:val="none"/>
          <w:lang w:eastAsia="zh-CN"/>
        </w:rPr>
        <w:t>招标人</w:t>
      </w:r>
      <w:r>
        <w:rPr>
          <w:rFonts w:hint="eastAsia" w:ascii="宋体" w:hAnsi="宋体" w:eastAsia="宋体" w:cs="宋体"/>
          <w:b w:val="0"/>
          <w:color w:val="auto"/>
          <w:sz w:val="24"/>
          <w:szCs w:val="24"/>
          <w:highlight w:val="none"/>
        </w:rPr>
        <w:t>、</w:t>
      </w:r>
      <w:r>
        <w:rPr>
          <w:rFonts w:hint="eastAsia" w:hAnsi="宋体" w:eastAsia="宋体" w:cs="宋体"/>
          <w:b w:val="0"/>
          <w:color w:val="auto"/>
          <w:sz w:val="24"/>
          <w:szCs w:val="24"/>
          <w:highlight w:val="none"/>
          <w:lang w:eastAsia="zh-CN"/>
        </w:rPr>
        <w:t>招标代理</w:t>
      </w:r>
      <w:r>
        <w:rPr>
          <w:rFonts w:hint="eastAsia" w:ascii="宋体" w:hAnsi="宋体" w:eastAsia="宋体" w:cs="宋体"/>
          <w:b w:val="0"/>
          <w:color w:val="auto"/>
          <w:sz w:val="24"/>
          <w:szCs w:val="24"/>
          <w:highlight w:val="none"/>
        </w:rPr>
        <w:t>机构相关工作人员有需要回避的情形的，应当场提出询问或回避申请。</w:t>
      </w:r>
      <w:r>
        <w:rPr>
          <w:rFonts w:hint="eastAsia" w:hAnsi="宋体" w:eastAsia="宋体" w:cs="宋体"/>
          <w:b w:val="0"/>
          <w:color w:val="auto"/>
          <w:sz w:val="24"/>
          <w:szCs w:val="24"/>
          <w:highlight w:val="none"/>
          <w:lang w:eastAsia="zh-CN"/>
        </w:rPr>
        <w:t>投标单位</w:t>
      </w:r>
      <w:r>
        <w:rPr>
          <w:rFonts w:hint="eastAsia" w:ascii="宋体" w:hAnsi="宋体" w:eastAsia="宋体" w:cs="宋体"/>
          <w:b w:val="0"/>
          <w:color w:val="auto"/>
          <w:sz w:val="24"/>
          <w:szCs w:val="24"/>
          <w:highlight w:val="none"/>
        </w:rPr>
        <w:t>未参加开标的视同认可开标结果，事后不得对采购相关人员、开标过程和开标结果提出异议，同时投标</w:t>
      </w:r>
      <w:r>
        <w:rPr>
          <w:rFonts w:hint="eastAsia" w:hAnsi="宋体" w:eastAsia="宋体" w:cs="宋体"/>
          <w:b w:val="0"/>
          <w:color w:val="auto"/>
          <w:sz w:val="24"/>
          <w:szCs w:val="24"/>
          <w:highlight w:val="none"/>
          <w:lang w:eastAsia="zh-CN"/>
        </w:rPr>
        <w:t>投标单位</w:t>
      </w:r>
      <w:r>
        <w:rPr>
          <w:rFonts w:hint="eastAsia" w:ascii="宋体" w:hAnsi="宋体" w:eastAsia="宋体" w:cs="宋体"/>
          <w:b w:val="0"/>
          <w:color w:val="auto"/>
          <w:sz w:val="24"/>
          <w:szCs w:val="24"/>
          <w:highlight w:val="none"/>
        </w:rPr>
        <w:t>因未在线参加开标而导致投标文件无法按时解密等一切后果由</w:t>
      </w:r>
      <w:r>
        <w:rPr>
          <w:rFonts w:hint="eastAsia" w:hAnsi="宋体" w:eastAsia="宋体" w:cs="宋体"/>
          <w:b w:val="0"/>
          <w:color w:val="auto"/>
          <w:sz w:val="24"/>
          <w:szCs w:val="24"/>
          <w:highlight w:val="none"/>
          <w:lang w:eastAsia="zh-CN"/>
        </w:rPr>
        <w:t>投标单位</w:t>
      </w:r>
      <w:r>
        <w:rPr>
          <w:rFonts w:hint="eastAsia" w:ascii="宋体" w:hAnsi="宋体" w:eastAsia="宋体" w:cs="宋体"/>
          <w:b w:val="0"/>
          <w:color w:val="auto"/>
          <w:sz w:val="24"/>
          <w:szCs w:val="24"/>
          <w:highlight w:val="none"/>
        </w:rPr>
        <w:t>自行承担。</w:t>
      </w:r>
    </w:p>
    <w:p w14:paraId="7AC51E3F">
      <w:pPr>
        <w:shd w:val="clear" w:color="auto"/>
        <w:kinsoku/>
        <w:overflowPunct/>
        <w:topLinePunct w:val="0"/>
        <w:bidi w:val="0"/>
        <w:snapToGrid w:val="0"/>
        <w:spacing w:line="500" w:lineRule="exact"/>
        <w:ind w:firstLine="480" w:firstLineChars="200"/>
        <w:outlineLvl w:val="2"/>
        <w:rPr>
          <w:rFonts w:hint="eastAsia" w:ascii="宋体" w:hAnsi="宋体" w:eastAsia="宋体" w:cs="宋体"/>
          <w:b/>
          <w:color w:val="auto"/>
          <w:sz w:val="24"/>
          <w:szCs w:val="24"/>
          <w:highlight w:val="none"/>
        </w:rPr>
      </w:pPr>
      <w:bookmarkStart w:id="29" w:name="_Toc73975823"/>
      <w:r>
        <w:rPr>
          <w:rFonts w:hint="eastAsia" w:ascii="宋体" w:hAnsi="宋体" w:eastAsia="宋体" w:cs="宋体"/>
          <w:b/>
          <w:color w:val="auto"/>
          <w:sz w:val="24"/>
          <w:szCs w:val="24"/>
          <w:highlight w:val="none"/>
          <w:lang w:val="en-US" w:eastAsia="zh-CN"/>
        </w:rPr>
        <w:t>29.2</w:t>
      </w:r>
      <w:r>
        <w:rPr>
          <w:rFonts w:hint="eastAsia" w:ascii="宋体" w:hAnsi="宋体" w:eastAsia="宋体" w:cs="宋体"/>
          <w:b/>
          <w:bCs/>
          <w:color w:val="auto"/>
          <w:sz w:val="24"/>
          <w:szCs w:val="24"/>
          <w:highlight w:val="none"/>
        </w:rPr>
        <w:t>开标程序（先报价</w:t>
      </w:r>
      <w:r>
        <w:rPr>
          <w:rFonts w:hint="eastAsia" w:ascii="宋体" w:hAnsi="宋体" w:eastAsia="宋体" w:cs="宋体"/>
          <w:b/>
          <w:bCs/>
          <w:color w:val="auto"/>
          <w:sz w:val="24"/>
          <w:szCs w:val="24"/>
          <w:highlight w:val="none"/>
          <w:lang w:val="en-US" w:eastAsia="zh-CN"/>
        </w:rPr>
        <w:t>后</w:t>
      </w:r>
      <w:r>
        <w:rPr>
          <w:rFonts w:hint="eastAsia" w:ascii="宋体" w:hAnsi="宋体" w:eastAsia="宋体" w:cs="宋体"/>
          <w:b/>
          <w:bCs/>
          <w:color w:val="auto"/>
          <w:sz w:val="24"/>
          <w:szCs w:val="24"/>
          <w:highlight w:val="none"/>
        </w:rPr>
        <w:t>商务技术）</w:t>
      </w:r>
      <w:bookmarkEnd w:id="29"/>
    </w:p>
    <w:p w14:paraId="1135AD89">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开标时间到后，主持人宣布开标会议开始。</w:t>
      </w:r>
    </w:p>
    <w:p w14:paraId="213D8956">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投标文件解密（</w:t>
      </w:r>
      <w:r>
        <w:rPr>
          <w:rFonts w:hint="eastAsia" w:ascii="宋体" w:hAnsi="宋体" w:eastAsia="宋体" w:cs="宋体"/>
          <w:b/>
          <w:color w:val="auto"/>
          <w:kern w:val="0"/>
          <w:sz w:val="24"/>
          <w:szCs w:val="24"/>
          <w:highlight w:val="none"/>
        </w:rPr>
        <w:t>解密规定见《</w:t>
      </w:r>
      <w:r>
        <w:rPr>
          <w:rFonts w:hint="eastAsia" w:ascii="宋体" w:hAnsi="宋体" w:eastAsia="宋体" w:cs="宋体"/>
          <w:b/>
          <w:color w:val="auto"/>
          <w:kern w:val="0"/>
          <w:sz w:val="24"/>
          <w:szCs w:val="24"/>
          <w:highlight w:val="none"/>
          <w:lang w:eastAsia="zh-CN"/>
        </w:rPr>
        <w:t>投标单位</w:t>
      </w:r>
      <w:r>
        <w:rPr>
          <w:rFonts w:hint="eastAsia" w:ascii="宋体" w:hAnsi="宋体" w:eastAsia="宋体" w:cs="宋体"/>
          <w:b/>
          <w:color w:val="auto"/>
          <w:kern w:val="0"/>
          <w:sz w:val="24"/>
          <w:szCs w:val="24"/>
          <w:highlight w:val="none"/>
        </w:rPr>
        <w:t>须知前附表》</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w:t>
      </w:r>
    </w:p>
    <w:p w14:paraId="212FD967">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投标文件解密异常情况处理（</w:t>
      </w:r>
      <w:r>
        <w:rPr>
          <w:rFonts w:hint="eastAsia" w:ascii="宋体" w:hAnsi="宋体" w:eastAsia="宋体" w:cs="宋体"/>
          <w:b/>
          <w:color w:val="auto"/>
          <w:kern w:val="0"/>
          <w:sz w:val="24"/>
          <w:szCs w:val="24"/>
          <w:highlight w:val="none"/>
        </w:rPr>
        <w:t>处理办法见《</w:t>
      </w:r>
      <w:r>
        <w:rPr>
          <w:rFonts w:hint="eastAsia" w:ascii="宋体" w:hAnsi="宋体" w:eastAsia="宋体" w:cs="宋体"/>
          <w:b/>
          <w:color w:val="auto"/>
          <w:kern w:val="0"/>
          <w:sz w:val="24"/>
          <w:szCs w:val="24"/>
          <w:highlight w:val="none"/>
          <w:lang w:eastAsia="zh-CN"/>
        </w:rPr>
        <w:t>投标单位</w:t>
      </w:r>
      <w:r>
        <w:rPr>
          <w:rFonts w:hint="eastAsia" w:ascii="宋体" w:hAnsi="宋体" w:eastAsia="宋体" w:cs="宋体"/>
          <w:b/>
          <w:color w:val="auto"/>
          <w:kern w:val="0"/>
          <w:sz w:val="24"/>
          <w:szCs w:val="24"/>
          <w:highlight w:val="none"/>
        </w:rPr>
        <w:t>须知前附表》</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w:t>
      </w:r>
    </w:p>
    <w:p w14:paraId="6EEA0D06">
      <w:pPr>
        <w:shd w:val="clear" w:color="auto"/>
        <w:kinsoku/>
        <w:overflowPunct/>
        <w:topLinePunct w:val="0"/>
        <w:bidi w:val="0"/>
        <w:snapToGrid w:val="0"/>
        <w:spacing w:line="5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公布投标文件解密情况</w:t>
      </w:r>
      <w:r>
        <w:rPr>
          <w:rFonts w:hint="eastAsia" w:ascii="宋体" w:hAnsi="宋体" w:eastAsia="宋体" w:cs="宋体"/>
          <w:color w:val="auto"/>
          <w:kern w:val="0"/>
          <w:sz w:val="24"/>
          <w:szCs w:val="24"/>
          <w:highlight w:val="none"/>
          <w:lang w:eastAsia="zh-CN"/>
        </w:rPr>
        <w:t>。</w:t>
      </w:r>
    </w:p>
    <w:p w14:paraId="1CBB4524">
      <w:pPr>
        <w:shd w:val="clear" w:color="auto"/>
        <w:kinsoku/>
        <w:overflowPunct/>
        <w:topLinePunct w:val="0"/>
        <w:bidi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开启有效投标</w:t>
      </w:r>
      <w:r>
        <w:rPr>
          <w:rFonts w:hint="eastAsia" w:ascii="宋体" w:hAnsi="宋体" w:eastAsia="宋体" w:cs="宋体"/>
          <w:color w:val="auto"/>
          <w:kern w:val="0"/>
          <w:sz w:val="24"/>
          <w:szCs w:val="24"/>
          <w:highlight w:val="none"/>
          <w:lang w:eastAsia="zh-CN"/>
        </w:rPr>
        <w:t>投标单位</w:t>
      </w:r>
      <w:r>
        <w:rPr>
          <w:rFonts w:hint="eastAsia" w:ascii="宋体" w:hAnsi="宋体" w:eastAsia="宋体" w:cs="宋体"/>
          <w:color w:val="auto"/>
          <w:kern w:val="0"/>
          <w:sz w:val="24"/>
          <w:szCs w:val="24"/>
          <w:highlight w:val="none"/>
        </w:rPr>
        <w:t>的报价，公布开标一览表有关内容，</w:t>
      </w:r>
      <w:r>
        <w:rPr>
          <w:rFonts w:hint="eastAsia" w:ascii="宋体" w:hAnsi="宋体" w:eastAsia="宋体" w:cs="宋体"/>
          <w:color w:val="auto"/>
          <w:sz w:val="24"/>
          <w:szCs w:val="24"/>
          <w:highlight w:val="none"/>
          <w:lang w:bidi="zh-CN"/>
        </w:rPr>
        <w:t>并【开启签章时段】，投标单位对开标记录进行在线签章确认（不予确认的应说明理由，否则视为无异议）</w:t>
      </w:r>
      <w:r>
        <w:rPr>
          <w:rFonts w:hint="eastAsia" w:ascii="宋体" w:hAnsi="宋体" w:eastAsia="宋体" w:cs="宋体"/>
          <w:color w:val="auto"/>
          <w:kern w:val="0"/>
          <w:sz w:val="24"/>
          <w:szCs w:val="24"/>
          <w:highlight w:val="none"/>
        </w:rPr>
        <w:t>。开标结束后，由评标委员会对报价的合理性、准确性等进行审查核实</w:t>
      </w:r>
      <w:r>
        <w:rPr>
          <w:rFonts w:hint="eastAsia" w:ascii="宋体" w:hAnsi="宋体" w:eastAsia="宋体" w:cs="宋体"/>
          <w:color w:val="auto"/>
          <w:sz w:val="24"/>
          <w:szCs w:val="24"/>
          <w:highlight w:val="none"/>
        </w:rPr>
        <w:t>。</w:t>
      </w:r>
    </w:p>
    <w:p w14:paraId="7C64914D">
      <w:pPr>
        <w:shd w:val="clear" w:color="auto"/>
        <w:kinsoku/>
        <w:overflowPunct/>
        <w:topLinePunct w:val="0"/>
        <w:bidi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开启标书信息（资格</w:t>
      </w:r>
      <w:r>
        <w:rPr>
          <w:rFonts w:hint="eastAsia" w:ascii="宋体" w:hAnsi="宋体" w:eastAsia="宋体" w:cs="宋体"/>
          <w:color w:val="auto"/>
          <w:kern w:val="0"/>
          <w:sz w:val="24"/>
          <w:szCs w:val="24"/>
          <w:highlight w:val="none"/>
          <w:lang w:eastAsia="zh-CN"/>
        </w:rPr>
        <w:t>证明</w:t>
      </w:r>
      <w:r>
        <w:rPr>
          <w:rFonts w:hint="eastAsia" w:ascii="宋体" w:hAnsi="宋体" w:eastAsia="宋体" w:cs="宋体"/>
          <w:color w:val="auto"/>
          <w:kern w:val="0"/>
          <w:sz w:val="24"/>
          <w:szCs w:val="24"/>
          <w:highlight w:val="none"/>
        </w:rPr>
        <w:t>文件、商务技术文件）。标书信息开启后，首先由</w:t>
      </w:r>
      <w:r>
        <w:rPr>
          <w:rFonts w:hint="eastAsia" w:ascii="宋体" w:hAnsi="宋体" w:eastAsia="宋体" w:cs="宋体"/>
          <w:color w:val="auto"/>
          <w:kern w:val="0"/>
          <w:sz w:val="24"/>
          <w:szCs w:val="24"/>
          <w:highlight w:val="none"/>
          <w:lang w:eastAsia="zh-CN"/>
        </w:rPr>
        <w:t>招标人</w:t>
      </w:r>
      <w:r>
        <w:rPr>
          <w:rFonts w:hint="eastAsia" w:ascii="宋体" w:hAnsi="宋体" w:eastAsia="宋体" w:cs="宋体"/>
          <w:color w:val="auto"/>
          <w:kern w:val="0"/>
          <w:sz w:val="24"/>
          <w:szCs w:val="24"/>
          <w:highlight w:val="none"/>
        </w:rPr>
        <w:t>或</w:t>
      </w:r>
      <w:r>
        <w:rPr>
          <w:rFonts w:hint="eastAsia" w:ascii="宋体" w:hAnsi="宋体" w:eastAsia="宋体" w:cs="宋体"/>
          <w:color w:val="auto"/>
          <w:kern w:val="0"/>
          <w:sz w:val="24"/>
          <w:szCs w:val="24"/>
          <w:highlight w:val="none"/>
          <w:lang w:eastAsia="zh-CN"/>
        </w:rPr>
        <w:t>招标代理</w:t>
      </w:r>
      <w:r>
        <w:rPr>
          <w:rFonts w:hint="eastAsia" w:ascii="宋体" w:hAnsi="宋体" w:eastAsia="宋体" w:cs="宋体"/>
          <w:color w:val="auto"/>
          <w:kern w:val="0"/>
          <w:sz w:val="24"/>
          <w:szCs w:val="24"/>
          <w:highlight w:val="none"/>
        </w:rPr>
        <w:t>机构</w:t>
      </w:r>
      <w:r>
        <w:rPr>
          <w:rFonts w:hint="eastAsia" w:ascii="宋体" w:hAnsi="宋体" w:eastAsia="宋体" w:cs="宋体"/>
          <w:color w:val="auto"/>
          <w:kern w:val="0"/>
          <w:sz w:val="24"/>
          <w:szCs w:val="24"/>
          <w:highlight w:val="none"/>
          <w:lang w:eastAsia="zh-CN"/>
        </w:rPr>
        <w:t>或评审小组</w:t>
      </w:r>
      <w:r>
        <w:rPr>
          <w:rFonts w:hint="eastAsia" w:ascii="宋体" w:hAnsi="宋体" w:eastAsia="宋体" w:cs="宋体"/>
          <w:color w:val="auto"/>
          <w:kern w:val="0"/>
          <w:sz w:val="24"/>
          <w:szCs w:val="24"/>
          <w:highlight w:val="none"/>
        </w:rPr>
        <w:t>依法对投标</w:t>
      </w:r>
      <w:r>
        <w:rPr>
          <w:rFonts w:hint="eastAsia" w:ascii="宋体" w:hAnsi="宋体" w:eastAsia="宋体" w:cs="宋体"/>
          <w:color w:val="auto"/>
          <w:kern w:val="0"/>
          <w:sz w:val="24"/>
          <w:szCs w:val="24"/>
          <w:highlight w:val="none"/>
          <w:lang w:eastAsia="zh-CN"/>
        </w:rPr>
        <w:t>投标单位</w:t>
      </w:r>
      <w:r>
        <w:rPr>
          <w:rFonts w:hint="eastAsia" w:ascii="宋体" w:hAnsi="宋体" w:eastAsia="宋体" w:cs="宋体"/>
          <w:color w:val="auto"/>
          <w:kern w:val="0"/>
          <w:sz w:val="24"/>
          <w:szCs w:val="24"/>
          <w:highlight w:val="none"/>
        </w:rPr>
        <w:t>的资格</w:t>
      </w:r>
      <w:r>
        <w:rPr>
          <w:rFonts w:hint="eastAsia" w:ascii="宋体" w:hAnsi="宋体" w:eastAsia="宋体" w:cs="宋体"/>
          <w:color w:val="auto"/>
          <w:kern w:val="0"/>
          <w:sz w:val="24"/>
          <w:szCs w:val="24"/>
          <w:highlight w:val="none"/>
          <w:lang w:eastAsia="zh-CN"/>
        </w:rPr>
        <w:t>证明</w:t>
      </w:r>
      <w:r>
        <w:rPr>
          <w:rFonts w:hint="eastAsia" w:ascii="宋体" w:hAnsi="宋体" w:eastAsia="宋体" w:cs="宋体"/>
          <w:color w:val="auto"/>
          <w:kern w:val="0"/>
          <w:sz w:val="24"/>
          <w:szCs w:val="24"/>
          <w:highlight w:val="none"/>
        </w:rPr>
        <w:t>文件进行审查（具体见本章“</w:t>
      </w:r>
      <w:r>
        <w:rPr>
          <w:rFonts w:hint="eastAsia" w:ascii="宋体" w:hAnsi="宋体" w:eastAsia="宋体" w:cs="宋体"/>
          <w:color w:val="auto"/>
          <w:kern w:val="0"/>
          <w:sz w:val="24"/>
          <w:szCs w:val="24"/>
          <w:highlight w:val="none"/>
          <w:lang w:val="en-US" w:eastAsia="zh-CN"/>
        </w:rPr>
        <w:t>29.3</w:t>
      </w:r>
      <w:r>
        <w:rPr>
          <w:rFonts w:hint="eastAsia" w:ascii="宋体" w:hAnsi="宋体" w:eastAsia="宋体" w:cs="宋体"/>
          <w:color w:val="auto"/>
          <w:kern w:val="0"/>
          <w:sz w:val="24"/>
          <w:szCs w:val="24"/>
          <w:highlight w:val="none"/>
        </w:rPr>
        <w:t xml:space="preserve"> 投标</w:t>
      </w:r>
      <w:r>
        <w:rPr>
          <w:rFonts w:hint="eastAsia" w:ascii="宋体" w:hAnsi="宋体" w:eastAsia="宋体" w:cs="宋体"/>
          <w:color w:val="auto"/>
          <w:kern w:val="0"/>
          <w:sz w:val="24"/>
          <w:szCs w:val="24"/>
          <w:highlight w:val="none"/>
          <w:lang w:eastAsia="zh-CN"/>
        </w:rPr>
        <w:t>投标单位</w:t>
      </w:r>
      <w:r>
        <w:rPr>
          <w:rFonts w:hint="eastAsia" w:ascii="宋体" w:hAnsi="宋体" w:eastAsia="宋体" w:cs="宋体"/>
          <w:color w:val="auto"/>
          <w:kern w:val="0"/>
          <w:sz w:val="24"/>
          <w:szCs w:val="24"/>
          <w:highlight w:val="none"/>
        </w:rPr>
        <w:t>资格审查”）， 审查结束公布投标</w:t>
      </w:r>
      <w:r>
        <w:rPr>
          <w:rFonts w:hint="eastAsia" w:ascii="宋体" w:hAnsi="宋体" w:eastAsia="宋体" w:cs="宋体"/>
          <w:color w:val="auto"/>
          <w:kern w:val="0"/>
          <w:sz w:val="24"/>
          <w:szCs w:val="24"/>
          <w:highlight w:val="none"/>
          <w:lang w:eastAsia="zh-CN"/>
        </w:rPr>
        <w:t>投标单位</w:t>
      </w:r>
      <w:r>
        <w:rPr>
          <w:rFonts w:hint="eastAsia" w:ascii="宋体" w:hAnsi="宋体" w:eastAsia="宋体" w:cs="宋体"/>
          <w:color w:val="auto"/>
          <w:kern w:val="0"/>
          <w:sz w:val="24"/>
          <w:szCs w:val="24"/>
          <w:highlight w:val="none"/>
        </w:rPr>
        <w:t>的资格符合情况。资格审查未获通过的</w:t>
      </w:r>
      <w:r>
        <w:rPr>
          <w:rFonts w:hint="eastAsia" w:ascii="宋体" w:hAnsi="宋体" w:eastAsia="宋体" w:cs="宋体"/>
          <w:color w:val="auto"/>
          <w:kern w:val="0"/>
          <w:sz w:val="24"/>
          <w:szCs w:val="24"/>
          <w:highlight w:val="none"/>
          <w:lang w:eastAsia="zh-CN"/>
        </w:rPr>
        <w:t>投标单位</w:t>
      </w:r>
      <w:r>
        <w:rPr>
          <w:rFonts w:hint="eastAsia" w:ascii="宋体" w:hAnsi="宋体" w:eastAsia="宋体" w:cs="宋体"/>
          <w:color w:val="auto"/>
          <w:kern w:val="0"/>
          <w:sz w:val="24"/>
          <w:szCs w:val="24"/>
          <w:highlight w:val="none"/>
        </w:rPr>
        <w:t>，其商务技术文件不再进入评审。</w:t>
      </w:r>
    </w:p>
    <w:p w14:paraId="69DFBCE8">
      <w:pPr>
        <w:shd w:val="clear" w:color="auto"/>
        <w:kinsoku/>
        <w:overflowPunct/>
        <w:topLinePunct w:val="0"/>
        <w:bidi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商务技术评审结束后，主持人公布商务技术评审无效投标</w:t>
      </w:r>
      <w:r>
        <w:rPr>
          <w:rFonts w:hint="eastAsia" w:ascii="宋体" w:hAnsi="宋体" w:eastAsia="宋体" w:cs="宋体"/>
          <w:color w:val="auto"/>
          <w:kern w:val="0"/>
          <w:sz w:val="24"/>
          <w:szCs w:val="24"/>
          <w:highlight w:val="none"/>
          <w:lang w:eastAsia="zh-CN"/>
        </w:rPr>
        <w:t>投标单位</w:t>
      </w:r>
      <w:r>
        <w:rPr>
          <w:rFonts w:hint="eastAsia" w:ascii="宋体" w:hAnsi="宋体" w:eastAsia="宋体" w:cs="宋体"/>
          <w:color w:val="auto"/>
          <w:kern w:val="0"/>
          <w:sz w:val="24"/>
          <w:szCs w:val="24"/>
          <w:highlight w:val="none"/>
        </w:rPr>
        <w:t>名单和商务技术评审有效投标</w:t>
      </w:r>
      <w:r>
        <w:rPr>
          <w:rFonts w:hint="eastAsia" w:ascii="宋体" w:hAnsi="宋体" w:eastAsia="宋体" w:cs="宋体"/>
          <w:color w:val="auto"/>
          <w:kern w:val="0"/>
          <w:sz w:val="24"/>
          <w:szCs w:val="24"/>
          <w:highlight w:val="none"/>
          <w:lang w:eastAsia="zh-CN"/>
        </w:rPr>
        <w:t>投标单位</w:t>
      </w:r>
      <w:r>
        <w:rPr>
          <w:rFonts w:hint="eastAsia" w:ascii="宋体" w:hAnsi="宋体" w:eastAsia="宋体" w:cs="宋体"/>
          <w:color w:val="auto"/>
          <w:kern w:val="0"/>
          <w:sz w:val="24"/>
          <w:szCs w:val="24"/>
          <w:highlight w:val="none"/>
        </w:rPr>
        <w:t>名单及其商务技术得分情况</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商务技术评审无效的</w:t>
      </w:r>
      <w:r>
        <w:rPr>
          <w:rFonts w:hint="eastAsia" w:ascii="宋体" w:hAnsi="宋体" w:eastAsia="宋体" w:cs="宋体"/>
          <w:color w:val="auto"/>
          <w:kern w:val="0"/>
          <w:sz w:val="24"/>
          <w:szCs w:val="24"/>
          <w:highlight w:val="none"/>
          <w:lang w:eastAsia="zh-CN"/>
        </w:rPr>
        <w:t>投标单位</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将</w:t>
      </w:r>
      <w:r>
        <w:rPr>
          <w:rFonts w:hint="eastAsia" w:ascii="宋体" w:hAnsi="宋体" w:eastAsia="宋体" w:cs="宋体"/>
          <w:color w:val="auto"/>
          <w:kern w:val="0"/>
          <w:sz w:val="24"/>
          <w:szCs w:val="24"/>
          <w:highlight w:val="none"/>
        </w:rPr>
        <w:t>不再进入</w:t>
      </w:r>
      <w:r>
        <w:rPr>
          <w:rFonts w:hint="eastAsia" w:ascii="宋体" w:hAnsi="宋体" w:eastAsia="宋体" w:cs="宋体"/>
          <w:color w:val="auto"/>
          <w:kern w:val="0"/>
          <w:sz w:val="24"/>
          <w:szCs w:val="24"/>
          <w:highlight w:val="none"/>
          <w:lang w:val="en-US" w:eastAsia="zh-CN"/>
        </w:rPr>
        <w:t>后期</w:t>
      </w:r>
      <w:r>
        <w:rPr>
          <w:rFonts w:hint="eastAsia" w:ascii="宋体" w:hAnsi="宋体" w:eastAsia="宋体" w:cs="宋体"/>
          <w:color w:val="auto"/>
          <w:kern w:val="0"/>
          <w:sz w:val="24"/>
          <w:szCs w:val="24"/>
          <w:highlight w:val="none"/>
        </w:rPr>
        <w:t>评审。</w:t>
      </w:r>
    </w:p>
    <w:p w14:paraId="1A116DBA">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评审结束后，</w:t>
      </w:r>
      <w:r>
        <w:rPr>
          <w:rFonts w:hint="eastAsia" w:ascii="宋体" w:hAnsi="宋体" w:eastAsia="宋体" w:cs="宋体"/>
          <w:color w:val="auto"/>
          <w:kern w:val="0"/>
          <w:sz w:val="24"/>
          <w:szCs w:val="24"/>
          <w:highlight w:val="none"/>
          <w:lang w:eastAsia="zh-CN"/>
        </w:rPr>
        <w:t>招标代理</w:t>
      </w:r>
      <w:r>
        <w:rPr>
          <w:rFonts w:hint="eastAsia" w:ascii="宋体" w:hAnsi="宋体" w:eastAsia="宋体" w:cs="宋体"/>
          <w:color w:val="auto"/>
          <w:kern w:val="0"/>
          <w:sz w:val="24"/>
          <w:szCs w:val="24"/>
          <w:highlight w:val="none"/>
        </w:rPr>
        <w:t>机构在系统上公布评审结果。</w:t>
      </w:r>
    </w:p>
    <w:p w14:paraId="57A31C02">
      <w:pPr>
        <w:shd w:val="clear" w:color="auto"/>
        <w:kinsoku/>
        <w:overflowPunct/>
        <w:topLinePunct w:val="0"/>
        <w:bidi w:val="0"/>
        <w:snapToGrid w:val="0"/>
        <w:spacing w:line="500" w:lineRule="exact"/>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29.3</w:t>
      </w:r>
      <w:r>
        <w:rPr>
          <w:rFonts w:hint="eastAsia" w:ascii="宋体" w:hAnsi="宋体" w:eastAsia="宋体" w:cs="宋体"/>
          <w:b/>
          <w:color w:val="auto"/>
          <w:kern w:val="0"/>
          <w:sz w:val="24"/>
          <w:szCs w:val="24"/>
          <w:highlight w:val="none"/>
        </w:rPr>
        <w:t xml:space="preserve"> 投标</w:t>
      </w:r>
      <w:r>
        <w:rPr>
          <w:rFonts w:hint="eastAsia" w:ascii="宋体" w:hAnsi="宋体" w:eastAsia="宋体" w:cs="宋体"/>
          <w:b/>
          <w:color w:val="auto"/>
          <w:kern w:val="0"/>
          <w:sz w:val="24"/>
          <w:szCs w:val="24"/>
          <w:highlight w:val="none"/>
          <w:lang w:eastAsia="zh-CN"/>
        </w:rPr>
        <w:t>投标单位</w:t>
      </w:r>
      <w:r>
        <w:rPr>
          <w:rFonts w:hint="eastAsia" w:ascii="宋体" w:hAnsi="宋体" w:eastAsia="宋体" w:cs="宋体"/>
          <w:b/>
          <w:color w:val="auto"/>
          <w:kern w:val="0"/>
          <w:sz w:val="24"/>
          <w:szCs w:val="24"/>
          <w:highlight w:val="none"/>
        </w:rPr>
        <w:t>资格审查：</w:t>
      </w:r>
    </w:p>
    <w:p w14:paraId="3A4F10C7">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kern w:val="0"/>
          <w:sz w:val="24"/>
          <w:szCs w:val="24"/>
          <w:highlight w:val="none"/>
        </w:rPr>
        <w:t>开标（标书信息开启）后，</w:t>
      </w:r>
      <w:r>
        <w:rPr>
          <w:rFonts w:hint="eastAsia" w:ascii="宋体" w:hAnsi="宋体" w:eastAsia="宋体" w:cs="宋体"/>
          <w:bCs/>
          <w:color w:val="auto"/>
          <w:kern w:val="0"/>
          <w:sz w:val="24"/>
          <w:szCs w:val="24"/>
          <w:highlight w:val="none"/>
          <w:lang w:eastAsia="zh-CN"/>
        </w:rPr>
        <w:t>招标人</w:t>
      </w:r>
      <w:r>
        <w:rPr>
          <w:rFonts w:hint="eastAsia" w:ascii="宋体" w:hAnsi="宋体" w:eastAsia="宋体" w:cs="宋体"/>
          <w:bCs/>
          <w:color w:val="auto"/>
          <w:kern w:val="0"/>
          <w:sz w:val="24"/>
          <w:szCs w:val="24"/>
          <w:highlight w:val="none"/>
        </w:rPr>
        <w:t>或</w:t>
      </w:r>
      <w:r>
        <w:rPr>
          <w:rFonts w:hint="eastAsia" w:ascii="宋体" w:hAnsi="宋体" w:eastAsia="宋体" w:cs="宋体"/>
          <w:bCs/>
          <w:color w:val="auto"/>
          <w:kern w:val="0"/>
          <w:sz w:val="24"/>
          <w:szCs w:val="24"/>
          <w:highlight w:val="none"/>
          <w:lang w:eastAsia="zh-CN"/>
        </w:rPr>
        <w:t>招标代理</w:t>
      </w:r>
      <w:r>
        <w:rPr>
          <w:rFonts w:hint="eastAsia" w:ascii="宋体" w:hAnsi="宋体" w:eastAsia="宋体" w:cs="宋体"/>
          <w:bCs/>
          <w:color w:val="auto"/>
          <w:kern w:val="0"/>
          <w:sz w:val="24"/>
          <w:szCs w:val="24"/>
          <w:highlight w:val="none"/>
        </w:rPr>
        <w:t>机构</w:t>
      </w:r>
      <w:r>
        <w:rPr>
          <w:rFonts w:hint="eastAsia" w:ascii="宋体" w:hAnsi="宋体" w:eastAsia="宋体" w:cs="宋体"/>
          <w:bCs/>
          <w:color w:val="auto"/>
          <w:kern w:val="0"/>
          <w:sz w:val="24"/>
          <w:szCs w:val="24"/>
          <w:highlight w:val="none"/>
          <w:lang w:eastAsia="zh-CN"/>
        </w:rPr>
        <w:t>或</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bCs/>
          <w:color w:val="auto"/>
          <w:kern w:val="0"/>
          <w:sz w:val="24"/>
          <w:szCs w:val="24"/>
          <w:highlight w:val="none"/>
        </w:rPr>
        <w:t>首先依法对投标</w:t>
      </w:r>
      <w:r>
        <w:rPr>
          <w:rFonts w:hint="eastAsia" w:ascii="宋体" w:hAnsi="宋体" w:eastAsia="宋体" w:cs="宋体"/>
          <w:bCs/>
          <w:color w:val="auto"/>
          <w:kern w:val="0"/>
          <w:sz w:val="24"/>
          <w:szCs w:val="24"/>
          <w:highlight w:val="none"/>
          <w:lang w:eastAsia="zh-CN"/>
        </w:rPr>
        <w:t>投标单位</w:t>
      </w:r>
      <w:r>
        <w:rPr>
          <w:rFonts w:hint="eastAsia" w:ascii="宋体" w:hAnsi="宋体" w:eastAsia="宋体" w:cs="宋体"/>
          <w:bCs/>
          <w:color w:val="auto"/>
          <w:kern w:val="0"/>
          <w:sz w:val="24"/>
          <w:szCs w:val="24"/>
          <w:highlight w:val="none"/>
        </w:rPr>
        <w:t>的资格文件进行审查，审查各投标</w:t>
      </w:r>
      <w:r>
        <w:rPr>
          <w:rFonts w:hint="eastAsia" w:ascii="宋体" w:hAnsi="宋体" w:eastAsia="宋体" w:cs="宋体"/>
          <w:bCs/>
          <w:color w:val="auto"/>
          <w:kern w:val="0"/>
          <w:sz w:val="24"/>
          <w:szCs w:val="24"/>
          <w:highlight w:val="none"/>
          <w:lang w:eastAsia="zh-CN"/>
        </w:rPr>
        <w:t>投标单位</w:t>
      </w:r>
      <w:r>
        <w:rPr>
          <w:rFonts w:hint="eastAsia" w:ascii="宋体" w:hAnsi="宋体" w:eastAsia="宋体" w:cs="宋体"/>
          <w:bCs/>
          <w:color w:val="auto"/>
          <w:kern w:val="0"/>
          <w:sz w:val="24"/>
          <w:szCs w:val="24"/>
          <w:highlight w:val="none"/>
        </w:rPr>
        <w:t>的资格符合情况。</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招标代理</w:t>
      </w:r>
      <w:r>
        <w:rPr>
          <w:rFonts w:hint="eastAsia" w:ascii="宋体" w:hAnsi="宋体" w:eastAsia="宋体" w:cs="宋体"/>
          <w:color w:val="auto"/>
          <w:sz w:val="24"/>
          <w:szCs w:val="24"/>
          <w:highlight w:val="none"/>
        </w:rPr>
        <w:t>机构</w:t>
      </w:r>
      <w:r>
        <w:rPr>
          <w:rFonts w:hint="eastAsia" w:ascii="宋体" w:hAnsi="宋体" w:eastAsia="宋体" w:cs="宋体"/>
          <w:bCs/>
          <w:color w:val="auto"/>
          <w:kern w:val="0"/>
          <w:sz w:val="24"/>
          <w:szCs w:val="24"/>
          <w:highlight w:val="none"/>
          <w:lang w:eastAsia="zh-CN"/>
        </w:rPr>
        <w:t>或</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color w:val="auto"/>
          <w:sz w:val="24"/>
          <w:szCs w:val="24"/>
          <w:highlight w:val="none"/>
        </w:rPr>
        <w:t>对投标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所提交的资格证明材料仅负审核的责任。如发现投标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所提交的资格证明材料不合法或与事实不符，</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可取消其中标资格并追究投标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的法律责任。</w:t>
      </w:r>
    </w:p>
    <w:p w14:paraId="20C7C3C1">
      <w:pPr>
        <w:pStyle w:val="8"/>
        <w:shd w:val="clear" w:color="auto"/>
        <w:kinsoku/>
        <w:overflowPunct/>
        <w:topLinePunct w:val="0"/>
        <w:bidi w:val="0"/>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（2）投标</w:t>
      </w:r>
      <w:r>
        <w:rPr>
          <w:rFonts w:hint="eastAsia" w:hAnsi="宋体" w:eastAsia="宋体" w:cs="宋体"/>
          <w:b w:val="0"/>
          <w:bCs/>
          <w:color w:val="auto"/>
          <w:sz w:val="24"/>
          <w:szCs w:val="24"/>
          <w:highlight w:val="none"/>
          <w:lang w:eastAsia="zh-CN"/>
        </w:rPr>
        <w:t>投标单位</w:t>
      </w:r>
      <w:r>
        <w:rPr>
          <w:rFonts w:hint="eastAsia" w:ascii="宋体" w:hAnsi="宋体" w:eastAsia="宋体" w:cs="宋体"/>
          <w:b w:val="0"/>
          <w:bCs/>
          <w:color w:val="auto"/>
          <w:sz w:val="24"/>
          <w:szCs w:val="24"/>
          <w:highlight w:val="none"/>
        </w:rPr>
        <w:t>提交的资格证明材料无法证明其符合采购文件规定的“投标</w:t>
      </w:r>
      <w:r>
        <w:rPr>
          <w:rFonts w:hint="eastAsia" w:hAnsi="宋体" w:eastAsia="宋体" w:cs="宋体"/>
          <w:b w:val="0"/>
          <w:bCs/>
          <w:color w:val="auto"/>
          <w:sz w:val="24"/>
          <w:szCs w:val="24"/>
          <w:highlight w:val="none"/>
          <w:lang w:eastAsia="zh-CN"/>
        </w:rPr>
        <w:t>投标单位</w:t>
      </w:r>
      <w:r>
        <w:rPr>
          <w:rFonts w:hint="eastAsia" w:ascii="宋体" w:hAnsi="宋体" w:eastAsia="宋体" w:cs="宋体"/>
          <w:b w:val="0"/>
          <w:bCs/>
          <w:color w:val="auto"/>
          <w:sz w:val="24"/>
          <w:szCs w:val="24"/>
          <w:highlight w:val="none"/>
        </w:rPr>
        <w:t>资格要求”的，</w:t>
      </w:r>
      <w:r>
        <w:rPr>
          <w:rFonts w:hint="eastAsia" w:hAnsi="宋体" w:eastAsia="宋体" w:cs="宋体"/>
          <w:b w:val="0"/>
          <w:bCs/>
          <w:color w:val="auto"/>
          <w:sz w:val="24"/>
          <w:szCs w:val="24"/>
          <w:highlight w:val="none"/>
          <w:lang w:eastAsia="zh-CN"/>
        </w:rPr>
        <w:t>招标人</w:t>
      </w:r>
      <w:r>
        <w:rPr>
          <w:rFonts w:hint="eastAsia" w:ascii="宋体" w:hAnsi="宋体" w:eastAsia="宋体" w:cs="宋体"/>
          <w:b w:val="0"/>
          <w:bCs/>
          <w:color w:val="auto"/>
          <w:sz w:val="24"/>
          <w:szCs w:val="24"/>
          <w:highlight w:val="none"/>
        </w:rPr>
        <w:t>或</w:t>
      </w:r>
      <w:r>
        <w:rPr>
          <w:rFonts w:hint="eastAsia" w:hAnsi="宋体" w:eastAsia="宋体" w:cs="宋体"/>
          <w:b w:val="0"/>
          <w:bCs/>
          <w:color w:val="auto"/>
          <w:sz w:val="24"/>
          <w:szCs w:val="24"/>
          <w:highlight w:val="none"/>
          <w:lang w:eastAsia="zh-CN"/>
        </w:rPr>
        <w:t>招标代理</w:t>
      </w:r>
      <w:r>
        <w:rPr>
          <w:rFonts w:hint="eastAsia" w:ascii="宋体" w:hAnsi="宋体" w:eastAsia="宋体" w:cs="宋体"/>
          <w:b w:val="0"/>
          <w:bCs/>
          <w:color w:val="auto"/>
          <w:sz w:val="24"/>
          <w:szCs w:val="24"/>
          <w:highlight w:val="none"/>
        </w:rPr>
        <w:t>机构将对其作“资格审查不合格”处理（无效投标），并不再将其投标提交评标委员会进行后续评审。</w:t>
      </w:r>
    </w:p>
    <w:p w14:paraId="01C30BE4">
      <w:pPr>
        <w:pStyle w:val="8"/>
        <w:shd w:val="clear" w:color="auto"/>
        <w:kinsoku/>
        <w:overflowPunct/>
        <w:topLinePunct w:val="0"/>
        <w:bidi w:val="0"/>
        <w:snapToGrid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w:t>
      </w:r>
      <w:r>
        <w:rPr>
          <w:rFonts w:hint="eastAsia" w:hAnsi="宋体" w:eastAsia="宋体" w:cs="宋体"/>
          <w:b w:val="0"/>
          <w:bCs/>
          <w:color w:val="auto"/>
          <w:kern w:val="0"/>
          <w:sz w:val="24"/>
          <w:szCs w:val="24"/>
          <w:highlight w:val="none"/>
          <w:lang w:eastAsia="zh-CN"/>
        </w:rPr>
        <w:t>投标单位</w:t>
      </w:r>
      <w:r>
        <w:rPr>
          <w:rFonts w:hint="eastAsia" w:ascii="宋体" w:hAnsi="宋体" w:eastAsia="宋体" w:cs="宋体"/>
          <w:b w:val="0"/>
          <w:bCs/>
          <w:color w:val="auto"/>
          <w:sz w:val="24"/>
          <w:szCs w:val="24"/>
          <w:highlight w:val="none"/>
        </w:rPr>
        <w:t>信用记录查询与使用：</w:t>
      </w:r>
      <w:r>
        <w:rPr>
          <w:rFonts w:hint="eastAsia" w:ascii="宋体" w:hAnsi="宋体" w:eastAsia="宋体" w:cs="宋体"/>
          <w:b w:val="0"/>
          <w:bCs/>
          <w:color w:val="auto"/>
          <w:kern w:val="0"/>
          <w:sz w:val="24"/>
          <w:szCs w:val="24"/>
          <w:highlight w:val="none"/>
        </w:rPr>
        <w:t>见《</w:t>
      </w:r>
      <w:r>
        <w:rPr>
          <w:rFonts w:hint="eastAsia" w:hAnsi="宋体" w:eastAsia="宋体" w:cs="宋体"/>
          <w:b w:val="0"/>
          <w:bCs/>
          <w:color w:val="auto"/>
          <w:kern w:val="0"/>
          <w:sz w:val="24"/>
          <w:szCs w:val="24"/>
          <w:highlight w:val="none"/>
          <w:lang w:eastAsia="zh-CN"/>
        </w:rPr>
        <w:t>投标单位</w:t>
      </w:r>
      <w:r>
        <w:rPr>
          <w:rFonts w:hint="eastAsia" w:ascii="宋体" w:hAnsi="宋体" w:eastAsia="宋体" w:cs="宋体"/>
          <w:b w:val="0"/>
          <w:bCs/>
          <w:color w:val="auto"/>
          <w:kern w:val="0"/>
          <w:sz w:val="24"/>
          <w:szCs w:val="24"/>
          <w:highlight w:val="none"/>
        </w:rPr>
        <w:t>须知前附表》。</w:t>
      </w:r>
    </w:p>
    <w:p w14:paraId="66F1C950">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评审工作的组织</w:t>
      </w:r>
    </w:p>
    <w:p w14:paraId="0B130D77">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招标代理</w:t>
      </w:r>
      <w:r>
        <w:rPr>
          <w:rFonts w:hint="eastAsia" w:ascii="宋体" w:hAnsi="宋体" w:eastAsia="宋体" w:cs="宋体"/>
          <w:color w:val="auto"/>
          <w:sz w:val="24"/>
          <w:szCs w:val="24"/>
          <w:highlight w:val="none"/>
        </w:rPr>
        <w:t>机构负责组织本项目的评审工作，并依据《政府采购货物和服务招标投标管理办法（财政部第87号令）》第四十五条的相关规定履行职责。</w:t>
      </w:r>
    </w:p>
    <w:p w14:paraId="294030A6">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 评标委员会的组建</w:t>
      </w:r>
    </w:p>
    <w:p w14:paraId="06093488">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.1评标委员会由</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招标代理</w:t>
      </w:r>
      <w:r>
        <w:rPr>
          <w:rFonts w:hint="eastAsia" w:ascii="宋体" w:hAnsi="宋体" w:eastAsia="宋体" w:cs="宋体"/>
          <w:color w:val="auto"/>
          <w:sz w:val="24"/>
          <w:szCs w:val="24"/>
          <w:highlight w:val="none"/>
        </w:rPr>
        <w:t>机构依法组建，成员由</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代表和评审专家组成，成员人数为五人或以上单数，其中评审专家不少于成员总数的三分之二。</w:t>
      </w:r>
    </w:p>
    <w:p w14:paraId="4DEFD41F">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.2评审专家从</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rPr>
        <w:t>政府采购云平台专家库中通过随机方式抽取产生。评标委员会成员名单在采购结果公告前</w:t>
      </w:r>
      <w:r>
        <w:rPr>
          <w:rFonts w:hint="eastAsia" w:ascii="宋体" w:hAnsi="宋体" w:eastAsia="宋体" w:cs="宋体"/>
          <w:color w:val="auto"/>
          <w:sz w:val="24"/>
          <w:szCs w:val="24"/>
          <w:highlight w:val="none"/>
          <w:lang w:val="en-US" w:eastAsia="zh-CN"/>
        </w:rPr>
        <w:t>保密</w:t>
      </w:r>
      <w:r>
        <w:rPr>
          <w:rFonts w:hint="eastAsia" w:ascii="宋体" w:hAnsi="宋体" w:eastAsia="宋体" w:cs="宋体"/>
          <w:color w:val="auto"/>
          <w:sz w:val="24"/>
          <w:szCs w:val="24"/>
          <w:highlight w:val="none"/>
        </w:rPr>
        <w:t>。</w:t>
      </w:r>
    </w:p>
    <w:p w14:paraId="2A97403F">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.评标委员会的职责</w:t>
      </w:r>
    </w:p>
    <w:p w14:paraId="6D0E030F">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.1审查、评价投标文件是否符合采购文件的商务、技术等实质性要求。</w:t>
      </w:r>
    </w:p>
    <w:p w14:paraId="02ED9C61">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.2要求</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对投标文件有关事项作出澄清或者说明。</w:t>
      </w:r>
    </w:p>
    <w:p w14:paraId="23F8FCBF">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.3对投标文件进行比较和评价。</w:t>
      </w:r>
    </w:p>
    <w:p w14:paraId="296266E4">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.4确定中标候选人名单，以及根据</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委托直接确定中标人。</w:t>
      </w:r>
    </w:p>
    <w:p w14:paraId="5C9C1286">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.5向</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招标代理</w:t>
      </w:r>
      <w:r>
        <w:rPr>
          <w:rFonts w:hint="eastAsia" w:ascii="宋体" w:hAnsi="宋体" w:eastAsia="宋体" w:cs="宋体"/>
          <w:color w:val="auto"/>
          <w:sz w:val="24"/>
          <w:szCs w:val="24"/>
          <w:highlight w:val="none"/>
        </w:rPr>
        <w:t>机构或者有关部门报告评审中发现的违法行为。</w:t>
      </w:r>
    </w:p>
    <w:p w14:paraId="34243673">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 评标原则</w:t>
      </w:r>
    </w:p>
    <w:p w14:paraId="54015635">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.1评标委员会将遵循公平、公正、科学的原则，对</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提交的投标文件进行综合评审，评标委员会按照采购文件规定的评标细则进行评分。</w:t>
      </w:r>
    </w:p>
    <w:p w14:paraId="58CE261C">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.2客观公正对待所有</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 xml:space="preserve">，对所有投标评价均采用相同的程序和标准。 </w:t>
      </w:r>
    </w:p>
    <w:p w14:paraId="685554F1">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14:paraId="103DE59D">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 xml:space="preserve">.4 财政部令第87号《政府采购货物和服务招标投标管理办法》第三十一条规定。      </w:t>
      </w:r>
    </w:p>
    <w:p w14:paraId="3DDAB37B">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 评委纪律</w:t>
      </w:r>
    </w:p>
    <w:p w14:paraId="310EF31C">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评标委员会成员必须严格遵守</w:t>
      </w:r>
      <w:r>
        <w:rPr>
          <w:rFonts w:hint="eastAsia" w:ascii="宋体" w:hAnsi="宋体" w:eastAsia="宋体" w:cs="宋体"/>
          <w:color w:val="auto"/>
          <w:sz w:val="24"/>
          <w:szCs w:val="24"/>
          <w:highlight w:val="none"/>
          <w:lang w:val="en-US" w:eastAsia="zh-CN"/>
        </w:rPr>
        <w:t>保密</w:t>
      </w:r>
      <w:r>
        <w:rPr>
          <w:rFonts w:hint="eastAsia" w:ascii="宋体" w:hAnsi="宋体" w:eastAsia="宋体" w:cs="宋体"/>
          <w:color w:val="auto"/>
          <w:sz w:val="24"/>
          <w:szCs w:val="24"/>
          <w:highlight w:val="none"/>
        </w:rPr>
        <w:t>规定，不得泄露评审的有关情况，任何单位和个人不得干扰、影响评标的正常进行，评标委员会成员不得私下与投标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接触，不得出现</w:t>
      </w:r>
      <w:r>
        <w:rPr>
          <w:rFonts w:hint="eastAsia" w:ascii="宋体" w:hAnsi="宋体" w:eastAsia="宋体"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政府采购活动现场组织管理办法中规定的其他禁止行为。</w:t>
      </w:r>
    </w:p>
    <w:p w14:paraId="1065A6BA">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评标程序</w:t>
      </w:r>
    </w:p>
    <w:p w14:paraId="37722650">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1 在评审专家中推选评标委员会组长，</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代表不得担任评标委员会组长。</w:t>
      </w:r>
    </w:p>
    <w:p w14:paraId="6AB729D6">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18E4CB4A">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3 评审人员对符合资格的</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的投标文件的有效性、符合性、完整性和响应程度进行审查，确定是否对采购文件作出实质性响应。</w:t>
      </w:r>
    </w:p>
    <w:p w14:paraId="2281AE92">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4 评审人员按采购文件规定的评审方法和评审标准，依法独立对</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投标文件进行评估、比较，并给予评价或打分，不受任何单位和个人的干预。</w:t>
      </w:r>
    </w:p>
    <w:p w14:paraId="0518D78F">
      <w:pPr>
        <w:widowControl/>
        <w:shd w:val="clear" w:color="auto"/>
        <w:kinsoku/>
        <w:overflowPunct/>
        <w:topLinePunct w:val="0"/>
        <w:bidi w:val="0"/>
        <w:spacing w:line="500" w:lineRule="exact"/>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综合评分法中的价格分统一采用低价优先法计算，即满足</w:t>
      </w:r>
      <w:r>
        <w:rPr>
          <w:rFonts w:hint="eastAsia" w:ascii="宋体" w:hAnsi="宋体" w:eastAsia="宋体" w:cs="宋体"/>
          <w:color w:val="auto"/>
          <w:kern w:val="0"/>
          <w:sz w:val="24"/>
          <w:szCs w:val="24"/>
          <w:highlight w:val="none"/>
          <w:lang w:eastAsia="zh-CN"/>
        </w:rPr>
        <w:t>招标</w:t>
      </w:r>
      <w:r>
        <w:rPr>
          <w:rFonts w:hint="eastAsia" w:ascii="宋体" w:hAnsi="宋体" w:eastAsia="宋体" w:cs="宋体"/>
          <w:color w:val="auto"/>
          <w:kern w:val="0"/>
          <w:sz w:val="24"/>
          <w:szCs w:val="24"/>
          <w:highlight w:val="none"/>
        </w:rPr>
        <w:t>文件要求且最后报价最低的</w:t>
      </w:r>
      <w:r>
        <w:rPr>
          <w:rFonts w:hint="eastAsia" w:ascii="宋体" w:hAnsi="宋体" w:eastAsia="宋体" w:cs="宋体"/>
          <w:color w:val="auto"/>
          <w:kern w:val="0"/>
          <w:sz w:val="24"/>
          <w:szCs w:val="24"/>
          <w:highlight w:val="none"/>
          <w:lang w:eastAsia="zh-CN"/>
        </w:rPr>
        <w:t>投标单位</w:t>
      </w:r>
      <w:r>
        <w:rPr>
          <w:rFonts w:hint="eastAsia" w:ascii="宋体" w:hAnsi="宋体" w:eastAsia="宋体" w:cs="宋体"/>
          <w:color w:val="auto"/>
          <w:kern w:val="0"/>
          <w:sz w:val="24"/>
          <w:szCs w:val="24"/>
          <w:highlight w:val="none"/>
        </w:rPr>
        <w:t>的价格为</w:t>
      </w:r>
      <w:r>
        <w:rPr>
          <w:rFonts w:hint="eastAsia" w:ascii="宋体" w:hAnsi="宋体" w:eastAsia="宋体" w:cs="宋体"/>
          <w:color w:val="auto"/>
          <w:kern w:val="0"/>
          <w:sz w:val="24"/>
          <w:szCs w:val="24"/>
          <w:highlight w:val="none"/>
          <w:lang w:val="en-US" w:eastAsia="zh-CN"/>
        </w:rPr>
        <w:t>评标</w:t>
      </w:r>
      <w:r>
        <w:rPr>
          <w:rFonts w:hint="eastAsia" w:ascii="宋体" w:hAnsi="宋体" w:eastAsia="宋体" w:cs="宋体"/>
          <w:color w:val="auto"/>
          <w:kern w:val="0"/>
          <w:sz w:val="24"/>
          <w:szCs w:val="24"/>
          <w:highlight w:val="none"/>
        </w:rPr>
        <w:t>基准价，其价格分为满分。其他</w:t>
      </w:r>
      <w:r>
        <w:rPr>
          <w:rFonts w:hint="eastAsia" w:ascii="宋体" w:hAnsi="宋体" w:eastAsia="宋体" w:cs="宋体"/>
          <w:color w:val="auto"/>
          <w:kern w:val="0"/>
          <w:sz w:val="24"/>
          <w:szCs w:val="24"/>
          <w:highlight w:val="none"/>
          <w:lang w:eastAsia="zh-CN"/>
        </w:rPr>
        <w:t>投标单位</w:t>
      </w:r>
      <w:r>
        <w:rPr>
          <w:rFonts w:hint="eastAsia" w:ascii="宋体" w:hAnsi="宋体" w:eastAsia="宋体" w:cs="宋体"/>
          <w:color w:val="auto"/>
          <w:kern w:val="0"/>
          <w:sz w:val="24"/>
          <w:szCs w:val="24"/>
          <w:highlight w:val="none"/>
        </w:rPr>
        <w:t>的价格分统一按照下列公式计算：</w:t>
      </w:r>
    </w:p>
    <w:p w14:paraId="06410A4D">
      <w:pPr>
        <w:widowControl/>
        <w:shd w:val="clear" w:color="auto"/>
        <w:kinsoku/>
        <w:overflowPunct/>
        <w:topLinePunct w:val="0"/>
        <w:bidi w:val="0"/>
        <w:spacing w:line="500" w:lineRule="exact"/>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报价得分=（</w:t>
      </w:r>
      <w:r>
        <w:rPr>
          <w:rFonts w:hint="eastAsia" w:ascii="宋体" w:hAnsi="宋体" w:eastAsia="宋体" w:cs="宋体"/>
          <w:color w:val="auto"/>
          <w:kern w:val="0"/>
          <w:sz w:val="24"/>
          <w:szCs w:val="24"/>
          <w:highlight w:val="none"/>
          <w:lang w:val="en-US" w:eastAsia="zh-CN"/>
        </w:rPr>
        <w:t>评标</w:t>
      </w:r>
      <w:r>
        <w:rPr>
          <w:rFonts w:hint="eastAsia" w:ascii="宋体" w:hAnsi="宋体" w:eastAsia="宋体" w:cs="宋体"/>
          <w:color w:val="auto"/>
          <w:kern w:val="0"/>
          <w:sz w:val="24"/>
          <w:szCs w:val="24"/>
          <w:highlight w:val="none"/>
        </w:rPr>
        <w:t>基准价/</w:t>
      </w:r>
      <w:r>
        <w:rPr>
          <w:rFonts w:hint="eastAsia" w:ascii="宋体" w:hAnsi="宋体" w:eastAsia="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rPr>
        <w:t>报价）×价格权值×100</w:t>
      </w:r>
    </w:p>
    <w:p w14:paraId="36AAB399">
      <w:pPr>
        <w:widowControl/>
        <w:shd w:val="clear" w:color="auto"/>
        <w:kinsoku/>
        <w:overflowPunct/>
        <w:topLinePunct w:val="0"/>
        <w:bidi w:val="0"/>
        <w:spacing w:line="50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项目评审过程中，不得去掉</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报价中的最高报价和最低报价。</w:t>
      </w:r>
    </w:p>
    <w:p w14:paraId="71C6C4A9">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5 评审人员对各</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投标文件非实质性内容有疑议或异议，或者审查发现明显的文字或计算错误等，及时向评标委员会组长提出。经评标委员会商议认为需要</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作出必要澄清、说明或者补正的，应当以在线询标形式要求</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作出必要的澄清、说明或者补正。澄清、说明或者补正的内容应作为政府采购项目档案归档留存。</w:t>
      </w:r>
    </w:p>
    <w:p w14:paraId="54C07857">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6 评审人员需对采购方工作人员唱</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或统计的评审结果进行确认，现场监督员应对评审结果签署监督意见。如发现分值汇总计算错误、分项评分超出评分标准范围、客观评分不一致以及存在评分畸高、畸低（其总评分偏离平均分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%以上的）情形的，应由相关人员当场改正或作出书面说明；拒不改正又不作书面说明的，由现场监督员如实记载后存入项目档案资料。</w:t>
      </w:r>
    </w:p>
    <w:p w14:paraId="4C5A9C67">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7 评标委员会根据评审汇总情况和采购文件规定确定中标候选</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排序名单。</w:t>
      </w:r>
    </w:p>
    <w:p w14:paraId="521108D5">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8 起草评审报告，所有评审人员须在评审报告上</w:t>
      </w:r>
      <w:r>
        <w:rPr>
          <w:rFonts w:hint="eastAsia" w:ascii="宋体" w:hAnsi="宋体" w:eastAsia="宋体" w:cs="宋体"/>
          <w:color w:val="auto"/>
          <w:sz w:val="24"/>
          <w:szCs w:val="24"/>
          <w:highlight w:val="none"/>
          <w:lang w:eastAsia="zh-CN"/>
        </w:rPr>
        <w:t>签章</w:t>
      </w:r>
      <w:r>
        <w:rPr>
          <w:rFonts w:hint="eastAsia" w:ascii="宋体" w:hAnsi="宋体" w:eastAsia="宋体" w:cs="宋体"/>
          <w:color w:val="auto"/>
          <w:sz w:val="24"/>
          <w:szCs w:val="24"/>
          <w:highlight w:val="none"/>
        </w:rPr>
        <w:t xml:space="preserve">确认，对自己的评审意见承担法律责任。 </w:t>
      </w:r>
    </w:p>
    <w:p w14:paraId="71E98F80">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9 采购组织机构对评标委员会评审专家进行评价。</w:t>
      </w:r>
    </w:p>
    <w:p w14:paraId="311A0516">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10 修改评审结果</w:t>
      </w:r>
    </w:p>
    <w:p w14:paraId="7CA152A5">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评标结果汇总完成后，除下列情形外，任何人不得修改评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结果：</w:t>
      </w:r>
    </w:p>
    <w:p w14:paraId="0465D3EB">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（1）分值汇总计算错误的；</w:t>
      </w:r>
    </w:p>
    <w:p w14:paraId="290180BC">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（2）分项评分超出评分标准范围的；</w:t>
      </w:r>
    </w:p>
    <w:p w14:paraId="4166B771">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（3）评标委员会成员对客观评审因素评分不一致的；</w:t>
      </w:r>
    </w:p>
    <w:p w14:paraId="19F250EF">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（4）经评标委员会认定评分畸高、畸低的。</w:t>
      </w:r>
    </w:p>
    <w:p w14:paraId="1A70E5A9">
      <w:pPr>
        <w:widowControl/>
        <w:shd w:val="clear" w:color="auto"/>
        <w:kinsoku/>
        <w:overflowPunct/>
        <w:topLinePunct w:val="0"/>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报告签署前，经复核发现存在以上情形之一的，评标委员会应当当场修改评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结果，并在评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报告中记载；评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报告签署后，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招标代理</w:t>
      </w:r>
      <w:r>
        <w:rPr>
          <w:rFonts w:hint="eastAsia" w:ascii="宋体" w:hAnsi="宋体" w:eastAsia="宋体" w:cs="宋体"/>
          <w:color w:val="auto"/>
          <w:sz w:val="24"/>
          <w:szCs w:val="24"/>
          <w:highlight w:val="none"/>
        </w:rPr>
        <w:t>机构发现存在以上情形之一的，应当组织原评标委员会进行重新评审，重新评审改变评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结果的，书面报告本级财政部门。</w:t>
      </w:r>
    </w:p>
    <w:p w14:paraId="307DD61F">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36．澄清、说明或补正的形式</w:t>
      </w:r>
    </w:p>
    <w:p w14:paraId="7C18F56D">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36.1对于投标文件中含义不明确、同类问题表述不一致或者有明显文字和计算错误的内容，评标委员会将通过“政府采购云平台”在线询标的方式要求投标投标单位在规定的时间内作出必要的澄清、说明或者补正，</w:t>
      </w:r>
      <w:r>
        <w:rPr>
          <w:rFonts w:hint="eastAsia" w:ascii="宋体" w:hAnsi="宋体" w:eastAsia="宋体" w:cs="宋体"/>
          <w:b/>
          <w:bCs/>
          <w:color w:val="auto"/>
          <w:sz w:val="24"/>
          <w:szCs w:val="24"/>
          <w:highlight w:val="none"/>
          <w:lang w:val="en-US" w:eastAsia="zh-CN"/>
        </w:rPr>
        <w:t>投标投标单位澄清、说明或补正时间为20分钟</w:t>
      </w:r>
      <w:r>
        <w:rPr>
          <w:rFonts w:hint="eastAsia" w:ascii="宋体" w:hAnsi="宋体" w:eastAsia="宋体" w:cs="宋体"/>
          <w:b w:val="0"/>
          <w:bCs w:val="0"/>
          <w:color w:val="auto"/>
          <w:sz w:val="24"/>
          <w:szCs w:val="24"/>
          <w:highlight w:val="none"/>
          <w:lang w:val="en-US" w:eastAsia="zh-CN"/>
        </w:rPr>
        <w:t>。</w:t>
      </w:r>
    </w:p>
    <w:p w14:paraId="66E886F4">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36.2投标投标单位的澄清、说明或者补正应当通过“政府采购云平台”在线答复的方式提交，并加盖公章（电子印章），或者由法定代表人（负责人）或其授权的代表签章。投标投标单位的澄清、说明或者补正不得超出投标文件的范围或者改变投标文件的实质性内容，不接受投标投标单位主动对投标文件的澄清、说明或者补正。</w:t>
      </w:r>
    </w:p>
    <w:p w14:paraId="64B16976">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36.3上述询标、澄清、说明和补正工作如因客观原因无法通过“政府采购云平台”在线进行的，将采用电子邮件等形式进行，请投标单位保证办理投标事宜人员电话畅通、网络在线。如未及时进行澄清、说明或者补正的，视为放弃澄清、说明或者补正的权利。</w:t>
      </w:r>
    </w:p>
    <w:p w14:paraId="7B38F21E">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37．错误修正的原则</w:t>
      </w:r>
    </w:p>
    <w:p w14:paraId="432A9C0F">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14:paraId="26F5A797">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投标文件报价出现前后不一致的，除采购文件另有规定外，按照下列规定修正：</w:t>
      </w:r>
    </w:p>
    <w:p w14:paraId="6175E9B7">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37.1 投标函中表述的内容与报价表中不一致的，以报价表为准；报价表中的内容与报价明细表不一致的，以报价表为准；</w:t>
      </w:r>
    </w:p>
    <w:p w14:paraId="6FE294B2">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37.2 投标文件中的大写金额和小写金额不一致的，以大写金额为准；</w:t>
      </w:r>
    </w:p>
    <w:p w14:paraId="57A0D07A">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37.3 单价金额小数点或者百分比有明显错位的，以开标一览表的总价为准，并修改单价；</w:t>
      </w:r>
    </w:p>
    <w:p w14:paraId="6BBFA234">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37.4 总价金额与按单价汇总金额不一致的，以单价金额计算结果为准；</w:t>
      </w:r>
    </w:p>
    <w:p w14:paraId="1780D9CF">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37.5 若用文字表示的数值与用数字表示的数值不一致，以文字表示的数值为准；</w:t>
      </w:r>
    </w:p>
    <w:p w14:paraId="792F88D5">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37.6 如有多报（指数量超出采购文件需求）、重报（指同一货物重复报价），其投标总价在评标过程中不予调整，如其中标，其合同价按其投标单价予以调整；</w:t>
      </w:r>
    </w:p>
    <w:p w14:paraId="054C814C">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37.7 对不同文字文本投标文件的解释发生异议的，以中文文本为准；</w:t>
      </w:r>
    </w:p>
    <w:p w14:paraId="6917A943">
      <w:pPr>
        <w:shd w:val="clear" w:color="auto"/>
        <w:kinsoku/>
        <w:overflowPunct/>
        <w:topLinePunct w:val="0"/>
        <w:bidi w:val="0"/>
        <w:spacing w:line="500" w:lineRule="exact"/>
        <w:ind w:firstLine="240" w:firstLineChars="1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同时出现两种以上不一致的，按照前款规定的顺序修正。按上述修正错误的原则及方法调整或修正投标文件的投标报价，投标单位确认后，以调整或修正后的投标报价为准。如投标单位拒绝调整或修正的，其投标文件按无效标处理。</w:t>
      </w:r>
      <w:r>
        <w:rPr>
          <w:rFonts w:hint="eastAsia" w:ascii="宋体" w:hAnsi="宋体" w:eastAsia="宋体" w:cs="宋体"/>
          <w:b/>
          <w:bCs/>
          <w:color w:val="auto"/>
          <w:sz w:val="24"/>
          <w:szCs w:val="24"/>
          <w:highlight w:val="none"/>
          <w:lang w:val="en-US" w:eastAsia="zh-CN"/>
        </w:rPr>
        <w:t>修正应当采用电子询标的形式，并加盖公章（电子印章）。</w:t>
      </w:r>
    </w:p>
    <w:p w14:paraId="40DE9B39">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38．无效投标文件有下列情形之一的，投标文件按无效标处理：</w:t>
      </w:r>
    </w:p>
    <w:p w14:paraId="75C3D1C5">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38.1 报名的投标人与参加投标的投标人发生实质性变更的且未提供有效证明的；</w:t>
      </w:r>
    </w:p>
    <w:p w14:paraId="178616A2">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38.2投标人提交两份或两份以上内容不同的投标文件，未声明哪一份有效的；</w:t>
      </w:r>
    </w:p>
    <w:p w14:paraId="04BB5A44">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38.3 投标文件非投标人法定代表人签署的，未提供或提供无效的法定代表人授权书；</w:t>
      </w:r>
    </w:p>
    <w:p w14:paraId="4DA84289">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38.4 未按招标文件规定装订；</w:t>
      </w:r>
    </w:p>
    <w:p w14:paraId="33D7149D">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38.5 投标文件内容未按招标文件规定签章或盖章的；</w:t>
      </w:r>
    </w:p>
    <w:p w14:paraId="3B11513A">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38.6 投标文件组成漏项或未按规定的格式编制或投标文件正、副本份数不足或内容不全或内容字迹模糊辨认不清的等而导致评标活动无法正常进行；</w:t>
      </w:r>
    </w:p>
    <w:p w14:paraId="4B9D6FC1">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38.7 投标人未按招标文件变更通知更改投标文件的；</w:t>
      </w:r>
    </w:p>
    <w:p w14:paraId="0DD13DFC">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38.8 《开标一览表》和《报价明细表》内容不完整且不接受修正意见或字迹不能辨认的或未提供；</w:t>
      </w:r>
    </w:p>
    <w:p w14:paraId="6BB5E41B">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38.9 标项投标报价超过招标文件规定的预算金额或最高限价；</w:t>
      </w:r>
    </w:p>
    <w:p w14:paraId="6C8E9635">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38.10 因投标人原因编制错误造成经评标委员会修正后的报价达到或超过投标报价的0.5%；</w:t>
      </w:r>
    </w:p>
    <w:p w14:paraId="279B7399">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38.11 投标人的报价明显低于其他通过符合性审查投标人的报价，有可能影响产品质量或者不能诚信履约的，且在规定时间内不能合理说明原因并提供证明材料的；</w:t>
      </w:r>
    </w:p>
    <w:p w14:paraId="1DD2EC8D">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38.12 未实质性响应招标文件中条款要求的投标文件；</w:t>
      </w:r>
    </w:p>
    <w:p w14:paraId="4755C9BB">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38.13 不符合招标范围、技术规格、技术标准的要求无法满足招标人使用要求；</w:t>
      </w:r>
    </w:p>
    <w:p w14:paraId="7DA1ED17">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38.14 投标文件附有招标人不能接受的条款；</w:t>
      </w:r>
    </w:p>
    <w:p w14:paraId="29303A0E">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38.15 投标文件中提供了赠品或者与本项目采购无关的其他商品、服务；</w:t>
      </w:r>
    </w:p>
    <w:p w14:paraId="4487D5B7">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38.16 投标文件中承诺的投标有效期少于招标文件中载明的投标有效期；</w:t>
      </w:r>
    </w:p>
    <w:p w14:paraId="1859A722">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38.17投标人串通投标，妨碍其他投标人的竞争行为，损害招标人或者其他投标人的合法权益；</w:t>
      </w:r>
    </w:p>
    <w:p w14:paraId="6AE68DFF">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38.18违反国家及政府部门相关法律、法规、文件规定或经评标委员会认定的其他属于重大偏离；</w:t>
      </w:r>
    </w:p>
    <w:p w14:paraId="364BF3B9">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39．废标</w:t>
      </w:r>
    </w:p>
    <w:p w14:paraId="5174B7E9">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39.1 符合招标文件规定废标情形的；</w:t>
      </w:r>
    </w:p>
    <w:p w14:paraId="3E8A796C">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39.2 出现影响采购公正的违法、违规行为的；</w:t>
      </w:r>
    </w:p>
    <w:p w14:paraId="6D0B2AB2">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39.3 投标单位的报价均超过了采购预算（或最高限价），招标人不能支付的;</w:t>
      </w:r>
    </w:p>
    <w:p w14:paraId="63A06080">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39.4 因重大变故，采购任务取消的。</w:t>
      </w:r>
    </w:p>
    <w:p w14:paraId="51EFBC50">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40．突发情况处理</w:t>
      </w:r>
    </w:p>
    <w:p w14:paraId="1A24671D">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40.1 采购过程中出现以下情形，导致电子交易平台无法正常运行，或者无法保证电子交易的公平、公正和安全时，采购组织机构可中止电子交易活动：</w:t>
      </w:r>
    </w:p>
    <w:p w14:paraId="2982246A">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（1）电子交易平台发生故障而无法登录访问的； </w:t>
      </w:r>
    </w:p>
    <w:p w14:paraId="6E23355F">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（2）电子交易平台应用或数据库出现错误，不能进行正常操作的；</w:t>
      </w:r>
    </w:p>
    <w:p w14:paraId="0D533CB4">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（3）电子交易平台发现严重安全漏洞，有潜在泄密危险的；</w:t>
      </w:r>
    </w:p>
    <w:p w14:paraId="082E79AC">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（4）病毒发作导致不能进行正常操作的； </w:t>
      </w:r>
    </w:p>
    <w:p w14:paraId="3C6686E6">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（5）其他无法保证电子交易的公平、公正和安全的情况。</w:t>
      </w:r>
    </w:p>
    <w:p w14:paraId="12F6ECBF">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2E0441F5">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40.2 招标代理机构或评审小组因不可抗力（不可抗力包括但不限于自然灾害、断电、传播疫病等）原因造成电子交易活动无法正常运行的，将采取以下措施：</w:t>
      </w:r>
    </w:p>
    <w:p w14:paraId="723350EC">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（1）短时间内能消除不可抗力因素的，招标代理机构或评审小组在消除不可抗力因素后继续组织电子交易活动； </w:t>
      </w:r>
    </w:p>
    <w:p w14:paraId="4FB7FE83">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（2）长时间内无法消除不可抗力因素的，招标代理机构或评审小组将中止电子交易活动。中止电子交易活动的，招标人应当重新组织政府采购活动。</w:t>
      </w:r>
    </w:p>
    <w:p w14:paraId="362B8DA4">
      <w:pPr>
        <w:shd w:val="clear" w:color="auto"/>
        <w:kinsoku/>
        <w:overflowPunct/>
        <w:topLinePunct w:val="0"/>
        <w:bidi w:val="0"/>
        <w:snapToGrid w:val="0"/>
        <w:spacing w:line="500" w:lineRule="exact"/>
        <w:ind w:firstLine="42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41</w:t>
      </w:r>
      <w:r>
        <w:rPr>
          <w:rFonts w:hint="eastAsia" w:ascii="宋体" w:hAnsi="宋体" w:eastAsia="宋体" w:cs="宋体"/>
          <w:b/>
          <w:color w:val="auto"/>
          <w:sz w:val="24"/>
          <w:szCs w:val="24"/>
          <w:highlight w:val="none"/>
        </w:rPr>
        <w:t>. 定标</w:t>
      </w:r>
    </w:p>
    <w:p w14:paraId="27E1849B">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 xml:space="preserve"> </w:t>
      </w:r>
      <w:bookmarkStart w:id="30" w:name="_Toc469495729"/>
      <w:r>
        <w:rPr>
          <w:rFonts w:hint="eastAsia" w:ascii="宋体" w:hAnsi="宋体" w:eastAsia="宋体" w:cs="宋体"/>
          <w:b w:val="0"/>
          <w:bCs w:val="0"/>
          <w:color w:val="auto"/>
          <w:sz w:val="24"/>
          <w:szCs w:val="24"/>
          <w:highlight w:val="none"/>
          <w:lang w:val="en-US" w:eastAsia="zh-CN"/>
        </w:rPr>
        <w:t>41.1采购结果确认（确定中标投标单位）</w:t>
      </w:r>
    </w:p>
    <w:p w14:paraId="214BB67C">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采购结果确认（确定中标投标单位）：本项目由招标人根据评标委员会提交的《评审报告》，通过“政府采购云平台”依法确认采购结果、确定中标投标单位。具体流程如下：</w:t>
      </w:r>
    </w:p>
    <w:p w14:paraId="241D9C77">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（1）招标代理机构将在评审结束后2个工作日内将评审报告送招标人。</w:t>
      </w:r>
    </w:p>
    <w:p w14:paraId="366FD9B6">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（2）招标人将在收到评审报告之日起5个工作日内，在评审报告推荐的中标候选投标单位名单中按顺序确定中标投标单位，并将确认意见以书面形式回复招标代理机构。 </w:t>
      </w:r>
    </w:p>
    <w:p w14:paraId="67F2B5C0">
      <w:pPr>
        <w:shd w:val="clear" w:color="auto"/>
        <w:kinsoku/>
        <w:overflowPunct/>
        <w:topLinePunct w:val="0"/>
        <w:bidi w:val="0"/>
        <w:spacing w:line="500" w:lineRule="exact"/>
        <w:ind w:firstLine="240" w:firstLineChars="1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41.2采购结果经招标人确认后2个工作日内，招标代理机构将在</w:t>
      </w:r>
      <w:r>
        <w:rPr>
          <w:rFonts w:hint="eastAsia" w:ascii="宋体" w:hAnsi="宋体" w:eastAsia="宋体" w:cs="宋体"/>
          <w:b/>
          <w:bCs/>
          <w:color w:val="auto"/>
          <w:sz w:val="24"/>
          <w:szCs w:val="24"/>
          <w:highlight w:val="none"/>
          <w:lang w:val="en-US" w:eastAsia="zh-CN"/>
        </w:rPr>
        <w:t>新疆政府采购网公告采购结果，中标公告期限为1个工作日。</w:t>
      </w:r>
    </w:p>
    <w:p w14:paraId="3B14215F">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 中标通知书</w:t>
      </w:r>
    </w:p>
    <w:p w14:paraId="2CAFDED0">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42.1</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通知书发出前，招标人将</w:t>
      </w:r>
      <w:r>
        <w:rPr>
          <w:rFonts w:hint="eastAsia" w:ascii="宋体" w:hAnsi="宋体" w:eastAsia="宋体" w:cs="宋体"/>
          <w:color w:val="auto"/>
          <w:sz w:val="24"/>
          <w:szCs w:val="24"/>
          <w:highlight w:val="none"/>
          <w:lang w:eastAsia="zh-CN"/>
        </w:rPr>
        <w:t>中标候选人</w:t>
      </w:r>
      <w:r>
        <w:rPr>
          <w:rFonts w:hint="eastAsia" w:ascii="宋体" w:hAnsi="宋体" w:eastAsia="宋体" w:cs="宋体"/>
          <w:color w:val="auto"/>
          <w:sz w:val="24"/>
          <w:szCs w:val="24"/>
          <w:highlight w:val="none"/>
        </w:rPr>
        <w:t>的情况在</w:t>
      </w:r>
      <w:r>
        <w:rPr>
          <w:rFonts w:hint="eastAsia" w:ascii="宋体" w:hAnsi="宋体" w:eastAsia="宋体" w:cs="宋体"/>
          <w:color w:val="auto"/>
          <w:sz w:val="24"/>
          <w:szCs w:val="24"/>
          <w:highlight w:val="none"/>
          <w:lang w:eastAsia="zh-CN"/>
        </w:rPr>
        <w:t>新疆政府采购网</w:t>
      </w:r>
      <w:r>
        <w:rPr>
          <w:rFonts w:hint="eastAsia" w:ascii="宋体" w:hAnsi="宋体" w:eastAsia="宋体" w:cs="宋体"/>
          <w:color w:val="auto"/>
          <w:sz w:val="24"/>
          <w:szCs w:val="24"/>
          <w:highlight w:val="none"/>
        </w:rPr>
        <w:t>予以公示，</w:t>
      </w:r>
      <w:r>
        <w:rPr>
          <w:rFonts w:hint="eastAsia" w:ascii="宋体" w:hAnsi="宋体" w:eastAsia="宋体" w:cs="宋体"/>
          <w:b/>
          <w:bCs/>
          <w:color w:val="auto"/>
          <w:sz w:val="24"/>
          <w:szCs w:val="24"/>
          <w:highlight w:val="none"/>
        </w:rPr>
        <w:t>公示期为</w:t>
      </w: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个工作日。</w:t>
      </w:r>
      <w:r>
        <w:rPr>
          <w:rFonts w:hint="eastAsia" w:ascii="宋体" w:hAnsi="宋体" w:eastAsia="宋体" w:cs="宋体"/>
          <w:b/>
          <w:bCs/>
          <w:color w:val="auto"/>
          <w:sz w:val="24"/>
          <w:szCs w:val="24"/>
          <w:highlight w:val="none"/>
          <w:lang w:eastAsia="zh-CN"/>
        </w:rPr>
        <w:t>待公示期结束后，</w:t>
      </w:r>
      <w:r>
        <w:rPr>
          <w:rFonts w:hint="eastAsia" w:ascii="宋体" w:hAnsi="宋体" w:eastAsia="宋体" w:cs="宋体"/>
          <w:b w:val="0"/>
          <w:bCs w:val="0"/>
          <w:color w:val="auto"/>
          <w:sz w:val="24"/>
          <w:szCs w:val="24"/>
          <w:highlight w:val="none"/>
          <w:lang w:val="en-US" w:eastAsia="zh-CN"/>
        </w:rPr>
        <w:t>采购组织机构向中标人发出中标通知书。</w:t>
      </w:r>
    </w:p>
    <w:p w14:paraId="5937866C">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42.2中标通知书作为签订合同的重要依据，对招标人和中标投标单位均具有法律效力。招标人改变中标结果或者中标投标单位放弃中标项目的都应承担法律责任。中标投标单位不得向他人转让中标项目，也不得将中标项目肢解后分别向他人转让。</w:t>
      </w:r>
    </w:p>
    <w:p w14:paraId="000855F3">
      <w:pPr>
        <w:shd w:val="clear" w:color="auto"/>
        <w:kinsoku/>
        <w:overflowPunct/>
        <w:topLinePunct w:val="0"/>
        <w:bidi w:val="0"/>
        <w:spacing w:before="156" w:beforeLines="50" w:line="500" w:lineRule="exact"/>
        <w:jc w:val="center"/>
        <w:outlineLvl w:val="0"/>
        <w:rPr>
          <w:rFonts w:hint="eastAsia" w:ascii="宋体" w:hAnsi="宋体" w:eastAsia="宋体" w:cs="宋体"/>
          <w:b/>
          <w:bCs/>
          <w:color w:val="auto"/>
          <w:sz w:val="24"/>
          <w:szCs w:val="24"/>
          <w:highlight w:val="none"/>
        </w:rPr>
      </w:pPr>
      <w:bookmarkStart w:id="31" w:name="_Toc120"/>
      <w:r>
        <w:rPr>
          <w:rFonts w:hint="eastAsia" w:ascii="宋体" w:hAnsi="宋体" w:eastAsia="宋体" w:cs="宋体"/>
          <w:b/>
          <w:bCs/>
          <w:color w:val="auto"/>
          <w:sz w:val="24"/>
          <w:szCs w:val="24"/>
          <w:highlight w:val="none"/>
        </w:rPr>
        <w:t>（六）合同的授予</w:t>
      </w:r>
      <w:bookmarkEnd w:id="30"/>
      <w:bookmarkEnd w:id="31"/>
    </w:p>
    <w:p w14:paraId="7E836354">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bookmarkStart w:id="32" w:name="_Toc73975842"/>
      <w:bookmarkStart w:id="33" w:name="_Toc469495730"/>
      <w:r>
        <w:rPr>
          <w:rFonts w:hint="eastAsia" w:ascii="宋体" w:hAnsi="宋体" w:eastAsia="宋体" w:cs="宋体"/>
          <w:b w:val="0"/>
          <w:bCs w:val="0"/>
          <w:color w:val="auto"/>
          <w:sz w:val="24"/>
          <w:szCs w:val="24"/>
          <w:highlight w:val="none"/>
          <w:lang w:val="en-US" w:eastAsia="zh-CN"/>
        </w:rPr>
        <w:t>43．履约保证金</w:t>
      </w:r>
      <w:bookmarkEnd w:id="32"/>
    </w:p>
    <w:p w14:paraId="12009651">
      <w:pPr>
        <w:shd w:val="clear" w:color="auto"/>
        <w:kinsoku/>
        <w:overflowPunct/>
        <w:topLinePunct w:val="0"/>
        <w:bidi w:val="0"/>
        <w:spacing w:line="500" w:lineRule="exact"/>
        <w:ind w:firstLine="240" w:firstLineChars="1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43.1 中标投标单位在签订合同后十个工作日内向招标人交纳不超过中标价10%的履约保证金（鼓励以银行、保险公司出具的履约保函形式提交；若以电汇、银行转账方式提交的，必须转到招标人的指定账户）。</w:t>
      </w:r>
    </w:p>
    <w:p w14:paraId="7F0E37C8">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43.2 签订合同后，如中标投标单位不按合同约定履约的，履约保证金不予退还，履约保证金不足以赔偿损失的，按实际损失赔偿。</w:t>
      </w:r>
    </w:p>
    <w:p w14:paraId="0325AAB3">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43.3 如果中标投标单位在建设期内没有涉及招标人的应付而未付金额或违约行为，招标人在项目验收合格后或提前终止合同后全额无息退还履约保证金。</w:t>
      </w:r>
    </w:p>
    <w:p w14:paraId="17433C72">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bookmarkStart w:id="34" w:name="_Toc73975843"/>
      <w:r>
        <w:rPr>
          <w:rFonts w:hint="eastAsia" w:ascii="宋体" w:hAnsi="宋体" w:eastAsia="宋体" w:cs="宋体"/>
          <w:b w:val="0"/>
          <w:bCs w:val="0"/>
          <w:color w:val="auto"/>
          <w:sz w:val="24"/>
          <w:szCs w:val="24"/>
          <w:highlight w:val="none"/>
          <w:lang w:val="en-US" w:eastAsia="zh-CN"/>
        </w:rPr>
        <w:t>44．签订合同及公告</w:t>
      </w:r>
      <w:bookmarkEnd w:id="34"/>
    </w:p>
    <w:p w14:paraId="32750739">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44.1招标人在中标通知书发出之日起30日内与中标投标单位签订合同。</w:t>
      </w:r>
    </w:p>
    <w:p w14:paraId="02D33032">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44.2中标投标单位拖延、拒签合同的,取消中标资格。</w:t>
      </w:r>
    </w:p>
    <w:p w14:paraId="289C7748">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44.3 采购文件、中标投标单位的投标文件及评标过程中有关澄清文件等均作为签订合同的依据。所签订的合同不得对采购文件和中标投标单位的投标文件的内容作实质性修改。</w:t>
      </w:r>
    </w:p>
    <w:p w14:paraId="41394FE0">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44.4招标人应当自政府采购合同签订之日起2个工作日内，在省级以上财政部门指定的政府采购信息发布媒体及相关网站上公告。</w:t>
      </w:r>
    </w:p>
    <w:p w14:paraId="42DEE92F">
      <w:pPr>
        <w:shd w:val="clear" w:color="auto"/>
        <w:kinsoku/>
        <w:overflowPunct/>
        <w:topLinePunct w:val="0"/>
        <w:bidi w:val="0"/>
        <w:spacing w:line="500" w:lineRule="exact"/>
        <w:ind w:firstLine="240" w:firstLineChars="100"/>
        <w:jc w:val="left"/>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44.5招标人应当自政府采购合同签订之日起7个工作日内，将政府采购合同副本报同级人民政府财政部门备案以及招标代理机构存档。</w:t>
      </w:r>
    </w:p>
    <w:p w14:paraId="1F294B21">
      <w:pPr>
        <w:shd w:val="clear" w:color="auto"/>
        <w:kinsoku/>
        <w:overflowPunct/>
        <w:topLinePunct w:val="0"/>
        <w:bidi w:val="0"/>
        <w:adjustRightInd w:val="0"/>
        <w:snapToGrid w:val="0"/>
        <w:spacing w:line="500" w:lineRule="exact"/>
        <w:jc w:val="center"/>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（七）纪律和监督</w:t>
      </w:r>
      <w:bookmarkEnd w:id="33"/>
    </w:p>
    <w:p w14:paraId="47B773B3">
      <w:pPr>
        <w:shd w:val="clear" w:color="auto"/>
        <w:kinsoku/>
        <w:overflowPunct/>
        <w:topLinePunct w:val="0"/>
        <w:bidi w:val="0"/>
        <w:spacing w:line="500" w:lineRule="exact"/>
        <w:ind w:firstLine="352" w:firstLineChars="147"/>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45</w:t>
      </w:r>
      <w:r>
        <w:rPr>
          <w:rFonts w:hint="eastAsia" w:ascii="宋体" w:hAnsi="宋体" w:eastAsia="宋体" w:cs="宋体"/>
          <w:b/>
          <w:color w:val="auto"/>
          <w:sz w:val="24"/>
          <w:szCs w:val="24"/>
          <w:highlight w:val="none"/>
        </w:rPr>
        <w:t xml:space="preserve">. 对招标人的纪律要求 </w:t>
      </w:r>
    </w:p>
    <w:p w14:paraId="077A80F7">
      <w:pPr>
        <w:shd w:val="clear" w:color="auto"/>
        <w:kinsoku/>
        <w:overflowPunct/>
        <w:topLinePunct w:val="0"/>
        <w:bidi w:val="0"/>
        <w:adjustRightInd w:val="0"/>
        <w:snapToGrid w:val="0"/>
        <w:spacing w:line="500" w:lineRule="exact"/>
        <w:ind w:firstLine="360" w:firstLineChars="150"/>
        <w:rPr>
          <w:rFonts w:hint="eastAsia" w:ascii="宋体" w:hAnsi="宋体" w:eastAsia="宋体" w:cs="宋体"/>
          <w:color w:val="auto"/>
          <w:kern w:val="10"/>
          <w:sz w:val="24"/>
          <w:szCs w:val="24"/>
          <w:highlight w:val="none"/>
        </w:rPr>
      </w:pPr>
      <w:r>
        <w:rPr>
          <w:rFonts w:hint="eastAsia" w:ascii="宋体" w:hAnsi="宋体" w:eastAsia="宋体" w:cs="宋体"/>
          <w:color w:val="auto"/>
          <w:kern w:val="10"/>
          <w:sz w:val="24"/>
          <w:szCs w:val="24"/>
          <w:highlight w:val="none"/>
          <w:lang w:val="en-US" w:eastAsia="zh-CN"/>
        </w:rPr>
        <w:t>45</w:t>
      </w:r>
      <w:r>
        <w:rPr>
          <w:rFonts w:hint="eastAsia" w:ascii="宋体" w:hAnsi="宋体" w:eastAsia="宋体" w:cs="宋体"/>
          <w:color w:val="auto"/>
          <w:kern w:val="10"/>
          <w:sz w:val="24"/>
          <w:szCs w:val="24"/>
          <w:highlight w:val="none"/>
        </w:rPr>
        <w:t>.1招标人</w:t>
      </w:r>
      <w:r>
        <w:rPr>
          <w:rFonts w:hint="eastAsia" w:ascii="宋体" w:hAnsi="宋体" w:eastAsia="宋体" w:cs="宋体"/>
          <w:color w:val="auto"/>
          <w:kern w:val="10"/>
          <w:sz w:val="24"/>
          <w:szCs w:val="24"/>
          <w:highlight w:val="none"/>
          <w:lang w:eastAsia="zh-CN"/>
        </w:rPr>
        <w:t>不得泄露</w:t>
      </w:r>
      <w:r>
        <w:rPr>
          <w:rFonts w:hint="eastAsia" w:ascii="宋体" w:hAnsi="宋体" w:eastAsia="宋体" w:cs="宋体"/>
          <w:color w:val="auto"/>
          <w:kern w:val="10"/>
          <w:sz w:val="24"/>
          <w:szCs w:val="24"/>
          <w:highlight w:val="none"/>
        </w:rPr>
        <w:t>招标投标活动中应当</w:t>
      </w:r>
      <w:r>
        <w:rPr>
          <w:rFonts w:hint="eastAsia" w:ascii="宋体" w:hAnsi="宋体" w:eastAsia="宋体" w:cs="宋体"/>
          <w:color w:val="auto"/>
          <w:kern w:val="10"/>
          <w:sz w:val="24"/>
          <w:szCs w:val="24"/>
          <w:highlight w:val="none"/>
          <w:lang w:val="en-US" w:eastAsia="zh-CN"/>
        </w:rPr>
        <w:t>保密</w:t>
      </w:r>
      <w:r>
        <w:rPr>
          <w:rFonts w:hint="eastAsia" w:ascii="宋体" w:hAnsi="宋体" w:eastAsia="宋体" w:cs="宋体"/>
          <w:color w:val="auto"/>
          <w:kern w:val="10"/>
          <w:sz w:val="24"/>
          <w:szCs w:val="24"/>
          <w:highlight w:val="none"/>
        </w:rPr>
        <w:t xml:space="preserve">的情况和资料，不得与投标人串通损害国家利益，社会公共利益或者他人合法权益。 </w:t>
      </w:r>
    </w:p>
    <w:p w14:paraId="769E410D">
      <w:pPr>
        <w:shd w:val="clear" w:color="auto"/>
        <w:kinsoku/>
        <w:overflowPunct/>
        <w:topLinePunct w:val="0"/>
        <w:bidi w:val="0"/>
        <w:spacing w:line="500" w:lineRule="exact"/>
        <w:ind w:firstLine="352" w:firstLineChars="147"/>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46</w:t>
      </w:r>
      <w:r>
        <w:rPr>
          <w:rFonts w:hint="eastAsia" w:ascii="宋体" w:hAnsi="宋体" w:eastAsia="宋体" w:cs="宋体"/>
          <w:b/>
          <w:color w:val="auto"/>
          <w:sz w:val="24"/>
          <w:szCs w:val="24"/>
          <w:highlight w:val="none"/>
        </w:rPr>
        <w:t xml:space="preserve">. 对投标人的纪律要求 </w:t>
      </w:r>
    </w:p>
    <w:p w14:paraId="691137D6">
      <w:pPr>
        <w:shd w:val="clear" w:color="auto"/>
        <w:kinsoku/>
        <w:overflowPunct/>
        <w:topLinePunct w:val="0"/>
        <w:bidi w:val="0"/>
        <w:adjustRightInd w:val="0"/>
        <w:snapToGrid w:val="0"/>
        <w:spacing w:line="500" w:lineRule="exact"/>
        <w:ind w:firstLine="360" w:firstLineChars="150"/>
        <w:rPr>
          <w:rFonts w:hint="eastAsia" w:ascii="宋体" w:hAnsi="宋体" w:eastAsia="宋体" w:cs="宋体"/>
          <w:color w:val="auto"/>
          <w:kern w:val="10"/>
          <w:sz w:val="24"/>
          <w:szCs w:val="24"/>
          <w:highlight w:val="none"/>
        </w:rPr>
      </w:pPr>
      <w:r>
        <w:rPr>
          <w:rFonts w:hint="eastAsia" w:ascii="宋体" w:hAnsi="宋体" w:eastAsia="宋体" w:cs="宋体"/>
          <w:color w:val="auto"/>
          <w:kern w:val="10"/>
          <w:sz w:val="24"/>
          <w:szCs w:val="24"/>
          <w:highlight w:val="none"/>
          <w:lang w:val="en-US" w:eastAsia="zh-CN"/>
        </w:rPr>
        <w:t>46</w:t>
      </w:r>
      <w:r>
        <w:rPr>
          <w:rFonts w:hint="eastAsia" w:ascii="宋体" w:hAnsi="宋体" w:eastAsia="宋体" w:cs="宋体"/>
          <w:color w:val="auto"/>
          <w:kern w:val="10"/>
          <w:sz w:val="24"/>
          <w:szCs w:val="24"/>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3D776FAD">
      <w:pPr>
        <w:shd w:val="clear" w:color="auto"/>
        <w:kinsoku/>
        <w:overflowPunct/>
        <w:topLinePunct w:val="0"/>
        <w:bidi w:val="0"/>
        <w:spacing w:line="500" w:lineRule="exact"/>
        <w:ind w:firstLine="352" w:firstLineChars="147"/>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47</w:t>
      </w:r>
      <w:r>
        <w:rPr>
          <w:rFonts w:hint="eastAsia" w:ascii="宋体" w:hAnsi="宋体" w:eastAsia="宋体" w:cs="宋体"/>
          <w:b/>
          <w:color w:val="auto"/>
          <w:sz w:val="24"/>
          <w:szCs w:val="24"/>
          <w:highlight w:val="none"/>
        </w:rPr>
        <w:t xml:space="preserve">. 对评标委员会成员的纪律要求 </w:t>
      </w:r>
    </w:p>
    <w:p w14:paraId="2F298B96">
      <w:pPr>
        <w:shd w:val="clear" w:color="auto"/>
        <w:kinsoku/>
        <w:overflowPunct/>
        <w:topLinePunct w:val="0"/>
        <w:bidi w:val="0"/>
        <w:adjustRightInd w:val="0"/>
        <w:snapToGrid w:val="0"/>
        <w:spacing w:line="500" w:lineRule="exact"/>
        <w:ind w:firstLine="360" w:firstLineChars="150"/>
        <w:rPr>
          <w:rFonts w:hint="eastAsia" w:ascii="宋体" w:hAnsi="宋体" w:eastAsia="宋体" w:cs="宋体"/>
          <w:color w:val="auto"/>
          <w:kern w:val="10"/>
          <w:sz w:val="24"/>
          <w:szCs w:val="24"/>
          <w:highlight w:val="none"/>
        </w:rPr>
      </w:pPr>
      <w:r>
        <w:rPr>
          <w:rFonts w:hint="eastAsia" w:ascii="宋体" w:hAnsi="宋体" w:eastAsia="宋体" w:cs="宋体"/>
          <w:color w:val="auto"/>
          <w:kern w:val="10"/>
          <w:sz w:val="24"/>
          <w:szCs w:val="24"/>
          <w:highlight w:val="none"/>
          <w:lang w:val="en-US" w:eastAsia="zh-CN"/>
        </w:rPr>
        <w:t>47</w:t>
      </w:r>
      <w:r>
        <w:rPr>
          <w:rFonts w:hint="eastAsia" w:ascii="宋体" w:hAnsi="宋体" w:eastAsia="宋体" w:cs="宋体"/>
          <w:color w:val="auto"/>
          <w:kern w:val="10"/>
          <w:sz w:val="24"/>
          <w:szCs w:val="24"/>
          <w:highlight w:val="none"/>
        </w:rPr>
        <w:t>.1评标委员会成员不得收受他人的财物或者其他好处，不得向他人</w:t>
      </w:r>
      <w:r>
        <w:rPr>
          <w:rFonts w:hint="eastAsia" w:ascii="宋体" w:hAnsi="宋体" w:eastAsia="宋体" w:cs="宋体"/>
          <w:color w:val="auto"/>
          <w:kern w:val="10"/>
          <w:sz w:val="24"/>
          <w:szCs w:val="24"/>
          <w:highlight w:val="none"/>
          <w:lang w:eastAsia="zh-CN"/>
        </w:rPr>
        <w:t>透露</w:t>
      </w:r>
      <w:r>
        <w:rPr>
          <w:rFonts w:hint="eastAsia" w:ascii="宋体" w:hAnsi="宋体" w:eastAsia="宋体" w:cs="宋体"/>
          <w:color w:val="auto"/>
          <w:kern w:val="10"/>
          <w:sz w:val="24"/>
          <w:szCs w:val="24"/>
          <w:highlight w:val="none"/>
        </w:rPr>
        <w:t>对投标文件的评审和比较、中标候选人的推荐情况以及评标有关的其他情况。</w:t>
      </w:r>
    </w:p>
    <w:p w14:paraId="7F075C3A">
      <w:pPr>
        <w:shd w:val="clear" w:color="auto"/>
        <w:kinsoku/>
        <w:overflowPunct/>
        <w:topLinePunct w:val="0"/>
        <w:bidi w:val="0"/>
        <w:adjustRightInd w:val="0"/>
        <w:snapToGrid w:val="0"/>
        <w:spacing w:line="500" w:lineRule="exact"/>
        <w:ind w:firstLine="360" w:firstLineChars="150"/>
        <w:rPr>
          <w:rFonts w:hint="eastAsia" w:ascii="宋体" w:hAnsi="宋体" w:eastAsia="宋体" w:cs="宋体"/>
          <w:color w:val="auto"/>
          <w:kern w:val="10"/>
          <w:sz w:val="24"/>
          <w:szCs w:val="24"/>
          <w:highlight w:val="none"/>
        </w:rPr>
      </w:pPr>
      <w:r>
        <w:rPr>
          <w:rFonts w:hint="eastAsia" w:ascii="宋体" w:hAnsi="宋体" w:eastAsia="宋体" w:cs="宋体"/>
          <w:color w:val="auto"/>
          <w:kern w:val="10"/>
          <w:sz w:val="24"/>
          <w:szCs w:val="24"/>
          <w:highlight w:val="none"/>
          <w:lang w:val="en-US" w:eastAsia="zh-CN"/>
        </w:rPr>
        <w:t>47</w:t>
      </w:r>
      <w:r>
        <w:rPr>
          <w:rFonts w:hint="eastAsia" w:ascii="宋体" w:hAnsi="宋体" w:eastAsia="宋体" w:cs="宋体"/>
          <w:color w:val="auto"/>
          <w:kern w:val="10"/>
          <w:sz w:val="24"/>
          <w:szCs w:val="24"/>
          <w:highlight w:val="none"/>
        </w:rPr>
        <w:t xml:space="preserve">.2在评标活动中，评标委员会成员不得擅离职守，影响评标程序正常进行，不得使用第三章“评标办法”没有规定的评审因素和标准进行评标。 </w:t>
      </w:r>
    </w:p>
    <w:p w14:paraId="624C4B46">
      <w:pPr>
        <w:shd w:val="clear" w:color="auto"/>
        <w:kinsoku/>
        <w:overflowPunct/>
        <w:topLinePunct w:val="0"/>
        <w:bidi w:val="0"/>
        <w:spacing w:line="500" w:lineRule="exact"/>
        <w:ind w:firstLine="352" w:firstLineChars="147"/>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48</w:t>
      </w:r>
      <w:r>
        <w:rPr>
          <w:rFonts w:hint="eastAsia" w:ascii="宋体" w:hAnsi="宋体" w:eastAsia="宋体" w:cs="宋体"/>
          <w:b/>
          <w:color w:val="auto"/>
          <w:sz w:val="24"/>
          <w:szCs w:val="24"/>
          <w:highlight w:val="none"/>
        </w:rPr>
        <w:t xml:space="preserve">. 对与评标活动有关的工作人员的纪律要求 </w:t>
      </w:r>
    </w:p>
    <w:p w14:paraId="6C8F9674">
      <w:pPr>
        <w:shd w:val="clear" w:color="auto"/>
        <w:kinsoku/>
        <w:overflowPunct/>
        <w:topLinePunct w:val="0"/>
        <w:bidi w:val="0"/>
        <w:adjustRightInd w:val="0"/>
        <w:snapToGrid w:val="0"/>
        <w:spacing w:line="500" w:lineRule="exact"/>
        <w:ind w:firstLine="360" w:firstLineChars="150"/>
        <w:rPr>
          <w:rFonts w:hint="eastAsia" w:ascii="宋体" w:hAnsi="宋体" w:eastAsia="宋体" w:cs="宋体"/>
          <w:color w:val="auto"/>
          <w:kern w:val="10"/>
          <w:sz w:val="24"/>
          <w:szCs w:val="24"/>
          <w:highlight w:val="none"/>
        </w:rPr>
      </w:pPr>
      <w:r>
        <w:rPr>
          <w:rFonts w:hint="eastAsia" w:ascii="宋体" w:hAnsi="宋体" w:eastAsia="宋体" w:cs="宋体"/>
          <w:color w:val="auto"/>
          <w:kern w:val="10"/>
          <w:sz w:val="24"/>
          <w:szCs w:val="24"/>
          <w:highlight w:val="none"/>
        </w:rPr>
        <w:t>4</w:t>
      </w:r>
      <w:r>
        <w:rPr>
          <w:rFonts w:hint="eastAsia" w:ascii="宋体" w:hAnsi="宋体" w:eastAsia="宋体" w:cs="宋体"/>
          <w:color w:val="auto"/>
          <w:kern w:val="10"/>
          <w:sz w:val="24"/>
          <w:szCs w:val="24"/>
          <w:highlight w:val="none"/>
          <w:lang w:val="en-US" w:eastAsia="zh-CN"/>
        </w:rPr>
        <w:t>8</w:t>
      </w:r>
      <w:r>
        <w:rPr>
          <w:rFonts w:hint="eastAsia" w:ascii="宋体" w:hAnsi="宋体" w:eastAsia="宋体" w:cs="宋体"/>
          <w:color w:val="auto"/>
          <w:kern w:val="10"/>
          <w:sz w:val="24"/>
          <w:szCs w:val="24"/>
          <w:highlight w:val="none"/>
        </w:rPr>
        <w:t>.1与评标活动有关的工作人员不得收受他人的财物或者其他好处，不得向他人</w:t>
      </w:r>
      <w:r>
        <w:rPr>
          <w:rFonts w:hint="eastAsia" w:ascii="宋体" w:hAnsi="宋体" w:eastAsia="宋体" w:cs="宋体"/>
          <w:color w:val="auto"/>
          <w:kern w:val="10"/>
          <w:sz w:val="24"/>
          <w:szCs w:val="24"/>
          <w:highlight w:val="none"/>
          <w:lang w:eastAsia="zh-CN"/>
        </w:rPr>
        <w:t>透露</w:t>
      </w:r>
      <w:r>
        <w:rPr>
          <w:rFonts w:hint="eastAsia" w:ascii="宋体" w:hAnsi="宋体" w:eastAsia="宋体" w:cs="宋体"/>
          <w:color w:val="auto"/>
          <w:kern w:val="10"/>
          <w:sz w:val="24"/>
          <w:szCs w:val="24"/>
          <w:highlight w:val="none"/>
        </w:rPr>
        <w:t>对投标文件的评审和比较、中标候选人的推荐情况以及评标有关的其他情况。在评标活动中，与评标活动有关的工作人员不得擅离职守，影响评标程序正常进行。</w:t>
      </w:r>
    </w:p>
    <w:p w14:paraId="02255A86">
      <w:pPr>
        <w:shd w:val="clear" w:color="auto"/>
        <w:kinsoku/>
        <w:overflowPunct/>
        <w:topLinePunct w:val="0"/>
        <w:bidi w:val="0"/>
        <w:spacing w:before="312" w:beforeLines="100" w:after="312" w:afterLines="100" w:line="500" w:lineRule="exact"/>
        <w:jc w:val="center"/>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（八）质疑与投诉</w:t>
      </w:r>
    </w:p>
    <w:p w14:paraId="1FEC9B41">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49．质疑和投诉</w:t>
      </w:r>
    </w:p>
    <w:p w14:paraId="7B9A511B">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49.1.投标单位认为采购文件、采购过程和中标、成交结果使自己的权益受到损害的，可以在知道或者应知其权益受到损害之日起七个工作日内，以书面形式向招标人提出质疑。投标单位应当在法定质疑期内一次性提出针对同一采购程序环节的质疑。投标单位应知其权益受到损害之日，是指：</w:t>
      </w:r>
    </w:p>
    <w:p w14:paraId="15D041B4">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（一）对可以质疑的采购文件提出质疑的，为收到采购文件之日或者采购文件公告期限届满之日；</w:t>
      </w:r>
    </w:p>
    <w:p w14:paraId="1FD58A9A">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（二）对采购过程提出质疑的，为各采购程序环节结束之日；</w:t>
      </w:r>
    </w:p>
    <w:p w14:paraId="66282E64">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（三）对中标或者成交结果提出质疑的，为中标或者成交结果公告期限届满之日。</w:t>
      </w:r>
    </w:p>
    <w:p w14:paraId="7523C4CA">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49.2投标单位提出质疑应当提交质疑函和必要的证明材料。质疑函应当包括下列内容：投标单位的姓名或者名称、地址、邮编、联系人及联系电话；质疑项目的名称、编号；具体、明确的质疑事项和与质疑事项相关的请求；事实依据；必要的法律依据；提出质疑的日期。（具体格式详见附件）</w:t>
      </w:r>
    </w:p>
    <w:p w14:paraId="7112EF66">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投标单位为自然人的，应当由本人签章；投标单位为法人或者其他组织的，应当由法定代表人、主要负责人，或者其授权代表签章或者盖章，并加盖公章。</w:t>
      </w:r>
    </w:p>
    <w:p w14:paraId="6701648C">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49.3投标单位质疑、投诉应当有明确的请求和必要的证明材料。投标单位投诉的事项不得超出已质疑事项的范围。招标人及招标代理机构按《政府采购质疑和投诉办法》进行处理投标单位质疑事项。</w:t>
      </w:r>
    </w:p>
    <w:p w14:paraId="5232135E">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49.4质疑投标单位对招标人、招标代理机构的质疑答复不满意，或者招标人、招标代理机构未在规定期限内作出答复的，投标单位可以在答复期满后15个工作日内向同级财政部门提起投诉。</w:t>
      </w:r>
    </w:p>
    <w:p w14:paraId="05A10AA6">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49.5投标单位有下列情形之一的，将其列入不良行为记录名单：</w:t>
      </w:r>
    </w:p>
    <w:p w14:paraId="1ADF3361">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（一）一年内三次以上质疑均查无实据的；</w:t>
      </w:r>
    </w:p>
    <w:p w14:paraId="36F8501D">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（二）捏造事实或者提供虚假质疑材料的。</w:t>
      </w:r>
    </w:p>
    <w:p w14:paraId="5F9FEA80">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（三）以非法手段取得证明材料。证据来源的合法性存在明显疑问，质疑人无法证明其取得方式合法的，视为以非法手段取得证明材料。</w:t>
      </w:r>
    </w:p>
    <w:p w14:paraId="6B7E7131">
      <w:pPr>
        <w:bidi w:val="0"/>
        <w:rPr>
          <w:rFonts w:hint="eastAsia"/>
          <w:lang w:eastAsia="zh-CN"/>
        </w:rPr>
      </w:pPr>
    </w:p>
    <w:p w14:paraId="79A67F2C">
      <w:pPr>
        <w:bidi w:val="0"/>
        <w:rPr>
          <w:rFonts w:hint="eastAsia"/>
          <w:lang w:eastAsia="zh-CN"/>
        </w:rPr>
      </w:pPr>
    </w:p>
    <w:p w14:paraId="3F7F5710">
      <w:pPr>
        <w:bidi w:val="0"/>
        <w:rPr>
          <w:rFonts w:hint="eastAsia"/>
          <w:lang w:eastAsia="zh-CN"/>
        </w:rPr>
      </w:pPr>
    </w:p>
    <w:p w14:paraId="194CD4F3">
      <w:pPr>
        <w:bidi w:val="0"/>
        <w:rPr>
          <w:rFonts w:hint="eastAsia"/>
          <w:lang w:eastAsia="zh-CN"/>
        </w:rPr>
      </w:pPr>
    </w:p>
    <w:p w14:paraId="567C2A0F">
      <w:pPr>
        <w:bidi w:val="0"/>
        <w:rPr>
          <w:rFonts w:hint="eastAsia"/>
          <w:lang w:eastAsia="zh-CN"/>
        </w:rPr>
      </w:pPr>
    </w:p>
    <w:p w14:paraId="14B8BF4B">
      <w:pPr>
        <w:bidi w:val="0"/>
        <w:rPr>
          <w:rFonts w:hint="eastAsia"/>
          <w:lang w:eastAsia="zh-CN"/>
        </w:rPr>
      </w:pPr>
    </w:p>
    <w:p w14:paraId="39AAD5C6">
      <w:pPr>
        <w:bidi w:val="0"/>
        <w:rPr>
          <w:rFonts w:hint="eastAsia"/>
          <w:lang w:eastAsia="zh-CN"/>
        </w:rPr>
      </w:pPr>
    </w:p>
    <w:p w14:paraId="7727AD47">
      <w:pPr>
        <w:bidi w:val="0"/>
        <w:rPr>
          <w:rFonts w:hint="eastAsia"/>
          <w:lang w:eastAsia="zh-CN"/>
        </w:rPr>
      </w:pPr>
    </w:p>
    <w:p w14:paraId="4BD5F9F5">
      <w:pPr>
        <w:bidi w:val="0"/>
        <w:rPr>
          <w:rFonts w:hint="eastAsia"/>
          <w:lang w:eastAsia="zh-CN"/>
        </w:rPr>
      </w:pPr>
    </w:p>
    <w:p w14:paraId="796D315E">
      <w:pPr>
        <w:bidi w:val="0"/>
        <w:rPr>
          <w:rFonts w:hint="eastAsia"/>
          <w:lang w:eastAsia="zh-CN"/>
        </w:rPr>
      </w:pPr>
    </w:p>
    <w:p w14:paraId="0B18EEBC">
      <w:pPr>
        <w:bidi w:val="0"/>
        <w:rPr>
          <w:rFonts w:hint="eastAsia"/>
          <w:lang w:eastAsia="zh-CN"/>
        </w:rPr>
      </w:pPr>
    </w:p>
    <w:p w14:paraId="28A3450A">
      <w:pPr>
        <w:bidi w:val="0"/>
        <w:rPr>
          <w:rFonts w:hint="eastAsia"/>
          <w:lang w:eastAsia="zh-CN"/>
        </w:rPr>
      </w:pPr>
    </w:p>
    <w:p w14:paraId="7A0C8C10">
      <w:pPr>
        <w:bidi w:val="0"/>
        <w:rPr>
          <w:rFonts w:hint="eastAsia"/>
          <w:lang w:eastAsia="zh-CN"/>
        </w:rPr>
      </w:pPr>
    </w:p>
    <w:p w14:paraId="4419BC0F">
      <w:pPr>
        <w:bidi w:val="0"/>
        <w:rPr>
          <w:rFonts w:hint="eastAsia"/>
          <w:lang w:eastAsia="zh-CN"/>
        </w:rPr>
      </w:pPr>
    </w:p>
    <w:p w14:paraId="18EECD22">
      <w:pPr>
        <w:bidi w:val="0"/>
        <w:rPr>
          <w:rFonts w:hint="eastAsia"/>
          <w:lang w:eastAsia="zh-CN"/>
        </w:rPr>
      </w:pPr>
    </w:p>
    <w:p w14:paraId="0A756E31">
      <w:pPr>
        <w:bidi w:val="0"/>
        <w:rPr>
          <w:rFonts w:hint="eastAsia"/>
          <w:lang w:eastAsia="zh-CN"/>
        </w:rPr>
      </w:pPr>
    </w:p>
    <w:p w14:paraId="2AD5410B">
      <w:pPr>
        <w:bidi w:val="0"/>
        <w:rPr>
          <w:rFonts w:hint="eastAsia"/>
          <w:lang w:eastAsia="zh-CN"/>
        </w:rPr>
      </w:pPr>
    </w:p>
    <w:p w14:paraId="5145FBE3">
      <w:pPr>
        <w:bidi w:val="0"/>
        <w:rPr>
          <w:rFonts w:hint="eastAsia"/>
          <w:lang w:eastAsia="zh-CN"/>
        </w:rPr>
      </w:pPr>
    </w:p>
    <w:p w14:paraId="6E6BA002">
      <w:pPr>
        <w:bidi w:val="0"/>
        <w:rPr>
          <w:rFonts w:hint="eastAsia"/>
          <w:lang w:eastAsia="zh-CN"/>
        </w:rPr>
      </w:pPr>
    </w:p>
    <w:p w14:paraId="7E0ADC36">
      <w:pPr>
        <w:bidi w:val="0"/>
        <w:rPr>
          <w:rFonts w:hint="eastAsia"/>
          <w:lang w:eastAsia="zh-CN"/>
        </w:rPr>
      </w:pPr>
    </w:p>
    <w:p w14:paraId="40CEC165">
      <w:pPr>
        <w:bidi w:val="0"/>
        <w:rPr>
          <w:rFonts w:hint="eastAsia"/>
          <w:lang w:eastAsia="zh-CN"/>
        </w:rPr>
      </w:pPr>
    </w:p>
    <w:p w14:paraId="19391072">
      <w:pPr>
        <w:bidi w:val="0"/>
        <w:rPr>
          <w:rFonts w:hint="eastAsia"/>
          <w:lang w:eastAsia="zh-CN"/>
        </w:rPr>
      </w:pPr>
    </w:p>
    <w:p w14:paraId="0CB45293">
      <w:pPr>
        <w:bidi w:val="0"/>
        <w:rPr>
          <w:rFonts w:hint="eastAsia"/>
          <w:lang w:eastAsia="zh-CN"/>
        </w:rPr>
      </w:pPr>
    </w:p>
    <w:p w14:paraId="7BDAE329">
      <w:pPr>
        <w:keepNext w:val="0"/>
        <w:keepLines w:val="0"/>
        <w:pageBreakBefore w:val="0"/>
        <w:widowControl w:val="0"/>
        <w:shd w:val="clear" w:color="auto"/>
        <w:kinsoku/>
        <w:wordWrap/>
        <w:overflowPunct/>
        <w:topLinePunct w:val="0"/>
        <w:autoSpaceDE/>
        <w:autoSpaceDN/>
        <w:bidi w:val="0"/>
        <w:adjustRightInd/>
        <w:spacing w:line="500" w:lineRule="exact"/>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附件：</w:t>
      </w:r>
    </w:p>
    <w:p w14:paraId="57E88FED">
      <w:pPr>
        <w:keepNext w:val="0"/>
        <w:keepLines w:val="0"/>
        <w:pageBreakBefore w:val="0"/>
        <w:widowControl w:val="0"/>
        <w:shd w:val="clear" w:color="auto"/>
        <w:kinsoku/>
        <w:wordWrap/>
        <w:overflowPunct/>
        <w:topLinePunct w:val="0"/>
        <w:autoSpaceDE/>
        <w:autoSpaceDN/>
        <w:bidi w:val="0"/>
        <w:adjustRightInd/>
        <w:snapToGrid/>
        <w:spacing w:before="312" w:beforeLines="100" w:after="312" w:afterLines="100" w:line="360" w:lineRule="exact"/>
        <w:jc w:val="center"/>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政府采购投诉书（范本）、质疑函范本</w:t>
      </w:r>
    </w:p>
    <w:p w14:paraId="68694262">
      <w:pPr>
        <w:keepNext w:val="0"/>
        <w:keepLines w:val="0"/>
        <w:pageBreakBefore w:val="0"/>
        <w:widowControl w:val="0"/>
        <w:shd w:val="clear" w:color="auto"/>
        <w:kinsoku/>
        <w:wordWrap/>
        <w:overflowPunct/>
        <w:topLinePunct w:val="0"/>
        <w:autoSpaceDE/>
        <w:autoSpaceDN/>
        <w:bidi w:val="0"/>
        <w:adjustRightInd/>
        <w:snapToGrid/>
        <w:spacing w:before="312" w:beforeLines="100" w:after="312" w:afterLines="100" w:line="360" w:lineRule="exac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政府采购投诉书（范本）</w:t>
      </w:r>
    </w:p>
    <w:p w14:paraId="7A3983B7">
      <w:pPr>
        <w:keepNext w:val="0"/>
        <w:keepLines w:val="0"/>
        <w:pageBreakBefore w:val="0"/>
        <w:widowControl w:val="0"/>
        <w:shd w:val="clear" w:color="auto"/>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投诉人：                         法定代表人：            </w:t>
      </w:r>
    </w:p>
    <w:p w14:paraId="47348FCD">
      <w:pPr>
        <w:keepNext w:val="0"/>
        <w:keepLines w:val="0"/>
        <w:pageBreakBefore w:val="0"/>
        <w:widowControl w:val="0"/>
        <w:shd w:val="clear" w:color="auto"/>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地址：                           电话：                 </w:t>
      </w:r>
    </w:p>
    <w:p w14:paraId="77D21B04">
      <w:pPr>
        <w:keepNext w:val="0"/>
        <w:keepLines w:val="0"/>
        <w:pageBreakBefore w:val="0"/>
        <w:widowControl w:val="0"/>
        <w:shd w:val="clear" w:color="auto"/>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委托代理人姓名：                 职务：               </w:t>
      </w:r>
    </w:p>
    <w:p w14:paraId="6E5AB959">
      <w:pPr>
        <w:keepNext w:val="0"/>
        <w:keepLines w:val="0"/>
        <w:pageBreakBefore w:val="0"/>
        <w:widowControl w:val="0"/>
        <w:shd w:val="clear" w:color="auto"/>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住址：                           联系电话：              </w:t>
      </w:r>
    </w:p>
    <w:p w14:paraId="5C89EE34">
      <w:pPr>
        <w:keepNext w:val="0"/>
        <w:keepLines w:val="0"/>
        <w:pageBreakBefore w:val="0"/>
        <w:widowControl w:val="0"/>
        <w:shd w:val="clear" w:color="auto"/>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被投诉人：                       法定代表人：         </w:t>
      </w:r>
    </w:p>
    <w:p w14:paraId="24A01498">
      <w:pPr>
        <w:keepNext w:val="0"/>
        <w:keepLines w:val="0"/>
        <w:pageBreakBefore w:val="0"/>
        <w:widowControl w:val="0"/>
        <w:shd w:val="clear" w:color="auto"/>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地址：                            电话：               </w:t>
      </w:r>
    </w:p>
    <w:p w14:paraId="6E83F4B3">
      <w:pPr>
        <w:keepNext w:val="0"/>
        <w:keepLines w:val="0"/>
        <w:pageBreakBefore w:val="0"/>
        <w:widowControl w:val="0"/>
        <w:shd w:val="clear" w:color="auto"/>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b w:val="0"/>
          <w:bCs w:val="0"/>
          <w:color w:val="auto"/>
          <w:sz w:val="24"/>
          <w:szCs w:val="24"/>
          <w:highlight w:val="none"/>
          <w:lang w:val="en-US" w:eastAsia="zh-CN"/>
        </w:rPr>
      </w:pPr>
    </w:p>
    <w:p w14:paraId="56AB53D6">
      <w:pPr>
        <w:keepNext w:val="0"/>
        <w:keepLines w:val="0"/>
        <w:pageBreakBefore w:val="0"/>
        <w:widowControl w:val="0"/>
        <w:shd w:val="clear" w:color="auto"/>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我公司参加了     年    月    日被投诉人组织的（招标人）（项目名称）（项目编号）的采购活动，我公司认为该项目的（采购文件/采购过程/中标（中标）结果）损害了我公司权益，对此，我公司于     年    月    日向（招标人或者政府招标代理机构）提出了质疑，（其于    年  月  日作出书面答复，因对其作出的答复不满意）/（被质疑人未在法定期内予以答复，按照政府采购有关规定），现向贵机关提起投诉：</w:t>
      </w:r>
    </w:p>
    <w:p w14:paraId="76E099A1">
      <w:pPr>
        <w:keepNext w:val="0"/>
        <w:keepLines w:val="0"/>
        <w:pageBreakBefore w:val="0"/>
        <w:widowControl w:val="0"/>
        <w:shd w:val="clear" w:color="auto"/>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1.具体的投诉事项及事实依据；</w:t>
      </w:r>
    </w:p>
    <w:p w14:paraId="3F820BCD">
      <w:pPr>
        <w:keepNext w:val="0"/>
        <w:keepLines w:val="0"/>
        <w:pageBreakBefore w:val="0"/>
        <w:widowControl w:val="0"/>
        <w:shd w:val="clear" w:color="auto"/>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2.质疑和质疑答复情况简要描述；</w:t>
      </w:r>
    </w:p>
    <w:p w14:paraId="0FB5C581">
      <w:pPr>
        <w:keepNext w:val="0"/>
        <w:keepLines w:val="0"/>
        <w:pageBreakBefore w:val="0"/>
        <w:widowControl w:val="0"/>
        <w:shd w:val="clear" w:color="auto"/>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3.投诉请求。</w:t>
      </w:r>
    </w:p>
    <w:p w14:paraId="51822534">
      <w:pPr>
        <w:keepNext w:val="0"/>
        <w:keepLines w:val="0"/>
        <w:pageBreakBefore w:val="0"/>
        <w:widowControl w:val="0"/>
        <w:shd w:val="clear" w:color="auto"/>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附件：</w:t>
      </w:r>
    </w:p>
    <w:p w14:paraId="55D7056F">
      <w:pPr>
        <w:keepNext w:val="0"/>
        <w:keepLines w:val="0"/>
        <w:pageBreakBefore w:val="0"/>
        <w:widowControl w:val="0"/>
        <w:shd w:val="clear" w:color="auto"/>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1.质疑书和质疑答复书；</w:t>
      </w:r>
    </w:p>
    <w:p w14:paraId="01093992">
      <w:pPr>
        <w:keepNext w:val="0"/>
        <w:keepLines w:val="0"/>
        <w:pageBreakBefore w:val="0"/>
        <w:widowControl w:val="0"/>
        <w:shd w:val="clear" w:color="auto"/>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2.证据材料（需注明证据来源），证人的姓名、住址和联系方式等；</w:t>
      </w:r>
    </w:p>
    <w:p w14:paraId="28127F4D">
      <w:pPr>
        <w:keepNext w:val="0"/>
        <w:keepLines w:val="0"/>
        <w:pageBreakBefore w:val="0"/>
        <w:widowControl w:val="0"/>
        <w:shd w:val="clear" w:color="auto"/>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3.营业执照；</w:t>
      </w:r>
    </w:p>
    <w:p w14:paraId="44447938">
      <w:pPr>
        <w:keepNext w:val="0"/>
        <w:keepLines w:val="0"/>
        <w:pageBreakBefore w:val="0"/>
        <w:widowControl w:val="0"/>
        <w:shd w:val="clear" w:color="auto"/>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4.法定代表人身份证明函</w:t>
      </w:r>
    </w:p>
    <w:p w14:paraId="141705CE">
      <w:pPr>
        <w:keepNext w:val="0"/>
        <w:keepLines w:val="0"/>
        <w:pageBreakBefore w:val="0"/>
        <w:widowControl w:val="0"/>
        <w:shd w:val="clear" w:color="auto"/>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5.法定代表人授权委托书（包含法定代表人和委托代理人的身份证复印件）；</w:t>
      </w:r>
    </w:p>
    <w:p w14:paraId="5FBD974E">
      <w:pPr>
        <w:keepNext w:val="0"/>
        <w:keepLines w:val="0"/>
        <w:pageBreakBefore w:val="0"/>
        <w:widowControl w:val="0"/>
        <w:shd w:val="clear" w:color="auto"/>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6.政府采购监管部门认为应当提供的其它材料。</w:t>
      </w:r>
    </w:p>
    <w:p w14:paraId="34A54CFE">
      <w:pPr>
        <w:keepNext w:val="0"/>
        <w:keepLines w:val="0"/>
        <w:pageBreakBefore w:val="0"/>
        <w:widowControl w:val="0"/>
        <w:shd w:val="clear" w:color="auto"/>
        <w:kinsoku/>
        <w:wordWrap/>
        <w:overflowPunct/>
        <w:topLinePunct w:val="0"/>
        <w:autoSpaceDE/>
        <w:autoSpaceDN/>
        <w:bidi w:val="0"/>
        <w:adjustRightInd/>
        <w:snapToGrid/>
        <w:spacing w:line="360" w:lineRule="exact"/>
        <w:ind w:firstLine="4320" w:firstLineChars="18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投诉投标单位：（盖章）</w:t>
      </w:r>
    </w:p>
    <w:p w14:paraId="203B196F">
      <w:pPr>
        <w:keepNext w:val="0"/>
        <w:keepLines w:val="0"/>
        <w:pageBreakBefore w:val="0"/>
        <w:widowControl w:val="0"/>
        <w:shd w:val="clear" w:color="auto"/>
        <w:kinsoku/>
        <w:wordWrap/>
        <w:overflowPunct/>
        <w:topLinePunct w:val="0"/>
        <w:autoSpaceDE/>
        <w:autoSpaceDN/>
        <w:bidi w:val="0"/>
        <w:adjustRightInd/>
        <w:snapToGrid/>
        <w:spacing w:line="360" w:lineRule="exact"/>
        <w:ind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法定代表人（或主要负责人）：（签字或盖章）</w:t>
      </w:r>
    </w:p>
    <w:p w14:paraId="44755F9D">
      <w:pPr>
        <w:keepNext w:val="0"/>
        <w:keepLines w:val="0"/>
        <w:pageBreakBefore w:val="0"/>
        <w:widowControl w:val="0"/>
        <w:shd w:val="clear" w:color="auto"/>
        <w:kinsoku/>
        <w:wordWrap/>
        <w:overflowPunct/>
        <w:topLinePunct w:val="0"/>
        <w:autoSpaceDE/>
        <w:autoSpaceDN/>
        <w:bidi w:val="0"/>
        <w:adjustRightInd/>
        <w:snapToGrid/>
        <w:spacing w:line="360" w:lineRule="exact"/>
        <w:ind w:firstLine="240" w:firstLineChars="10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年   月    日</w:t>
      </w:r>
    </w:p>
    <w:p w14:paraId="1175C3CF">
      <w:pPr>
        <w:keepNext w:val="0"/>
        <w:keepLines w:val="0"/>
        <w:pageBreakBefore w:val="0"/>
        <w:widowControl w:val="0"/>
        <w:shd w:val="clear" w:color="auto"/>
        <w:kinsoku/>
        <w:wordWrap/>
        <w:overflowPunct/>
        <w:topLinePunct w:val="0"/>
        <w:autoSpaceDE/>
        <w:autoSpaceDN/>
        <w:bidi w:val="0"/>
        <w:adjustRightInd/>
        <w:snapToGrid/>
        <w:spacing w:line="360" w:lineRule="exact"/>
        <w:ind w:firstLine="240" w:firstLineChars="1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                            本投诉书正本叁份，副本   份并附电子文档。</w:t>
      </w:r>
      <w:bookmarkStart w:id="35" w:name="_Toc17515"/>
    </w:p>
    <w:p w14:paraId="3833E4BE">
      <w:pPr>
        <w:shd w:val="clear" w:color="auto"/>
        <w:kinsoku/>
        <w:overflowPunct/>
        <w:topLinePunct w:val="0"/>
        <w:bidi w:val="0"/>
        <w:spacing w:before="312" w:beforeLines="100" w:after="312" w:afterLines="100" w:line="500" w:lineRule="exact"/>
        <w:jc w:val="center"/>
        <w:outlineLvl w:val="2"/>
        <w:rPr>
          <w:rFonts w:hint="eastAsia" w:ascii="宋体" w:hAnsi="宋体" w:eastAsia="宋体" w:cs="宋体"/>
          <w:b/>
          <w:color w:val="auto"/>
          <w:sz w:val="24"/>
          <w:szCs w:val="24"/>
          <w:highlight w:val="none"/>
          <w:lang w:eastAsia="zh-CN"/>
        </w:rPr>
      </w:pPr>
    </w:p>
    <w:p w14:paraId="34A5461C">
      <w:pPr>
        <w:pStyle w:val="15"/>
        <w:numPr>
          <w:ilvl w:val="0"/>
          <w:numId w:val="0"/>
        </w:numPr>
        <w:ind w:leftChars="0" w:right="0" w:rightChars="0"/>
        <w:rPr>
          <w:rFonts w:hint="eastAsia"/>
          <w:lang w:eastAsia="zh-CN"/>
        </w:rPr>
      </w:pPr>
    </w:p>
    <w:p w14:paraId="29BB2CA2">
      <w:pPr>
        <w:shd w:val="clear" w:color="auto"/>
        <w:kinsoku/>
        <w:overflowPunct/>
        <w:topLinePunct w:val="0"/>
        <w:bidi w:val="0"/>
        <w:spacing w:before="312" w:beforeLines="100" w:after="312" w:afterLines="100" w:line="500" w:lineRule="exact"/>
        <w:jc w:val="center"/>
        <w:outlineLvl w:val="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投诉相关说明</w:t>
      </w:r>
      <w:bookmarkEnd w:id="35"/>
    </w:p>
    <w:p w14:paraId="363866D8">
      <w:pPr>
        <w:keepNext w:val="0"/>
        <w:keepLines w:val="0"/>
        <w:pageBreakBefore w:val="0"/>
        <w:widowControl/>
        <w:shd w:val="clear" w:color="auto"/>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投诉人应当满足《政府采购法》、《政府采购法实施条例》和《政府采购</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投诉处理办法》的相关规定。</w:t>
      </w:r>
    </w:p>
    <w:p w14:paraId="3F6FDFEA">
      <w:pPr>
        <w:keepNext w:val="0"/>
        <w:keepLines w:val="0"/>
        <w:pageBreakBefore w:val="0"/>
        <w:widowControl/>
        <w:shd w:val="clear" w:color="auto"/>
        <w:kinsoku/>
        <w:wordWrap/>
        <w:overflowPunct/>
        <w:topLinePunct w:val="0"/>
        <w:autoSpaceDE/>
        <w:autoSpaceDN/>
        <w:bidi w:val="0"/>
        <w:adjustRightInd/>
        <w:snapToGrid/>
        <w:spacing w:line="360" w:lineRule="exact"/>
        <w:ind w:firstLine="660" w:firstLineChars="275"/>
        <w:jc w:val="left"/>
        <w:textAlignment w:val="auto"/>
        <w:rPr>
          <w:rFonts w:hint="eastAsia" w:ascii="宋体" w:hAnsi="宋体" w:eastAsia="宋体" w:cs="宋体"/>
          <w:color w:val="auto"/>
          <w:kern w:val="0"/>
          <w:sz w:val="24"/>
          <w:szCs w:val="24"/>
          <w:highlight w:val="none"/>
          <w:shd w:val="clear" w:color="auto" w:fill="FFFFFF"/>
        </w:rPr>
      </w:pPr>
      <w:bookmarkStart w:id="36" w:name="_Toc11499"/>
      <w:r>
        <w:rPr>
          <w:rFonts w:hint="eastAsia" w:ascii="宋体" w:hAnsi="宋体" w:eastAsia="宋体" w:cs="宋体"/>
          <w:color w:val="auto"/>
          <w:kern w:val="0"/>
          <w:sz w:val="24"/>
          <w:szCs w:val="24"/>
          <w:highlight w:val="none"/>
          <w:shd w:val="clear" w:color="auto" w:fill="FFFFFF"/>
          <w:lang w:val="en-US" w:eastAsia="zh-CN"/>
        </w:rPr>
        <w:t>一、</w:t>
      </w:r>
      <w:r>
        <w:rPr>
          <w:rFonts w:hint="eastAsia" w:ascii="宋体" w:hAnsi="宋体" w:eastAsia="宋体" w:cs="宋体"/>
          <w:color w:val="auto"/>
          <w:kern w:val="0"/>
          <w:sz w:val="24"/>
          <w:szCs w:val="24"/>
          <w:highlight w:val="none"/>
          <w:shd w:val="clear" w:color="auto" w:fill="FFFFFF"/>
        </w:rPr>
        <w:t>质疑前置及时间要求</w:t>
      </w:r>
      <w:bookmarkEnd w:id="36"/>
    </w:p>
    <w:p w14:paraId="41C1CF9D">
      <w:pPr>
        <w:keepNext w:val="0"/>
        <w:keepLines w:val="0"/>
        <w:pageBreakBefore w:val="0"/>
        <w:widowControl/>
        <w:shd w:val="clear" w:color="auto"/>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kern w:val="0"/>
          <w:sz w:val="24"/>
          <w:szCs w:val="24"/>
          <w:highlight w:val="none"/>
          <w:shd w:val="clear" w:color="auto" w:fill="FFFFFF"/>
        </w:rPr>
        <w:t>第五十一条：</w:t>
      </w:r>
      <w:r>
        <w:rPr>
          <w:rFonts w:hint="eastAsia" w:ascii="宋体" w:hAnsi="宋体" w:eastAsia="宋体" w:cs="宋体"/>
          <w:color w:val="auto"/>
          <w:kern w:val="0"/>
          <w:sz w:val="24"/>
          <w:szCs w:val="24"/>
          <w:highlight w:val="none"/>
          <w:shd w:val="clear" w:color="auto" w:fill="FFFFFF"/>
          <w:lang w:eastAsia="zh-CN"/>
        </w:rPr>
        <w:t>投标单位</w:t>
      </w:r>
      <w:r>
        <w:rPr>
          <w:rFonts w:hint="eastAsia" w:ascii="宋体" w:hAnsi="宋体" w:eastAsia="宋体" w:cs="宋体"/>
          <w:color w:val="auto"/>
          <w:kern w:val="0"/>
          <w:sz w:val="24"/>
          <w:szCs w:val="24"/>
          <w:highlight w:val="none"/>
          <w:shd w:val="clear" w:color="auto" w:fill="FFFFFF"/>
        </w:rPr>
        <w:t>对政府采购活动事项有疑问的，可以向</w:t>
      </w:r>
      <w:r>
        <w:rPr>
          <w:rFonts w:hint="eastAsia" w:ascii="宋体" w:hAnsi="宋体" w:eastAsia="宋体" w:cs="宋体"/>
          <w:color w:val="auto"/>
          <w:kern w:val="0"/>
          <w:sz w:val="24"/>
          <w:szCs w:val="24"/>
          <w:highlight w:val="none"/>
          <w:shd w:val="clear" w:color="auto" w:fill="FFFFFF"/>
          <w:lang w:eastAsia="zh-CN"/>
        </w:rPr>
        <w:t>招标人</w:t>
      </w:r>
      <w:r>
        <w:rPr>
          <w:rFonts w:hint="eastAsia" w:ascii="宋体" w:hAnsi="宋体" w:eastAsia="宋体" w:cs="宋体"/>
          <w:color w:val="auto"/>
          <w:kern w:val="0"/>
          <w:sz w:val="24"/>
          <w:szCs w:val="24"/>
          <w:highlight w:val="none"/>
          <w:shd w:val="clear" w:color="auto" w:fill="FFFFFF"/>
        </w:rPr>
        <w:t>提出询问，</w:t>
      </w:r>
      <w:r>
        <w:rPr>
          <w:rFonts w:hint="eastAsia" w:ascii="宋体" w:hAnsi="宋体" w:eastAsia="宋体" w:cs="宋体"/>
          <w:color w:val="auto"/>
          <w:kern w:val="0"/>
          <w:sz w:val="24"/>
          <w:szCs w:val="24"/>
          <w:highlight w:val="none"/>
          <w:shd w:val="clear" w:color="auto" w:fill="FFFFFF"/>
          <w:lang w:eastAsia="zh-CN"/>
        </w:rPr>
        <w:t>招标人</w:t>
      </w:r>
      <w:r>
        <w:rPr>
          <w:rFonts w:hint="eastAsia" w:ascii="宋体" w:hAnsi="宋体" w:eastAsia="宋体" w:cs="宋体"/>
          <w:color w:val="auto"/>
          <w:kern w:val="0"/>
          <w:sz w:val="24"/>
          <w:szCs w:val="24"/>
          <w:highlight w:val="none"/>
          <w:shd w:val="clear" w:color="auto" w:fill="FFFFFF"/>
        </w:rPr>
        <w:t>应当及时作出答复，但答复的内容不得涉及商业秘密。</w:t>
      </w:r>
    </w:p>
    <w:p w14:paraId="429466FA">
      <w:pPr>
        <w:keepNext w:val="0"/>
        <w:keepLines w:val="0"/>
        <w:pageBreakBefore w:val="0"/>
        <w:widowControl/>
        <w:shd w:val="clear" w:color="auto"/>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 xml:space="preserve"> 第五十二条：</w:t>
      </w:r>
      <w:r>
        <w:rPr>
          <w:rFonts w:hint="eastAsia" w:ascii="宋体" w:hAnsi="宋体" w:eastAsia="宋体" w:cs="宋体"/>
          <w:color w:val="auto"/>
          <w:kern w:val="0"/>
          <w:sz w:val="24"/>
          <w:szCs w:val="24"/>
          <w:highlight w:val="none"/>
          <w:shd w:val="clear" w:color="auto" w:fill="FFFFFF"/>
          <w:lang w:eastAsia="zh-CN"/>
        </w:rPr>
        <w:t>投标单位</w:t>
      </w:r>
      <w:r>
        <w:rPr>
          <w:rFonts w:hint="eastAsia" w:ascii="宋体" w:hAnsi="宋体" w:eastAsia="宋体" w:cs="宋体"/>
          <w:color w:val="auto"/>
          <w:kern w:val="0"/>
          <w:sz w:val="24"/>
          <w:szCs w:val="24"/>
          <w:highlight w:val="none"/>
          <w:shd w:val="clear" w:color="auto" w:fill="FFFFFF"/>
        </w:rPr>
        <w:t>认为采购文件、采购过程和中标、</w:t>
      </w:r>
      <w:r>
        <w:rPr>
          <w:rFonts w:hint="eastAsia" w:ascii="宋体" w:hAnsi="宋体" w:eastAsia="宋体" w:cs="宋体"/>
          <w:color w:val="auto"/>
          <w:kern w:val="0"/>
          <w:sz w:val="24"/>
          <w:szCs w:val="24"/>
          <w:highlight w:val="none"/>
          <w:shd w:val="clear" w:color="auto" w:fill="FFFFFF"/>
          <w:lang w:eastAsia="zh-CN"/>
        </w:rPr>
        <w:t>中标</w:t>
      </w:r>
      <w:r>
        <w:rPr>
          <w:rFonts w:hint="eastAsia" w:ascii="宋体" w:hAnsi="宋体" w:eastAsia="宋体" w:cs="宋体"/>
          <w:color w:val="auto"/>
          <w:kern w:val="0"/>
          <w:sz w:val="24"/>
          <w:szCs w:val="24"/>
          <w:highlight w:val="none"/>
          <w:shd w:val="clear" w:color="auto" w:fill="FFFFFF"/>
        </w:rPr>
        <w:t>结果使自己的权益受到损害的，可以在知道或者应知其权益受到损害之日起七个工作日内，以书面形式向</w:t>
      </w:r>
      <w:r>
        <w:rPr>
          <w:rFonts w:hint="eastAsia" w:ascii="宋体" w:hAnsi="宋体" w:eastAsia="宋体" w:cs="宋体"/>
          <w:color w:val="auto"/>
          <w:kern w:val="0"/>
          <w:sz w:val="24"/>
          <w:szCs w:val="24"/>
          <w:highlight w:val="none"/>
          <w:shd w:val="clear" w:color="auto" w:fill="FFFFFF"/>
          <w:lang w:eastAsia="zh-CN"/>
        </w:rPr>
        <w:t>招标人</w:t>
      </w:r>
      <w:r>
        <w:rPr>
          <w:rFonts w:hint="eastAsia" w:ascii="宋体" w:hAnsi="宋体" w:eastAsia="宋体" w:cs="宋体"/>
          <w:color w:val="auto"/>
          <w:kern w:val="0"/>
          <w:sz w:val="24"/>
          <w:szCs w:val="24"/>
          <w:highlight w:val="none"/>
          <w:shd w:val="clear" w:color="auto" w:fill="FFFFFF"/>
        </w:rPr>
        <w:t>提出质疑。</w:t>
      </w:r>
    </w:p>
    <w:p w14:paraId="19A49090">
      <w:pPr>
        <w:keepNext w:val="0"/>
        <w:keepLines w:val="0"/>
        <w:pageBreakBefore w:val="0"/>
        <w:widowControl/>
        <w:shd w:val="clear" w:color="auto"/>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 xml:space="preserve"> 第五十三条：</w:t>
      </w:r>
      <w:r>
        <w:rPr>
          <w:rFonts w:hint="eastAsia" w:ascii="宋体" w:hAnsi="宋体" w:eastAsia="宋体" w:cs="宋体"/>
          <w:color w:val="auto"/>
          <w:kern w:val="0"/>
          <w:sz w:val="24"/>
          <w:szCs w:val="24"/>
          <w:highlight w:val="none"/>
          <w:shd w:val="clear" w:color="auto" w:fill="FFFFFF"/>
          <w:lang w:eastAsia="zh-CN"/>
        </w:rPr>
        <w:t>招标人</w:t>
      </w:r>
      <w:r>
        <w:rPr>
          <w:rFonts w:hint="eastAsia" w:ascii="宋体" w:hAnsi="宋体" w:eastAsia="宋体" w:cs="宋体"/>
          <w:color w:val="auto"/>
          <w:kern w:val="0"/>
          <w:sz w:val="24"/>
          <w:szCs w:val="24"/>
          <w:highlight w:val="none"/>
          <w:shd w:val="clear" w:color="auto" w:fill="FFFFFF"/>
        </w:rPr>
        <w:t>应当在收到</w:t>
      </w:r>
      <w:r>
        <w:rPr>
          <w:rFonts w:hint="eastAsia" w:ascii="宋体" w:hAnsi="宋体" w:eastAsia="宋体" w:cs="宋体"/>
          <w:color w:val="auto"/>
          <w:kern w:val="0"/>
          <w:sz w:val="24"/>
          <w:szCs w:val="24"/>
          <w:highlight w:val="none"/>
          <w:shd w:val="clear" w:color="auto" w:fill="FFFFFF"/>
          <w:lang w:eastAsia="zh-CN"/>
        </w:rPr>
        <w:t>投标单位</w:t>
      </w:r>
      <w:r>
        <w:rPr>
          <w:rFonts w:hint="eastAsia" w:ascii="宋体" w:hAnsi="宋体" w:eastAsia="宋体" w:cs="宋体"/>
          <w:color w:val="auto"/>
          <w:kern w:val="0"/>
          <w:sz w:val="24"/>
          <w:szCs w:val="24"/>
          <w:highlight w:val="none"/>
          <w:shd w:val="clear" w:color="auto" w:fill="FFFFFF"/>
        </w:rPr>
        <w:t>的书面质疑后七个工作日内作出答复，并以书面形式通知质疑</w:t>
      </w:r>
      <w:r>
        <w:rPr>
          <w:rFonts w:hint="eastAsia" w:ascii="宋体" w:hAnsi="宋体" w:eastAsia="宋体" w:cs="宋体"/>
          <w:color w:val="auto"/>
          <w:kern w:val="0"/>
          <w:sz w:val="24"/>
          <w:szCs w:val="24"/>
          <w:highlight w:val="none"/>
          <w:shd w:val="clear" w:color="auto" w:fill="FFFFFF"/>
          <w:lang w:eastAsia="zh-CN"/>
        </w:rPr>
        <w:t>投标单位</w:t>
      </w:r>
      <w:r>
        <w:rPr>
          <w:rFonts w:hint="eastAsia" w:ascii="宋体" w:hAnsi="宋体" w:eastAsia="宋体" w:cs="宋体"/>
          <w:color w:val="auto"/>
          <w:kern w:val="0"/>
          <w:sz w:val="24"/>
          <w:szCs w:val="24"/>
          <w:highlight w:val="none"/>
          <w:shd w:val="clear" w:color="auto" w:fill="FFFFFF"/>
        </w:rPr>
        <w:t>和其他有关</w:t>
      </w:r>
      <w:r>
        <w:rPr>
          <w:rFonts w:hint="eastAsia" w:ascii="宋体" w:hAnsi="宋体" w:eastAsia="宋体" w:cs="宋体"/>
          <w:color w:val="auto"/>
          <w:kern w:val="0"/>
          <w:sz w:val="24"/>
          <w:szCs w:val="24"/>
          <w:highlight w:val="none"/>
          <w:shd w:val="clear" w:color="auto" w:fill="FFFFFF"/>
          <w:lang w:eastAsia="zh-CN"/>
        </w:rPr>
        <w:t>投标单位</w:t>
      </w:r>
      <w:r>
        <w:rPr>
          <w:rFonts w:hint="eastAsia" w:ascii="宋体" w:hAnsi="宋体" w:eastAsia="宋体" w:cs="宋体"/>
          <w:color w:val="auto"/>
          <w:kern w:val="0"/>
          <w:sz w:val="24"/>
          <w:szCs w:val="24"/>
          <w:highlight w:val="none"/>
          <w:shd w:val="clear" w:color="auto" w:fill="FFFFFF"/>
        </w:rPr>
        <w:t>，但答复的内容不得涉及商业秘密。</w:t>
      </w:r>
    </w:p>
    <w:p w14:paraId="67C02D5A">
      <w:pPr>
        <w:keepNext w:val="0"/>
        <w:keepLines w:val="0"/>
        <w:pageBreakBefore w:val="0"/>
        <w:widowControl/>
        <w:shd w:val="clear" w:color="auto"/>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 xml:space="preserve"> 第五十五条:质疑</w:t>
      </w:r>
      <w:r>
        <w:rPr>
          <w:rFonts w:hint="eastAsia" w:ascii="宋体" w:hAnsi="宋体" w:eastAsia="宋体" w:cs="宋体"/>
          <w:color w:val="auto"/>
          <w:kern w:val="0"/>
          <w:sz w:val="24"/>
          <w:szCs w:val="24"/>
          <w:highlight w:val="none"/>
          <w:shd w:val="clear" w:color="auto" w:fill="FFFFFF"/>
          <w:lang w:eastAsia="zh-CN"/>
        </w:rPr>
        <w:t>投标单位</w:t>
      </w:r>
      <w:r>
        <w:rPr>
          <w:rFonts w:hint="eastAsia" w:ascii="宋体" w:hAnsi="宋体" w:eastAsia="宋体" w:cs="宋体"/>
          <w:color w:val="auto"/>
          <w:kern w:val="0"/>
          <w:sz w:val="24"/>
          <w:szCs w:val="24"/>
          <w:highlight w:val="none"/>
          <w:shd w:val="clear" w:color="auto" w:fill="FFFFFF"/>
        </w:rPr>
        <w:t>对</w:t>
      </w:r>
      <w:r>
        <w:rPr>
          <w:rFonts w:hint="eastAsia" w:ascii="宋体" w:hAnsi="宋体" w:eastAsia="宋体" w:cs="宋体"/>
          <w:color w:val="auto"/>
          <w:kern w:val="0"/>
          <w:sz w:val="24"/>
          <w:szCs w:val="24"/>
          <w:highlight w:val="none"/>
          <w:shd w:val="clear" w:color="auto" w:fill="FFFFFF"/>
          <w:lang w:eastAsia="zh-CN"/>
        </w:rPr>
        <w:t>招标人</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eastAsia="zh-CN"/>
        </w:rPr>
        <w:t>招标代理</w:t>
      </w:r>
      <w:r>
        <w:rPr>
          <w:rFonts w:hint="eastAsia" w:ascii="宋体" w:hAnsi="宋体" w:eastAsia="宋体" w:cs="宋体"/>
          <w:color w:val="auto"/>
          <w:kern w:val="0"/>
          <w:sz w:val="24"/>
          <w:szCs w:val="24"/>
          <w:highlight w:val="none"/>
          <w:shd w:val="clear" w:color="auto" w:fill="FFFFFF"/>
        </w:rPr>
        <w:t>机构的答复不满意或者</w:t>
      </w:r>
      <w:r>
        <w:rPr>
          <w:rFonts w:hint="eastAsia" w:ascii="宋体" w:hAnsi="宋体" w:eastAsia="宋体" w:cs="宋体"/>
          <w:color w:val="auto"/>
          <w:kern w:val="0"/>
          <w:sz w:val="24"/>
          <w:szCs w:val="24"/>
          <w:highlight w:val="none"/>
          <w:shd w:val="clear" w:color="auto" w:fill="FFFFFF"/>
          <w:lang w:eastAsia="zh-CN"/>
        </w:rPr>
        <w:t>招标人</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eastAsia="zh-CN"/>
        </w:rPr>
        <w:t>招标代理</w:t>
      </w:r>
      <w:r>
        <w:rPr>
          <w:rFonts w:hint="eastAsia" w:ascii="宋体" w:hAnsi="宋体" w:eastAsia="宋体" w:cs="宋体"/>
          <w:color w:val="auto"/>
          <w:kern w:val="0"/>
          <w:sz w:val="24"/>
          <w:szCs w:val="24"/>
          <w:highlight w:val="none"/>
          <w:shd w:val="clear" w:color="auto" w:fill="FFFFFF"/>
        </w:rPr>
        <w:t>机构未在规定的时间内作出答复的，可以在答复期满后十五个工作日内向同级政府采购监督管理部门投诉。</w:t>
      </w:r>
    </w:p>
    <w:p w14:paraId="0D9E7671">
      <w:pPr>
        <w:keepNext w:val="0"/>
        <w:keepLines w:val="0"/>
        <w:pageBreakBefore w:val="0"/>
        <w:widowControl/>
        <w:shd w:val="clear" w:color="auto"/>
        <w:kinsoku/>
        <w:wordWrap/>
        <w:overflowPunct/>
        <w:topLinePunct w:val="0"/>
        <w:autoSpaceDE/>
        <w:autoSpaceDN/>
        <w:bidi w:val="0"/>
        <w:adjustRightInd/>
        <w:snapToGrid/>
        <w:spacing w:line="36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 xml:space="preserve"> 《政府采购实施条例》第五十五条：</w:t>
      </w:r>
      <w:r>
        <w:rPr>
          <w:rFonts w:hint="eastAsia" w:ascii="宋体" w:hAnsi="宋体" w:eastAsia="宋体" w:cs="宋体"/>
          <w:color w:val="auto"/>
          <w:kern w:val="0"/>
          <w:sz w:val="24"/>
          <w:szCs w:val="24"/>
          <w:highlight w:val="none"/>
          <w:shd w:val="clear" w:color="auto" w:fill="FFFFFF"/>
          <w:lang w:eastAsia="zh-CN"/>
        </w:rPr>
        <w:t>投标单位</w:t>
      </w:r>
      <w:r>
        <w:rPr>
          <w:rFonts w:hint="eastAsia" w:ascii="宋体" w:hAnsi="宋体" w:eastAsia="宋体" w:cs="宋体"/>
          <w:color w:val="auto"/>
          <w:kern w:val="0"/>
          <w:sz w:val="24"/>
          <w:szCs w:val="24"/>
          <w:highlight w:val="none"/>
          <w:shd w:val="clear" w:color="auto" w:fill="FFFFFF"/>
        </w:rPr>
        <w:t>质疑、投诉应当有明确的请求和必要的证明材料。</w:t>
      </w:r>
      <w:r>
        <w:rPr>
          <w:rFonts w:hint="eastAsia" w:ascii="宋体" w:hAnsi="宋体" w:eastAsia="宋体" w:cs="宋体"/>
          <w:color w:val="auto"/>
          <w:kern w:val="0"/>
          <w:sz w:val="24"/>
          <w:szCs w:val="24"/>
          <w:highlight w:val="none"/>
          <w:shd w:val="clear" w:color="auto" w:fill="FFFFFF"/>
          <w:lang w:eastAsia="zh-CN"/>
        </w:rPr>
        <w:t>投标单位</w:t>
      </w:r>
      <w:r>
        <w:rPr>
          <w:rFonts w:hint="eastAsia" w:ascii="宋体" w:hAnsi="宋体" w:eastAsia="宋体" w:cs="宋体"/>
          <w:color w:val="auto"/>
          <w:kern w:val="0"/>
          <w:sz w:val="24"/>
          <w:szCs w:val="24"/>
          <w:highlight w:val="none"/>
          <w:shd w:val="clear" w:color="auto" w:fill="FFFFFF"/>
        </w:rPr>
        <w:t>投诉的事项不得超出质疑事项的范围。</w:t>
      </w:r>
    </w:p>
    <w:p w14:paraId="0525898A">
      <w:pPr>
        <w:keepNext w:val="0"/>
        <w:keepLines w:val="0"/>
        <w:pageBreakBefore w:val="0"/>
        <w:widowControl/>
        <w:shd w:val="clear" w:color="auto"/>
        <w:kinsoku/>
        <w:wordWrap/>
        <w:overflowPunct/>
        <w:topLinePunct w:val="0"/>
        <w:autoSpaceDE/>
        <w:autoSpaceDN/>
        <w:bidi w:val="0"/>
        <w:adjustRightInd/>
        <w:snapToGrid/>
        <w:spacing w:line="360" w:lineRule="exact"/>
        <w:ind w:firstLine="660" w:firstLineChars="275"/>
        <w:jc w:val="left"/>
        <w:textAlignment w:val="auto"/>
        <w:rPr>
          <w:rFonts w:hint="eastAsia" w:ascii="宋体" w:hAnsi="宋体" w:eastAsia="宋体" w:cs="宋体"/>
          <w:color w:val="auto"/>
          <w:kern w:val="0"/>
          <w:sz w:val="24"/>
          <w:szCs w:val="24"/>
          <w:highlight w:val="none"/>
          <w:shd w:val="clear" w:color="auto" w:fill="FFFFFF"/>
          <w:lang w:val="en-US" w:eastAsia="zh-CN"/>
        </w:rPr>
      </w:pPr>
      <w:bookmarkStart w:id="37" w:name="_Toc13508"/>
      <w:r>
        <w:rPr>
          <w:rFonts w:hint="eastAsia" w:ascii="宋体" w:hAnsi="宋体" w:eastAsia="宋体" w:cs="宋体"/>
          <w:color w:val="auto"/>
          <w:kern w:val="0"/>
          <w:sz w:val="24"/>
          <w:szCs w:val="24"/>
          <w:highlight w:val="none"/>
          <w:shd w:val="clear" w:color="auto" w:fill="FFFFFF"/>
          <w:lang w:val="en-US" w:eastAsia="zh-CN"/>
        </w:rPr>
        <w:t>二、书面方式</w:t>
      </w:r>
      <w:bookmarkEnd w:id="37"/>
    </w:p>
    <w:p w14:paraId="3902A4B1">
      <w:pPr>
        <w:keepNext w:val="0"/>
        <w:keepLines w:val="0"/>
        <w:pageBreakBefore w:val="0"/>
        <w:shd w:val="clear" w:color="auto"/>
        <w:kinsoku/>
        <w:wordWrap/>
        <w:overflowPunct/>
        <w:topLinePunct w:val="0"/>
        <w:autoSpaceDE/>
        <w:autoSpaceDN/>
        <w:bidi w:val="0"/>
        <w:adjustRightInd/>
        <w:snapToGrid/>
        <w:spacing w:line="360" w:lineRule="exact"/>
        <w:ind w:left="5760" w:hanging="4320" w:hangingChars="18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《政府采购</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投诉处理办法》第八条：投诉人投诉</w:t>
      </w:r>
    </w:p>
    <w:p w14:paraId="6096AC26">
      <w:pPr>
        <w:keepNext w:val="0"/>
        <w:keepLines w:val="0"/>
        <w:pageBreakBefore w:val="0"/>
        <w:shd w:val="clear" w:color="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时，应当提交投诉书，并按照被投诉人以及与投诉事项有关的</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数量提供投诉书的副本。</w:t>
      </w:r>
    </w:p>
    <w:p w14:paraId="5859A002">
      <w:pPr>
        <w:keepNext w:val="0"/>
        <w:keepLines w:val="0"/>
        <w:pageBreakBefore w:val="0"/>
        <w:shd w:val="clear" w:color="auto"/>
        <w:kinsoku/>
        <w:wordWrap/>
        <w:overflowPunct/>
        <w:topLinePunct w:val="0"/>
        <w:autoSpaceDE/>
        <w:autoSpaceDN/>
        <w:bidi w:val="0"/>
        <w:adjustRightInd/>
        <w:snapToGrid/>
        <w:spacing w:line="360" w:lineRule="exact"/>
        <w:ind w:left="5760" w:hanging="4320" w:hangingChars="18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投诉书应当包括下列主要内容：</w:t>
      </w:r>
    </w:p>
    <w:p w14:paraId="227BAF53">
      <w:pPr>
        <w:keepNext w:val="0"/>
        <w:keepLines w:val="0"/>
        <w:pageBreakBefore w:val="0"/>
        <w:numPr>
          <w:ilvl w:val="0"/>
          <w:numId w:val="5"/>
        </w:numPr>
        <w:shd w:val="clear" w:color="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投诉人和被投诉人的名称、地址、电话等；</w:t>
      </w:r>
    </w:p>
    <w:p w14:paraId="0F48519F">
      <w:pPr>
        <w:keepNext w:val="0"/>
        <w:keepLines w:val="0"/>
        <w:pageBreakBefore w:val="0"/>
        <w:numPr>
          <w:ilvl w:val="0"/>
          <w:numId w:val="5"/>
        </w:numPr>
        <w:shd w:val="clear" w:color="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具体的投诉事项及事实依据；</w:t>
      </w:r>
    </w:p>
    <w:p w14:paraId="6589FA12">
      <w:pPr>
        <w:keepNext w:val="0"/>
        <w:keepLines w:val="0"/>
        <w:pageBreakBefore w:val="0"/>
        <w:numPr>
          <w:ilvl w:val="0"/>
          <w:numId w:val="5"/>
        </w:numPr>
        <w:shd w:val="clear" w:color="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质疑和质疑答复情况及相关证明材料；</w:t>
      </w:r>
    </w:p>
    <w:p w14:paraId="3259B9DE">
      <w:pPr>
        <w:keepNext w:val="0"/>
        <w:keepLines w:val="0"/>
        <w:pageBreakBefore w:val="0"/>
        <w:numPr>
          <w:ilvl w:val="0"/>
          <w:numId w:val="5"/>
        </w:numPr>
        <w:shd w:val="clear" w:color="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提起投诉的日期。</w:t>
      </w:r>
    </w:p>
    <w:p w14:paraId="7A5E46A1">
      <w:pPr>
        <w:keepNext w:val="0"/>
        <w:keepLines w:val="0"/>
        <w:pageBreakBefore w:val="0"/>
        <w:shd w:val="clear" w:color="auto"/>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投诉书应当署名。投诉人为自然人，应当由本人</w:t>
      </w:r>
      <w:r>
        <w:rPr>
          <w:rFonts w:hint="eastAsia" w:ascii="宋体" w:hAnsi="宋体" w:eastAsia="宋体" w:cs="宋体"/>
          <w:color w:val="auto"/>
          <w:sz w:val="24"/>
          <w:szCs w:val="24"/>
          <w:highlight w:val="none"/>
          <w:lang w:eastAsia="zh-CN"/>
        </w:rPr>
        <w:t>签章</w:t>
      </w:r>
      <w:r>
        <w:rPr>
          <w:rFonts w:hint="eastAsia" w:ascii="宋体" w:hAnsi="宋体" w:eastAsia="宋体" w:cs="宋体"/>
          <w:color w:val="auto"/>
          <w:sz w:val="24"/>
          <w:szCs w:val="24"/>
          <w:highlight w:val="none"/>
        </w:rPr>
        <w:t>；投诉人为法人或者其他组织的，应当由法定代表人或者主要负责人</w:t>
      </w:r>
      <w:r>
        <w:rPr>
          <w:rFonts w:hint="eastAsia" w:ascii="宋体" w:hAnsi="宋体" w:eastAsia="宋体" w:cs="宋体"/>
          <w:color w:val="auto"/>
          <w:sz w:val="24"/>
          <w:szCs w:val="24"/>
          <w:highlight w:val="none"/>
          <w:lang w:eastAsia="zh-CN"/>
        </w:rPr>
        <w:t>签章</w:t>
      </w:r>
      <w:r>
        <w:rPr>
          <w:rFonts w:hint="eastAsia" w:ascii="宋体" w:hAnsi="宋体" w:eastAsia="宋体" w:cs="宋体"/>
          <w:color w:val="auto"/>
          <w:sz w:val="24"/>
          <w:szCs w:val="24"/>
          <w:highlight w:val="none"/>
        </w:rPr>
        <w:t>并加盖公章。</w:t>
      </w:r>
    </w:p>
    <w:p w14:paraId="08B0EBA0">
      <w:pPr>
        <w:keepNext w:val="0"/>
        <w:keepLines w:val="0"/>
        <w:pageBreakBefore w:val="0"/>
        <w:shd w:val="clear" w:color="auto"/>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投诉处理办法》第九条：投诉人可以委托代理人办理投诉事务。代理人办理投书事务时，除提交投诉书外，还应当向同级财政部门提交投诉人的授权委托书，授权委托书应当载明委托代理的具体权限和事项。</w:t>
      </w:r>
    </w:p>
    <w:p w14:paraId="4DFBDB0C">
      <w:pPr>
        <w:keepNext w:val="0"/>
        <w:keepLines w:val="0"/>
        <w:pageBreakBefore w:val="0"/>
        <w:shd w:val="clear" w:color="auto"/>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投诉处理办法》第十条：投诉人提起投诉应当符合下列条件：</w:t>
      </w:r>
    </w:p>
    <w:p w14:paraId="62E2E346">
      <w:pPr>
        <w:keepNext w:val="0"/>
        <w:keepLines w:val="0"/>
        <w:pageBreakBefore w:val="0"/>
        <w:numPr>
          <w:ilvl w:val="0"/>
          <w:numId w:val="6"/>
        </w:numPr>
        <w:shd w:val="clear" w:color="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投诉人是参与所投诉政府采购活动的</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w:t>
      </w:r>
    </w:p>
    <w:p w14:paraId="146CAF0A">
      <w:pPr>
        <w:keepNext w:val="0"/>
        <w:keepLines w:val="0"/>
        <w:pageBreakBefore w:val="0"/>
        <w:numPr>
          <w:ilvl w:val="0"/>
          <w:numId w:val="6"/>
        </w:numPr>
        <w:shd w:val="clear" w:color="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提起投诉诉前已依法进行质疑；</w:t>
      </w:r>
    </w:p>
    <w:p w14:paraId="3F4E9127">
      <w:pPr>
        <w:keepNext w:val="0"/>
        <w:keepLines w:val="0"/>
        <w:pageBreakBefore w:val="0"/>
        <w:numPr>
          <w:ilvl w:val="0"/>
          <w:numId w:val="6"/>
        </w:numPr>
        <w:shd w:val="clear" w:color="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投诉书内容符合本办法的规定；</w:t>
      </w:r>
    </w:p>
    <w:p w14:paraId="4BD8B1F0">
      <w:pPr>
        <w:keepNext w:val="0"/>
        <w:keepLines w:val="0"/>
        <w:pageBreakBefore w:val="0"/>
        <w:numPr>
          <w:ilvl w:val="0"/>
          <w:numId w:val="6"/>
        </w:numPr>
        <w:shd w:val="clear" w:color="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在投诉有效期内提起投诉；</w:t>
      </w:r>
    </w:p>
    <w:p w14:paraId="2CCDE62F">
      <w:pPr>
        <w:keepNext w:val="0"/>
        <w:keepLines w:val="0"/>
        <w:pageBreakBefore w:val="0"/>
        <w:numPr>
          <w:ilvl w:val="0"/>
          <w:numId w:val="6"/>
        </w:numPr>
        <w:shd w:val="clear" w:color="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属于本级财政部门管辖；</w:t>
      </w:r>
    </w:p>
    <w:p w14:paraId="6238A066">
      <w:pPr>
        <w:keepNext w:val="0"/>
        <w:keepLines w:val="0"/>
        <w:pageBreakBefore w:val="0"/>
        <w:numPr>
          <w:ilvl w:val="0"/>
          <w:numId w:val="6"/>
        </w:numPr>
        <w:shd w:val="clear" w:color="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同一投诉事项未经财政部门投诉处理；</w:t>
      </w:r>
    </w:p>
    <w:p w14:paraId="37A9AA9A">
      <w:pPr>
        <w:keepNext w:val="0"/>
        <w:keepLines w:val="0"/>
        <w:pageBreakBefore w:val="0"/>
        <w:numPr>
          <w:ilvl w:val="0"/>
          <w:numId w:val="6"/>
        </w:numPr>
        <w:shd w:val="clear" w:color="auto"/>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sz w:val="24"/>
          <w:szCs w:val="24"/>
          <w:highlight w:val="none"/>
        </w:rPr>
        <w:t>国务院财政部门规定的其他条件。</w:t>
      </w:r>
    </w:p>
    <w:p w14:paraId="0A111A8F">
      <w:pPr>
        <w:keepNext w:val="0"/>
        <w:keepLines w:val="0"/>
        <w:pageBreakBefore w:val="0"/>
        <w:widowControl/>
        <w:shd w:val="clear" w:color="auto"/>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rPr>
      </w:pPr>
      <w:bookmarkStart w:id="38" w:name="_Toc5978"/>
      <w:r>
        <w:rPr>
          <w:rFonts w:hint="eastAsia" w:ascii="宋体" w:hAnsi="宋体" w:eastAsia="宋体" w:cs="宋体"/>
          <w:color w:val="auto"/>
          <w:kern w:val="0"/>
          <w:sz w:val="24"/>
          <w:szCs w:val="24"/>
          <w:highlight w:val="none"/>
          <w:shd w:val="clear" w:color="auto" w:fill="FFFFFF"/>
          <w:lang w:val="en-US" w:eastAsia="zh-CN"/>
        </w:rPr>
        <w:t>三、虚假、恶意投诉法律责任</w:t>
      </w:r>
      <w:bookmarkEnd w:id="38"/>
    </w:p>
    <w:p w14:paraId="73D17380">
      <w:pPr>
        <w:keepNext w:val="0"/>
        <w:keepLines w:val="0"/>
        <w:pageBreakBefore w:val="0"/>
        <w:shd w:val="clear" w:color="auto"/>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第七十三条：</w:t>
      </w:r>
      <w:r>
        <w:rPr>
          <w:rFonts w:hint="eastAsia" w:ascii="宋体" w:hAnsi="宋体" w:eastAsia="宋体" w:cs="宋体"/>
          <w:color w:val="auto"/>
          <w:sz w:val="24"/>
          <w:szCs w:val="24"/>
          <w:highlight w:val="none"/>
          <w:lang w:eastAsia="zh-CN"/>
        </w:rPr>
        <w:t>投标单位捏造事实</w:t>
      </w:r>
      <w:r>
        <w:rPr>
          <w:rFonts w:hint="eastAsia" w:ascii="宋体" w:hAnsi="宋体" w:eastAsia="宋体" w:cs="宋体"/>
          <w:color w:val="auto"/>
          <w:sz w:val="24"/>
          <w:szCs w:val="24"/>
          <w:highlight w:val="none"/>
        </w:rPr>
        <w:t>、提供虚假材料或者以非法手段取得证明材料进行投诉的，由财政部门列入不良行为记录名单，禁止其1至3年内参加政府采购活动。</w:t>
      </w:r>
    </w:p>
    <w:p w14:paraId="1A2FA361">
      <w:pPr>
        <w:keepNext w:val="0"/>
        <w:keepLines w:val="0"/>
        <w:pageBreakBefore w:val="0"/>
        <w:shd w:val="clear" w:color="auto"/>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投诉处理办法》第二十六条：投诉人有下列情形之一的，属于虚假、恶意投诉，财政部门应当驳回投诉，将其列入不良行为记录名单，并依法予以处罚：</w:t>
      </w:r>
    </w:p>
    <w:p w14:paraId="6902A78B">
      <w:pPr>
        <w:keepNext w:val="0"/>
        <w:keepLines w:val="0"/>
        <w:pageBreakBefore w:val="0"/>
        <w:shd w:val="clear" w:color="auto"/>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（一）1年内3次以上投诉均查无实据的；</w:t>
      </w:r>
    </w:p>
    <w:p w14:paraId="1E7FD891">
      <w:pPr>
        <w:keepNext w:val="0"/>
        <w:keepLines w:val="0"/>
        <w:pageBreakBefore w:val="0"/>
        <w:shd w:val="clear" w:color="auto"/>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（二）捏造事实或者提供虚假投诉材料的。</w:t>
      </w:r>
    </w:p>
    <w:p w14:paraId="23783D3A">
      <w:pPr>
        <w:keepNext w:val="0"/>
        <w:keepLines w:val="0"/>
        <w:pageBreakBefore w:val="0"/>
        <w:shd w:val="clear" w:color="auto"/>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p>
    <w:p w14:paraId="60492C49">
      <w:pPr>
        <w:keepNext w:val="0"/>
        <w:keepLines w:val="0"/>
        <w:pageBreakBefore w:val="0"/>
        <w:shd w:val="clear" w:color="auto"/>
        <w:kinsoku/>
        <w:wordWrap/>
        <w:overflowPunct/>
        <w:topLinePunct w:val="0"/>
        <w:autoSpaceDE/>
        <w:autoSpaceDN/>
        <w:bidi w:val="0"/>
        <w:adjustRightInd/>
        <w:snapToGrid/>
        <w:spacing w:line="500" w:lineRule="exact"/>
        <w:ind w:firstLine="480" w:firstLineChars="200"/>
        <w:jc w:val="center"/>
        <w:textAlignment w:val="auto"/>
        <w:rPr>
          <w:rFonts w:hint="eastAsia" w:ascii="宋体" w:hAnsi="宋体" w:eastAsia="宋体" w:cs="宋体"/>
          <w:color w:val="auto"/>
          <w:sz w:val="24"/>
          <w:szCs w:val="24"/>
          <w:highlight w:val="none"/>
        </w:rPr>
      </w:pPr>
      <w:bookmarkStart w:id="39" w:name="_Toc1697"/>
      <w:r>
        <w:rPr>
          <w:rFonts w:hint="eastAsia" w:ascii="宋体" w:hAnsi="宋体" w:eastAsia="宋体" w:cs="宋体"/>
          <w:color w:val="auto"/>
          <w:sz w:val="24"/>
          <w:szCs w:val="24"/>
          <w:highlight w:val="none"/>
        </w:rPr>
        <w:t>质疑函范本</w:t>
      </w:r>
      <w:bookmarkEnd w:id="39"/>
    </w:p>
    <w:p w14:paraId="227B2773">
      <w:pPr>
        <w:keepNext w:val="0"/>
        <w:keepLines w:val="0"/>
        <w:pageBreakBefore w:val="0"/>
        <w:shd w:val="clear" w:color="auto"/>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bookmarkStart w:id="40" w:name="_Toc9061"/>
      <w:r>
        <w:rPr>
          <w:rFonts w:hint="eastAsia" w:ascii="宋体" w:hAnsi="宋体" w:eastAsia="宋体" w:cs="宋体"/>
          <w:color w:val="auto"/>
          <w:sz w:val="24"/>
          <w:szCs w:val="24"/>
          <w:highlight w:val="none"/>
        </w:rPr>
        <w:t>一、质疑</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基本信息</w:t>
      </w:r>
      <w:bookmarkEnd w:id="40"/>
    </w:p>
    <w:p w14:paraId="3780CEC1">
      <w:pPr>
        <w:keepNext w:val="0"/>
        <w:keepLines w:val="0"/>
        <w:pageBreakBefore w:val="0"/>
        <w:widowControl w:val="0"/>
        <w:shd w:val="clear" w:color="auto"/>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dotted"/>
        </w:rPr>
        <w:t xml:space="preserve">                         </w:t>
      </w:r>
    </w:p>
    <w:p w14:paraId="42067E26">
      <w:pPr>
        <w:keepNext w:val="0"/>
        <w:keepLines w:val="0"/>
        <w:pageBreakBefore w:val="0"/>
        <w:widowControl w:val="0"/>
        <w:shd w:val="clear" w:color="auto"/>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2871B3E">
      <w:pPr>
        <w:keepNext w:val="0"/>
        <w:keepLines w:val="0"/>
        <w:pageBreakBefore w:val="0"/>
        <w:widowControl w:val="0"/>
        <w:shd w:val="clear" w:color="auto"/>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52AF3758">
      <w:pPr>
        <w:keepNext w:val="0"/>
        <w:keepLines w:val="0"/>
        <w:pageBreakBefore w:val="0"/>
        <w:widowControl w:val="0"/>
        <w:shd w:val="clear" w:color="auto"/>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6B597BA8">
      <w:pPr>
        <w:keepNext w:val="0"/>
        <w:keepLines w:val="0"/>
        <w:pageBreakBefore w:val="0"/>
        <w:widowControl w:val="0"/>
        <w:shd w:val="clear" w:color="auto"/>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0D80713D">
      <w:pPr>
        <w:keepNext w:val="0"/>
        <w:keepLines w:val="0"/>
        <w:pageBreakBefore w:val="0"/>
        <w:widowControl w:val="0"/>
        <w:shd w:val="clear" w:color="auto"/>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59D3FA1">
      <w:pPr>
        <w:keepNext w:val="0"/>
        <w:keepLines w:val="0"/>
        <w:pageBreakBefore w:val="0"/>
        <w:shd w:val="clear" w:color="auto"/>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bookmarkStart w:id="41" w:name="_Toc15938"/>
      <w:r>
        <w:rPr>
          <w:rFonts w:hint="eastAsia" w:ascii="宋体" w:hAnsi="宋体" w:eastAsia="宋体" w:cs="宋体"/>
          <w:color w:val="auto"/>
          <w:sz w:val="24"/>
          <w:szCs w:val="24"/>
          <w:highlight w:val="none"/>
        </w:rPr>
        <w:t>二、质疑项目基本情况</w:t>
      </w:r>
      <w:bookmarkEnd w:id="41"/>
    </w:p>
    <w:p w14:paraId="73E9A42E">
      <w:pPr>
        <w:keepNext w:val="0"/>
        <w:keepLines w:val="0"/>
        <w:pageBreakBefore w:val="0"/>
        <w:widowControl w:val="0"/>
        <w:shd w:val="clear" w:color="auto"/>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080B47DE">
      <w:pPr>
        <w:keepNext w:val="0"/>
        <w:keepLines w:val="0"/>
        <w:pageBreakBefore w:val="0"/>
        <w:widowControl w:val="0"/>
        <w:shd w:val="clear" w:color="auto"/>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738BC840">
      <w:pPr>
        <w:keepNext w:val="0"/>
        <w:keepLines w:val="0"/>
        <w:pageBreakBefore w:val="0"/>
        <w:widowControl w:val="0"/>
        <w:shd w:val="clear" w:color="auto"/>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dotted"/>
        </w:rPr>
        <w:t xml:space="preserve">                                         </w:t>
      </w:r>
    </w:p>
    <w:p w14:paraId="41D9A432">
      <w:pPr>
        <w:keepNext w:val="0"/>
        <w:keepLines w:val="0"/>
        <w:pageBreakBefore w:val="0"/>
        <w:widowControl w:val="0"/>
        <w:shd w:val="clear" w:color="auto"/>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3DE67773">
      <w:pPr>
        <w:keepNext w:val="0"/>
        <w:keepLines w:val="0"/>
        <w:pageBreakBefore w:val="0"/>
        <w:shd w:val="clear" w:color="auto"/>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bookmarkStart w:id="42" w:name="_Toc18271"/>
      <w:r>
        <w:rPr>
          <w:rFonts w:hint="eastAsia" w:ascii="宋体" w:hAnsi="宋体" w:eastAsia="宋体" w:cs="宋体"/>
          <w:color w:val="auto"/>
          <w:sz w:val="24"/>
          <w:szCs w:val="24"/>
          <w:highlight w:val="none"/>
        </w:rPr>
        <w:t>三、质疑事项具体内容</w:t>
      </w:r>
      <w:bookmarkEnd w:id="42"/>
    </w:p>
    <w:p w14:paraId="57015DCD">
      <w:pPr>
        <w:keepNext w:val="0"/>
        <w:keepLines w:val="0"/>
        <w:pageBreakBefore w:val="0"/>
        <w:widowControl w:val="0"/>
        <w:shd w:val="clear" w:color="auto"/>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2AFC9E0D">
      <w:pPr>
        <w:keepNext w:val="0"/>
        <w:keepLines w:val="0"/>
        <w:pageBreakBefore w:val="0"/>
        <w:widowControl w:val="0"/>
        <w:shd w:val="clear" w:color="auto"/>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7DDDD672">
      <w:pPr>
        <w:keepNext w:val="0"/>
        <w:keepLines w:val="0"/>
        <w:pageBreakBefore w:val="0"/>
        <w:widowControl w:val="0"/>
        <w:shd w:val="clear" w:color="auto"/>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462A14E7">
      <w:pPr>
        <w:keepNext w:val="0"/>
        <w:keepLines w:val="0"/>
        <w:pageBreakBefore w:val="0"/>
        <w:widowControl w:val="0"/>
        <w:shd w:val="clear" w:color="auto"/>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49C13E5E">
      <w:pPr>
        <w:keepNext w:val="0"/>
        <w:keepLines w:val="0"/>
        <w:pageBreakBefore w:val="0"/>
        <w:widowControl w:val="0"/>
        <w:shd w:val="clear" w:color="auto"/>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35C1875">
      <w:pPr>
        <w:keepNext w:val="0"/>
        <w:keepLines w:val="0"/>
        <w:pageBreakBefore w:val="0"/>
        <w:shd w:val="clear" w:color="auto"/>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bookmarkStart w:id="43" w:name="_Toc22365"/>
      <w:r>
        <w:rPr>
          <w:rFonts w:hint="eastAsia" w:ascii="宋体" w:hAnsi="宋体" w:eastAsia="宋体" w:cs="宋体"/>
          <w:color w:val="auto"/>
          <w:sz w:val="24"/>
          <w:szCs w:val="24"/>
          <w:highlight w:val="none"/>
        </w:rPr>
        <w:t>四、与质疑事项相关的质疑请求</w:t>
      </w:r>
      <w:bookmarkEnd w:id="43"/>
    </w:p>
    <w:p w14:paraId="7F616C3D">
      <w:pPr>
        <w:keepNext w:val="0"/>
        <w:keepLines w:val="0"/>
        <w:pageBreakBefore w:val="0"/>
        <w:widowControl w:val="0"/>
        <w:shd w:val="clear" w:color="auto"/>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4CDD9536">
      <w:pPr>
        <w:keepNext w:val="0"/>
        <w:keepLines w:val="0"/>
        <w:pageBreakBefore w:val="0"/>
        <w:widowControl w:val="0"/>
        <w:shd w:val="clear" w:color="auto"/>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签字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 xml:space="preserve">)：                   公章：                      </w:t>
      </w:r>
    </w:p>
    <w:p w14:paraId="0AEE6F12">
      <w:pPr>
        <w:keepNext w:val="0"/>
        <w:keepLines w:val="0"/>
        <w:pageBreakBefore w:val="0"/>
        <w:widowControl w:val="0"/>
        <w:shd w:val="clear" w:color="auto"/>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031536C3">
      <w:pPr>
        <w:bidi w:val="0"/>
        <w:rPr>
          <w:rFonts w:hint="eastAsia"/>
        </w:rPr>
      </w:pPr>
    </w:p>
    <w:p w14:paraId="238715DC">
      <w:pPr>
        <w:bidi w:val="0"/>
        <w:rPr>
          <w:rFonts w:hint="eastAsia"/>
        </w:rPr>
      </w:pPr>
    </w:p>
    <w:p w14:paraId="0B18C80F">
      <w:pPr>
        <w:bidi w:val="0"/>
        <w:rPr>
          <w:rFonts w:hint="eastAsia"/>
        </w:rPr>
      </w:pPr>
    </w:p>
    <w:p w14:paraId="369F21CB">
      <w:pPr>
        <w:bidi w:val="0"/>
        <w:rPr>
          <w:rFonts w:hint="eastAsia"/>
        </w:rPr>
      </w:pPr>
    </w:p>
    <w:p w14:paraId="67A573B2">
      <w:pPr>
        <w:bidi w:val="0"/>
        <w:rPr>
          <w:rFonts w:hint="eastAsia"/>
        </w:rPr>
      </w:pPr>
    </w:p>
    <w:p w14:paraId="069CEDEE">
      <w:pPr>
        <w:bidi w:val="0"/>
        <w:rPr>
          <w:rFonts w:hint="eastAsia"/>
        </w:rPr>
      </w:pPr>
    </w:p>
    <w:p w14:paraId="097A05A4">
      <w:pPr>
        <w:bidi w:val="0"/>
        <w:rPr>
          <w:rFonts w:hint="eastAsia"/>
        </w:rPr>
      </w:pPr>
    </w:p>
    <w:p w14:paraId="4236778D">
      <w:pPr>
        <w:bidi w:val="0"/>
        <w:rPr>
          <w:rFonts w:hint="eastAsia"/>
        </w:rPr>
      </w:pPr>
    </w:p>
    <w:p w14:paraId="0F767B6D">
      <w:pPr>
        <w:bidi w:val="0"/>
        <w:rPr>
          <w:rFonts w:hint="eastAsia"/>
        </w:rPr>
      </w:pPr>
    </w:p>
    <w:p w14:paraId="1D30DD20">
      <w:pPr>
        <w:bidi w:val="0"/>
        <w:rPr>
          <w:rFonts w:hint="eastAsia"/>
        </w:rPr>
      </w:pPr>
    </w:p>
    <w:p w14:paraId="558520DA">
      <w:pPr>
        <w:bidi w:val="0"/>
        <w:rPr>
          <w:rFonts w:hint="eastAsia"/>
        </w:rPr>
      </w:pPr>
    </w:p>
    <w:p w14:paraId="45D1B9D9">
      <w:pPr>
        <w:bidi w:val="0"/>
        <w:rPr>
          <w:rFonts w:hint="eastAsia"/>
        </w:rPr>
      </w:pPr>
    </w:p>
    <w:p w14:paraId="34BCA3EA">
      <w:pPr>
        <w:bidi w:val="0"/>
        <w:rPr>
          <w:rFonts w:hint="eastAsia"/>
        </w:rPr>
      </w:pPr>
    </w:p>
    <w:p w14:paraId="483671A1">
      <w:pPr>
        <w:bidi w:val="0"/>
        <w:rPr>
          <w:rFonts w:hint="eastAsia"/>
        </w:rPr>
      </w:pPr>
    </w:p>
    <w:p w14:paraId="7009F8C6">
      <w:pPr>
        <w:bidi w:val="0"/>
        <w:rPr>
          <w:rFonts w:hint="eastAsia"/>
        </w:rPr>
      </w:pPr>
    </w:p>
    <w:p w14:paraId="55A95499">
      <w:pPr>
        <w:bidi w:val="0"/>
        <w:rPr>
          <w:rFonts w:hint="eastAsia"/>
        </w:rPr>
      </w:pPr>
    </w:p>
    <w:p w14:paraId="1B395A42">
      <w:pPr>
        <w:bidi w:val="0"/>
        <w:rPr>
          <w:rFonts w:hint="eastAsia"/>
        </w:rPr>
      </w:pPr>
    </w:p>
    <w:p w14:paraId="59128F31">
      <w:pPr>
        <w:bidi w:val="0"/>
        <w:rPr>
          <w:rFonts w:hint="eastAsia"/>
        </w:rPr>
      </w:pPr>
    </w:p>
    <w:p w14:paraId="5C44F4E7">
      <w:pPr>
        <w:bidi w:val="0"/>
        <w:rPr>
          <w:rFonts w:hint="eastAsia"/>
        </w:rPr>
      </w:pPr>
    </w:p>
    <w:p w14:paraId="5C762EAA">
      <w:pPr>
        <w:bidi w:val="0"/>
        <w:rPr>
          <w:rFonts w:hint="eastAsia"/>
        </w:rPr>
      </w:pPr>
    </w:p>
    <w:p w14:paraId="7F587CF8">
      <w:pPr>
        <w:bidi w:val="0"/>
        <w:rPr>
          <w:rFonts w:hint="eastAsia"/>
        </w:rPr>
      </w:pPr>
    </w:p>
    <w:p w14:paraId="03358742">
      <w:pPr>
        <w:bidi w:val="0"/>
        <w:rPr>
          <w:rFonts w:hint="eastAsia"/>
        </w:rPr>
      </w:pPr>
    </w:p>
    <w:p w14:paraId="1791791D">
      <w:pPr>
        <w:bidi w:val="0"/>
        <w:rPr>
          <w:rFonts w:hint="eastAsia"/>
        </w:rPr>
      </w:pPr>
    </w:p>
    <w:p w14:paraId="1591C5D5">
      <w:pPr>
        <w:bidi w:val="0"/>
        <w:rPr>
          <w:rFonts w:hint="eastAsia"/>
        </w:rPr>
      </w:pPr>
    </w:p>
    <w:p w14:paraId="71A9EEBE">
      <w:pPr>
        <w:bidi w:val="0"/>
        <w:rPr>
          <w:rFonts w:hint="eastAsia"/>
        </w:rPr>
      </w:pPr>
    </w:p>
    <w:p w14:paraId="04886085">
      <w:pPr>
        <w:bidi w:val="0"/>
        <w:rPr>
          <w:rFonts w:hint="eastAsia"/>
        </w:rPr>
      </w:pPr>
    </w:p>
    <w:p w14:paraId="643FE6C2">
      <w:pPr>
        <w:bidi w:val="0"/>
        <w:rPr>
          <w:rFonts w:hint="eastAsia"/>
        </w:rPr>
      </w:pPr>
    </w:p>
    <w:p w14:paraId="719C93F7">
      <w:pPr>
        <w:bidi w:val="0"/>
        <w:rPr>
          <w:rFonts w:hint="eastAsia"/>
        </w:rPr>
      </w:pPr>
    </w:p>
    <w:p w14:paraId="065EC4C0">
      <w:pPr>
        <w:bidi w:val="0"/>
        <w:rPr>
          <w:rFonts w:hint="eastAsia"/>
        </w:rPr>
      </w:pPr>
    </w:p>
    <w:p w14:paraId="5CB72C54">
      <w:pPr>
        <w:bidi w:val="0"/>
        <w:rPr>
          <w:rFonts w:hint="eastAsia"/>
        </w:rPr>
      </w:pPr>
    </w:p>
    <w:p w14:paraId="790AEBC5">
      <w:pPr>
        <w:bidi w:val="0"/>
        <w:rPr>
          <w:rFonts w:hint="eastAsia"/>
        </w:rPr>
      </w:pPr>
    </w:p>
    <w:p w14:paraId="4D1EC780">
      <w:pPr>
        <w:bidi w:val="0"/>
        <w:rPr>
          <w:rFonts w:hint="eastAsia"/>
        </w:rPr>
      </w:pPr>
    </w:p>
    <w:p w14:paraId="56FDBD42">
      <w:pPr>
        <w:pStyle w:val="33"/>
        <w:rPr>
          <w:rFonts w:hint="eastAsia"/>
        </w:rPr>
      </w:pPr>
    </w:p>
    <w:p w14:paraId="039E5368">
      <w:pPr>
        <w:pStyle w:val="3"/>
        <w:shd w:val="clear"/>
        <w:kinsoku/>
        <w:overflowPunct/>
        <w:topLinePunct w:val="0"/>
        <w:bidi w:val="0"/>
        <w:spacing w:line="500" w:lineRule="exact"/>
        <w:rPr>
          <w:rFonts w:hint="eastAsia" w:ascii="宋体" w:hAnsi="宋体" w:eastAsia="宋体" w:cs="宋体"/>
          <w:color w:val="auto"/>
          <w:sz w:val="24"/>
          <w:szCs w:val="24"/>
          <w:highlight w:val="none"/>
        </w:rPr>
      </w:pPr>
      <w:bookmarkStart w:id="44" w:name="_Toc5802"/>
      <w:bookmarkStart w:id="45" w:name="_Toc469495731"/>
      <w:bookmarkStart w:id="46" w:name="_Toc2060"/>
      <w:r>
        <w:rPr>
          <w:rFonts w:hint="eastAsia" w:ascii="宋体" w:hAnsi="宋体" w:eastAsia="宋体" w:cs="宋体"/>
          <w:color w:val="auto"/>
          <w:sz w:val="24"/>
          <w:szCs w:val="24"/>
          <w:highlight w:val="none"/>
        </w:rPr>
        <w:t>第三</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 xml:space="preserve">  评标办法</w:t>
      </w:r>
      <w:bookmarkEnd w:id="44"/>
      <w:bookmarkEnd w:id="45"/>
      <w:bookmarkEnd w:id="46"/>
    </w:p>
    <w:p w14:paraId="3E0E8624">
      <w:pPr>
        <w:shd w:val="clear" w:color="auto"/>
        <w:kinsoku/>
        <w:overflowPunct/>
        <w:topLinePunct w:val="0"/>
        <w:bidi w:val="0"/>
        <w:spacing w:line="500" w:lineRule="exact"/>
        <w:jc w:val="center"/>
        <w:outlineLvl w:val="1"/>
        <w:rPr>
          <w:rFonts w:hint="eastAsia" w:ascii="宋体" w:hAnsi="宋体" w:eastAsia="宋体" w:cs="宋体"/>
          <w:b/>
          <w:color w:val="auto"/>
          <w:sz w:val="24"/>
          <w:szCs w:val="24"/>
          <w:highlight w:val="none"/>
        </w:rPr>
      </w:pPr>
      <w:bookmarkStart w:id="47" w:name="_Toc362983802"/>
      <w:bookmarkStart w:id="48" w:name="_Toc469495733"/>
      <w:bookmarkStart w:id="49" w:name="_Toc267320058"/>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总  则</w:t>
      </w:r>
    </w:p>
    <w:p w14:paraId="75057819">
      <w:pPr>
        <w:shd w:val="clear" w:color="auto"/>
        <w:tabs>
          <w:tab w:val="left" w:pos="567"/>
          <w:tab w:val="left" w:pos="600"/>
        </w:tabs>
        <w:kinsoku/>
        <w:overflowPunct/>
        <w:topLinePunct w:val="0"/>
        <w:bidi w:val="0"/>
        <w:spacing w:line="50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1、一般规定</w:t>
      </w:r>
    </w:p>
    <w:p w14:paraId="104803F9">
      <w:pPr>
        <w:shd w:val="clear" w:color="auto"/>
        <w:kinsoku/>
        <w:overflowPunct/>
        <w:topLinePunct w:val="0"/>
        <w:bidi w:val="0"/>
        <w:spacing w:line="50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1.1本项目的招标按照《中华人民共和国政府采购法》、《政府采购货物和服务招标投标管理办法》及政府采购的有关规定进行。</w:t>
      </w:r>
    </w:p>
    <w:p w14:paraId="434D0B38">
      <w:pPr>
        <w:shd w:val="clear" w:color="auto"/>
        <w:kinsoku/>
        <w:overflowPunct/>
        <w:topLinePunct w:val="0"/>
        <w:bidi w:val="0"/>
        <w:spacing w:line="50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1.2评标必须遵循邀请、公平、公正、诚实信用的原则。</w:t>
      </w:r>
    </w:p>
    <w:p w14:paraId="40C80032">
      <w:pPr>
        <w:shd w:val="clear" w:color="auto"/>
        <w:kinsoku/>
        <w:overflowPunct/>
        <w:topLinePunct w:val="0"/>
        <w:bidi w:val="0"/>
        <w:spacing w:line="50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1.3招标代理机构组织招标、开标、评标工作，全过程接受政府采购有关部门的监督、管理和指导。</w:t>
      </w:r>
    </w:p>
    <w:p w14:paraId="0084F9B3">
      <w:pPr>
        <w:shd w:val="clear" w:color="auto"/>
        <w:kinsoku/>
        <w:overflowPunct/>
        <w:topLinePunct w:val="0"/>
        <w:bidi w:val="0"/>
        <w:spacing w:line="50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本办法的评标对象是指投标人按照招标文件要求提供的有效投标文件，包括投标人应评标委员会要求对原投标文件作出的正式书面澄清文件。</w:t>
      </w:r>
    </w:p>
    <w:p w14:paraId="4C9CEA3D">
      <w:pPr>
        <w:shd w:val="clear" w:color="auto"/>
        <w:tabs>
          <w:tab w:val="left" w:pos="567"/>
          <w:tab w:val="left" w:pos="1145"/>
        </w:tabs>
        <w:kinsoku/>
        <w:overflowPunct/>
        <w:topLinePunct w:val="0"/>
        <w:bidi w:val="0"/>
        <w:spacing w:line="50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2、评标组织机构的组成</w:t>
      </w:r>
    </w:p>
    <w:p w14:paraId="53AC9B4B">
      <w:pPr>
        <w:widowControl/>
        <w:shd w:val="clear" w:color="auto"/>
        <w:kinsoku/>
        <w:overflowPunct/>
        <w:topLinePunct w:val="0"/>
        <w:bidi w:val="0"/>
        <w:spacing w:line="500" w:lineRule="exact"/>
        <w:ind w:firstLine="480"/>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2.1</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kern w:val="0"/>
          <w:sz w:val="24"/>
          <w:szCs w:val="24"/>
          <w:highlight w:val="none"/>
          <w:lang w:bidi="ar-SA"/>
        </w:rPr>
        <w:t>评标委员会由</w:t>
      </w:r>
      <w:r>
        <w:rPr>
          <w:rFonts w:hint="eastAsia" w:ascii="宋体" w:hAnsi="宋体" w:eastAsia="宋体" w:cs="宋体"/>
          <w:color w:val="auto"/>
          <w:kern w:val="0"/>
          <w:sz w:val="24"/>
          <w:szCs w:val="24"/>
          <w:highlight w:val="none"/>
          <w:lang w:eastAsia="zh-CN" w:bidi="ar-SA"/>
        </w:rPr>
        <w:t>招标人</w:t>
      </w:r>
      <w:r>
        <w:rPr>
          <w:rFonts w:hint="eastAsia" w:ascii="宋体" w:hAnsi="宋体" w:eastAsia="宋体" w:cs="宋体"/>
          <w:color w:val="auto"/>
          <w:kern w:val="0"/>
          <w:sz w:val="24"/>
          <w:szCs w:val="24"/>
          <w:highlight w:val="none"/>
          <w:lang w:bidi="ar-SA"/>
        </w:rPr>
        <w:t>代表和有关技术、经济等方面的专家组成，成员人数应当为5人</w:t>
      </w:r>
      <w:r>
        <w:rPr>
          <w:rFonts w:hint="eastAsia" w:ascii="宋体" w:hAnsi="宋体" w:eastAsia="宋体" w:cs="宋体"/>
          <w:color w:val="auto"/>
          <w:kern w:val="0"/>
          <w:sz w:val="24"/>
          <w:szCs w:val="24"/>
          <w:highlight w:val="none"/>
          <w:lang w:eastAsia="zh-CN" w:bidi="ar-SA"/>
        </w:rPr>
        <w:t>或</w:t>
      </w:r>
      <w:r>
        <w:rPr>
          <w:rFonts w:hint="eastAsia" w:ascii="宋体" w:hAnsi="宋体" w:eastAsia="宋体" w:cs="宋体"/>
          <w:color w:val="auto"/>
          <w:kern w:val="0"/>
          <w:sz w:val="24"/>
          <w:szCs w:val="24"/>
          <w:highlight w:val="none"/>
          <w:lang w:val="en-US" w:eastAsia="zh-CN" w:bidi="ar-SA"/>
        </w:rPr>
        <w:t>5人</w:t>
      </w:r>
      <w:r>
        <w:rPr>
          <w:rFonts w:hint="eastAsia" w:ascii="宋体" w:hAnsi="宋体" w:eastAsia="宋体" w:cs="宋体"/>
          <w:color w:val="auto"/>
          <w:kern w:val="0"/>
          <w:sz w:val="24"/>
          <w:szCs w:val="24"/>
          <w:highlight w:val="none"/>
          <w:lang w:bidi="ar-SA"/>
        </w:rPr>
        <w:t>以上单数。其中，技术、经济等方面的专家不得少于成员总数的三分之二。采购数额在1000万元以上、技术复杂的项目，评标委员会中技术、经济方面的专家人数应当为七人以上单数。</w:t>
      </w:r>
      <w:r>
        <w:rPr>
          <w:rFonts w:hint="eastAsia" w:ascii="宋体" w:hAnsi="宋体" w:eastAsia="宋体" w:cs="宋体"/>
          <w:color w:val="auto"/>
          <w:kern w:val="0"/>
          <w:sz w:val="24"/>
          <w:szCs w:val="24"/>
          <w:highlight w:val="none"/>
          <w:lang w:eastAsia="zh-CN" w:bidi="ar-SA"/>
        </w:rPr>
        <w:t>招标人</w:t>
      </w:r>
      <w:r>
        <w:rPr>
          <w:rFonts w:hint="eastAsia" w:ascii="宋体" w:hAnsi="宋体" w:eastAsia="宋体" w:cs="宋体"/>
          <w:color w:val="auto"/>
          <w:kern w:val="0"/>
          <w:sz w:val="24"/>
          <w:szCs w:val="24"/>
          <w:highlight w:val="none"/>
          <w:lang w:bidi="ar-SA"/>
        </w:rPr>
        <w:t>应当从同级或上一级财政部门设立的政府采购评审专家库中，通过随机方式抽取评标专家。</w:t>
      </w:r>
      <w:r>
        <w:rPr>
          <w:rFonts w:hint="eastAsia" w:ascii="宋体" w:hAnsi="宋体" w:eastAsia="宋体" w:cs="宋体"/>
          <w:color w:val="auto"/>
          <w:kern w:val="0"/>
          <w:sz w:val="24"/>
          <w:szCs w:val="24"/>
          <w:highlight w:val="none"/>
          <w:lang w:eastAsia="zh-CN" w:bidi="ar-SA"/>
        </w:rPr>
        <w:t>招标人</w:t>
      </w:r>
      <w:r>
        <w:rPr>
          <w:rFonts w:hint="eastAsia" w:ascii="宋体" w:hAnsi="宋体" w:eastAsia="宋体" w:cs="宋体"/>
          <w:color w:val="auto"/>
          <w:kern w:val="0"/>
          <w:sz w:val="24"/>
          <w:szCs w:val="24"/>
          <w:highlight w:val="none"/>
          <w:lang w:bidi="ar-SA"/>
        </w:rPr>
        <w:t>对技术复杂、专业性极强的采购项目，通过随机方式难以确定合适评标专家的，经设区的市、自治州以上人民政府财政部门同意，可以采取选择性方式确定评标专家。</w:t>
      </w:r>
    </w:p>
    <w:p w14:paraId="2A5D8107">
      <w:pPr>
        <w:shd w:val="clear" w:color="auto"/>
        <w:tabs>
          <w:tab w:val="left" w:pos="567"/>
          <w:tab w:val="left" w:pos="1145"/>
        </w:tabs>
        <w:kinsoku/>
        <w:overflowPunct/>
        <w:topLinePunct w:val="0"/>
        <w:bidi w:val="0"/>
        <w:spacing w:line="50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2.2评标工作组由招标人及有关专家组成，由评标委员会确认，并接受其领导。</w:t>
      </w:r>
    </w:p>
    <w:p w14:paraId="1ED4F9E7">
      <w:pPr>
        <w:shd w:val="clear" w:color="auto"/>
        <w:tabs>
          <w:tab w:val="left" w:pos="567"/>
          <w:tab w:val="left" w:pos="1145"/>
        </w:tabs>
        <w:kinsoku/>
        <w:overflowPunct/>
        <w:topLinePunct w:val="0"/>
        <w:bidi w:val="0"/>
        <w:spacing w:line="50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2.3评标委员会应相对独立工作，负责评标、撰写技术、商务评标报告。</w:t>
      </w:r>
      <w:r>
        <w:rPr>
          <w:rFonts w:hint="eastAsia" w:ascii="宋体" w:hAnsi="宋体" w:eastAsia="宋体" w:cs="宋体"/>
          <w:color w:val="auto"/>
          <w:sz w:val="24"/>
          <w:szCs w:val="24"/>
          <w:highlight w:val="none"/>
          <w:lang w:eastAsia="zh-CN"/>
        </w:rPr>
        <w:t>招标代理</w:t>
      </w:r>
      <w:r>
        <w:rPr>
          <w:rFonts w:hint="eastAsia" w:ascii="宋体" w:hAnsi="宋体" w:eastAsia="宋体" w:cs="宋体"/>
          <w:color w:val="auto"/>
          <w:sz w:val="24"/>
          <w:szCs w:val="24"/>
          <w:highlight w:val="none"/>
        </w:rPr>
        <w:t>机构负责评标过程中资料的保管、发放、回收，整理、汇总评标资料。</w:t>
      </w:r>
    </w:p>
    <w:p w14:paraId="354D42BF">
      <w:pPr>
        <w:shd w:val="clear" w:color="auto"/>
        <w:tabs>
          <w:tab w:val="left" w:pos="567"/>
          <w:tab w:val="left" w:pos="600"/>
        </w:tabs>
        <w:kinsoku/>
        <w:overflowPunct/>
        <w:topLinePunct w:val="0"/>
        <w:bidi w:val="0"/>
        <w:spacing w:line="50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3、评标委员会职责</w:t>
      </w:r>
    </w:p>
    <w:p w14:paraId="37F1E6E5">
      <w:pPr>
        <w:pStyle w:val="51"/>
        <w:shd w:val="clear" w:color="auto"/>
        <w:kinsoku/>
        <w:overflowPunct/>
        <w:topLinePunct w:val="0"/>
        <w:bidi w:val="0"/>
        <w:spacing w:before="0" w:beforeAutospacing="0" w:after="0" w:afterAutospacing="0" w:line="50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3.1审查投标文件是否符合招标文件要求，并作出评价；</w:t>
      </w:r>
    </w:p>
    <w:p w14:paraId="669FA3BB">
      <w:pPr>
        <w:pStyle w:val="51"/>
        <w:shd w:val="clear" w:color="auto"/>
        <w:kinsoku/>
        <w:overflowPunct/>
        <w:topLinePunct w:val="0"/>
        <w:bidi w:val="0"/>
        <w:spacing w:before="0" w:beforeAutospacing="0" w:after="0" w:afterAutospacing="0" w:line="50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3.2要求投标人对投标文件有关事项作出解释或者澄清；</w:t>
      </w:r>
    </w:p>
    <w:p w14:paraId="78CBE618">
      <w:pPr>
        <w:pStyle w:val="51"/>
        <w:shd w:val="clear" w:color="auto"/>
        <w:kinsoku/>
        <w:overflowPunct/>
        <w:topLinePunct w:val="0"/>
        <w:bidi w:val="0"/>
        <w:spacing w:before="0" w:beforeAutospacing="0" w:after="0" w:afterAutospacing="0" w:line="50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3.3推荐中标候选人名单；</w:t>
      </w:r>
    </w:p>
    <w:p w14:paraId="3BC87442">
      <w:pPr>
        <w:pStyle w:val="51"/>
        <w:shd w:val="clear" w:color="auto"/>
        <w:kinsoku/>
        <w:overflowPunct/>
        <w:topLinePunct w:val="0"/>
        <w:bidi w:val="0"/>
        <w:spacing w:before="0" w:beforeAutospacing="0" w:after="0" w:afterAutospacing="0" w:line="50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3.4向招标人、招标代理机构或者有关部门报告非法干预评标工作的行为。</w:t>
      </w:r>
    </w:p>
    <w:p w14:paraId="34022965">
      <w:pPr>
        <w:shd w:val="clear" w:color="auto"/>
        <w:tabs>
          <w:tab w:val="left" w:pos="567"/>
          <w:tab w:val="left" w:pos="600"/>
        </w:tabs>
        <w:kinsoku/>
        <w:overflowPunct/>
        <w:topLinePunct w:val="0"/>
        <w:bidi w:val="0"/>
        <w:spacing w:line="50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4、评标委员会义务</w:t>
      </w:r>
    </w:p>
    <w:p w14:paraId="5CDCF3A2">
      <w:pPr>
        <w:shd w:val="clear" w:color="auto"/>
        <w:tabs>
          <w:tab w:val="left" w:pos="567"/>
          <w:tab w:val="left" w:pos="600"/>
        </w:tabs>
        <w:kinsoku/>
        <w:overflowPunct/>
        <w:topLinePunct w:val="0"/>
        <w:bidi w:val="0"/>
        <w:spacing w:line="50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4.1遵纪守法，客观、公正、廉洁地履行职责；</w:t>
      </w:r>
    </w:p>
    <w:p w14:paraId="383770B3">
      <w:pPr>
        <w:shd w:val="clear" w:color="auto"/>
        <w:tabs>
          <w:tab w:val="left" w:pos="567"/>
          <w:tab w:val="left" w:pos="600"/>
        </w:tabs>
        <w:kinsoku/>
        <w:overflowPunct/>
        <w:topLinePunct w:val="0"/>
        <w:bidi w:val="0"/>
        <w:spacing w:line="50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4.2按照招标文件规定的评标方法和评标标准进行评标，对评审意见承担个人责任；</w:t>
      </w:r>
    </w:p>
    <w:p w14:paraId="2D01CE63">
      <w:pPr>
        <w:shd w:val="clear" w:color="auto"/>
        <w:tabs>
          <w:tab w:val="left" w:pos="567"/>
          <w:tab w:val="left" w:pos="600"/>
        </w:tabs>
        <w:kinsoku/>
        <w:overflowPunct/>
        <w:topLinePunct w:val="0"/>
        <w:bidi w:val="0"/>
        <w:spacing w:line="50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4.3对评标过程和结果，以及投标人的</w:t>
      </w:r>
      <w:r>
        <w:rPr>
          <w:rFonts w:hint="eastAsia" w:ascii="宋体" w:hAnsi="宋体" w:eastAsia="宋体" w:cs="宋体"/>
          <w:color w:val="auto"/>
          <w:sz w:val="24"/>
          <w:szCs w:val="24"/>
          <w:highlight w:val="none"/>
          <w:lang w:val="en-US" w:eastAsia="zh-CN"/>
        </w:rPr>
        <w:t>商业秘密保密</w:t>
      </w:r>
      <w:r>
        <w:rPr>
          <w:rFonts w:hint="eastAsia" w:ascii="宋体" w:hAnsi="宋体" w:eastAsia="宋体" w:cs="宋体"/>
          <w:color w:val="auto"/>
          <w:sz w:val="24"/>
          <w:szCs w:val="24"/>
          <w:highlight w:val="none"/>
        </w:rPr>
        <w:t>；</w:t>
      </w:r>
    </w:p>
    <w:p w14:paraId="4D8671ED">
      <w:pPr>
        <w:shd w:val="clear" w:color="auto"/>
        <w:tabs>
          <w:tab w:val="left" w:pos="567"/>
          <w:tab w:val="left" w:pos="600"/>
        </w:tabs>
        <w:kinsoku/>
        <w:overflowPunct/>
        <w:topLinePunct w:val="0"/>
        <w:bidi w:val="0"/>
        <w:spacing w:line="50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4.4参与评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报告的起草；</w:t>
      </w:r>
    </w:p>
    <w:p w14:paraId="61909B0D">
      <w:pPr>
        <w:shd w:val="clear" w:color="auto"/>
        <w:tabs>
          <w:tab w:val="left" w:pos="567"/>
          <w:tab w:val="left" w:pos="600"/>
        </w:tabs>
        <w:kinsoku/>
        <w:overflowPunct/>
        <w:topLinePunct w:val="0"/>
        <w:bidi w:val="0"/>
        <w:spacing w:line="50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4.5配合有关部门的投诉处理工作；</w:t>
      </w:r>
    </w:p>
    <w:p w14:paraId="18491508">
      <w:pPr>
        <w:shd w:val="clear" w:color="auto"/>
        <w:tabs>
          <w:tab w:val="left" w:pos="567"/>
          <w:tab w:val="left" w:pos="600"/>
        </w:tabs>
        <w:kinsoku/>
        <w:overflowPunct/>
        <w:topLinePunct w:val="0"/>
        <w:bidi w:val="0"/>
        <w:spacing w:line="500" w:lineRule="exact"/>
        <w:ind w:firstLine="612" w:firstLineChars="2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4.6配合招标人、招标代理机构答复投标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提出的质疑。</w:t>
      </w:r>
    </w:p>
    <w:p w14:paraId="686052DA">
      <w:pPr>
        <w:shd w:val="clear" w:color="auto"/>
        <w:tabs>
          <w:tab w:val="left" w:pos="1547"/>
        </w:tabs>
        <w:kinsoku/>
        <w:overflowPunct/>
        <w:topLinePunct w:val="0"/>
        <w:bidi w:val="0"/>
        <w:spacing w:line="500" w:lineRule="exact"/>
        <w:ind w:firstLine="612" w:firstLineChars="255"/>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5、 评标程序</w:t>
      </w:r>
    </w:p>
    <w:p w14:paraId="324095A9">
      <w:pPr>
        <w:pStyle w:val="16"/>
        <w:shd w:val="clear" w:color="auto"/>
        <w:tabs>
          <w:tab w:val="left" w:pos="720"/>
          <w:tab w:val="clear" w:pos="0"/>
        </w:tabs>
        <w:kinsoku/>
        <w:overflowPunct/>
        <w:topLinePunct w:val="0"/>
        <w:bidi w:val="0"/>
        <w:spacing w:line="500" w:lineRule="exact"/>
        <w:ind w:firstLine="612" w:firstLineChars="255"/>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5.1本次评标首先由评标委员会对投标人的投标文件进行初审，对未能通过初审的投标文件作无效标处理；</w:t>
      </w:r>
    </w:p>
    <w:p w14:paraId="27B3FC3F">
      <w:pPr>
        <w:shd w:val="clear" w:color="auto"/>
        <w:tabs>
          <w:tab w:val="left" w:pos="720"/>
        </w:tabs>
        <w:kinsoku/>
        <w:overflowPunct/>
        <w:topLinePunct w:val="0"/>
        <w:bidi w:val="0"/>
        <w:spacing w:line="500" w:lineRule="exact"/>
        <w:ind w:firstLine="612" w:firstLineChars="255"/>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5.2对通过初审的投标人的投标文件进行详细的比较和评价。如需要，进行必要的澄清工作；</w:t>
      </w:r>
    </w:p>
    <w:p w14:paraId="15D645F8">
      <w:pPr>
        <w:keepNext w:val="0"/>
        <w:keepLines w:val="0"/>
        <w:pageBreakBefore w:val="0"/>
        <w:widowControl/>
        <w:shd w:val="clear" w:color="auto"/>
        <w:kinsoku/>
        <w:wordWrap/>
        <w:overflowPunct/>
        <w:topLinePunct w:val="0"/>
        <w:autoSpaceDE/>
        <w:autoSpaceDN/>
        <w:bidi w:val="0"/>
        <w:adjustRightInd/>
        <w:snapToGrid/>
        <w:spacing w:line="500" w:lineRule="exact"/>
        <w:ind w:firstLine="482"/>
        <w:textAlignment w:val="auto"/>
        <w:outlineLvl w:val="9"/>
        <w:rPr>
          <w:rFonts w:hint="eastAsia" w:ascii="宋体" w:hAnsi="宋体" w:eastAsia="宋体" w:cs="宋体"/>
          <w:b/>
          <w:bCs/>
          <w:color w:val="auto"/>
          <w:kern w:val="0"/>
          <w:sz w:val="24"/>
          <w:szCs w:val="24"/>
          <w:highlight w:val="none"/>
          <w:lang w:bidi="ar-SA"/>
        </w:rPr>
      </w:pPr>
      <w:r>
        <w:rPr>
          <w:rFonts w:hint="eastAsia" w:ascii="宋体" w:hAnsi="宋体" w:eastAsia="宋体" w:cs="宋体"/>
          <w:color w:val="auto"/>
          <w:sz w:val="24"/>
          <w:szCs w:val="24"/>
          <w:highlight w:val="none"/>
          <w:lang w:bidi="ar-SA"/>
        </w:rPr>
        <w:t>5.3依据评分标准以及各项权值，各位评委单独就每个投标人的</w:t>
      </w:r>
      <w:r>
        <w:rPr>
          <w:rFonts w:hint="eastAsia" w:ascii="宋体" w:hAnsi="宋体" w:eastAsia="宋体" w:cs="宋体"/>
          <w:color w:val="auto"/>
          <w:kern w:val="0"/>
          <w:sz w:val="24"/>
          <w:szCs w:val="24"/>
          <w:highlight w:val="none"/>
          <w:lang w:bidi="ar-SA"/>
        </w:rPr>
        <w:t>投标文件进行价格、技术、</w:t>
      </w:r>
      <w:r>
        <w:rPr>
          <w:rFonts w:hint="eastAsia" w:ascii="宋体" w:hAnsi="宋体" w:eastAsia="宋体" w:cs="宋体"/>
          <w:color w:val="auto"/>
          <w:kern w:val="0"/>
          <w:sz w:val="24"/>
          <w:szCs w:val="24"/>
          <w:highlight w:val="none"/>
          <w:lang w:bidi="ar-SA"/>
        </w:rPr>
        <w:fldChar w:fldCharType="begin"/>
      </w:r>
      <w:r>
        <w:rPr>
          <w:rFonts w:hint="eastAsia" w:ascii="宋体" w:hAnsi="宋体" w:eastAsia="宋体" w:cs="宋体"/>
          <w:color w:val="auto"/>
          <w:kern w:val="0"/>
          <w:sz w:val="24"/>
          <w:szCs w:val="24"/>
          <w:highlight w:val="none"/>
          <w:lang w:bidi="ar-SA"/>
        </w:rPr>
        <w:instrText xml:space="preserve">HYPERLINK "http://zhidao.baidu.com/search?word=%E8%B4%A2%E5%8A%A1%E7%8A%B6%E5%86%B5&amp;fr=qb_search_exp&amp;ie=utf8&amp;eid_gfrom=151"</w:instrText>
      </w:r>
      <w:r>
        <w:rPr>
          <w:rFonts w:hint="eastAsia" w:ascii="宋体" w:hAnsi="宋体" w:eastAsia="宋体" w:cs="宋体"/>
          <w:color w:val="auto"/>
          <w:kern w:val="0"/>
          <w:sz w:val="24"/>
          <w:szCs w:val="24"/>
          <w:highlight w:val="none"/>
          <w:lang w:bidi="ar-SA"/>
        </w:rPr>
        <w:fldChar w:fldCharType="separate"/>
      </w:r>
      <w:r>
        <w:rPr>
          <w:rFonts w:hint="eastAsia" w:ascii="宋体" w:hAnsi="宋体" w:eastAsia="宋体" w:cs="宋体"/>
          <w:color w:val="auto"/>
          <w:kern w:val="0"/>
          <w:sz w:val="24"/>
          <w:szCs w:val="24"/>
          <w:highlight w:val="none"/>
          <w:lang w:bidi="ar-SA"/>
        </w:rPr>
        <w:t>财务状况</w:t>
      </w:r>
      <w:r>
        <w:rPr>
          <w:rFonts w:hint="eastAsia" w:ascii="宋体" w:hAnsi="宋体" w:eastAsia="宋体" w:cs="宋体"/>
          <w:color w:val="auto"/>
          <w:kern w:val="0"/>
          <w:sz w:val="24"/>
          <w:szCs w:val="24"/>
          <w:highlight w:val="none"/>
          <w:lang w:bidi="ar-SA"/>
        </w:rPr>
        <w:fldChar w:fldCharType="end"/>
      </w:r>
      <w:r>
        <w:rPr>
          <w:rFonts w:hint="eastAsia" w:ascii="宋体" w:hAnsi="宋体" w:eastAsia="宋体" w:cs="宋体"/>
          <w:color w:val="auto"/>
          <w:kern w:val="0"/>
          <w:sz w:val="24"/>
          <w:szCs w:val="24"/>
          <w:highlight w:val="none"/>
          <w:lang w:bidi="ar-SA"/>
        </w:rPr>
        <w:t>、信誉、业绩、服务、对招标文件的响应程度，以及相应的比重或者权值等各项因素进行综合评审后，按最终综合得分由高向低排序，由评标委员会推荐综合得分最高的投标人为第一中标候选人，综合得分第二名的投标人为第二中标候选人，综合得分第三名的投标人为第三中标候选人。</w:t>
      </w:r>
    </w:p>
    <w:p w14:paraId="1D4DDCA4">
      <w:pPr>
        <w:shd w:val="clear" w:color="auto"/>
        <w:kinsoku/>
        <w:overflowPunct/>
        <w:topLinePunct w:val="0"/>
        <w:bidi w:val="0"/>
        <w:spacing w:line="500" w:lineRule="exact"/>
        <w:jc w:val="center"/>
        <w:outlineLvl w:val="9"/>
        <w:rPr>
          <w:rFonts w:hint="eastAsia" w:ascii="宋体" w:hAnsi="宋体" w:eastAsia="宋体" w:cs="宋体"/>
          <w:b/>
          <w:color w:val="auto"/>
          <w:sz w:val="24"/>
          <w:szCs w:val="24"/>
          <w:highlight w:val="none"/>
        </w:rPr>
      </w:pPr>
    </w:p>
    <w:p w14:paraId="5293C06B">
      <w:pPr>
        <w:pStyle w:val="22"/>
        <w:rPr>
          <w:rFonts w:hint="eastAsia" w:ascii="宋体" w:hAnsi="宋体" w:eastAsia="宋体" w:cs="宋体"/>
          <w:b/>
          <w:color w:val="auto"/>
          <w:sz w:val="24"/>
          <w:szCs w:val="24"/>
          <w:highlight w:val="none"/>
        </w:rPr>
      </w:pPr>
    </w:p>
    <w:p w14:paraId="15F71763">
      <w:pPr>
        <w:rPr>
          <w:rFonts w:hint="eastAsia" w:ascii="宋体" w:hAnsi="宋体" w:eastAsia="宋体" w:cs="宋体"/>
          <w:b/>
          <w:color w:val="auto"/>
          <w:sz w:val="24"/>
          <w:szCs w:val="24"/>
          <w:highlight w:val="none"/>
        </w:rPr>
      </w:pPr>
    </w:p>
    <w:p w14:paraId="64E450BF">
      <w:pPr>
        <w:pStyle w:val="26"/>
        <w:rPr>
          <w:rFonts w:hint="eastAsia" w:ascii="宋体" w:hAnsi="宋体" w:eastAsia="宋体" w:cs="宋体"/>
          <w:b/>
          <w:color w:val="auto"/>
          <w:sz w:val="24"/>
          <w:szCs w:val="24"/>
          <w:highlight w:val="none"/>
        </w:rPr>
      </w:pPr>
    </w:p>
    <w:p w14:paraId="47CC84BF">
      <w:pPr>
        <w:rPr>
          <w:rFonts w:hint="eastAsia"/>
        </w:rPr>
      </w:pPr>
    </w:p>
    <w:p w14:paraId="0BE2096F">
      <w:pPr>
        <w:pStyle w:val="22"/>
        <w:rPr>
          <w:rFonts w:hint="eastAsia" w:ascii="宋体" w:hAnsi="宋体" w:eastAsia="宋体" w:cs="宋体"/>
          <w:b/>
          <w:color w:val="auto"/>
          <w:sz w:val="24"/>
          <w:szCs w:val="24"/>
          <w:highlight w:val="none"/>
        </w:rPr>
      </w:pPr>
    </w:p>
    <w:p w14:paraId="510E0441">
      <w:pPr>
        <w:rPr>
          <w:rFonts w:hint="eastAsia" w:ascii="宋体" w:hAnsi="宋体" w:eastAsia="宋体" w:cs="宋体"/>
          <w:b/>
          <w:color w:val="auto"/>
          <w:sz w:val="24"/>
          <w:szCs w:val="24"/>
          <w:highlight w:val="none"/>
        </w:rPr>
      </w:pPr>
    </w:p>
    <w:p w14:paraId="7BF81587">
      <w:pPr>
        <w:pStyle w:val="22"/>
        <w:rPr>
          <w:rFonts w:hint="eastAsia" w:ascii="宋体" w:hAnsi="宋体" w:eastAsia="宋体" w:cs="宋体"/>
          <w:b/>
          <w:color w:val="auto"/>
          <w:sz w:val="24"/>
          <w:szCs w:val="24"/>
          <w:highlight w:val="none"/>
        </w:rPr>
      </w:pPr>
    </w:p>
    <w:p w14:paraId="01B8F72D">
      <w:pPr>
        <w:rPr>
          <w:rFonts w:hint="eastAsia" w:ascii="宋体" w:hAnsi="宋体" w:eastAsia="宋体" w:cs="宋体"/>
          <w:b/>
          <w:color w:val="auto"/>
          <w:sz w:val="24"/>
          <w:szCs w:val="24"/>
          <w:highlight w:val="none"/>
        </w:rPr>
      </w:pPr>
    </w:p>
    <w:p w14:paraId="38F13EEE">
      <w:pPr>
        <w:shd w:val="clear" w:color="auto"/>
        <w:kinsoku/>
        <w:overflowPunct/>
        <w:topLinePunct w:val="0"/>
        <w:bidi w:val="0"/>
        <w:spacing w:line="500" w:lineRule="exact"/>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  投标文件初审</w:t>
      </w:r>
      <w:bookmarkEnd w:id="47"/>
      <w:bookmarkEnd w:id="48"/>
    </w:p>
    <w:p w14:paraId="4C1711EE">
      <w:pPr>
        <w:shd w:val="clear" w:color="auto"/>
        <w:kinsoku/>
        <w:overflowPunct/>
        <w:topLinePunct w:val="0"/>
        <w:bidi w:val="0"/>
        <w:spacing w:line="500" w:lineRule="exact"/>
        <w:ind w:firstLine="352"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.资格性审查:</w:t>
      </w:r>
    </w:p>
    <w:p w14:paraId="2ECA5C21">
      <w:pPr>
        <w:shd w:val="clear" w:color="auto"/>
        <w:kinsoku/>
        <w:overflowPunct/>
        <w:topLinePunct w:val="0"/>
        <w:bidi w:val="0"/>
        <w:spacing w:line="500" w:lineRule="exact"/>
        <w:ind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.1评审细则</w:t>
      </w:r>
    </w:p>
    <w:tbl>
      <w:tblPr>
        <w:tblStyle w:val="34"/>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555"/>
        <w:gridCol w:w="654"/>
      </w:tblGrid>
      <w:tr w14:paraId="4CF7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jc w:val="center"/>
        </w:trPr>
        <w:tc>
          <w:tcPr>
            <w:tcW w:w="881" w:type="dxa"/>
            <w:vMerge w:val="restart"/>
            <w:noWrap w:val="0"/>
            <w:vAlign w:val="center"/>
          </w:tcPr>
          <w:p w14:paraId="0BAA3FB0">
            <w:pPr>
              <w:keepNext w:val="0"/>
              <w:keepLines w:val="0"/>
              <w:pageBreakBefore w:val="0"/>
              <w:shd w:val="clear" w:color="auto"/>
              <w:kinsoku/>
              <w:wordWrap/>
              <w:overflowPunct/>
              <w:topLinePunct w:val="0"/>
              <w:autoSpaceDE/>
              <w:autoSpaceDN/>
              <w:bidi w:val="0"/>
              <w:adjustRightInd/>
              <w:snapToGrid/>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7196" w:type="dxa"/>
            <w:gridSpan w:val="2"/>
            <w:vMerge w:val="restart"/>
            <w:noWrap w:val="0"/>
            <w:vAlign w:val="center"/>
          </w:tcPr>
          <w:p w14:paraId="4339B184">
            <w:pPr>
              <w:keepNext w:val="0"/>
              <w:keepLines w:val="0"/>
              <w:pageBreakBefore w:val="0"/>
              <w:shd w:val="clear" w:color="auto"/>
              <w:kinsoku/>
              <w:wordWrap/>
              <w:overflowPunct/>
              <w:topLinePunct w:val="0"/>
              <w:autoSpaceDE/>
              <w:autoSpaceDN/>
              <w:bidi w:val="0"/>
              <w:adjustRightInd/>
              <w:snapToGrid/>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209" w:type="dxa"/>
            <w:gridSpan w:val="2"/>
            <w:noWrap w:val="0"/>
            <w:vAlign w:val="center"/>
          </w:tcPr>
          <w:p w14:paraId="4BF06933">
            <w:pPr>
              <w:keepNext w:val="0"/>
              <w:keepLines w:val="0"/>
              <w:pageBreakBefore w:val="0"/>
              <w:shd w:val="clear" w:color="auto"/>
              <w:kinsoku/>
              <w:wordWrap/>
              <w:overflowPunct/>
              <w:topLinePunct w:val="0"/>
              <w:autoSpaceDE/>
              <w:autoSpaceDN/>
              <w:bidi w:val="0"/>
              <w:adjustRightInd/>
              <w:snapToGrid/>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评审意见</w:t>
            </w:r>
          </w:p>
        </w:tc>
      </w:tr>
      <w:tr w14:paraId="19CA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81" w:type="dxa"/>
            <w:vMerge w:val="continue"/>
            <w:noWrap w:val="0"/>
            <w:vAlign w:val="center"/>
          </w:tcPr>
          <w:p w14:paraId="04003250">
            <w:pPr>
              <w:keepNext w:val="0"/>
              <w:keepLines w:val="0"/>
              <w:pageBreakBefore w:val="0"/>
              <w:shd w:val="clear" w:color="auto"/>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7196" w:type="dxa"/>
            <w:gridSpan w:val="2"/>
            <w:vMerge w:val="continue"/>
            <w:noWrap w:val="0"/>
            <w:vAlign w:val="top"/>
          </w:tcPr>
          <w:p w14:paraId="1224215A">
            <w:pPr>
              <w:keepNext w:val="0"/>
              <w:keepLines w:val="0"/>
              <w:pageBreakBefore w:val="0"/>
              <w:shd w:val="clear" w:color="auto"/>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555" w:type="dxa"/>
            <w:noWrap w:val="0"/>
            <w:vAlign w:val="center"/>
          </w:tcPr>
          <w:p w14:paraId="677E33BD">
            <w:pPr>
              <w:keepNext w:val="0"/>
              <w:keepLines w:val="0"/>
              <w:pageBreakBefore w:val="0"/>
              <w:shd w:val="clear" w:color="auto"/>
              <w:kinsoku/>
              <w:wordWrap/>
              <w:overflowPunct/>
              <w:topLinePunct w:val="0"/>
              <w:autoSpaceDE/>
              <w:autoSpaceDN/>
              <w:bidi w:val="0"/>
              <w:adjustRightInd/>
              <w:snapToGrid/>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w:t>
            </w:r>
          </w:p>
        </w:tc>
        <w:tc>
          <w:tcPr>
            <w:tcW w:w="654" w:type="dxa"/>
            <w:noWrap w:val="0"/>
            <w:vAlign w:val="center"/>
          </w:tcPr>
          <w:p w14:paraId="642B5D23">
            <w:pPr>
              <w:keepNext w:val="0"/>
              <w:keepLines w:val="0"/>
              <w:pageBreakBefore w:val="0"/>
              <w:shd w:val="clear" w:color="auto"/>
              <w:kinsoku/>
              <w:wordWrap/>
              <w:overflowPunct/>
              <w:topLinePunct w:val="0"/>
              <w:autoSpaceDE/>
              <w:autoSpaceDN/>
              <w:bidi w:val="0"/>
              <w:adjustRightInd/>
              <w:snapToGrid/>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否</w:t>
            </w:r>
          </w:p>
        </w:tc>
      </w:tr>
      <w:tr w14:paraId="38DA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81" w:type="dxa"/>
            <w:vMerge w:val="continue"/>
            <w:noWrap w:val="0"/>
            <w:vAlign w:val="center"/>
          </w:tcPr>
          <w:p w14:paraId="32F25D0A">
            <w:pPr>
              <w:keepNext w:val="0"/>
              <w:keepLines w:val="0"/>
              <w:pageBreakBefore w:val="0"/>
              <w:shd w:val="clear" w:color="auto"/>
              <w:kinsoku/>
              <w:wordWrap/>
              <w:overflowPunct/>
              <w:topLinePunct w:val="0"/>
              <w:autoSpaceDE/>
              <w:autoSpaceDN/>
              <w:bidi w:val="0"/>
              <w:adjustRightInd/>
              <w:snapToGrid/>
              <w:spacing w:line="440" w:lineRule="exact"/>
              <w:jc w:val="center"/>
              <w:rPr>
                <w:rFonts w:hint="eastAsia" w:ascii="宋体" w:hAnsi="宋体" w:eastAsia="宋体" w:cs="宋体"/>
                <w:color w:val="auto"/>
                <w:sz w:val="24"/>
                <w:szCs w:val="24"/>
                <w:highlight w:val="none"/>
              </w:rPr>
            </w:pPr>
          </w:p>
        </w:tc>
        <w:tc>
          <w:tcPr>
            <w:tcW w:w="547" w:type="dxa"/>
            <w:noWrap w:val="0"/>
            <w:vAlign w:val="center"/>
          </w:tcPr>
          <w:p w14:paraId="724AA47E">
            <w:pPr>
              <w:keepNext w:val="0"/>
              <w:keepLines w:val="0"/>
              <w:pageBreakBefore w:val="0"/>
              <w:shd w:val="clear" w:color="auto"/>
              <w:kinsoku/>
              <w:wordWrap/>
              <w:overflowPunct/>
              <w:topLinePunct w:val="0"/>
              <w:autoSpaceDE/>
              <w:autoSpaceDN/>
              <w:bidi w:val="0"/>
              <w:adjustRightInd/>
              <w:snapToGrid/>
              <w:spacing w:line="440" w:lineRule="exact"/>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z w:val="24"/>
                <w:szCs w:val="24"/>
                <w:highlight w:val="none"/>
              </w:rPr>
              <w:t>1</w:t>
            </w:r>
          </w:p>
        </w:tc>
        <w:tc>
          <w:tcPr>
            <w:tcW w:w="6649" w:type="dxa"/>
            <w:noWrap w:val="0"/>
            <w:vAlign w:val="center"/>
          </w:tcPr>
          <w:p w14:paraId="2DF92B09">
            <w:pPr>
              <w:pStyle w:val="90"/>
              <w:spacing w:line="440" w:lineRule="exact"/>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pP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1.满足《中华人民共和国政府采购法》第二十二条规定；</w:t>
            </w:r>
          </w:p>
          <w:p w14:paraId="6BE94B12">
            <w:pPr>
              <w:pStyle w:val="90"/>
              <w:spacing w:line="440" w:lineRule="exact"/>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pP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（1）具有独立承担民事责任的能力的投标人（提供合法有效的营业执照复印件/扫描件，并加盖单位公章）；</w:t>
            </w:r>
          </w:p>
          <w:p w14:paraId="3BE81A48">
            <w:pPr>
              <w:pStyle w:val="90"/>
              <w:spacing w:line="440" w:lineRule="exact"/>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pP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（2）具有良好的商业信誉和健全的财务会计制度（提供2025年度财务审计报告，</w:t>
            </w:r>
            <w:r>
              <w:rPr>
                <w:rFonts w:hint="eastAsia" w:ascii="宋体" w:hAnsi="宋体" w:eastAsia="宋体" w:cs="Times New Roman"/>
                <w:color w:val="000000"/>
                <w:sz w:val="24"/>
                <w:szCs w:val="24"/>
                <w:lang w:val="en-US" w:eastAsia="zh-CN"/>
              </w:rPr>
              <w:t>包括资产负债表、现金流量表、损益表和财务报表附注。</w:t>
            </w: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新成立不满一年的单位需提供基本开户银行出具的资信证明)；</w:t>
            </w:r>
          </w:p>
          <w:p w14:paraId="043259A5">
            <w:pPr>
              <w:pStyle w:val="90"/>
              <w:spacing w:line="440" w:lineRule="exact"/>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pP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（3）具有履行合同所必需的设备和专业技术能力（提供承诺函，加盖单位公章）；</w:t>
            </w:r>
          </w:p>
          <w:p w14:paraId="169A83B6">
            <w:pPr>
              <w:pStyle w:val="90"/>
              <w:spacing w:line="440" w:lineRule="exact"/>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pP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（4）有依法缴纳税收和社会保障资金的良好记录（提供本企业近一年内任意3个月完税证明及缴纳社保记录）；</w:t>
            </w:r>
          </w:p>
          <w:p w14:paraId="302FDC64">
            <w:pPr>
              <w:pStyle w:val="90"/>
              <w:spacing w:line="440" w:lineRule="exact"/>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pP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（5）参加本次采购活动前三年内，在经营活动中没有重大违法记录；（提供承诺函，加盖单位公章）</w:t>
            </w:r>
          </w:p>
          <w:p w14:paraId="5C9054CA">
            <w:pPr>
              <w:pStyle w:val="90"/>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（6）法律、行政法规规定的其他条件。（提供承诺函，加盖单位公章）</w:t>
            </w:r>
          </w:p>
        </w:tc>
        <w:tc>
          <w:tcPr>
            <w:tcW w:w="555" w:type="dxa"/>
            <w:noWrap w:val="0"/>
            <w:vAlign w:val="top"/>
          </w:tcPr>
          <w:p w14:paraId="4D56DFF5">
            <w:pPr>
              <w:keepNext w:val="0"/>
              <w:keepLines w:val="0"/>
              <w:pageBreakBefore w:val="0"/>
              <w:shd w:val="clear" w:color="auto"/>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654" w:type="dxa"/>
            <w:noWrap w:val="0"/>
            <w:vAlign w:val="top"/>
          </w:tcPr>
          <w:p w14:paraId="35826A48">
            <w:pPr>
              <w:keepNext w:val="0"/>
              <w:keepLines w:val="0"/>
              <w:pageBreakBefore w:val="0"/>
              <w:shd w:val="clear" w:color="auto"/>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r>
      <w:tr w14:paraId="791F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1" w:type="dxa"/>
            <w:vMerge w:val="continue"/>
            <w:noWrap w:val="0"/>
            <w:vAlign w:val="center"/>
          </w:tcPr>
          <w:p w14:paraId="188CFB06">
            <w:pPr>
              <w:keepNext w:val="0"/>
              <w:keepLines w:val="0"/>
              <w:pageBreakBefore w:val="0"/>
              <w:shd w:val="clear" w:color="auto"/>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547" w:type="dxa"/>
            <w:shd w:val="clear" w:color="auto" w:fill="auto"/>
            <w:noWrap w:val="0"/>
            <w:vAlign w:val="center"/>
          </w:tcPr>
          <w:p w14:paraId="791E65D6">
            <w:pPr>
              <w:keepNext w:val="0"/>
              <w:keepLines w:val="0"/>
              <w:pageBreakBefore w:val="0"/>
              <w:shd w:val="clear" w:color="auto"/>
              <w:kinsoku/>
              <w:wordWrap/>
              <w:overflowPunct/>
              <w:topLinePunct w:val="0"/>
              <w:autoSpaceDE/>
              <w:autoSpaceDN/>
              <w:bidi w:val="0"/>
              <w:adjustRightInd/>
              <w:snapToGrid/>
              <w:spacing w:line="440" w:lineRule="exact"/>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z w:val="24"/>
                <w:szCs w:val="24"/>
                <w:highlight w:val="none"/>
                <w:lang w:val="en-US" w:eastAsia="zh-CN"/>
              </w:rPr>
              <w:t>2</w:t>
            </w:r>
          </w:p>
        </w:tc>
        <w:tc>
          <w:tcPr>
            <w:tcW w:w="6649" w:type="dxa"/>
            <w:noWrap w:val="0"/>
            <w:vAlign w:val="center"/>
          </w:tcPr>
          <w:p w14:paraId="0F4B6A8D">
            <w:pPr>
              <w:pStyle w:val="90"/>
              <w:shd w:val="clear" w:color="auto" w:fill="auto"/>
              <w:spacing w:line="440" w:lineRule="exact"/>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pP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投标人须具有主管部门颁发有效的会计师事务所执业资格证书；</w:t>
            </w:r>
          </w:p>
        </w:tc>
        <w:tc>
          <w:tcPr>
            <w:tcW w:w="555" w:type="dxa"/>
            <w:noWrap w:val="0"/>
            <w:vAlign w:val="top"/>
          </w:tcPr>
          <w:p w14:paraId="7C39D38D">
            <w:pPr>
              <w:keepNext w:val="0"/>
              <w:keepLines w:val="0"/>
              <w:pageBreakBefore w:val="0"/>
              <w:shd w:val="clear" w:color="auto"/>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654" w:type="dxa"/>
            <w:noWrap w:val="0"/>
            <w:vAlign w:val="top"/>
          </w:tcPr>
          <w:p w14:paraId="657E9E0F">
            <w:pPr>
              <w:keepNext w:val="0"/>
              <w:keepLines w:val="0"/>
              <w:pageBreakBefore w:val="0"/>
              <w:shd w:val="clear" w:color="auto"/>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r>
      <w:tr w14:paraId="1D62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1" w:type="dxa"/>
            <w:vMerge w:val="continue"/>
            <w:noWrap w:val="0"/>
            <w:vAlign w:val="center"/>
          </w:tcPr>
          <w:p w14:paraId="257567C6">
            <w:pPr>
              <w:keepNext w:val="0"/>
              <w:keepLines w:val="0"/>
              <w:pageBreakBefore w:val="0"/>
              <w:shd w:val="clear" w:color="auto"/>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547" w:type="dxa"/>
            <w:shd w:val="clear" w:color="auto" w:fill="auto"/>
            <w:noWrap w:val="0"/>
            <w:vAlign w:val="center"/>
          </w:tcPr>
          <w:p w14:paraId="1DE366C2">
            <w:pPr>
              <w:keepNext w:val="0"/>
              <w:keepLines w:val="0"/>
              <w:pageBreakBefore w:val="0"/>
              <w:shd w:val="clear" w:color="auto"/>
              <w:kinsoku/>
              <w:wordWrap/>
              <w:overflowPunct/>
              <w:topLinePunct w:val="0"/>
              <w:autoSpaceDE/>
              <w:autoSpaceDN/>
              <w:bidi w:val="0"/>
              <w:adjustRightInd/>
              <w:snapToGrid/>
              <w:spacing w:line="440" w:lineRule="exact"/>
              <w:ind w:left="0" w:leftChars="0" w:right="0" w:rightChars="0" w:firstLine="0" w:firstLineChars="0"/>
              <w:jc w:val="center"/>
              <w:rPr>
                <w:rFonts w:hint="default"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pacing w:val="0"/>
                <w:w w:val="100"/>
                <w:position w:val="0"/>
                <w:sz w:val="24"/>
                <w:szCs w:val="24"/>
                <w:highlight w:val="none"/>
                <w:shd w:val="clear" w:color="auto" w:fill="auto"/>
                <w:lang w:val="en-US" w:eastAsia="zh-CN" w:bidi="en-US"/>
              </w:rPr>
              <w:t>3</w:t>
            </w:r>
          </w:p>
        </w:tc>
        <w:tc>
          <w:tcPr>
            <w:tcW w:w="6649" w:type="dxa"/>
            <w:noWrap w:val="0"/>
            <w:vAlign w:val="center"/>
          </w:tcPr>
          <w:p w14:paraId="23C0F1E3">
            <w:pPr>
              <w:pStyle w:val="90"/>
              <w:shd w:val="clear" w:color="auto" w:fill="auto"/>
              <w:spacing w:line="440" w:lineRule="exact"/>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须是在“信用中国”（www.creditchina.gov.cn）和中国政府采购网（www.ccgp.gov.cn）网站上未被列入失信被执行人、重大税收违法案件当事人名单以及政府采购严重违法失信行为记录名单；查询时间（须自招标公告发布之日起至首次提交投标文件截止时间内）</w:t>
            </w:r>
          </w:p>
        </w:tc>
        <w:tc>
          <w:tcPr>
            <w:tcW w:w="555" w:type="dxa"/>
            <w:noWrap w:val="0"/>
            <w:vAlign w:val="top"/>
          </w:tcPr>
          <w:p w14:paraId="3E7A6D5C">
            <w:pPr>
              <w:keepNext w:val="0"/>
              <w:keepLines w:val="0"/>
              <w:pageBreakBefore w:val="0"/>
              <w:shd w:val="clear" w:color="auto"/>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654" w:type="dxa"/>
            <w:noWrap w:val="0"/>
            <w:vAlign w:val="top"/>
          </w:tcPr>
          <w:p w14:paraId="2A763066">
            <w:pPr>
              <w:keepNext w:val="0"/>
              <w:keepLines w:val="0"/>
              <w:pageBreakBefore w:val="0"/>
              <w:shd w:val="clear" w:color="auto"/>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r>
      <w:tr w14:paraId="4FE7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81" w:type="dxa"/>
            <w:vMerge w:val="continue"/>
            <w:noWrap w:val="0"/>
            <w:vAlign w:val="center"/>
          </w:tcPr>
          <w:p w14:paraId="7D16AFE6">
            <w:pPr>
              <w:keepNext w:val="0"/>
              <w:keepLines w:val="0"/>
              <w:pageBreakBefore w:val="0"/>
              <w:shd w:val="clear" w:color="auto"/>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547" w:type="dxa"/>
            <w:shd w:val="clear" w:color="auto" w:fill="auto"/>
            <w:noWrap w:val="0"/>
            <w:vAlign w:val="center"/>
          </w:tcPr>
          <w:p w14:paraId="7AF1FDAC">
            <w:pPr>
              <w:keepNext w:val="0"/>
              <w:keepLines w:val="0"/>
              <w:pageBreakBefore w:val="0"/>
              <w:shd w:val="clear" w:color="auto"/>
              <w:kinsoku/>
              <w:wordWrap/>
              <w:overflowPunct/>
              <w:topLinePunct w:val="0"/>
              <w:autoSpaceDE/>
              <w:autoSpaceDN/>
              <w:bidi w:val="0"/>
              <w:adjustRightInd/>
              <w:snapToGrid/>
              <w:spacing w:line="440" w:lineRule="exact"/>
              <w:ind w:left="0" w:leftChars="0" w:right="0" w:rightChars="0" w:firstLine="0" w:firstLineChars="0"/>
              <w:jc w:val="center"/>
              <w:rPr>
                <w:rFonts w:hint="default"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pacing w:val="0"/>
                <w:w w:val="100"/>
                <w:position w:val="0"/>
                <w:sz w:val="24"/>
                <w:szCs w:val="24"/>
                <w:highlight w:val="none"/>
                <w:shd w:val="clear" w:color="auto" w:fill="auto"/>
                <w:lang w:val="en-US" w:eastAsia="zh-CN" w:bidi="en-US"/>
              </w:rPr>
              <w:t>5</w:t>
            </w:r>
          </w:p>
        </w:tc>
        <w:tc>
          <w:tcPr>
            <w:tcW w:w="6649" w:type="dxa"/>
            <w:noWrap w:val="0"/>
            <w:vAlign w:val="center"/>
          </w:tcPr>
          <w:p w14:paraId="276271D8">
            <w:pPr>
              <w:pStyle w:val="90"/>
              <w:shd w:val="clear" w:color="auto" w:fill="auto"/>
              <w:spacing w:line="440" w:lineRule="exact"/>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pP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有效的《中小企业声明函》</w:t>
            </w:r>
          </w:p>
        </w:tc>
        <w:tc>
          <w:tcPr>
            <w:tcW w:w="555" w:type="dxa"/>
            <w:noWrap w:val="0"/>
            <w:vAlign w:val="top"/>
          </w:tcPr>
          <w:p w14:paraId="718A567D">
            <w:pPr>
              <w:keepNext w:val="0"/>
              <w:keepLines w:val="0"/>
              <w:pageBreakBefore w:val="0"/>
              <w:shd w:val="clear" w:color="auto"/>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654" w:type="dxa"/>
            <w:noWrap w:val="0"/>
            <w:vAlign w:val="top"/>
          </w:tcPr>
          <w:p w14:paraId="5461487C">
            <w:pPr>
              <w:keepNext w:val="0"/>
              <w:keepLines w:val="0"/>
              <w:pageBreakBefore w:val="0"/>
              <w:shd w:val="clear" w:color="auto"/>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r>
      <w:tr w14:paraId="11BD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1" w:type="dxa"/>
            <w:vMerge w:val="continue"/>
            <w:noWrap w:val="0"/>
            <w:vAlign w:val="center"/>
          </w:tcPr>
          <w:p w14:paraId="675E133D">
            <w:pPr>
              <w:keepNext w:val="0"/>
              <w:keepLines w:val="0"/>
              <w:pageBreakBefore w:val="0"/>
              <w:shd w:val="clear" w:color="auto"/>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547" w:type="dxa"/>
            <w:noWrap w:val="0"/>
            <w:vAlign w:val="center"/>
          </w:tcPr>
          <w:p w14:paraId="0D90DB32">
            <w:pPr>
              <w:keepNext w:val="0"/>
              <w:keepLines w:val="0"/>
              <w:pageBreakBefore w:val="0"/>
              <w:shd w:val="clear" w:color="auto"/>
              <w:kinsoku/>
              <w:wordWrap/>
              <w:overflowPunct/>
              <w:topLinePunct w:val="0"/>
              <w:autoSpaceDE/>
              <w:autoSpaceDN/>
              <w:bidi w:val="0"/>
              <w:adjustRightInd/>
              <w:snapToGrid/>
              <w:spacing w:line="440" w:lineRule="exact"/>
              <w:ind w:left="0" w:leftChars="0" w:right="0" w:righ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6649" w:type="dxa"/>
            <w:noWrap w:val="0"/>
            <w:vAlign w:val="center"/>
          </w:tcPr>
          <w:p w14:paraId="5252675D">
            <w:pPr>
              <w:keepNext w:val="0"/>
              <w:keepLines w:val="0"/>
              <w:pageBreakBefore w:val="0"/>
              <w:widowControl/>
              <w:shd w:val="clear" w:color="auto"/>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本项目接受联合体投标（联合体组成单位不得超过两家），联合体以工程造价咨询服务机构为牵头单位，与另一联合体成员（会计师事务所）签署联合体协议（须提供联合体协议书原件），联合体协议书需明确牵头单位、双方权利、义务和责任。联合体各方签订共同投标协议后，不得再以自己的名义单独投标，也不得组成新的联合体或参加其他联合体在同项目中投标。</w:t>
            </w:r>
          </w:p>
        </w:tc>
        <w:tc>
          <w:tcPr>
            <w:tcW w:w="555" w:type="dxa"/>
            <w:noWrap w:val="0"/>
            <w:vAlign w:val="top"/>
          </w:tcPr>
          <w:p w14:paraId="4775F774">
            <w:pPr>
              <w:keepNext w:val="0"/>
              <w:keepLines w:val="0"/>
              <w:pageBreakBefore w:val="0"/>
              <w:shd w:val="clear" w:color="auto"/>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654" w:type="dxa"/>
            <w:noWrap w:val="0"/>
            <w:vAlign w:val="top"/>
          </w:tcPr>
          <w:p w14:paraId="1C3A05C3">
            <w:pPr>
              <w:keepNext w:val="0"/>
              <w:keepLines w:val="0"/>
              <w:pageBreakBefore w:val="0"/>
              <w:shd w:val="clear" w:color="auto"/>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r>
      <w:tr w14:paraId="6DF8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881" w:type="dxa"/>
            <w:vMerge w:val="continue"/>
            <w:noWrap w:val="0"/>
            <w:vAlign w:val="center"/>
          </w:tcPr>
          <w:p w14:paraId="10AE7F43">
            <w:pPr>
              <w:keepNext w:val="0"/>
              <w:keepLines w:val="0"/>
              <w:pageBreakBefore w:val="0"/>
              <w:shd w:val="clear" w:color="auto"/>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p>
        </w:tc>
        <w:tc>
          <w:tcPr>
            <w:tcW w:w="8405" w:type="dxa"/>
            <w:gridSpan w:val="4"/>
            <w:shd w:val="clear" w:color="auto" w:fill="auto"/>
            <w:noWrap w:val="0"/>
            <w:vAlign w:val="top"/>
          </w:tcPr>
          <w:p w14:paraId="24666264">
            <w:pPr>
              <w:keepNext w:val="0"/>
              <w:keepLines w:val="0"/>
              <w:pageBreakBefore w:val="0"/>
              <w:widowControl w:val="0"/>
              <w:shd w:val="clear" w:color="auto"/>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结论：是否通过评审（须填写通过或不通过）</w:t>
            </w:r>
          </w:p>
          <w:p w14:paraId="6F4EFEBB">
            <w:pPr>
              <w:keepNext w:val="0"/>
              <w:keepLines w:val="0"/>
              <w:pageBreakBefore w:val="0"/>
              <w:shd w:val="clear" w:color="auto"/>
              <w:kinsoku/>
              <w:wordWrap/>
              <w:overflowPunct/>
              <w:topLinePunct w:val="0"/>
              <w:autoSpaceDE/>
              <w:autoSpaceDN/>
              <w:bidi w:val="0"/>
              <w:adjustRightInd/>
              <w:snapToGrid/>
              <w:spacing w:line="440" w:lineRule="exact"/>
              <w:ind w:left="0" w:leftChars="0" w:right="0" w:rightChars="0" w:firstLine="0" w:firstLineChars="0"/>
              <w:rPr>
                <w:rFonts w:hint="eastAsia" w:ascii="宋体" w:hAnsi="宋体" w:eastAsia="宋体" w:cs="宋体"/>
                <w:color w:val="auto"/>
                <w:spacing w:val="0"/>
                <w:w w:val="100"/>
                <w:position w:val="0"/>
                <w:sz w:val="24"/>
                <w:szCs w:val="24"/>
                <w:highlight w:val="none"/>
                <w:shd w:val="clear" w:color="auto" w:fill="auto"/>
                <w:lang w:val="en-US" w:eastAsia="en-US" w:bidi="en-US"/>
              </w:rPr>
            </w:pPr>
            <w:r>
              <w:rPr>
                <w:rFonts w:hint="eastAsia" w:ascii="宋体" w:hAnsi="宋体" w:eastAsia="宋体" w:cs="宋体"/>
                <w:color w:val="auto"/>
                <w:sz w:val="24"/>
                <w:szCs w:val="24"/>
                <w:highlight w:val="none"/>
                <w:lang w:val="en-US" w:eastAsia="zh-CN"/>
              </w:rPr>
              <w:t>注：如有一项不合格，作废标处理。</w:t>
            </w:r>
          </w:p>
        </w:tc>
      </w:tr>
    </w:tbl>
    <w:p w14:paraId="3CC8E30F">
      <w:pPr>
        <w:shd w:val="clear" w:color="auto"/>
        <w:kinsoku/>
        <w:overflowPunct/>
        <w:topLinePunct w:val="0"/>
        <w:bidi w:val="0"/>
        <w:spacing w:line="500" w:lineRule="exact"/>
        <w:ind w:firstLine="240"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14:paraId="4B136CEE">
      <w:pPr>
        <w:shd w:val="clear" w:color="auto"/>
        <w:kinsoku/>
        <w:overflowPunct/>
        <w:topLinePunct w:val="0"/>
        <w:bidi w:val="0"/>
        <w:spacing w:before="156" w:beforeLines="50" w:line="500" w:lineRule="exact"/>
        <w:ind w:firstLine="240"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.符合性审查</w:t>
      </w:r>
    </w:p>
    <w:p w14:paraId="70E32C73">
      <w:pPr>
        <w:shd w:val="clear" w:color="auto"/>
        <w:kinsoku/>
        <w:overflowPunct/>
        <w:topLinePunct w:val="0"/>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．1评审细则</w:t>
      </w:r>
    </w:p>
    <w:tbl>
      <w:tblPr>
        <w:tblStyle w:val="34"/>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7"/>
        <w:gridCol w:w="561"/>
        <w:gridCol w:w="6271"/>
        <w:gridCol w:w="482"/>
        <w:gridCol w:w="884"/>
      </w:tblGrid>
      <w:tr w14:paraId="27E71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trPr>
        <w:tc>
          <w:tcPr>
            <w:tcW w:w="1237" w:type="dxa"/>
            <w:tcBorders>
              <w:top w:val="single" w:color="auto" w:sz="4" w:space="0"/>
              <w:left w:val="single" w:color="auto" w:sz="4" w:space="0"/>
            </w:tcBorders>
            <w:noWrap w:val="0"/>
            <w:vAlign w:val="center"/>
          </w:tcPr>
          <w:p w14:paraId="58BCC6D6">
            <w:pPr>
              <w:shd w:val="clear" w:color="auto"/>
              <w:kinsoku/>
              <w:overflowPunct/>
              <w:topLinePunct w:val="0"/>
              <w:bidi w:val="0"/>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w:t>
            </w:r>
          </w:p>
        </w:tc>
        <w:tc>
          <w:tcPr>
            <w:tcW w:w="6832" w:type="dxa"/>
            <w:gridSpan w:val="2"/>
            <w:tcBorders>
              <w:top w:val="single" w:color="auto" w:sz="4" w:space="0"/>
            </w:tcBorders>
            <w:noWrap w:val="0"/>
            <w:vAlign w:val="center"/>
          </w:tcPr>
          <w:p w14:paraId="4BCA15EC">
            <w:pPr>
              <w:shd w:val="clear" w:color="auto"/>
              <w:kinsoku/>
              <w:overflowPunct/>
              <w:topLinePunct w:val="0"/>
              <w:bidi w:val="0"/>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366" w:type="dxa"/>
            <w:gridSpan w:val="2"/>
            <w:tcBorders>
              <w:top w:val="single" w:color="auto" w:sz="4" w:space="0"/>
              <w:right w:val="single" w:color="auto" w:sz="4" w:space="0"/>
            </w:tcBorders>
            <w:noWrap w:val="0"/>
            <w:vAlign w:val="center"/>
          </w:tcPr>
          <w:p w14:paraId="2DD86B42">
            <w:pPr>
              <w:shd w:val="clear" w:color="auto"/>
              <w:kinsoku/>
              <w:overflowPunct/>
              <w:topLinePunct w:val="0"/>
              <w:bidi w:val="0"/>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评审意见</w:t>
            </w:r>
          </w:p>
        </w:tc>
      </w:tr>
      <w:tr w14:paraId="0C337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1237" w:type="dxa"/>
            <w:tcBorders>
              <w:left w:val="single" w:color="auto" w:sz="4" w:space="0"/>
              <w:bottom w:val="single" w:color="auto" w:sz="4" w:space="0"/>
            </w:tcBorders>
            <w:noWrap w:val="0"/>
            <w:vAlign w:val="center"/>
          </w:tcPr>
          <w:p w14:paraId="4E35860B">
            <w:pPr>
              <w:shd w:val="clear" w:color="auto"/>
              <w:kinsoku/>
              <w:overflowPunct/>
              <w:topLinePunct w:val="0"/>
              <w:bidi w:val="0"/>
              <w:spacing w:line="500" w:lineRule="exact"/>
              <w:rPr>
                <w:rFonts w:hint="eastAsia" w:ascii="宋体" w:hAnsi="宋体" w:eastAsia="宋体" w:cs="宋体"/>
                <w:color w:val="auto"/>
                <w:sz w:val="24"/>
                <w:szCs w:val="24"/>
                <w:highlight w:val="none"/>
              </w:rPr>
            </w:pPr>
          </w:p>
        </w:tc>
        <w:tc>
          <w:tcPr>
            <w:tcW w:w="6832" w:type="dxa"/>
            <w:gridSpan w:val="2"/>
            <w:tcBorders>
              <w:bottom w:val="single" w:color="auto" w:sz="4" w:space="0"/>
            </w:tcBorders>
            <w:noWrap w:val="0"/>
            <w:vAlign w:val="top"/>
          </w:tcPr>
          <w:p w14:paraId="4C767D6E">
            <w:pPr>
              <w:shd w:val="clear" w:color="auto"/>
              <w:kinsoku/>
              <w:overflowPunct/>
              <w:topLinePunct w:val="0"/>
              <w:bidi w:val="0"/>
              <w:spacing w:line="500" w:lineRule="exact"/>
              <w:rPr>
                <w:rFonts w:hint="eastAsia" w:ascii="宋体" w:hAnsi="宋体" w:eastAsia="宋体" w:cs="宋体"/>
                <w:color w:val="auto"/>
                <w:sz w:val="24"/>
                <w:szCs w:val="24"/>
                <w:highlight w:val="none"/>
              </w:rPr>
            </w:pPr>
          </w:p>
        </w:tc>
        <w:tc>
          <w:tcPr>
            <w:tcW w:w="482" w:type="dxa"/>
            <w:noWrap w:val="0"/>
            <w:vAlign w:val="center"/>
          </w:tcPr>
          <w:p w14:paraId="27DA8C62">
            <w:pPr>
              <w:shd w:val="clear" w:color="auto"/>
              <w:kinsoku/>
              <w:overflowPunct/>
              <w:topLinePunct w:val="0"/>
              <w:bidi w:val="0"/>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w:t>
            </w:r>
          </w:p>
        </w:tc>
        <w:tc>
          <w:tcPr>
            <w:tcW w:w="884" w:type="dxa"/>
            <w:tcBorders>
              <w:right w:val="single" w:color="auto" w:sz="4" w:space="0"/>
            </w:tcBorders>
            <w:noWrap w:val="0"/>
            <w:vAlign w:val="center"/>
          </w:tcPr>
          <w:p w14:paraId="39A940D3">
            <w:pPr>
              <w:shd w:val="clear" w:color="auto"/>
              <w:kinsoku/>
              <w:overflowPunct/>
              <w:topLinePunct w:val="0"/>
              <w:bidi w:val="0"/>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否</w:t>
            </w:r>
          </w:p>
        </w:tc>
      </w:tr>
      <w:tr w14:paraId="4D1A9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237" w:type="dxa"/>
            <w:vMerge w:val="restart"/>
            <w:tcBorders>
              <w:top w:val="single" w:color="auto" w:sz="4" w:space="0"/>
              <w:left w:val="single" w:color="auto" w:sz="4" w:space="0"/>
              <w:right w:val="single" w:color="auto" w:sz="4" w:space="0"/>
            </w:tcBorders>
            <w:noWrap w:val="0"/>
            <w:vAlign w:val="center"/>
          </w:tcPr>
          <w:p w14:paraId="727C3D91">
            <w:pPr>
              <w:shd w:val="clear" w:color="auto"/>
              <w:kinsoku/>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w:t>
            </w:r>
          </w:p>
          <w:p w14:paraId="1E68FE5A">
            <w:pPr>
              <w:shd w:val="clear" w:color="auto"/>
              <w:kinsoku/>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查</w:t>
            </w:r>
          </w:p>
          <w:p w14:paraId="7D4A312F">
            <w:pPr>
              <w:shd w:val="clear" w:color="auto"/>
              <w:kinsoku/>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w:t>
            </w:r>
          </w:p>
          <w:p w14:paraId="4DD10D61">
            <w:pPr>
              <w:shd w:val="clear" w:color="auto"/>
              <w:kinsoku/>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w:t>
            </w:r>
          </w:p>
        </w:tc>
        <w:tc>
          <w:tcPr>
            <w:tcW w:w="561" w:type="dxa"/>
            <w:tcBorders>
              <w:top w:val="single" w:color="auto" w:sz="4" w:space="0"/>
              <w:left w:val="single" w:color="auto" w:sz="4" w:space="0"/>
              <w:right w:val="single" w:color="auto" w:sz="4" w:space="0"/>
            </w:tcBorders>
            <w:noWrap w:val="0"/>
            <w:vAlign w:val="center"/>
          </w:tcPr>
          <w:p w14:paraId="36E92571">
            <w:pPr>
              <w:shd w:val="clear" w:color="auto"/>
              <w:kinsoku/>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271" w:type="dxa"/>
            <w:tcBorders>
              <w:top w:val="single" w:color="auto" w:sz="4" w:space="0"/>
              <w:left w:val="single" w:color="auto" w:sz="4" w:space="0"/>
              <w:right w:val="single" w:color="auto" w:sz="4" w:space="0"/>
            </w:tcBorders>
            <w:noWrap w:val="0"/>
            <w:vAlign w:val="center"/>
          </w:tcPr>
          <w:p w14:paraId="73940D82">
            <w:pPr>
              <w:keepNext w:val="0"/>
              <w:keepLines w:val="0"/>
              <w:pageBreakBefore w:val="0"/>
              <w:widowControl/>
              <w:shd w:val="clear" w:color="auto"/>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其报价未超过采购预算金额，且只有一个有效报价，不得提交选择性报价。</w:t>
            </w:r>
          </w:p>
        </w:tc>
        <w:tc>
          <w:tcPr>
            <w:tcW w:w="482" w:type="dxa"/>
            <w:tcBorders>
              <w:left w:val="single" w:color="auto" w:sz="4" w:space="0"/>
              <w:right w:val="single" w:color="auto" w:sz="4" w:space="0"/>
            </w:tcBorders>
            <w:noWrap w:val="0"/>
            <w:vAlign w:val="top"/>
          </w:tcPr>
          <w:p w14:paraId="07DF874E">
            <w:pPr>
              <w:shd w:val="clear" w:color="auto"/>
              <w:kinsoku/>
              <w:overflowPunct/>
              <w:topLinePunct w:val="0"/>
              <w:bidi w:val="0"/>
              <w:spacing w:line="500" w:lineRule="exact"/>
              <w:jc w:val="center"/>
              <w:rPr>
                <w:rFonts w:hint="eastAsia" w:ascii="宋体" w:hAnsi="宋体" w:eastAsia="宋体" w:cs="宋体"/>
                <w:b/>
                <w:color w:val="auto"/>
                <w:sz w:val="24"/>
                <w:szCs w:val="24"/>
                <w:highlight w:val="none"/>
              </w:rPr>
            </w:pPr>
          </w:p>
        </w:tc>
        <w:tc>
          <w:tcPr>
            <w:tcW w:w="884" w:type="dxa"/>
            <w:tcBorders>
              <w:left w:val="single" w:color="auto" w:sz="4" w:space="0"/>
              <w:right w:val="single" w:color="auto" w:sz="4" w:space="0"/>
            </w:tcBorders>
            <w:noWrap w:val="0"/>
            <w:vAlign w:val="top"/>
          </w:tcPr>
          <w:p w14:paraId="67DEFDC3">
            <w:pPr>
              <w:shd w:val="clear" w:color="auto"/>
              <w:kinsoku/>
              <w:overflowPunct/>
              <w:topLinePunct w:val="0"/>
              <w:bidi w:val="0"/>
              <w:spacing w:line="500" w:lineRule="exact"/>
              <w:jc w:val="center"/>
              <w:rPr>
                <w:rFonts w:hint="eastAsia" w:ascii="宋体" w:hAnsi="宋体" w:eastAsia="宋体" w:cs="宋体"/>
                <w:b/>
                <w:color w:val="auto"/>
                <w:sz w:val="24"/>
                <w:szCs w:val="24"/>
                <w:highlight w:val="none"/>
              </w:rPr>
            </w:pPr>
          </w:p>
        </w:tc>
      </w:tr>
      <w:tr w14:paraId="44CA2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37" w:type="dxa"/>
            <w:vMerge w:val="continue"/>
            <w:tcBorders>
              <w:left w:val="single" w:color="auto" w:sz="4" w:space="0"/>
              <w:right w:val="single" w:color="auto" w:sz="4" w:space="0"/>
            </w:tcBorders>
            <w:noWrap w:val="0"/>
            <w:vAlign w:val="center"/>
          </w:tcPr>
          <w:p w14:paraId="2DFC7776">
            <w:pPr>
              <w:shd w:val="clear" w:color="auto"/>
              <w:kinsoku/>
              <w:overflowPunct/>
              <w:topLinePunct w:val="0"/>
              <w:bidi w:val="0"/>
              <w:spacing w:line="500" w:lineRule="exact"/>
              <w:rPr>
                <w:rFonts w:hint="eastAsia" w:ascii="宋体" w:hAnsi="宋体" w:eastAsia="宋体" w:cs="宋体"/>
                <w:color w:val="auto"/>
                <w:sz w:val="24"/>
                <w:szCs w:val="24"/>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center"/>
          </w:tcPr>
          <w:p w14:paraId="5D92070D">
            <w:pPr>
              <w:shd w:val="clear" w:color="auto"/>
              <w:kinsoku/>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271" w:type="dxa"/>
            <w:tcBorders>
              <w:top w:val="single" w:color="auto" w:sz="4" w:space="0"/>
              <w:left w:val="single" w:color="auto" w:sz="4" w:space="0"/>
              <w:bottom w:val="single" w:color="auto" w:sz="4" w:space="0"/>
              <w:right w:val="single" w:color="auto" w:sz="4" w:space="0"/>
            </w:tcBorders>
            <w:noWrap w:val="0"/>
            <w:vAlign w:val="center"/>
          </w:tcPr>
          <w:p w14:paraId="095D5871">
            <w:pPr>
              <w:keepNext w:val="0"/>
              <w:keepLines w:val="0"/>
              <w:pageBreakBefore w:val="0"/>
              <w:widowControl/>
              <w:shd w:val="clear" w:color="auto"/>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法定代表人身份证明及授权委托书有效，且符合招标文件规定的格式。</w:t>
            </w:r>
          </w:p>
        </w:tc>
        <w:tc>
          <w:tcPr>
            <w:tcW w:w="482" w:type="dxa"/>
            <w:tcBorders>
              <w:left w:val="single" w:color="auto" w:sz="4" w:space="0"/>
            </w:tcBorders>
            <w:noWrap w:val="0"/>
            <w:vAlign w:val="top"/>
          </w:tcPr>
          <w:p w14:paraId="704647CD">
            <w:pPr>
              <w:shd w:val="clear" w:color="auto"/>
              <w:kinsoku/>
              <w:overflowPunct/>
              <w:topLinePunct w:val="0"/>
              <w:bidi w:val="0"/>
              <w:spacing w:line="500" w:lineRule="exact"/>
              <w:rPr>
                <w:rFonts w:hint="eastAsia" w:ascii="宋体" w:hAnsi="宋体" w:eastAsia="宋体" w:cs="宋体"/>
                <w:color w:val="auto"/>
                <w:sz w:val="24"/>
                <w:szCs w:val="24"/>
                <w:highlight w:val="none"/>
              </w:rPr>
            </w:pPr>
          </w:p>
        </w:tc>
        <w:tc>
          <w:tcPr>
            <w:tcW w:w="884" w:type="dxa"/>
            <w:tcBorders>
              <w:right w:val="single" w:color="auto" w:sz="4" w:space="0"/>
            </w:tcBorders>
            <w:noWrap w:val="0"/>
            <w:vAlign w:val="top"/>
          </w:tcPr>
          <w:p w14:paraId="1DA5E113">
            <w:pPr>
              <w:shd w:val="clear" w:color="auto"/>
              <w:kinsoku/>
              <w:overflowPunct/>
              <w:topLinePunct w:val="0"/>
              <w:bidi w:val="0"/>
              <w:spacing w:line="500" w:lineRule="exact"/>
              <w:rPr>
                <w:rFonts w:hint="eastAsia" w:ascii="宋体" w:hAnsi="宋体" w:eastAsia="宋体" w:cs="宋体"/>
                <w:color w:val="auto"/>
                <w:sz w:val="24"/>
                <w:szCs w:val="24"/>
                <w:highlight w:val="none"/>
              </w:rPr>
            </w:pPr>
          </w:p>
        </w:tc>
      </w:tr>
      <w:tr w14:paraId="50D85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 w:hRule="atLeast"/>
        </w:trPr>
        <w:tc>
          <w:tcPr>
            <w:tcW w:w="1237" w:type="dxa"/>
            <w:vMerge w:val="continue"/>
            <w:tcBorders>
              <w:left w:val="single" w:color="auto" w:sz="4" w:space="0"/>
              <w:right w:val="single" w:color="auto" w:sz="4" w:space="0"/>
            </w:tcBorders>
            <w:noWrap w:val="0"/>
            <w:vAlign w:val="center"/>
          </w:tcPr>
          <w:p w14:paraId="3BD8071D">
            <w:pPr>
              <w:shd w:val="clear" w:color="auto"/>
              <w:kinsoku/>
              <w:overflowPunct/>
              <w:topLinePunct w:val="0"/>
              <w:bidi w:val="0"/>
              <w:spacing w:line="500" w:lineRule="exact"/>
              <w:rPr>
                <w:rFonts w:hint="eastAsia" w:ascii="宋体" w:hAnsi="宋体" w:eastAsia="宋体" w:cs="宋体"/>
                <w:color w:val="auto"/>
                <w:sz w:val="24"/>
                <w:szCs w:val="24"/>
                <w:highlight w:val="none"/>
              </w:rPr>
            </w:pPr>
          </w:p>
        </w:tc>
        <w:tc>
          <w:tcPr>
            <w:tcW w:w="561" w:type="dxa"/>
            <w:tcBorders>
              <w:top w:val="single" w:color="auto" w:sz="4" w:space="0"/>
              <w:left w:val="single" w:color="auto" w:sz="4" w:space="0"/>
              <w:right w:val="single" w:color="auto" w:sz="4" w:space="0"/>
            </w:tcBorders>
            <w:noWrap w:val="0"/>
            <w:vAlign w:val="center"/>
          </w:tcPr>
          <w:p w14:paraId="55B7289B">
            <w:pPr>
              <w:shd w:val="clear" w:color="auto"/>
              <w:kinsoku/>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271" w:type="dxa"/>
            <w:tcBorders>
              <w:top w:val="single" w:color="auto" w:sz="4" w:space="0"/>
              <w:left w:val="single" w:color="auto" w:sz="4" w:space="0"/>
              <w:right w:val="single" w:color="auto" w:sz="4" w:space="0"/>
            </w:tcBorders>
            <w:noWrap w:val="0"/>
            <w:vAlign w:val="center"/>
          </w:tcPr>
          <w:p w14:paraId="3AE106CC">
            <w:pPr>
              <w:keepNext w:val="0"/>
              <w:keepLines w:val="0"/>
              <w:pageBreakBefore w:val="0"/>
              <w:widowControl/>
              <w:shd w:val="clear" w:color="auto"/>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满足招标文件规定的服务期限。</w:t>
            </w:r>
          </w:p>
        </w:tc>
        <w:tc>
          <w:tcPr>
            <w:tcW w:w="482" w:type="dxa"/>
            <w:tcBorders>
              <w:left w:val="single" w:color="auto" w:sz="4" w:space="0"/>
            </w:tcBorders>
            <w:noWrap w:val="0"/>
            <w:vAlign w:val="top"/>
          </w:tcPr>
          <w:p w14:paraId="47526856">
            <w:pPr>
              <w:shd w:val="clear" w:color="auto"/>
              <w:kinsoku/>
              <w:overflowPunct/>
              <w:topLinePunct w:val="0"/>
              <w:bidi w:val="0"/>
              <w:spacing w:line="500" w:lineRule="exact"/>
              <w:rPr>
                <w:rFonts w:hint="eastAsia" w:ascii="宋体" w:hAnsi="宋体" w:eastAsia="宋体" w:cs="宋体"/>
                <w:color w:val="auto"/>
                <w:sz w:val="24"/>
                <w:szCs w:val="24"/>
                <w:highlight w:val="none"/>
              </w:rPr>
            </w:pPr>
          </w:p>
        </w:tc>
        <w:tc>
          <w:tcPr>
            <w:tcW w:w="884" w:type="dxa"/>
            <w:tcBorders>
              <w:right w:val="single" w:color="auto" w:sz="4" w:space="0"/>
            </w:tcBorders>
            <w:noWrap w:val="0"/>
            <w:vAlign w:val="top"/>
          </w:tcPr>
          <w:p w14:paraId="49E2E6F2">
            <w:pPr>
              <w:shd w:val="clear" w:color="auto"/>
              <w:kinsoku/>
              <w:overflowPunct/>
              <w:topLinePunct w:val="0"/>
              <w:bidi w:val="0"/>
              <w:spacing w:line="500" w:lineRule="exact"/>
              <w:rPr>
                <w:rFonts w:hint="eastAsia" w:ascii="宋体" w:hAnsi="宋体" w:eastAsia="宋体" w:cs="宋体"/>
                <w:color w:val="auto"/>
                <w:sz w:val="24"/>
                <w:szCs w:val="24"/>
                <w:highlight w:val="none"/>
              </w:rPr>
            </w:pPr>
          </w:p>
        </w:tc>
      </w:tr>
      <w:tr w14:paraId="391FB9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1237" w:type="dxa"/>
            <w:vMerge w:val="continue"/>
            <w:tcBorders>
              <w:left w:val="single" w:color="auto" w:sz="4" w:space="0"/>
              <w:right w:val="single" w:color="auto" w:sz="4" w:space="0"/>
            </w:tcBorders>
            <w:noWrap w:val="0"/>
            <w:vAlign w:val="center"/>
          </w:tcPr>
          <w:p w14:paraId="1FF053F9">
            <w:pPr>
              <w:shd w:val="clear" w:color="auto"/>
              <w:kinsoku/>
              <w:overflowPunct/>
              <w:topLinePunct w:val="0"/>
              <w:bidi w:val="0"/>
              <w:spacing w:line="500" w:lineRule="exact"/>
              <w:rPr>
                <w:rFonts w:hint="eastAsia" w:ascii="宋体" w:hAnsi="宋体" w:eastAsia="宋体" w:cs="宋体"/>
                <w:color w:val="auto"/>
                <w:sz w:val="24"/>
                <w:szCs w:val="24"/>
                <w:highlight w:val="none"/>
              </w:rPr>
            </w:pPr>
          </w:p>
        </w:tc>
        <w:tc>
          <w:tcPr>
            <w:tcW w:w="561" w:type="dxa"/>
            <w:tcBorders>
              <w:left w:val="single" w:color="auto" w:sz="4" w:space="0"/>
            </w:tcBorders>
            <w:noWrap w:val="0"/>
            <w:vAlign w:val="center"/>
          </w:tcPr>
          <w:p w14:paraId="1D006A27">
            <w:pPr>
              <w:shd w:val="clear" w:color="auto"/>
              <w:kinsoku/>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6271" w:type="dxa"/>
            <w:tcBorders>
              <w:right w:val="single" w:color="auto" w:sz="4" w:space="0"/>
            </w:tcBorders>
            <w:noWrap w:val="0"/>
            <w:vAlign w:val="center"/>
          </w:tcPr>
          <w:p w14:paraId="06493EEC">
            <w:pPr>
              <w:keepNext w:val="0"/>
              <w:keepLines w:val="0"/>
              <w:pageBreakBefore w:val="0"/>
              <w:widowControl/>
              <w:shd w:val="clear" w:color="auto"/>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投标文件内容齐全、无遗漏。</w:t>
            </w:r>
          </w:p>
        </w:tc>
        <w:tc>
          <w:tcPr>
            <w:tcW w:w="482" w:type="dxa"/>
            <w:tcBorders>
              <w:left w:val="single" w:color="auto" w:sz="4" w:space="0"/>
            </w:tcBorders>
            <w:noWrap w:val="0"/>
            <w:vAlign w:val="top"/>
          </w:tcPr>
          <w:p w14:paraId="2918C82E">
            <w:pPr>
              <w:shd w:val="clear" w:color="auto"/>
              <w:kinsoku/>
              <w:overflowPunct/>
              <w:topLinePunct w:val="0"/>
              <w:bidi w:val="0"/>
              <w:spacing w:line="500" w:lineRule="exact"/>
              <w:rPr>
                <w:rFonts w:hint="eastAsia" w:ascii="宋体" w:hAnsi="宋体" w:eastAsia="宋体" w:cs="宋体"/>
                <w:color w:val="auto"/>
                <w:sz w:val="24"/>
                <w:szCs w:val="24"/>
                <w:highlight w:val="none"/>
              </w:rPr>
            </w:pPr>
          </w:p>
        </w:tc>
        <w:tc>
          <w:tcPr>
            <w:tcW w:w="884" w:type="dxa"/>
            <w:tcBorders>
              <w:right w:val="single" w:color="auto" w:sz="4" w:space="0"/>
            </w:tcBorders>
            <w:noWrap w:val="0"/>
            <w:vAlign w:val="top"/>
          </w:tcPr>
          <w:p w14:paraId="0948B0FC">
            <w:pPr>
              <w:shd w:val="clear" w:color="auto"/>
              <w:kinsoku/>
              <w:overflowPunct/>
              <w:topLinePunct w:val="0"/>
              <w:bidi w:val="0"/>
              <w:spacing w:line="500" w:lineRule="exact"/>
              <w:rPr>
                <w:rFonts w:hint="eastAsia" w:ascii="宋体" w:hAnsi="宋体" w:eastAsia="宋体" w:cs="宋体"/>
                <w:color w:val="auto"/>
                <w:sz w:val="24"/>
                <w:szCs w:val="24"/>
                <w:highlight w:val="none"/>
              </w:rPr>
            </w:pPr>
          </w:p>
        </w:tc>
      </w:tr>
      <w:tr w14:paraId="01B53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1237" w:type="dxa"/>
            <w:vMerge w:val="continue"/>
            <w:tcBorders>
              <w:left w:val="single" w:color="auto" w:sz="4" w:space="0"/>
              <w:right w:val="single" w:color="auto" w:sz="4" w:space="0"/>
            </w:tcBorders>
            <w:noWrap w:val="0"/>
            <w:vAlign w:val="center"/>
          </w:tcPr>
          <w:p w14:paraId="0D5C0015">
            <w:pPr>
              <w:shd w:val="clear" w:color="auto"/>
              <w:kinsoku/>
              <w:overflowPunct/>
              <w:topLinePunct w:val="0"/>
              <w:bidi w:val="0"/>
              <w:spacing w:line="500" w:lineRule="exact"/>
              <w:rPr>
                <w:rFonts w:hint="eastAsia" w:ascii="宋体" w:hAnsi="宋体" w:eastAsia="宋体" w:cs="宋体"/>
                <w:color w:val="auto"/>
                <w:sz w:val="24"/>
                <w:szCs w:val="24"/>
                <w:highlight w:val="none"/>
              </w:rPr>
            </w:pPr>
          </w:p>
        </w:tc>
        <w:tc>
          <w:tcPr>
            <w:tcW w:w="561" w:type="dxa"/>
            <w:tcBorders>
              <w:left w:val="single" w:color="auto" w:sz="4" w:space="0"/>
              <w:bottom w:val="single" w:color="auto" w:sz="4" w:space="0"/>
            </w:tcBorders>
            <w:noWrap w:val="0"/>
            <w:vAlign w:val="center"/>
          </w:tcPr>
          <w:p w14:paraId="7F53C601">
            <w:pPr>
              <w:shd w:val="clear" w:color="auto"/>
              <w:kinsoku/>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271" w:type="dxa"/>
            <w:tcBorders>
              <w:bottom w:val="single" w:color="auto" w:sz="4" w:space="0"/>
              <w:right w:val="single" w:color="auto" w:sz="4" w:space="0"/>
            </w:tcBorders>
            <w:noWrap w:val="0"/>
            <w:vAlign w:val="center"/>
          </w:tcPr>
          <w:p w14:paraId="43FA51E0">
            <w:pPr>
              <w:keepNext w:val="0"/>
              <w:keepLines w:val="0"/>
              <w:pageBreakBefore w:val="0"/>
              <w:widowControl/>
              <w:shd w:val="clear" w:color="auto"/>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对招标文件规定的招标内容全部作出响应。</w:t>
            </w:r>
          </w:p>
        </w:tc>
        <w:tc>
          <w:tcPr>
            <w:tcW w:w="482" w:type="dxa"/>
            <w:tcBorders>
              <w:left w:val="single" w:color="auto" w:sz="4" w:space="0"/>
              <w:bottom w:val="single" w:color="auto" w:sz="4" w:space="0"/>
            </w:tcBorders>
            <w:noWrap w:val="0"/>
            <w:vAlign w:val="top"/>
          </w:tcPr>
          <w:p w14:paraId="24ADCC68">
            <w:pPr>
              <w:shd w:val="clear" w:color="auto"/>
              <w:kinsoku/>
              <w:overflowPunct/>
              <w:topLinePunct w:val="0"/>
              <w:bidi w:val="0"/>
              <w:spacing w:line="500" w:lineRule="exact"/>
              <w:rPr>
                <w:rFonts w:hint="eastAsia" w:ascii="宋体" w:hAnsi="宋体" w:eastAsia="宋体" w:cs="宋体"/>
                <w:color w:val="auto"/>
                <w:sz w:val="24"/>
                <w:szCs w:val="24"/>
                <w:highlight w:val="none"/>
              </w:rPr>
            </w:pPr>
          </w:p>
        </w:tc>
        <w:tc>
          <w:tcPr>
            <w:tcW w:w="884" w:type="dxa"/>
            <w:tcBorders>
              <w:bottom w:val="single" w:color="auto" w:sz="4" w:space="0"/>
              <w:right w:val="single" w:color="auto" w:sz="4" w:space="0"/>
            </w:tcBorders>
            <w:noWrap w:val="0"/>
            <w:vAlign w:val="top"/>
          </w:tcPr>
          <w:p w14:paraId="7198E634">
            <w:pPr>
              <w:shd w:val="clear" w:color="auto"/>
              <w:kinsoku/>
              <w:overflowPunct/>
              <w:topLinePunct w:val="0"/>
              <w:bidi w:val="0"/>
              <w:spacing w:line="500" w:lineRule="exact"/>
              <w:rPr>
                <w:rFonts w:hint="eastAsia" w:ascii="宋体" w:hAnsi="宋体" w:eastAsia="宋体" w:cs="宋体"/>
                <w:color w:val="auto"/>
                <w:sz w:val="24"/>
                <w:szCs w:val="24"/>
                <w:highlight w:val="none"/>
              </w:rPr>
            </w:pPr>
          </w:p>
        </w:tc>
      </w:tr>
      <w:tr w14:paraId="369F7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1237" w:type="dxa"/>
            <w:vMerge w:val="continue"/>
            <w:tcBorders>
              <w:left w:val="single" w:color="auto" w:sz="4" w:space="0"/>
              <w:right w:val="single" w:color="auto" w:sz="4" w:space="0"/>
            </w:tcBorders>
            <w:noWrap w:val="0"/>
            <w:vAlign w:val="center"/>
          </w:tcPr>
          <w:p w14:paraId="57CD8373">
            <w:pPr>
              <w:shd w:val="clear" w:color="auto"/>
              <w:kinsoku/>
              <w:overflowPunct/>
              <w:topLinePunct w:val="0"/>
              <w:bidi w:val="0"/>
              <w:spacing w:line="500" w:lineRule="exact"/>
              <w:rPr>
                <w:rFonts w:hint="eastAsia" w:ascii="宋体" w:hAnsi="宋体" w:eastAsia="宋体" w:cs="宋体"/>
                <w:color w:val="auto"/>
                <w:sz w:val="24"/>
                <w:szCs w:val="24"/>
                <w:highlight w:val="none"/>
              </w:rPr>
            </w:pPr>
          </w:p>
        </w:tc>
        <w:tc>
          <w:tcPr>
            <w:tcW w:w="561" w:type="dxa"/>
            <w:tcBorders>
              <w:top w:val="single" w:color="auto" w:sz="4" w:space="0"/>
              <w:left w:val="single" w:color="auto" w:sz="4" w:space="0"/>
              <w:bottom w:val="single" w:color="auto" w:sz="4" w:space="0"/>
              <w:right w:val="single" w:color="auto" w:sz="4" w:space="0"/>
            </w:tcBorders>
            <w:noWrap w:val="0"/>
            <w:vAlign w:val="center"/>
          </w:tcPr>
          <w:p w14:paraId="3303BFB9">
            <w:pPr>
              <w:shd w:val="clear" w:color="auto"/>
              <w:kinsoku/>
              <w:overflowPunct/>
              <w:topLinePunct w:val="0"/>
              <w:bidi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271" w:type="dxa"/>
            <w:tcBorders>
              <w:top w:val="single" w:color="auto" w:sz="4" w:space="0"/>
              <w:left w:val="single" w:color="auto" w:sz="4" w:space="0"/>
              <w:bottom w:val="single" w:color="auto" w:sz="4" w:space="0"/>
              <w:right w:val="single" w:color="auto" w:sz="4" w:space="0"/>
            </w:tcBorders>
            <w:noWrap w:val="0"/>
            <w:vAlign w:val="center"/>
          </w:tcPr>
          <w:p w14:paraId="20BEDB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autoSpaceDE/>
              <w:autoSpaceDN/>
              <w:bidi w:val="0"/>
              <w:adjustRightInd w:val="0"/>
              <w:snapToGrid w:val="0"/>
              <w:spacing w:before="0" w:beforeAutospacing="0" w:after="0" w:afterAutospacing="0" w:line="240" w:lineRule="auto"/>
              <w:ind w:righ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造价负责人须具有一级注册造价工程师证书（土建专业），且在本单位注册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须提供造价负责人注册证书复印件加盖公章</w:t>
            </w:r>
            <w:r>
              <w:rPr>
                <w:rFonts w:hint="eastAsia" w:ascii="宋体" w:hAnsi="宋体" w:eastAsia="宋体" w:cs="宋体"/>
                <w:color w:val="auto"/>
                <w:sz w:val="24"/>
                <w:szCs w:val="24"/>
                <w:highlight w:val="none"/>
                <w:lang w:eastAsia="zh-CN"/>
              </w:rPr>
              <w:t>）</w:t>
            </w:r>
          </w:p>
        </w:tc>
        <w:tc>
          <w:tcPr>
            <w:tcW w:w="482" w:type="dxa"/>
            <w:tcBorders>
              <w:top w:val="single" w:color="auto" w:sz="4" w:space="0"/>
              <w:left w:val="single" w:color="auto" w:sz="4" w:space="0"/>
              <w:bottom w:val="single" w:color="auto" w:sz="4" w:space="0"/>
              <w:right w:val="single" w:color="auto" w:sz="4" w:space="0"/>
            </w:tcBorders>
            <w:noWrap w:val="0"/>
            <w:vAlign w:val="top"/>
          </w:tcPr>
          <w:p w14:paraId="326BDAA0">
            <w:pPr>
              <w:shd w:val="clear" w:color="auto"/>
              <w:kinsoku/>
              <w:overflowPunct/>
              <w:topLinePunct w:val="0"/>
              <w:bidi w:val="0"/>
              <w:spacing w:line="500" w:lineRule="exact"/>
              <w:rPr>
                <w:rFonts w:hint="eastAsia" w:ascii="宋体" w:hAnsi="宋体" w:eastAsia="宋体" w:cs="宋体"/>
                <w:color w:val="auto"/>
                <w:sz w:val="24"/>
                <w:szCs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14:paraId="38A82C45">
            <w:pPr>
              <w:shd w:val="clear" w:color="auto"/>
              <w:kinsoku/>
              <w:overflowPunct/>
              <w:topLinePunct w:val="0"/>
              <w:bidi w:val="0"/>
              <w:spacing w:line="500" w:lineRule="exact"/>
              <w:rPr>
                <w:rFonts w:hint="eastAsia" w:ascii="宋体" w:hAnsi="宋体" w:eastAsia="宋体" w:cs="宋体"/>
                <w:color w:val="auto"/>
                <w:sz w:val="24"/>
                <w:szCs w:val="24"/>
                <w:highlight w:val="none"/>
              </w:rPr>
            </w:pPr>
          </w:p>
        </w:tc>
      </w:tr>
      <w:tr w14:paraId="2B92F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trPr>
        <w:tc>
          <w:tcPr>
            <w:tcW w:w="1237" w:type="dxa"/>
            <w:vMerge w:val="continue"/>
            <w:tcBorders>
              <w:left w:val="single" w:color="auto" w:sz="4" w:space="0"/>
              <w:right w:val="single" w:color="auto" w:sz="4" w:space="0"/>
            </w:tcBorders>
            <w:noWrap w:val="0"/>
            <w:vAlign w:val="center"/>
          </w:tcPr>
          <w:p w14:paraId="053836E9">
            <w:pPr>
              <w:shd w:val="clear" w:color="auto"/>
              <w:kinsoku/>
              <w:overflowPunct/>
              <w:topLinePunct w:val="0"/>
              <w:bidi w:val="0"/>
              <w:spacing w:line="500" w:lineRule="exact"/>
              <w:rPr>
                <w:rFonts w:hint="eastAsia" w:ascii="宋体" w:hAnsi="宋体" w:eastAsia="宋体" w:cs="宋体"/>
                <w:color w:val="auto"/>
                <w:sz w:val="24"/>
                <w:szCs w:val="24"/>
                <w:highlight w:val="none"/>
              </w:rPr>
            </w:pPr>
          </w:p>
        </w:tc>
        <w:tc>
          <w:tcPr>
            <w:tcW w:w="5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799990">
            <w:pPr>
              <w:shd w:val="clear" w:color="auto"/>
              <w:kinsoku/>
              <w:overflowPunct/>
              <w:topLinePunct w:val="0"/>
              <w:bidi w:val="0"/>
              <w:spacing w:line="500" w:lineRule="exact"/>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en-US" w:bidi="en-US"/>
              </w:rPr>
            </w:pPr>
            <w:r>
              <w:rPr>
                <w:rFonts w:hint="eastAsia" w:ascii="宋体" w:hAnsi="宋体" w:eastAsia="宋体" w:cs="宋体"/>
                <w:color w:val="auto"/>
                <w:sz w:val="24"/>
                <w:szCs w:val="24"/>
                <w:highlight w:val="none"/>
              </w:rPr>
              <w:t>7</w:t>
            </w:r>
          </w:p>
        </w:tc>
        <w:tc>
          <w:tcPr>
            <w:tcW w:w="6271" w:type="dxa"/>
            <w:tcBorders>
              <w:top w:val="single" w:color="auto" w:sz="4" w:space="0"/>
              <w:left w:val="single" w:color="auto" w:sz="4" w:space="0"/>
              <w:bottom w:val="single" w:color="auto" w:sz="4" w:space="0"/>
              <w:right w:val="single" w:color="auto" w:sz="4" w:space="0"/>
            </w:tcBorders>
            <w:noWrap w:val="0"/>
            <w:vAlign w:val="center"/>
          </w:tcPr>
          <w:p w14:paraId="3278CB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autoSpaceDE/>
              <w:autoSpaceDN/>
              <w:bidi w:val="0"/>
              <w:adjustRightInd w:val="0"/>
              <w:snapToGrid w:val="0"/>
              <w:spacing w:before="0" w:beforeAutospacing="0" w:after="0" w:afterAutospacing="0" w:line="240" w:lineRule="auto"/>
              <w:ind w:righ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财务审计负责人须具备注册会计师执业资格证书，且在本单位注册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须提供财务审计负责人注册证书复印件加盖公章</w:t>
            </w:r>
            <w:r>
              <w:rPr>
                <w:rFonts w:hint="eastAsia" w:ascii="宋体" w:hAnsi="宋体" w:eastAsia="宋体" w:cs="宋体"/>
                <w:color w:val="auto"/>
                <w:sz w:val="24"/>
                <w:szCs w:val="24"/>
                <w:highlight w:val="none"/>
                <w:lang w:eastAsia="zh-CN"/>
              </w:rPr>
              <w:t>）</w:t>
            </w:r>
          </w:p>
        </w:tc>
        <w:tc>
          <w:tcPr>
            <w:tcW w:w="482" w:type="dxa"/>
            <w:tcBorders>
              <w:top w:val="single" w:color="auto" w:sz="4" w:space="0"/>
              <w:left w:val="single" w:color="auto" w:sz="4" w:space="0"/>
              <w:bottom w:val="single" w:color="auto" w:sz="4" w:space="0"/>
              <w:right w:val="single" w:color="auto" w:sz="4" w:space="0"/>
            </w:tcBorders>
            <w:noWrap w:val="0"/>
            <w:vAlign w:val="top"/>
          </w:tcPr>
          <w:p w14:paraId="46353A1C">
            <w:pPr>
              <w:shd w:val="clear" w:color="auto"/>
              <w:kinsoku/>
              <w:overflowPunct/>
              <w:topLinePunct w:val="0"/>
              <w:bidi w:val="0"/>
              <w:spacing w:line="500" w:lineRule="exact"/>
              <w:rPr>
                <w:rFonts w:hint="eastAsia" w:ascii="宋体" w:hAnsi="宋体" w:eastAsia="宋体" w:cs="宋体"/>
                <w:color w:val="auto"/>
                <w:sz w:val="24"/>
                <w:szCs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14:paraId="3DCFFA4E">
            <w:pPr>
              <w:shd w:val="clear" w:color="auto"/>
              <w:kinsoku/>
              <w:overflowPunct/>
              <w:topLinePunct w:val="0"/>
              <w:bidi w:val="0"/>
              <w:spacing w:line="500" w:lineRule="exact"/>
              <w:rPr>
                <w:rFonts w:hint="eastAsia" w:ascii="宋体" w:hAnsi="宋体" w:eastAsia="宋体" w:cs="宋体"/>
                <w:color w:val="auto"/>
                <w:sz w:val="24"/>
                <w:szCs w:val="24"/>
                <w:highlight w:val="none"/>
              </w:rPr>
            </w:pPr>
          </w:p>
        </w:tc>
      </w:tr>
      <w:tr w14:paraId="44276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trPr>
        <w:tc>
          <w:tcPr>
            <w:tcW w:w="1237" w:type="dxa"/>
            <w:vMerge w:val="continue"/>
            <w:tcBorders>
              <w:left w:val="single" w:color="auto" w:sz="4" w:space="0"/>
              <w:right w:val="single" w:color="auto" w:sz="4" w:space="0"/>
            </w:tcBorders>
            <w:noWrap w:val="0"/>
            <w:vAlign w:val="center"/>
          </w:tcPr>
          <w:p w14:paraId="467FAC3B">
            <w:pPr>
              <w:shd w:val="clear" w:color="auto"/>
              <w:kinsoku/>
              <w:overflowPunct/>
              <w:topLinePunct w:val="0"/>
              <w:bidi w:val="0"/>
              <w:spacing w:line="500" w:lineRule="exact"/>
              <w:rPr>
                <w:rFonts w:hint="eastAsia" w:ascii="宋体" w:hAnsi="宋体" w:eastAsia="宋体" w:cs="宋体"/>
                <w:color w:val="auto"/>
                <w:sz w:val="24"/>
                <w:szCs w:val="24"/>
                <w:highlight w:val="none"/>
              </w:rPr>
            </w:pPr>
          </w:p>
        </w:tc>
        <w:tc>
          <w:tcPr>
            <w:tcW w:w="561" w:type="dxa"/>
            <w:tcBorders>
              <w:top w:val="single" w:color="auto" w:sz="4" w:space="0"/>
              <w:left w:val="single" w:color="auto" w:sz="4" w:space="0"/>
            </w:tcBorders>
            <w:shd w:val="clear" w:color="auto" w:fill="auto"/>
            <w:noWrap w:val="0"/>
            <w:vAlign w:val="center"/>
          </w:tcPr>
          <w:p w14:paraId="4F59B2F4">
            <w:pPr>
              <w:shd w:val="clear" w:color="auto"/>
              <w:kinsoku/>
              <w:overflowPunct/>
              <w:topLinePunct w:val="0"/>
              <w:bidi w:val="0"/>
              <w:spacing w:line="500" w:lineRule="exact"/>
              <w:ind w:left="0" w:leftChars="0" w:right="0" w:rightChars="0" w:firstLine="0" w:firstLineChars="0"/>
              <w:jc w:val="center"/>
              <w:rPr>
                <w:rFonts w:hint="eastAsia" w:ascii="宋体" w:hAnsi="宋体" w:eastAsia="宋体" w:cs="宋体"/>
                <w:color w:val="auto"/>
                <w:spacing w:val="0"/>
                <w:w w:val="100"/>
                <w:position w:val="0"/>
                <w:sz w:val="24"/>
                <w:szCs w:val="24"/>
                <w:highlight w:val="none"/>
                <w:shd w:val="clear" w:color="auto" w:fill="auto"/>
                <w:lang w:val="en-US" w:eastAsia="zh-CN" w:bidi="en-US"/>
              </w:rPr>
            </w:pPr>
            <w:r>
              <w:rPr>
                <w:rFonts w:hint="eastAsia" w:ascii="宋体" w:hAnsi="宋体" w:eastAsia="宋体" w:cs="宋体"/>
                <w:color w:val="auto"/>
                <w:sz w:val="24"/>
                <w:szCs w:val="24"/>
                <w:highlight w:val="none"/>
                <w:lang w:val="en-US" w:eastAsia="zh-CN"/>
              </w:rPr>
              <w:t>8</w:t>
            </w:r>
          </w:p>
        </w:tc>
        <w:tc>
          <w:tcPr>
            <w:tcW w:w="6271" w:type="dxa"/>
            <w:tcBorders>
              <w:top w:val="single" w:color="auto" w:sz="4" w:space="0"/>
              <w:right w:val="single" w:color="auto" w:sz="4" w:space="0"/>
            </w:tcBorders>
            <w:noWrap w:val="0"/>
            <w:vAlign w:val="center"/>
          </w:tcPr>
          <w:p w14:paraId="3DC2D7D5">
            <w:pPr>
              <w:keepNext w:val="0"/>
              <w:keepLines w:val="0"/>
              <w:pageBreakBefore w:val="0"/>
              <w:widowControl/>
              <w:shd w:val="clear" w:color="auto"/>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按照</w:t>
            </w:r>
            <w:r>
              <w:rPr>
                <w:rFonts w:hint="eastAsia" w:ascii="宋体" w:hAnsi="宋体" w:eastAsia="宋体" w:cs="宋体"/>
                <w:color w:val="auto"/>
                <w:kern w:val="0"/>
                <w:sz w:val="24"/>
                <w:szCs w:val="24"/>
                <w:highlight w:val="none"/>
                <w:lang w:val="en-US" w:eastAsia="zh-CN" w:bidi="ar"/>
              </w:rPr>
              <w:t>招标</w:t>
            </w:r>
            <w:r>
              <w:rPr>
                <w:rFonts w:hint="eastAsia" w:ascii="宋体" w:hAnsi="宋体" w:eastAsia="宋体" w:cs="宋体"/>
                <w:color w:val="auto"/>
                <w:kern w:val="0"/>
                <w:sz w:val="24"/>
                <w:szCs w:val="24"/>
                <w:highlight w:val="none"/>
                <w:lang w:bidi="ar"/>
              </w:rPr>
              <w:t>文件规定要求签署、盖章的。</w:t>
            </w:r>
          </w:p>
        </w:tc>
        <w:tc>
          <w:tcPr>
            <w:tcW w:w="482" w:type="dxa"/>
            <w:tcBorders>
              <w:top w:val="single" w:color="auto" w:sz="4" w:space="0"/>
              <w:left w:val="single" w:color="auto" w:sz="4" w:space="0"/>
            </w:tcBorders>
            <w:noWrap w:val="0"/>
            <w:vAlign w:val="top"/>
          </w:tcPr>
          <w:p w14:paraId="5DDD7DB8">
            <w:pPr>
              <w:shd w:val="clear" w:color="auto"/>
              <w:kinsoku/>
              <w:overflowPunct/>
              <w:topLinePunct w:val="0"/>
              <w:bidi w:val="0"/>
              <w:spacing w:line="500" w:lineRule="exact"/>
              <w:rPr>
                <w:rFonts w:hint="eastAsia" w:ascii="宋体" w:hAnsi="宋体" w:eastAsia="宋体" w:cs="宋体"/>
                <w:color w:val="auto"/>
                <w:sz w:val="24"/>
                <w:szCs w:val="24"/>
                <w:highlight w:val="none"/>
              </w:rPr>
            </w:pPr>
          </w:p>
        </w:tc>
        <w:tc>
          <w:tcPr>
            <w:tcW w:w="884" w:type="dxa"/>
            <w:tcBorders>
              <w:top w:val="single" w:color="auto" w:sz="4" w:space="0"/>
              <w:right w:val="single" w:color="auto" w:sz="4" w:space="0"/>
            </w:tcBorders>
            <w:noWrap w:val="0"/>
            <w:vAlign w:val="top"/>
          </w:tcPr>
          <w:p w14:paraId="7ECF8F1F">
            <w:pPr>
              <w:shd w:val="clear" w:color="auto"/>
              <w:kinsoku/>
              <w:overflowPunct/>
              <w:topLinePunct w:val="0"/>
              <w:bidi w:val="0"/>
              <w:spacing w:line="500" w:lineRule="exact"/>
              <w:rPr>
                <w:rFonts w:hint="eastAsia" w:ascii="宋体" w:hAnsi="宋体" w:eastAsia="宋体" w:cs="宋体"/>
                <w:color w:val="auto"/>
                <w:sz w:val="24"/>
                <w:szCs w:val="24"/>
                <w:highlight w:val="none"/>
              </w:rPr>
            </w:pPr>
          </w:p>
        </w:tc>
      </w:tr>
      <w:tr w14:paraId="3ECB0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1237" w:type="dxa"/>
            <w:vMerge w:val="continue"/>
            <w:tcBorders>
              <w:left w:val="single" w:color="auto" w:sz="4" w:space="0"/>
              <w:right w:val="single" w:color="auto" w:sz="4" w:space="0"/>
            </w:tcBorders>
            <w:noWrap w:val="0"/>
            <w:vAlign w:val="center"/>
          </w:tcPr>
          <w:p w14:paraId="0790DC06">
            <w:pPr>
              <w:shd w:val="clear" w:color="auto"/>
              <w:kinsoku/>
              <w:overflowPunct/>
              <w:topLinePunct w:val="0"/>
              <w:bidi w:val="0"/>
              <w:spacing w:line="500" w:lineRule="exact"/>
              <w:rPr>
                <w:rFonts w:hint="eastAsia" w:ascii="宋体" w:hAnsi="宋体" w:eastAsia="宋体" w:cs="宋体"/>
                <w:color w:val="auto"/>
                <w:sz w:val="24"/>
                <w:szCs w:val="24"/>
                <w:highlight w:val="none"/>
              </w:rPr>
            </w:pPr>
          </w:p>
        </w:tc>
        <w:tc>
          <w:tcPr>
            <w:tcW w:w="561" w:type="dxa"/>
            <w:tcBorders>
              <w:left w:val="single" w:color="auto" w:sz="4" w:space="0"/>
            </w:tcBorders>
            <w:noWrap w:val="0"/>
            <w:vAlign w:val="center"/>
          </w:tcPr>
          <w:p w14:paraId="7EA1EE1E">
            <w:pPr>
              <w:shd w:val="clear" w:color="auto"/>
              <w:kinsoku/>
              <w:overflowPunct/>
              <w:topLinePunct w:val="0"/>
              <w:bidi w:val="0"/>
              <w:spacing w:line="5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6271" w:type="dxa"/>
            <w:tcBorders>
              <w:right w:val="single" w:color="auto" w:sz="4" w:space="0"/>
            </w:tcBorders>
            <w:noWrap w:val="0"/>
            <w:vAlign w:val="center"/>
          </w:tcPr>
          <w:p w14:paraId="40AE63A1">
            <w:pPr>
              <w:keepNext w:val="0"/>
              <w:keepLines w:val="0"/>
              <w:pageBreakBefore w:val="0"/>
              <w:widowControl/>
              <w:shd w:val="clear" w:color="auto"/>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投标有效期满足招标文件要求。</w:t>
            </w:r>
          </w:p>
        </w:tc>
        <w:tc>
          <w:tcPr>
            <w:tcW w:w="482" w:type="dxa"/>
            <w:tcBorders>
              <w:left w:val="single" w:color="auto" w:sz="4" w:space="0"/>
            </w:tcBorders>
            <w:noWrap w:val="0"/>
            <w:vAlign w:val="top"/>
          </w:tcPr>
          <w:p w14:paraId="4F5D8FA0">
            <w:pPr>
              <w:shd w:val="clear" w:color="auto"/>
              <w:kinsoku/>
              <w:overflowPunct/>
              <w:topLinePunct w:val="0"/>
              <w:bidi w:val="0"/>
              <w:spacing w:line="500" w:lineRule="exact"/>
              <w:rPr>
                <w:rFonts w:hint="eastAsia" w:ascii="宋体" w:hAnsi="宋体" w:eastAsia="宋体" w:cs="宋体"/>
                <w:color w:val="auto"/>
                <w:sz w:val="24"/>
                <w:szCs w:val="24"/>
                <w:highlight w:val="none"/>
              </w:rPr>
            </w:pPr>
          </w:p>
        </w:tc>
        <w:tc>
          <w:tcPr>
            <w:tcW w:w="884" w:type="dxa"/>
            <w:tcBorders>
              <w:right w:val="single" w:color="auto" w:sz="4" w:space="0"/>
            </w:tcBorders>
            <w:noWrap w:val="0"/>
            <w:vAlign w:val="top"/>
          </w:tcPr>
          <w:p w14:paraId="0903BCB1">
            <w:pPr>
              <w:shd w:val="clear" w:color="auto"/>
              <w:kinsoku/>
              <w:overflowPunct/>
              <w:topLinePunct w:val="0"/>
              <w:bidi w:val="0"/>
              <w:spacing w:line="500" w:lineRule="exact"/>
              <w:rPr>
                <w:rFonts w:hint="eastAsia" w:ascii="宋体" w:hAnsi="宋体" w:eastAsia="宋体" w:cs="宋体"/>
                <w:color w:val="auto"/>
                <w:sz w:val="24"/>
                <w:szCs w:val="24"/>
                <w:highlight w:val="none"/>
              </w:rPr>
            </w:pPr>
          </w:p>
        </w:tc>
      </w:tr>
      <w:tr w14:paraId="00DC9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0" w:hRule="atLeast"/>
        </w:trPr>
        <w:tc>
          <w:tcPr>
            <w:tcW w:w="1237" w:type="dxa"/>
            <w:vMerge w:val="continue"/>
            <w:tcBorders>
              <w:left w:val="single" w:color="auto" w:sz="4" w:space="0"/>
              <w:right w:val="single" w:color="auto" w:sz="4" w:space="0"/>
            </w:tcBorders>
            <w:noWrap w:val="0"/>
            <w:vAlign w:val="center"/>
          </w:tcPr>
          <w:p w14:paraId="4D36ABA0">
            <w:pPr>
              <w:shd w:val="clear" w:color="auto"/>
              <w:kinsoku/>
              <w:overflowPunct/>
              <w:topLinePunct w:val="0"/>
              <w:bidi w:val="0"/>
              <w:spacing w:line="500" w:lineRule="exact"/>
              <w:rPr>
                <w:rFonts w:hint="eastAsia" w:ascii="宋体" w:hAnsi="宋体" w:eastAsia="宋体" w:cs="宋体"/>
                <w:color w:val="auto"/>
                <w:sz w:val="24"/>
                <w:szCs w:val="24"/>
                <w:highlight w:val="none"/>
              </w:rPr>
            </w:pPr>
          </w:p>
        </w:tc>
        <w:tc>
          <w:tcPr>
            <w:tcW w:w="561" w:type="dxa"/>
            <w:tcBorders>
              <w:left w:val="single" w:color="auto" w:sz="4" w:space="0"/>
            </w:tcBorders>
            <w:noWrap w:val="0"/>
            <w:vAlign w:val="center"/>
          </w:tcPr>
          <w:p w14:paraId="6C21D1A3">
            <w:pPr>
              <w:shd w:val="clear" w:color="auto"/>
              <w:kinsoku/>
              <w:overflowPunct/>
              <w:topLinePunct w:val="0"/>
              <w:bidi w:val="0"/>
              <w:spacing w:line="5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6271" w:type="dxa"/>
            <w:tcBorders>
              <w:right w:val="single" w:color="auto" w:sz="4" w:space="0"/>
            </w:tcBorders>
            <w:noWrap w:val="0"/>
            <w:vAlign w:val="center"/>
          </w:tcPr>
          <w:p w14:paraId="79C58F89">
            <w:pPr>
              <w:keepNext w:val="0"/>
              <w:keepLines w:val="0"/>
              <w:pageBreakBefore w:val="0"/>
              <w:widowControl/>
              <w:shd w:val="clear" w:color="auto"/>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响应文件未附有招标人不能接受的附加条件及法律、法规和</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文件规定的其他无效情形。</w:t>
            </w:r>
          </w:p>
        </w:tc>
        <w:tc>
          <w:tcPr>
            <w:tcW w:w="482" w:type="dxa"/>
            <w:tcBorders>
              <w:left w:val="single" w:color="auto" w:sz="4" w:space="0"/>
            </w:tcBorders>
            <w:noWrap w:val="0"/>
            <w:vAlign w:val="top"/>
          </w:tcPr>
          <w:p w14:paraId="1244C4CC">
            <w:pPr>
              <w:shd w:val="clear" w:color="auto"/>
              <w:kinsoku/>
              <w:overflowPunct/>
              <w:topLinePunct w:val="0"/>
              <w:bidi w:val="0"/>
              <w:spacing w:line="500" w:lineRule="exact"/>
              <w:rPr>
                <w:rFonts w:hint="eastAsia" w:ascii="宋体" w:hAnsi="宋体" w:eastAsia="宋体" w:cs="宋体"/>
                <w:color w:val="auto"/>
                <w:sz w:val="24"/>
                <w:szCs w:val="24"/>
                <w:highlight w:val="none"/>
              </w:rPr>
            </w:pPr>
          </w:p>
        </w:tc>
        <w:tc>
          <w:tcPr>
            <w:tcW w:w="884" w:type="dxa"/>
            <w:tcBorders>
              <w:right w:val="single" w:color="auto" w:sz="4" w:space="0"/>
            </w:tcBorders>
            <w:noWrap w:val="0"/>
            <w:vAlign w:val="top"/>
          </w:tcPr>
          <w:p w14:paraId="4FCFD681">
            <w:pPr>
              <w:shd w:val="clear" w:color="auto"/>
              <w:kinsoku/>
              <w:overflowPunct/>
              <w:topLinePunct w:val="0"/>
              <w:bidi w:val="0"/>
              <w:spacing w:line="500" w:lineRule="exact"/>
              <w:rPr>
                <w:rFonts w:hint="eastAsia" w:ascii="宋体" w:hAnsi="宋体" w:eastAsia="宋体" w:cs="宋体"/>
                <w:color w:val="auto"/>
                <w:sz w:val="24"/>
                <w:szCs w:val="24"/>
                <w:highlight w:val="none"/>
              </w:rPr>
            </w:pPr>
          </w:p>
        </w:tc>
      </w:tr>
      <w:tr w14:paraId="5698E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237" w:type="dxa"/>
            <w:tcBorders>
              <w:left w:val="single" w:color="auto" w:sz="4" w:space="0"/>
              <w:bottom w:val="single" w:color="auto" w:sz="4" w:space="0"/>
              <w:right w:val="single" w:color="auto" w:sz="4" w:space="0"/>
            </w:tcBorders>
            <w:noWrap w:val="0"/>
            <w:vAlign w:val="center"/>
          </w:tcPr>
          <w:p w14:paraId="53E39846">
            <w:pPr>
              <w:shd w:val="clear" w:color="auto"/>
              <w:kinsoku/>
              <w:overflowPunct/>
              <w:topLinePunct w:val="0"/>
              <w:bidi w:val="0"/>
              <w:spacing w:line="500" w:lineRule="exact"/>
              <w:jc w:val="center"/>
              <w:rPr>
                <w:rFonts w:hint="eastAsia" w:ascii="宋体" w:hAnsi="宋体" w:eastAsia="宋体" w:cs="宋体"/>
                <w:color w:val="auto"/>
                <w:sz w:val="24"/>
                <w:szCs w:val="24"/>
                <w:highlight w:val="none"/>
              </w:rPr>
            </w:pPr>
          </w:p>
        </w:tc>
        <w:tc>
          <w:tcPr>
            <w:tcW w:w="6832" w:type="dxa"/>
            <w:gridSpan w:val="2"/>
            <w:tcBorders>
              <w:left w:val="single" w:color="auto" w:sz="4" w:space="0"/>
              <w:bottom w:val="single" w:color="auto" w:sz="4" w:space="0"/>
              <w:right w:val="single" w:color="auto" w:sz="4" w:space="0"/>
            </w:tcBorders>
            <w:noWrap w:val="0"/>
            <w:vAlign w:val="top"/>
          </w:tcPr>
          <w:p w14:paraId="0DAAE7DE">
            <w:pPr>
              <w:shd w:val="clear" w:color="auto"/>
              <w:kinsoku/>
              <w:overflowPunct/>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结论：是否通过评审（须填写通过或不通过）</w:t>
            </w:r>
          </w:p>
          <w:p w14:paraId="0F542125">
            <w:pPr>
              <w:shd w:val="clear" w:color="auto"/>
              <w:kinsoku/>
              <w:overflowPunct/>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14:paraId="67410BFE">
            <w:pPr>
              <w:shd w:val="clear" w:color="auto"/>
              <w:kinsoku/>
              <w:overflowPunct/>
              <w:topLinePunct w:val="0"/>
              <w:bidi w:val="0"/>
              <w:spacing w:line="500" w:lineRule="exact"/>
              <w:rPr>
                <w:rFonts w:hint="eastAsia" w:ascii="宋体" w:hAnsi="宋体" w:eastAsia="宋体" w:cs="宋体"/>
                <w:color w:val="auto"/>
                <w:sz w:val="24"/>
                <w:szCs w:val="24"/>
                <w:highlight w:val="none"/>
              </w:rPr>
            </w:pPr>
          </w:p>
        </w:tc>
      </w:tr>
    </w:tbl>
    <w:p w14:paraId="1521C298">
      <w:pPr>
        <w:shd w:val="clear" w:color="auto"/>
        <w:kinsoku/>
        <w:overflowPunct/>
        <w:topLinePunct w:val="0"/>
        <w:bidi w:val="0"/>
        <w:spacing w:line="500" w:lineRule="exact"/>
        <w:rPr>
          <w:rFonts w:hint="eastAsia" w:ascii="宋体" w:hAnsi="宋体" w:eastAsia="宋体" w:cs="宋体"/>
          <w:color w:val="auto"/>
          <w:sz w:val="24"/>
          <w:szCs w:val="24"/>
          <w:highlight w:val="none"/>
        </w:rPr>
      </w:pPr>
    </w:p>
    <w:p w14:paraId="424948DA">
      <w:pPr>
        <w:shd w:val="clear" w:color="auto"/>
        <w:kinsoku/>
        <w:overflowPunct/>
        <w:topLinePunct w:val="0"/>
        <w:bidi w:val="0"/>
        <w:spacing w:line="500" w:lineRule="exact"/>
        <w:ind w:firstLine="578" w:firstLineChars="2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.2评委会判定投标文件的响应性只根据投标文件本身的内容，而不寻求外部的证据，但投标有不真实不正确的内容时除外。</w:t>
      </w:r>
    </w:p>
    <w:p w14:paraId="74D65590">
      <w:pPr>
        <w:shd w:val="clear" w:color="auto"/>
        <w:kinsoku/>
        <w:overflowPunct/>
        <w:topLinePunct w:val="0"/>
        <w:bidi w:val="0"/>
        <w:spacing w:line="500" w:lineRule="exact"/>
        <w:ind w:firstLine="578" w:firstLineChars="2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.3如果投标文件实质上没有响应</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的要求，评委会将予以拒绝，投标人不得通过修正或撤销不符合要求的偏离或保留，而使其投标成为实质上响应的投标。</w:t>
      </w:r>
    </w:p>
    <w:p w14:paraId="482B5904">
      <w:pPr>
        <w:shd w:val="clear" w:color="auto"/>
        <w:kinsoku/>
        <w:overflowPunct/>
        <w:topLinePunct w:val="0"/>
        <w:bidi w:val="0"/>
        <w:spacing w:line="50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只有通过初审的投标人才能进入下一步评标程序。</w:t>
      </w:r>
    </w:p>
    <w:p w14:paraId="1EC7594E">
      <w:pPr>
        <w:shd w:val="clear" w:color="auto"/>
        <w:kinsoku/>
        <w:overflowPunct/>
        <w:topLinePunct w:val="0"/>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p>
    <w:p w14:paraId="52BF7EC1">
      <w:pPr>
        <w:shd w:val="clear" w:color="auto"/>
        <w:kinsoku/>
        <w:overflowPunct/>
        <w:topLinePunct w:val="0"/>
        <w:bidi w:val="0"/>
        <w:spacing w:before="156" w:beforeLines="50" w:line="500" w:lineRule="exact"/>
        <w:jc w:val="center"/>
        <w:outlineLvl w:val="1"/>
        <w:rPr>
          <w:rFonts w:hint="eastAsia" w:ascii="宋体" w:hAnsi="宋体" w:eastAsia="宋体" w:cs="宋体"/>
          <w:b/>
          <w:color w:val="auto"/>
          <w:sz w:val="24"/>
          <w:szCs w:val="24"/>
          <w:highlight w:val="none"/>
        </w:rPr>
      </w:pPr>
      <w:bookmarkStart w:id="50" w:name="_Toc362983803"/>
      <w:bookmarkStart w:id="51" w:name="_Toc469495734"/>
      <w:r>
        <w:rPr>
          <w:rFonts w:hint="eastAsia" w:ascii="宋体" w:hAnsi="宋体" w:eastAsia="宋体" w:cs="宋体"/>
          <w:b/>
          <w:color w:val="auto"/>
          <w:sz w:val="24"/>
          <w:szCs w:val="24"/>
          <w:highlight w:val="none"/>
        </w:rPr>
        <w:t>三  投标文件的澄清和补正</w:t>
      </w:r>
      <w:bookmarkEnd w:id="50"/>
      <w:bookmarkEnd w:id="51"/>
    </w:p>
    <w:p w14:paraId="71D33FAA">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8．澄清、说明或补正的形式</w:t>
      </w:r>
    </w:p>
    <w:p w14:paraId="434A14B6">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8.1对于投标文件中含义不明确、同类问题表述不一致或者有明显文字和计算错误的内容，评标委员会将通过“政府采购云平台”在线询标的方式要求投标投标单位在规定的时间内作出必要的澄清、说明或者补正，投标投标单位澄清、说明或补正时间为20分钟。</w:t>
      </w:r>
    </w:p>
    <w:p w14:paraId="1BD7C6D2">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8.2投标投标单位的澄清、说明或者补正应当通过“政府采购云平台”在线答复的方式提交，并加盖公章（电子印章），或者由法定代表人（负责人）或其授权的代表签章。投标投标单位的澄清、说明或者补正不得超出投标文件的范围或者改变投标文件的实质性内容，不接受投标投标单位主动对投标文件的澄清、说明或者补正。</w:t>
      </w:r>
    </w:p>
    <w:p w14:paraId="198AFAF1">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8.3上述询标、澄清、说明和补正工作如因客观原因无法通过“政府采购云平台”在线进行的，将采用电子邮件等形式进行，请投标单位保证办理投标事宜人员电话畅通、网络在线。如未及时进行澄清、说明或者补正的，视为放弃澄清、说明或者补正的权利。</w:t>
      </w:r>
    </w:p>
    <w:p w14:paraId="169DC832">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9．错误修正的原则</w:t>
      </w:r>
    </w:p>
    <w:p w14:paraId="67AD1CC7">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14:paraId="535D88ED">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投标文件报价出现前后不一致的，除采购文件另有规定外，按照下列规定修正：</w:t>
      </w:r>
    </w:p>
    <w:p w14:paraId="0A7CA3EE">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9.1 投标函中表述的内容与报价表中不一致的，以报价表为准；报价表中的内容与报价明细表不一致的，以报价表为准；</w:t>
      </w:r>
    </w:p>
    <w:p w14:paraId="66317FF8">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9.2 投标文件中的大写金额和小写金额不一致的，以大写金额为准；</w:t>
      </w:r>
    </w:p>
    <w:p w14:paraId="36FD66D9">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9.3 单价金额小数点或者百分比有明显错位的，以开标一览表的总价为准，并修改单价；</w:t>
      </w:r>
    </w:p>
    <w:p w14:paraId="6AA198DD">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9.4 总价金额与按单价汇总金额不一致的，以单价金额计算结果为准；</w:t>
      </w:r>
    </w:p>
    <w:p w14:paraId="5322F8D9">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9.5 若用文字表示的数值与用数字表示的数值不一致，以文字表示的数值为准；</w:t>
      </w:r>
    </w:p>
    <w:p w14:paraId="43E0BC56">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9.6 如有多报（指数量超出采购文件需求）、重报（指同一货物重复报价），其投标总价在评标过程中不予调整，如其中标，其合同价按其投标单价予以调整；</w:t>
      </w:r>
    </w:p>
    <w:p w14:paraId="418D4F58">
      <w:pPr>
        <w:shd w:val="clear" w:color="auto"/>
        <w:kinsoku/>
        <w:overflowPunct/>
        <w:topLinePunct w:val="0"/>
        <w:bidi w:val="0"/>
        <w:spacing w:line="500" w:lineRule="exact"/>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9.7 对不同文字文本投标文件的解释发生异议的，以中文文本为准；</w:t>
      </w:r>
    </w:p>
    <w:p w14:paraId="22378CF9">
      <w:pPr>
        <w:shd w:val="clear" w:color="auto"/>
        <w:kinsoku/>
        <w:overflowPunct/>
        <w:topLinePunct w:val="0"/>
        <w:bidi w:val="0"/>
        <w:spacing w:line="50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同时出现两种以上不一致的，按照前款规定的顺序修正。按上述修正错误的原则及方法调整或修正投标文件的投标报价，投标单位确认后，以调整或修正后的投标报价为准。如投标单位拒绝调整或修正的，其投标文件按无效标处理。修正应当采用电子询标的形式，并加盖公章（电子印章）。</w:t>
      </w:r>
    </w:p>
    <w:p w14:paraId="13D590FD">
      <w:pPr>
        <w:shd w:val="clear" w:color="auto"/>
        <w:kinsoku/>
        <w:overflowPunct/>
        <w:topLinePunct w:val="0"/>
        <w:bidi w:val="0"/>
        <w:spacing w:line="500" w:lineRule="exact"/>
        <w:jc w:val="center"/>
        <w:outlineLvl w:val="1"/>
        <w:rPr>
          <w:rFonts w:hint="eastAsia" w:ascii="宋体" w:hAnsi="宋体" w:eastAsia="宋体" w:cs="宋体"/>
          <w:b/>
          <w:color w:val="auto"/>
          <w:sz w:val="24"/>
          <w:szCs w:val="24"/>
          <w:highlight w:val="none"/>
        </w:rPr>
      </w:pPr>
      <w:bookmarkStart w:id="52" w:name="_Toc469495735"/>
      <w:r>
        <w:rPr>
          <w:rFonts w:hint="eastAsia" w:ascii="宋体" w:hAnsi="宋体" w:eastAsia="宋体" w:cs="宋体"/>
          <w:b/>
          <w:color w:val="auto"/>
          <w:sz w:val="24"/>
          <w:szCs w:val="24"/>
          <w:highlight w:val="none"/>
        </w:rPr>
        <w:t>四 比较与评价</w:t>
      </w:r>
      <w:bookmarkEnd w:id="52"/>
    </w:p>
    <w:p w14:paraId="1139EB5E">
      <w:pPr>
        <w:shd w:val="clear" w:color="auto"/>
        <w:tabs>
          <w:tab w:val="left" w:pos="720"/>
        </w:tabs>
        <w:kinsoku/>
        <w:overflowPunct/>
        <w:topLinePunct w:val="0"/>
        <w:bidi w:val="0"/>
        <w:spacing w:line="500" w:lineRule="exact"/>
        <w:ind w:firstLine="612" w:firstLineChars="255"/>
        <w:rPr>
          <w:rFonts w:hint="eastAsia" w:ascii="宋体" w:hAnsi="宋体" w:eastAsia="宋体" w:cs="宋体"/>
          <w:color w:val="auto"/>
          <w:sz w:val="24"/>
          <w:szCs w:val="24"/>
          <w:highlight w:val="none"/>
          <w:lang w:bidi="ar-SA"/>
        </w:rPr>
      </w:pPr>
      <w:bookmarkStart w:id="53" w:name="_Toc362983805"/>
      <w:bookmarkStart w:id="54" w:name="_Toc469495736"/>
      <w:r>
        <w:rPr>
          <w:rFonts w:hint="eastAsia" w:ascii="宋体" w:hAnsi="宋体" w:eastAsia="宋体" w:cs="宋体"/>
          <w:color w:val="auto"/>
          <w:sz w:val="24"/>
          <w:szCs w:val="24"/>
          <w:highlight w:val="none"/>
          <w:lang w:val="en-US" w:eastAsia="zh-CN" w:bidi="ar-SA"/>
        </w:rPr>
        <w:t>10.1</w:t>
      </w:r>
      <w:r>
        <w:rPr>
          <w:rFonts w:hint="eastAsia" w:ascii="宋体" w:hAnsi="宋体" w:eastAsia="宋体" w:cs="宋体"/>
          <w:color w:val="auto"/>
          <w:sz w:val="24"/>
          <w:szCs w:val="24"/>
          <w:highlight w:val="none"/>
          <w:lang w:bidi="ar-SA"/>
        </w:rPr>
        <w:t>评标委员会按招标文件中规定的评标方法和标准，对资格性检查和符合性检查合格的投标文件进行商务和技术评估、综合比较与评价。</w:t>
      </w:r>
    </w:p>
    <w:p w14:paraId="594C3ECB">
      <w:pPr>
        <w:shd w:val="clear" w:color="auto"/>
        <w:kinsoku/>
        <w:overflowPunct/>
        <w:topLinePunct w:val="0"/>
        <w:bidi w:val="0"/>
        <w:spacing w:line="500" w:lineRule="exact"/>
        <w:ind w:firstLine="616" w:firstLineChars="257"/>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val="en-US" w:eastAsia="zh-CN" w:bidi="ar-SA"/>
        </w:rPr>
        <w:t>10.2</w:t>
      </w:r>
      <w:r>
        <w:rPr>
          <w:rFonts w:hint="eastAsia" w:ascii="宋体" w:hAnsi="宋体" w:eastAsia="宋体" w:cs="宋体"/>
          <w:color w:val="auto"/>
          <w:sz w:val="24"/>
          <w:szCs w:val="24"/>
          <w:highlight w:val="none"/>
          <w:lang w:bidi="ar-SA"/>
        </w:rPr>
        <w:t>评标委员会根据商务和技术评估的结果，采用综合评分法，分别对投标文件的商务、技术、价格等内容进行打分。其中，商务评估、技术评估、价格评估的评分权值（详见附件1）。</w:t>
      </w:r>
    </w:p>
    <w:p w14:paraId="659D88F0">
      <w:pPr>
        <w:shd w:val="clear" w:color="auto"/>
        <w:kinsoku/>
        <w:overflowPunct/>
        <w:topLinePunct w:val="0"/>
        <w:bidi w:val="0"/>
        <w:spacing w:line="500" w:lineRule="exact"/>
        <w:ind w:firstLine="616" w:firstLineChars="257"/>
        <w:rPr>
          <w:rFonts w:hint="eastAsia" w:ascii="宋体" w:hAnsi="宋体" w:eastAsia="宋体" w:cs="宋体"/>
          <w:bCs/>
          <w:color w:val="auto"/>
          <w:sz w:val="24"/>
          <w:szCs w:val="24"/>
          <w:highlight w:val="none"/>
          <w:lang w:bidi="ar-SA"/>
        </w:rPr>
      </w:pPr>
      <w:r>
        <w:rPr>
          <w:rFonts w:hint="eastAsia" w:ascii="宋体" w:hAnsi="宋体" w:eastAsia="宋体" w:cs="宋体"/>
          <w:color w:val="auto"/>
          <w:sz w:val="24"/>
          <w:szCs w:val="24"/>
          <w:highlight w:val="none"/>
          <w:lang w:val="en-US" w:eastAsia="zh-CN" w:bidi="ar-SA"/>
        </w:rPr>
        <w:t>10.</w:t>
      </w:r>
      <w:r>
        <w:rPr>
          <w:rFonts w:hint="eastAsia" w:ascii="宋体" w:hAnsi="宋体" w:eastAsia="宋体" w:cs="宋体"/>
          <w:bCs/>
          <w:color w:val="auto"/>
          <w:sz w:val="24"/>
          <w:szCs w:val="24"/>
          <w:highlight w:val="none"/>
          <w:lang w:val="en-US" w:eastAsia="zh-CN" w:bidi="ar-SA"/>
        </w:rPr>
        <w:t>2.1</w:t>
      </w:r>
      <w:r>
        <w:rPr>
          <w:rFonts w:hint="eastAsia" w:ascii="宋体" w:hAnsi="宋体" w:eastAsia="宋体" w:cs="宋体"/>
          <w:bCs/>
          <w:color w:val="auto"/>
          <w:sz w:val="24"/>
          <w:szCs w:val="24"/>
          <w:highlight w:val="none"/>
          <w:lang w:bidi="ar-SA"/>
        </w:rPr>
        <w:t>评委打分办法</w:t>
      </w:r>
    </w:p>
    <w:p w14:paraId="1D0E3E2B">
      <w:pPr>
        <w:shd w:val="clear" w:color="auto"/>
        <w:kinsoku/>
        <w:overflowPunct/>
        <w:topLinePunct w:val="0"/>
        <w:bidi w:val="0"/>
        <w:spacing w:line="500" w:lineRule="exact"/>
        <w:ind w:firstLine="616" w:firstLineChars="257"/>
        <w:rPr>
          <w:rFonts w:hint="eastAsia" w:ascii="宋体" w:hAnsi="宋体" w:eastAsia="宋体" w:cs="宋体"/>
          <w:color w:val="auto"/>
          <w:sz w:val="24"/>
          <w:szCs w:val="24"/>
          <w:highlight w:val="none"/>
          <w:lang w:bidi="ar-SA"/>
        </w:rPr>
      </w:pPr>
      <w:r>
        <w:rPr>
          <w:rFonts w:hint="eastAsia" w:ascii="宋体" w:hAnsi="宋体" w:eastAsia="宋体" w:cs="宋体"/>
          <w:bCs/>
          <w:color w:val="auto"/>
          <w:sz w:val="24"/>
          <w:szCs w:val="24"/>
          <w:highlight w:val="none"/>
          <w:lang w:bidi="ar-SA"/>
        </w:rPr>
        <w:t>（1）</w:t>
      </w:r>
      <w:r>
        <w:rPr>
          <w:rFonts w:hint="eastAsia" w:ascii="宋体" w:hAnsi="宋体" w:eastAsia="宋体" w:cs="宋体"/>
          <w:color w:val="auto"/>
          <w:sz w:val="24"/>
          <w:szCs w:val="24"/>
          <w:highlight w:val="none"/>
          <w:lang w:bidi="ar-SA"/>
        </w:rPr>
        <w:t>参加评分的评委应尽力体现客观、实事求是，避免学派偏见和个人偏好。</w:t>
      </w:r>
    </w:p>
    <w:p w14:paraId="48391237">
      <w:pPr>
        <w:shd w:val="clear" w:color="auto"/>
        <w:kinsoku/>
        <w:overflowPunct/>
        <w:topLinePunct w:val="0"/>
        <w:bidi w:val="0"/>
        <w:spacing w:line="500" w:lineRule="exact"/>
        <w:ind w:firstLine="616" w:firstLineChars="257"/>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（2）衡量、对比的依据，应以招标文件、投标文件、提供的正式试验数据、质询澄清中的文字为准，口头回答和收集的资料只作为参考。</w:t>
      </w:r>
    </w:p>
    <w:p w14:paraId="5D2AC08C">
      <w:pPr>
        <w:shd w:val="clear" w:color="auto"/>
        <w:kinsoku/>
        <w:overflowPunct/>
        <w:topLinePunct w:val="0"/>
        <w:bidi w:val="0"/>
        <w:spacing w:line="500" w:lineRule="exact"/>
        <w:ind w:firstLine="616" w:firstLineChars="257"/>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（3）评分主要是为比较各投标人的价格、商务和技术综合排序。</w:t>
      </w:r>
    </w:p>
    <w:p w14:paraId="2C167BD5">
      <w:pPr>
        <w:shd w:val="clear" w:color="auto"/>
        <w:kinsoku/>
        <w:overflowPunct/>
        <w:topLinePunct w:val="0"/>
        <w:bidi w:val="0"/>
        <w:spacing w:line="500" w:lineRule="exact"/>
        <w:ind w:firstLine="616" w:firstLineChars="257"/>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（4）评委打分采取记名形式。</w:t>
      </w:r>
    </w:p>
    <w:p w14:paraId="1470C38A">
      <w:pPr>
        <w:shd w:val="clear" w:color="auto"/>
        <w:kinsoku/>
        <w:overflowPunct/>
        <w:topLinePunct w:val="0"/>
        <w:bidi w:val="0"/>
        <w:spacing w:line="500" w:lineRule="exact"/>
        <w:ind w:firstLine="616" w:firstLineChars="257"/>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（5）各评委根据提供的技术打分表独立自主打分，任何人不得要求评委统一打分或统一确定等次顺序。</w:t>
      </w:r>
    </w:p>
    <w:p w14:paraId="77E43A34">
      <w:pPr>
        <w:shd w:val="clear" w:color="auto"/>
        <w:kinsoku/>
        <w:overflowPunct/>
        <w:topLinePunct w:val="0"/>
        <w:bidi w:val="0"/>
        <w:spacing w:line="500" w:lineRule="exact"/>
        <w:ind w:firstLine="616" w:firstLineChars="257"/>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（6）对打分表中的每项条款，各评委应根据投标文件、澄清材料、招标文件要求，按满足的程度给投标人打分。</w:t>
      </w:r>
    </w:p>
    <w:p w14:paraId="177155AC">
      <w:pPr>
        <w:shd w:val="clear" w:color="auto"/>
        <w:kinsoku/>
        <w:overflowPunct/>
        <w:topLinePunct w:val="0"/>
        <w:bidi w:val="0"/>
        <w:spacing w:line="500" w:lineRule="exact"/>
        <w:ind w:firstLine="616" w:firstLineChars="257"/>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（7）评分程序</w:t>
      </w:r>
    </w:p>
    <w:p w14:paraId="487AE3ED">
      <w:pPr>
        <w:shd w:val="clear" w:color="auto"/>
        <w:kinsoku/>
        <w:overflowPunct/>
        <w:topLinePunct w:val="0"/>
        <w:bidi w:val="0"/>
        <w:spacing w:line="500" w:lineRule="exact"/>
        <w:ind w:firstLine="616" w:firstLineChars="257"/>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1)就投标人的投标文件对照整理出商务、技术评标因素对比表、偏差表，并在经过校核的基础上逐项打分。</w:t>
      </w:r>
    </w:p>
    <w:p w14:paraId="7E918A6A">
      <w:pPr>
        <w:shd w:val="clear" w:color="auto"/>
        <w:kinsoku/>
        <w:overflowPunct/>
        <w:topLinePunct w:val="0"/>
        <w:bidi w:val="0"/>
        <w:spacing w:line="500" w:lineRule="exact"/>
        <w:ind w:firstLine="616" w:firstLineChars="257"/>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2)各评委独立完成打分后，将评分表交给代理机构，由代理机构组织进行分数统计。</w:t>
      </w:r>
    </w:p>
    <w:p w14:paraId="497B9AF5">
      <w:pPr>
        <w:shd w:val="clear" w:color="auto"/>
        <w:kinsoku/>
        <w:overflowPunct/>
        <w:topLinePunct w:val="0"/>
        <w:bidi w:val="0"/>
        <w:spacing w:line="500" w:lineRule="exact"/>
        <w:ind w:firstLine="616" w:firstLineChars="257"/>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3)最终汇总表中各投标人得分应为评委打分的算术平均值。</w:t>
      </w:r>
    </w:p>
    <w:p w14:paraId="7827E44D">
      <w:pPr>
        <w:numPr>
          <w:ilvl w:val="0"/>
          <w:numId w:val="0"/>
        </w:numPr>
        <w:shd w:val="clear" w:color="auto"/>
        <w:kinsoku/>
        <w:overflowPunct/>
        <w:topLinePunct w:val="0"/>
        <w:bidi w:val="0"/>
        <w:spacing w:line="500" w:lineRule="exact"/>
        <w:ind w:firstLine="480" w:firstLineChars="200"/>
        <w:jc w:val="left"/>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bidi="ar-SA"/>
        </w:rPr>
        <w:t>（8）评分标准和细则（综合评分法评分标准）</w:t>
      </w:r>
    </w:p>
    <w:tbl>
      <w:tblPr>
        <w:tblStyle w:val="34"/>
        <w:tblW w:w="8522"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
        <w:gridCol w:w="592"/>
        <w:gridCol w:w="1277"/>
        <w:gridCol w:w="5031"/>
        <w:gridCol w:w="1120"/>
      </w:tblGrid>
      <w:tr w14:paraId="11BB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noWrap w:val="0"/>
            <w:vAlign w:val="center"/>
          </w:tcPr>
          <w:p w14:paraId="6F612A64">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序号</w:t>
            </w:r>
          </w:p>
        </w:tc>
        <w:tc>
          <w:tcPr>
            <w:tcW w:w="0" w:type="auto"/>
            <w:noWrap w:val="0"/>
            <w:vAlign w:val="center"/>
          </w:tcPr>
          <w:p w14:paraId="42E8B64E">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评标项目</w:t>
            </w:r>
          </w:p>
        </w:tc>
        <w:tc>
          <w:tcPr>
            <w:tcW w:w="1277" w:type="dxa"/>
            <w:noWrap w:val="0"/>
            <w:vAlign w:val="center"/>
          </w:tcPr>
          <w:p w14:paraId="3E46089C">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评</w:t>
            </w:r>
            <w:r>
              <w:rPr>
                <w:rFonts w:hint="eastAsia" w:asciiTheme="minorEastAsia" w:hAnsiTheme="minorEastAsia" w:eastAsiaTheme="minorEastAsia" w:cstheme="minorEastAsia"/>
                <w:b/>
                <w:sz w:val="24"/>
                <w:szCs w:val="24"/>
                <w:highlight w:val="none"/>
              </w:rPr>
              <w:t>准分值</w:t>
            </w:r>
          </w:p>
        </w:tc>
        <w:tc>
          <w:tcPr>
            <w:tcW w:w="5031" w:type="dxa"/>
            <w:noWrap w:val="0"/>
            <w:vAlign w:val="center"/>
          </w:tcPr>
          <w:p w14:paraId="49A48C9F">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评标内容</w:t>
            </w:r>
          </w:p>
        </w:tc>
        <w:tc>
          <w:tcPr>
            <w:tcW w:w="1120" w:type="dxa"/>
            <w:noWrap w:val="0"/>
            <w:vAlign w:val="center"/>
          </w:tcPr>
          <w:p w14:paraId="181B7E6E">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分值</w:t>
            </w:r>
          </w:p>
          <w:p w14:paraId="34B2DBF5">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（分）</w:t>
            </w:r>
          </w:p>
        </w:tc>
      </w:tr>
      <w:tr w14:paraId="14B0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noWrap w:val="0"/>
            <w:vAlign w:val="center"/>
          </w:tcPr>
          <w:p w14:paraId="0B9409AF">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0" w:type="auto"/>
            <w:noWrap w:val="0"/>
            <w:vAlign w:val="center"/>
          </w:tcPr>
          <w:p w14:paraId="5D98BB79">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经济部分</w:t>
            </w:r>
          </w:p>
        </w:tc>
        <w:tc>
          <w:tcPr>
            <w:tcW w:w="1277" w:type="dxa"/>
            <w:noWrap w:val="0"/>
            <w:vAlign w:val="center"/>
          </w:tcPr>
          <w:p w14:paraId="648B3770">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报价</w:t>
            </w:r>
          </w:p>
        </w:tc>
        <w:tc>
          <w:tcPr>
            <w:tcW w:w="5031" w:type="dxa"/>
            <w:noWrap w:val="0"/>
            <w:vAlign w:val="center"/>
          </w:tcPr>
          <w:p w14:paraId="40675A8A">
            <w:pPr>
              <w:keepNext/>
              <w:keepLines w:val="0"/>
              <w:suppressLineNumbers w:val="0"/>
              <w:bidi w:val="0"/>
              <w:adjustRightInd/>
              <w:snapToGrid w:val="0"/>
              <w:spacing w:before="0" w:beforeAutospacing="0" w:after="0" w:afterAutospacing="0"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价格分统一采用低价优先法计算，即满足</w:t>
            </w:r>
            <w:r>
              <w:rPr>
                <w:rFonts w:hint="eastAsia" w:asciiTheme="minorEastAsia" w:hAnsiTheme="minorEastAsia" w:eastAsiaTheme="minorEastAsia" w:cstheme="minorEastAsia"/>
                <w:sz w:val="24"/>
                <w:szCs w:val="24"/>
                <w:highlight w:val="none"/>
                <w:lang w:eastAsia="zh-CN"/>
              </w:rPr>
              <w:t>招标</w:t>
            </w:r>
            <w:r>
              <w:rPr>
                <w:rFonts w:hint="eastAsia" w:asciiTheme="minorEastAsia" w:hAnsiTheme="minorEastAsia" w:eastAsiaTheme="minorEastAsia" w:cstheme="minorEastAsia"/>
                <w:sz w:val="24"/>
                <w:szCs w:val="24"/>
                <w:highlight w:val="none"/>
              </w:rPr>
              <w:t>文件要求且最后报价最低的供应商的价格为基准价，其价格分为满分。其他供应商的价格分统一按照下列公式计算：投标报价得分=（评标基准价/最终报价）*价格权重*100</w:t>
            </w:r>
          </w:p>
        </w:tc>
        <w:tc>
          <w:tcPr>
            <w:tcW w:w="1120" w:type="dxa"/>
            <w:noWrap w:val="0"/>
            <w:vAlign w:val="center"/>
          </w:tcPr>
          <w:p w14:paraId="0B127C37">
            <w:pPr>
              <w:keepNext/>
              <w:keepLines w:val="0"/>
              <w:suppressLineNumbers w:val="0"/>
              <w:bidi w:val="0"/>
              <w:adjustRightInd/>
              <w:snapToGrid w:val="0"/>
              <w:spacing w:before="0" w:beforeAutospacing="0" w:after="0" w:afterAutospacing="0"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30</w:t>
            </w:r>
          </w:p>
        </w:tc>
      </w:tr>
      <w:tr w14:paraId="5180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restart"/>
            <w:noWrap w:val="0"/>
            <w:vAlign w:val="center"/>
          </w:tcPr>
          <w:p w14:paraId="788E2D78">
            <w:pPr>
              <w:keepNext/>
              <w:keepLines w:val="0"/>
              <w:suppressLineNumbers w:val="0"/>
              <w:bidi w:val="0"/>
              <w:adjustRightInd/>
              <w:snapToGrid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2</w:t>
            </w:r>
          </w:p>
        </w:tc>
        <w:tc>
          <w:tcPr>
            <w:tcW w:w="0" w:type="auto"/>
            <w:vMerge w:val="restart"/>
            <w:noWrap w:val="0"/>
            <w:vAlign w:val="center"/>
          </w:tcPr>
          <w:p w14:paraId="04FB4A05">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商务部分</w:t>
            </w:r>
          </w:p>
        </w:tc>
        <w:tc>
          <w:tcPr>
            <w:tcW w:w="1277" w:type="dxa"/>
            <w:noWrap w:val="0"/>
            <w:vAlign w:val="center"/>
          </w:tcPr>
          <w:p w14:paraId="195ED2B5">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业绩</w:t>
            </w:r>
          </w:p>
        </w:tc>
        <w:tc>
          <w:tcPr>
            <w:tcW w:w="5031" w:type="dxa"/>
            <w:noWrap w:val="0"/>
            <w:vAlign w:val="center"/>
          </w:tcPr>
          <w:p w14:paraId="623164B0">
            <w:pPr>
              <w:keepNext/>
              <w:keepLines w:val="0"/>
              <w:suppressLineNumbers w:val="0"/>
              <w:bidi w:val="0"/>
              <w:adjustRightInd/>
              <w:snapToGrid w:val="0"/>
              <w:spacing w:before="0" w:beforeAutospacing="0" w:after="0" w:afterAutospacing="0"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2023年6月1日至今，投标人具有建筑工程类全过程造价咨询业绩，每1个得2.5分；最高得5分；</w:t>
            </w:r>
          </w:p>
          <w:p w14:paraId="1BFA9D7F">
            <w:pPr>
              <w:keepNext/>
              <w:keepLines w:val="0"/>
              <w:suppressLineNumbers w:val="0"/>
              <w:bidi w:val="0"/>
              <w:adjustRightInd/>
              <w:snapToGrid w:val="0"/>
              <w:spacing w:before="0" w:beforeAutospacing="0" w:after="0" w:afterAutospacing="0"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注：业绩证明材料须提供造价咨询合同、中标通知书、中标公示截图、工程造价咨询业务征询客户意见单（客户意见单格式自拟，内容应包括项目名称、采购人名称、中标单位、造价咨询负责人、中标金额、工作评价）。以上材料均须复印件加盖投标人公章，业绩证明材料提供齐全视为有效业绩，未提供或提供不齐全视为无效业绩不得分。</w:t>
            </w:r>
          </w:p>
        </w:tc>
        <w:tc>
          <w:tcPr>
            <w:tcW w:w="1120" w:type="dxa"/>
            <w:noWrap w:val="0"/>
            <w:vAlign w:val="center"/>
          </w:tcPr>
          <w:p w14:paraId="63465BD8">
            <w:pPr>
              <w:keepNext/>
              <w:keepLines w:val="0"/>
              <w:suppressLineNumbers w:val="0"/>
              <w:bidi w:val="0"/>
              <w:adjustRightInd/>
              <w:snapToGrid w:val="0"/>
              <w:spacing w:before="0" w:beforeAutospacing="0" w:after="0" w:afterAutospacing="0" w:line="240" w:lineRule="auto"/>
              <w:ind w:left="0" w:leftChars="0" w:right="0" w:rightChars="0" w:firstLine="0" w:firstLineChars="0"/>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w:t>
            </w:r>
          </w:p>
        </w:tc>
      </w:tr>
      <w:tr w14:paraId="7447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33B85A30">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lang w:eastAsia="zh-CN"/>
              </w:rPr>
            </w:pPr>
          </w:p>
        </w:tc>
        <w:tc>
          <w:tcPr>
            <w:tcW w:w="0" w:type="auto"/>
            <w:vMerge w:val="continue"/>
            <w:noWrap w:val="0"/>
            <w:vAlign w:val="center"/>
          </w:tcPr>
          <w:p w14:paraId="095DDF4A">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rPr>
            </w:pPr>
          </w:p>
        </w:tc>
        <w:tc>
          <w:tcPr>
            <w:tcW w:w="1277" w:type="dxa"/>
            <w:noWrap w:val="0"/>
            <w:vAlign w:val="center"/>
          </w:tcPr>
          <w:p w14:paraId="6C16696E">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拟投入本项目团队成员</w:t>
            </w:r>
          </w:p>
        </w:tc>
        <w:tc>
          <w:tcPr>
            <w:tcW w:w="5031" w:type="dxa"/>
            <w:noWrap w:val="0"/>
            <w:vAlign w:val="center"/>
          </w:tcPr>
          <w:p w14:paraId="47B8B966">
            <w:pPr>
              <w:keepNext/>
              <w:keepLines w:val="0"/>
              <w:suppressLineNumbers w:val="0"/>
              <w:bidi w:val="0"/>
              <w:adjustRightInd/>
              <w:snapToGrid w:val="0"/>
              <w:spacing w:before="0" w:beforeAutospacing="0" w:after="0" w:afterAutospacing="0"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拟投入项目审计负责人自取得注册造价师证书之日起从事造价咨询工作0-5年</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含5年</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得1分,5-10年及以上得2分；其中具有高级职称的得2分，其他不得分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本项满分4分</w:t>
            </w:r>
            <w:r>
              <w:rPr>
                <w:rFonts w:hint="eastAsia" w:asciiTheme="minorEastAsia" w:hAnsiTheme="minorEastAsia" w:eastAsiaTheme="minorEastAsia" w:cstheme="minorEastAsia"/>
                <w:sz w:val="24"/>
                <w:szCs w:val="24"/>
                <w:highlight w:val="none"/>
              </w:rPr>
              <w:t>；</w:t>
            </w:r>
          </w:p>
          <w:p w14:paraId="000F8691">
            <w:pPr>
              <w:keepNext/>
              <w:keepLines w:val="0"/>
              <w:suppressLineNumbers w:val="0"/>
              <w:bidi w:val="0"/>
              <w:adjustRightInd/>
              <w:snapToGrid w:val="0"/>
              <w:spacing w:before="0" w:beforeAutospacing="0" w:after="0" w:afterAutospacing="0" w:line="240" w:lineRule="auto"/>
              <w:ind w:left="0" w:leftChars="0" w:right="0" w:rightChars="0" w:firstLine="0" w:firstLineChars="0"/>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拟投入本次项目审计人员中具有一级注册造价师的，每提供1人得1分，最高得3分；其中一级注册造价师具有高级职称的，每提供一人得1分，最高得3分；</w:t>
            </w:r>
            <w:r>
              <w:rPr>
                <w:rFonts w:hint="eastAsia" w:asciiTheme="minorEastAsia" w:hAnsiTheme="minorEastAsia" w:eastAsiaTheme="minorEastAsia" w:cstheme="minorEastAsia"/>
                <w:sz w:val="24"/>
                <w:szCs w:val="24"/>
                <w:highlight w:val="none"/>
                <w:lang w:val="en-US" w:eastAsia="zh-CN"/>
              </w:rPr>
              <w:t>本项满分6分。</w:t>
            </w:r>
          </w:p>
          <w:p w14:paraId="5A67864B">
            <w:pPr>
              <w:keepNext/>
              <w:keepLines w:val="0"/>
              <w:suppressLineNumbers w:val="0"/>
              <w:bidi w:val="0"/>
              <w:adjustRightInd/>
              <w:snapToGrid w:val="0"/>
              <w:spacing w:before="0" w:beforeAutospacing="0" w:after="0" w:afterAutospacing="0" w:line="240" w:lineRule="auto"/>
              <w:ind w:left="0" w:leftChars="0" w:right="0" w:rightChars="0" w:firstLine="0" w:firstLineChars="0"/>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拟投入项目竣工决算负责人自取得注册会计师证书之日起从事工作0-5年</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含5年</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分,5-10年及以上得2分；其中具有高级职称的得2分，其他不得分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本项满分4分。</w:t>
            </w:r>
          </w:p>
          <w:p w14:paraId="75BA57C0">
            <w:pPr>
              <w:keepNext/>
              <w:keepLines w:val="0"/>
              <w:suppressLineNumbers w:val="0"/>
              <w:bidi w:val="0"/>
              <w:adjustRightInd/>
              <w:snapToGrid w:val="0"/>
              <w:spacing w:before="0" w:beforeAutospacing="0" w:after="0" w:afterAutospacing="0" w:line="240" w:lineRule="auto"/>
              <w:ind w:left="0" w:leftChars="0" w:right="0" w:rightChars="0" w:firstLine="0" w:firstLineChars="0"/>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拟投入本次项目决算人员中具有注册会计师的，每提供1人得1分，最多得3分，其中注册会计师具有高级职称的，每提供一人的得1分，最高得3分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本项满分6分。</w:t>
            </w:r>
          </w:p>
          <w:p w14:paraId="30C03808">
            <w:pPr>
              <w:keepNext/>
              <w:keepLines w:val="0"/>
              <w:suppressLineNumbers w:val="0"/>
              <w:bidi w:val="0"/>
              <w:adjustRightInd/>
              <w:snapToGrid w:val="0"/>
              <w:spacing w:before="0" w:beforeAutospacing="0" w:after="0" w:afterAutospacing="0"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注：须附身份证、证书复印件及近3个月本单位的社保缴纳证明</w:t>
            </w:r>
            <w:r>
              <w:rPr>
                <w:rFonts w:hint="eastAsia" w:asciiTheme="minorEastAsia" w:hAnsiTheme="minorEastAsia" w:eastAsiaTheme="minorEastAsia" w:cstheme="minorEastAsia"/>
                <w:sz w:val="24"/>
                <w:szCs w:val="24"/>
                <w:highlight w:val="none"/>
                <w:lang w:val="en-US" w:eastAsia="zh-CN"/>
              </w:rPr>
              <w:t>或劳动合同</w:t>
            </w:r>
            <w:r>
              <w:rPr>
                <w:rFonts w:hint="eastAsia" w:asciiTheme="minorEastAsia" w:hAnsiTheme="minorEastAsia" w:eastAsiaTheme="minorEastAsia" w:cstheme="minorEastAsia"/>
                <w:sz w:val="24"/>
                <w:szCs w:val="24"/>
                <w:highlight w:val="none"/>
              </w:rPr>
              <w:t>。（退休人员须提供退休证及劳动合同证明</w:t>
            </w:r>
            <w:r>
              <w:rPr>
                <w:rFonts w:hint="eastAsia" w:asciiTheme="minorEastAsia" w:hAnsiTheme="minorEastAsia" w:eastAsiaTheme="minorEastAsia" w:cstheme="minorEastAsia"/>
                <w:sz w:val="24"/>
                <w:szCs w:val="24"/>
                <w:highlight w:val="none"/>
                <w:lang w:val="en-US" w:eastAsia="zh-CN"/>
              </w:rPr>
              <w:t>或返聘协议</w:t>
            </w:r>
            <w:r>
              <w:rPr>
                <w:rFonts w:hint="eastAsia" w:asciiTheme="minorEastAsia" w:hAnsiTheme="minorEastAsia" w:eastAsiaTheme="minorEastAsia" w:cstheme="minorEastAsia"/>
                <w:sz w:val="24"/>
                <w:szCs w:val="24"/>
                <w:highlight w:val="none"/>
              </w:rPr>
              <w:t>）。</w:t>
            </w:r>
          </w:p>
        </w:tc>
        <w:tc>
          <w:tcPr>
            <w:tcW w:w="1120" w:type="dxa"/>
            <w:noWrap w:val="0"/>
            <w:vAlign w:val="center"/>
          </w:tcPr>
          <w:p w14:paraId="784875F3">
            <w:pPr>
              <w:keepNext/>
              <w:keepLines w:val="0"/>
              <w:suppressLineNumbers w:val="0"/>
              <w:bidi w:val="0"/>
              <w:adjustRightInd/>
              <w:snapToGrid w:val="0"/>
              <w:spacing w:before="0" w:beforeAutospacing="0" w:after="0" w:afterAutospacing="0" w:line="240" w:lineRule="auto"/>
              <w:ind w:left="0" w:leftChars="0" w:right="0" w:rightChars="0" w:firstLine="0" w:firstLineChars="0"/>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w:t>
            </w:r>
          </w:p>
        </w:tc>
      </w:tr>
      <w:tr w14:paraId="5FFC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restart"/>
            <w:noWrap w:val="0"/>
            <w:vAlign w:val="center"/>
          </w:tcPr>
          <w:p w14:paraId="154411BB">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0" w:type="auto"/>
            <w:vMerge w:val="restart"/>
            <w:noWrap w:val="0"/>
            <w:vAlign w:val="center"/>
          </w:tcPr>
          <w:p w14:paraId="18BD2CA8">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技术部分</w:t>
            </w:r>
          </w:p>
        </w:tc>
        <w:tc>
          <w:tcPr>
            <w:tcW w:w="1277" w:type="dxa"/>
            <w:noWrap w:val="0"/>
            <w:vAlign w:val="center"/>
          </w:tcPr>
          <w:p w14:paraId="2DB9D4AD">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服务</w:t>
            </w:r>
          </w:p>
          <w:p w14:paraId="67D1199B">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方案</w:t>
            </w:r>
          </w:p>
        </w:tc>
        <w:tc>
          <w:tcPr>
            <w:tcW w:w="5031" w:type="dxa"/>
            <w:noWrap w:val="0"/>
            <w:vAlign w:val="center"/>
          </w:tcPr>
          <w:p w14:paraId="1B0830F3">
            <w:pPr>
              <w:keepNext/>
              <w:keepLines w:val="0"/>
              <w:suppressLineNumbers w:val="0"/>
              <w:bidi w:val="0"/>
              <w:adjustRightInd/>
              <w:snapToGrid w:val="0"/>
              <w:spacing w:before="0" w:beforeAutospacing="0" w:after="0" w:afterAutospacing="0"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针对本项目的特点，应采取的方法和措施，需详细阐述项目造价咨询服务的计划和方案。针对工程的实际，包含但不限于①</w:t>
            </w:r>
            <w:r>
              <w:rPr>
                <w:rFonts w:hint="eastAsia" w:asciiTheme="minorEastAsia" w:hAnsiTheme="minorEastAsia" w:eastAsiaTheme="minorEastAsia" w:cstheme="minorEastAsia"/>
                <w:snapToGrid w:val="0"/>
                <w:color w:val="000000"/>
                <w:kern w:val="0"/>
                <w:sz w:val="24"/>
                <w:szCs w:val="24"/>
                <w:lang w:val="en-US" w:eastAsia="zh-CN" w:bidi="ar"/>
              </w:rPr>
              <w:t>全过程跟踪审计的整体设想、方案策划及合理化建议；</w:t>
            </w:r>
            <w:r>
              <w:rPr>
                <w:rFonts w:hint="eastAsia" w:asciiTheme="minorEastAsia" w:hAnsiTheme="minorEastAsia" w:eastAsiaTheme="minorEastAsia" w:cstheme="minorEastAsia"/>
                <w:sz w:val="24"/>
                <w:szCs w:val="24"/>
                <w:highlight w:val="none"/>
                <w:lang w:val="en-US" w:eastAsia="zh-CN"/>
              </w:rPr>
              <w:t>②</w:t>
            </w:r>
            <w:r>
              <w:rPr>
                <w:rFonts w:hint="eastAsia" w:asciiTheme="minorEastAsia" w:hAnsiTheme="minorEastAsia" w:eastAsiaTheme="minorEastAsia" w:cstheme="minorEastAsia"/>
                <w:snapToGrid w:val="0"/>
                <w:color w:val="000000"/>
                <w:kern w:val="0"/>
                <w:sz w:val="24"/>
                <w:szCs w:val="24"/>
                <w:lang w:val="en-US" w:eastAsia="zh-CN" w:bidi="ar"/>
              </w:rPr>
              <w:t>全过程跟踪审计的服务管理方式、工作制度和工作目标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highlight w:val="none"/>
                <w:lang w:val="en-US" w:eastAsia="zh-CN"/>
              </w:rPr>
              <w:t>③</w:t>
            </w:r>
            <w:r>
              <w:rPr>
                <w:rFonts w:hint="eastAsia" w:asciiTheme="minorEastAsia" w:hAnsiTheme="minorEastAsia" w:eastAsiaTheme="minorEastAsia" w:cstheme="minorEastAsia"/>
                <w:snapToGrid w:val="0"/>
                <w:color w:val="000000"/>
                <w:kern w:val="0"/>
                <w:sz w:val="24"/>
                <w:szCs w:val="24"/>
                <w:lang w:val="en-US" w:eastAsia="zh-CN" w:bidi="ar"/>
              </w:rPr>
              <w:t>全过程跟踪审计的造价编制及风险控制措施；</w:t>
            </w:r>
            <w:r>
              <w:rPr>
                <w:rFonts w:hint="eastAsia" w:asciiTheme="minorEastAsia" w:hAnsiTheme="minorEastAsia" w:eastAsiaTheme="minorEastAsia" w:cstheme="minorEastAsia"/>
                <w:sz w:val="24"/>
                <w:szCs w:val="24"/>
                <w:highlight w:val="none"/>
                <w:lang w:val="en-US" w:eastAsia="zh-CN"/>
              </w:rPr>
              <w:t>④</w:t>
            </w:r>
            <w:r>
              <w:rPr>
                <w:rFonts w:hint="eastAsia" w:asciiTheme="minorEastAsia" w:hAnsiTheme="minorEastAsia" w:eastAsiaTheme="minorEastAsia" w:cstheme="minorEastAsia"/>
                <w:snapToGrid w:val="0"/>
                <w:color w:val="000000"/>
                <w:kern w:val="0"/>
                <w:sz w:val="24"/>
                <w:szCs w:val="24"/>
                <w:lang w:val="en-US" w:eastAsia="zh-CN" w:bidi="ar"/>
              </w:rPr>
              <w:t>紧急情况时的应急解决措施；</w:t>
            </w:r>
            <w:r>
              <w:rPr>
                <w:rFonts w:hint="eastAsia" w:asciiTheme="minorEastAsia" w:hAnsiTheme="minorEastAsia" w:eastAsiaTheme="minorEastAsia" w:cstheme="minorEastAsia"/>
                <w:sz w:val="24"/>
                <w:szCs w:val="24"/>
                <w:highlight w:val="none"/>
                <w:lang w:val="en-US" w:eastAsia="zh-CN"/>
              </w:rPr>
              <w:t>所有要素齐全且完全满足项目要求得16分，每缺一个要素扣4分，每个要素里每有一处内容存在缺陷扣2分（扣完为止）。</w:t>
            </w:r>
          </w:p>
        </w:tc>
        <w:tc>
          <w:tcPr>
            <w:tcW w:w="1120" w:type="dxa"/>
            <w:noWrap w:val="0"/>
            <w:vAlign w:val="center"/>
          </w:tcPr>
          <w:p w14:paraId="7E470BC0">
            <w:pPr>
              <w:keepNext/>
              <w:keepLines w:val="0"/>
              <w:suppressLineNumbers w:val="0"/>
              <w:bidi w:val="0"/>
              <w:adjustRightInd/>
              <w:snapToGrid w:val="0"/>
              <w:spacing w:before="0" w:beforeAutospacing="0" w:after="0" w:afterAutospacing="0" w:line="240" w:lineRule="auto"/>
              <w:ind w:left="0" w:leftChars="0" w:right="0" w:rightChars="0" w:firstLine="0" w:firstLineChars="0"/>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16</w:t>
            </w:r>
          </w:p>
        </w:tc>
      </w:tr>
      <w:tr w14:paraId="716C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66E8401C">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rPr>
            </w:pPr>
          </w:p>
        </w:tc>
        <w:tc>
          <w:tcPr>
            <w:tcW w:w="0" w:type="auto"/>
            <w:vMerge w:val="continue"/>
            <w:noWrap w:val="0"/>
            <w:vAlign w:val="center"/>
          </w:tcPr>
          <w:p w14:paraId="24B0CD1E">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rPr>
            </w:pPr>
          </w:p>
        </w:tc>
        <w:tc>
          <w:tcPr>
            <w:tcW w:w="1277" w:type="dxa"/>
            <w:noWrap w:val="0"/>
            <w:vAlign w:val="center"/>
          </w:tcPr>
          <w:p w14:paraId="459BD955">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项目实施各阶段服务的重点、难点</w:t>
            </w:r>
          </w:p>
        </w:tc>
        <w:tc>
          <w:tcPr>
            <w:tcW w:w="5031" w:type="dxa"/>
            <w:noWrap w:val="0"/>
            <w:vAlign w:val="center"/>
          </w:tcPr>
          <w:p w14:paraId="567D3B9A">
            <w:pPr>
              <w:keepNext/>
              <w:keepLines w:val="0"/>
              <w:suppressLineNumbers w:val="0"/>
              <w:bidi w:val="0"/>
              <w:adjustRightInd/>
              <w:snapToGrid w:val="0"/>
              <w:spacing w:before="0" w:beforeAutospacing="0" w:after="0" w:afterAutospacing="0"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根据供应商提供的方案进行综合评审，方案包含但不限于以下要素：①跟踪审计的难点分析:②相应的解决办法；③应急处理措施。等3部分要素进行评审。所有要素齐全且完全满足项目要求得9分，每缺失一个要素扣3分，每个要素里每有一处不合理或错误的扣1.5分（扣完为止）。</w:t>
            </w:r>
          </w:p>
        </w:tc>
        <w:tc>
          <w:tcPr>
            <w:tcW w:w="1120" w:type="dxa"/>
            <w:noWrap w:val="0"/>
            <w:vAlign w:val="center"/>
          </w:tcPr>
          <w:p w14:paraId="0386AA37">
            <w:pPr>
              <w:keepNext/>
              <w:keepLines w:val="0"/>
              <w:suppressLineNumbers w:val="0"/>
              <w:bidi w:val="0"/>
              <w:adjustRightInd/>
              <w:snapToGrid w:val="0"/>
              <w:spacing w:before="0" w:beforeAutospacing="0" w:after="0" w:afterAutospacing="0" w:line="240" w:lineRule="auto"/>
              <w:ind w:left="0" w:leftChars="0" w:right="0" w:rightChars="0" w:firstLine="0" w:firstLineChars="0"/>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w:t>
            </w:r>
          </w:p>
        </w:tc>
      </w:tr>
      <w:tr w14:paraId="5F5F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77C43E36">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rPr>
            </w:pPr>
          </w:p>
        </w:tc>
        <w:tc>
          <w:tcPr>
            <w:tcW w:w="0" w:type="auto"/>
            <w:vMerge w:val="continue"/>
            <w:noWrap w:val="0"/>
            <w:vAlign w:val="center"/>
          </w:tcPr>
          <w:p w14:paraId="12A5C949">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rPr>
            </w:pPr>
          </w:p>
        </w:tc>
        <w:tc>
          <w:tcPr>
            <w:tcW w:w="1277" w:type="dxa"/>
            <w:noWrap w:val="0"/>
            <w:vAlign w:val="center"/>
          </w:tcPr>
          <w:p w14:paraId="2F7C6C2A">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宋体" w:hAnsi="宋体" w:eastAsia="宋体" w:cs="宋体"/>
                <w:sz w:val="24"/>
                <w:szCs w:val="24"/>
                <w:highlight w:val="none"/>
                <w:lang w:val="en-US" w:eastAsia="zh-CN"/>
              </w:rPr>
              <w:t>内控质量管理制度方案</w:t>
            </w:r>
          </w:p>
        </w:tc>
        <w:tc>
          <w:tcPr>
            <w:tcW w:w="5031" w:type="dxa"/>
            <w:noWrap w:val="0"/>
            <w:vAlign w:val="center"/>
          </w:tcPr>
          <w:p w14:paraId="1A8EB122">
            <w:pPr>
              <w:keepNext/>
              <w:keepLines w:val="0"/>
              <w:suppressLineNumbers w:val="0"/>
              <w:bidi w:val="0"/>
              <w:adjustRightInd/>
              <w:snapToGrid w:val="0"/>
              <w:spacing w:before="0" w:beforeAutospacing="0" w:after="0" w:afterAutospacing="0"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项目实施各阶段服务的重点、特点，以及采购人需注意的有关事项，内容包括不限于:①人员岗位管理、人员素质保障制度；②质量保证质量控制制度；③信息管理制度、④廉政管理制度；⑤风险管理制度；⑥后续服务管理制度。</w:t>
            </w:r>
            <w:r>
              <w:rPr>
                <w:rFonts w:hint="eastAsia" w:ascii="宋体" w:hAnsi="宋体" w:eastAsia="宋体" w:cs="宋体"/>
                <w:color w:val="auto"/>
                <w:sz w:val="24"/>
                <w:szCs w:val="24"/>
                <w:highlight w:val="none"/>
                <w:lang w:val="en-US" w:eastAsia="zh-CN"/>
              </w:rPr>
              <w:t>等6部分要素进行评审。所有要素齐全且完全满足项目要求得12分；</w:t>
            </w:r>
            <w:r>
              <w:rPr>
                <w:rFonts w:hint="default" w:ascii="宋体" w:hAnsi="宋体" w:eastAsia="宋体" w:cs="宋体"/>
                <w:color w:val="auto"/>
                <w:sz w:val="24"/>
                <w:szCs w:val="24"/>
                <w:highlight w:val="none"/>
                <w:lang w:val="en-US" w:eastAsia="zh-CN"/>
              </w:rPr>
              <w:t>每缺失一个要素扣</w:t>
            </w: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分，每个要素里每有一处不合理或错误的扣 1 分（扣完为止）。</w:t>
            </w:r>
          </w:p>
        </w:tc>
        <w:tc>
          <w:tcPr>
            <w:tcW w:w="1120" w:type="dxa"/>
            <w:noWrap w:val="0"/>
            <w:vAlign w:val="center"/>
          </w:tcPr>
          <w:p w14:paraId="0B85B874">
            <w:pPr>
              <w:keepNext/>
              <w:keepLines w:val="0"/>
              <w:suppressLineNumbers w:val="0"/>
              <w:bidi w:val="0"/>
              <w:adjustRightInd/>
              <w:snapToGrid w:val="0"/>
              <w:spacing w:before="0" w:beforeAutospacing="0" w:after="0" w:afterAutospacing="0" w:line="240" w:lineRule="auto"/>
              <w:ind w:left="0" w:leftChars="0" w:right="0" w:rightChars="0" w:firstLine="0" w:firstLineChars="0"/>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w:t>
            </w:r>
          </w:p>
        </w:tc>
      </w:tr>
      <w:tr w14:paraId="47B5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vMerge w:val="continue"/>
            <w:noWrap w:val="0"/>
            <w:vAlign w:val="center"/>
          </w:tcPr>
          <w:p w14:paraId="6E3F1820">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lang w:val="en-US" w:eastAsia="zh-CN"/>
              </w:rPr>
            </w:pPr>
          </w:p>
        </w:tc>
        <w:tc>
          <w:tcPr>
            <w:tcW w:w="0" w:type="auto"/>
            <w:vMerge w:val="continue"/>
            <w:noWrap w:val="0"/>
            <w:vAlign w:val="center"/>
          </w:tcPr>
          <w:p w14:paraId="452E6C8A">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rPr>
            </w:pPr>
          </w:p>
        </w:tc>
        <w:tc>
          <w:tcPr>
            <w:tcW w:w="1277" w:type="dxa"/>
            <w:noWrap w:val="0"/>
            <w:vAlign w:val="center"/>
          </w:tcPr>
          <w:p w14:paraId="319276BA">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sz w:val="24"/>
                <w:szCs w:val="24"/>
                <w:highlight w:val="none"/>
                <w:lang w:val="en-US" w:eastAsia="zh-CN"/>
              </w:rPr>
            </w:pPr>
            <w:r>
              <w:rPr>
                <w:rFonts w:hint="eastAsia" w:ascii="宋体" w:hAnsi="宋体" w:eastAsia="宋体" w:cs="宋体"/>
                <w:color w:val="auto"/>
                <w:sz w:val="24"/>
                <w:szCs w:val="24"/>
                <w:highlight w:val="none"/>
                <w:lang w:val="en-US"/>
              </w:rPr>
              <w:t>应急服务方案</w:t>
            </w:r>
          </w:p>
        </w:tc>
        <w:tc>
          <w:tcPr>
            <w:tcW w:w="5031" w:type="dxa"/>
            <w:noWrap w:val="0"/>
            <w:vAlign w:val="center"/>
          </w:tcPr>
          <w:p w14:paraId="1682A61C">
            <w:pPr>
              <w:keepNext/>
              <w:keepLines w:val="0"/>
              <w:suppressLineNumbers w:val="0"/>
              <w:bidi w:val="0"/>
              <w:adjustRightInd/>
              <w:snapToGrid w:val="0"/>
              <w:spacing w:before="0" w:beforeAutospacing="0" w:after="0" w:afterAutospacing="0"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应急处理方案①流程②部门设置及人员配备③服务应急措施④响应程序及时间方案等内容进行评分。</w:t>
            </w:r>
            <w:r>
              <w:rPr>
                <w:rFonts w:hint="eastAsia" w:ascii="宋体" w:hAnsi="宋体" w:eastAsia="宋体" w:cs="宋体"/>
                <w:color w:val="auto"/>
                <w:sz w:val="24"/>
                <w:szCs w:val="24"/>
                <w:highlight w:val="none"/>
                <w:lang w:val="en-US" w:eastAsia="zh-CN"/>
              </w:rPr>
              <w:t>等4部分要素进行评审。所有要素齐全且完全满足项目要求得8分</w:t>
            </w:r>
            <w:r>
              <w:rPr>
                <w:rFonts w:hint="eastAsia" w:ascii="宋体" w:hAnsi="宋体" w:eastAsia="宋体" w:cs="宋体"/>
                <w:b w:val="0"/>
                <w:bCs w:val="0"/>
                <w:color w:val="auto"/>
                <w:kern w:val="2"/>
                <w:sz w:val="24"/>
                <w:szCs w:val="24"/>
                <w:highlight w:val="none"/>
                <w:lang w:val="en-US" w:eastAsia="zh-CN" w:bidi="ar-SA"/>
              </w:rPr>
              <w:t>；</w:t>
            </w:r>
            <w:r>
              <w:rPr>
                <w:rFonts w:hint="default" w:ascii="宋体" w:hAnsi="宋体" w:eastAsia="宋体" w:cs="宋体"/>
                <w:color w:val="auto"/>
                <w:sz w:val="24"/>
                <w:szCs w:val="24"/>
                <w:highlight w:val="none"/>
                <w:lang w:val="en-US" w:eastAsia="zh-CN"/>
              </w:rPr>
              <w:t>每缺失一个要素扣</w:t>
            </w: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分，每个要素里每有一处不合理或错误的扣</w:t>
            </w: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分（扣完为止）。</w:t>
            </w:r>
          </w:p>
        </w:tc>
        <w:tc>
          <w:tcPr>
            <w:tcW w:w="1120" w:type="dxa"/>
            <w:noWrap w:val="0"/>
            <w:vAlign w:val="center"/>
          </w:tcPr>
          <w:p w14:paraId="093686D3">
            <w:pPr>
              <w:keepNext/>
              <w:keepLines w:val="0"/>
              <w:suppressLineNumbers w:val="0"/>
              <w:bidi w:val="0"/>
              <w:adjustRightInd/>
              <w:snapToGrid w:val="0"/>
              <w:spacing w:before="0" w:beforeAutospacing="0" w:after="0" w:afterAutospacing="0"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w:t>
            </w:r>
          </w:p>
        </w:tc>
      </w:tr>
      <w:tr w14:paraId="4B0B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94" w:type="dxa"/>
            <w:gridSpan w:val="2"/>
            <w:noWrap w:val="0"/>
            <w:vAlign w:val="center"/>
          </w:tcPr>
          <w:p w14:paraId="2FF65C20">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合计</w:t>
            </w:r>
          </w:p>
        </w:tc>
        <w:tc>
          <w:tcPr>
            <w:tcW w:w="6308" w:type="dxa"/>
            <w:gridSpan w:val="2"/>
            <w:noWrap w:val="0"/>
            <w:vAlign w:val="center"/>
          </w:tcPr>
          <w:p w14:paraId="6F0721C2">
            <w:pPr>
              <w:keepNext/>
              <w:keepLines w:val="0"/>
              <w:suppressLineNumbers w:val="0"/>
              <w:bidi w:val="0"/>
              <w:adjustRightInd/>
              <w:snapToGrid w:val="0"/>
              <w:spacing w:before="0" w:beforeAutospacing="0" w:after="0" w:afterAutospacing="0" w:line="240" w:lineRule="auto"/>
              <w:ind w:left="0" w:leftChars="0" w:right="0" w:rightChars="0" w:firstLine="0" w:firstLineChars="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100</w:t>
            </w:r>
            <w:r>
              <w:rPr>
                <w:rFonts w:hint="eastAsia" w:asciiTheme="minorEastAsia" w:hAnsiTheme="minorEastAsia" w:eastAsiaTheme="minorEastAsia" w:cstheme="minorEastAsia"/>
                <w:b/>
                <w:sz w:val="24"/>
                <w:szCs w:val="24"/>
                <w:highlight w:val="none"/>
              </w:rPr>
              <w:t>分</w:t>
            </w:r>
          </w:p>
        </w:tc>
        <w:tc>
          <w:tcPr>
            <w:tcW w:w="1120" w:type="dxa"/>
            <w:noWrap w:val="0"/>
            <w:vAlign w:val="center"/>
          </w:tcPr>
          <w:p w14:paraId="14885905">
            <w:pPr>
              <w:keepNext/>
              <w:keepLines w:val="0"/>
              <w:suppressLineNumbers w:val="0"/>
              <w:bidi w:val="0"/>
              <w:adjustRightInd/>
              <w:snapToGrid w:val="0"/>
              <w:spacing w:before="0" w:beforeAutospacing="0" w:after="0" w:afterAutospacing="0" w:line="240" w:lineRule="auto"/>
              <w:ind w:left="0" w:leftChars="0" w:right="0" w:rightChars="0" w:firstLine="0" w:firstLineChars="0"/>
              <w:jc w:val="left"/>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100</w:t>
            </w:r>
          </w:p>
        </w:tc>
      </w:tr>
    </w:tbl>
    <w:p w14:paraId="6D3AFF40">
      <w:pPr>
        <w:pStyle w:val="22"/>
        <w:rPr>
          <w:rFonts w:hint="eastAsia"/>
          <w:b/>
          <w:bCs/>
          <w:lang w:val="en-US" w:eastAsia="zh-CN"/>
        </w:rPr>
      </w:pPr>
    </w:p>
    <w:p w14:paraId="45F425E0">
      <w:pPr>
        <w:pStyle w:val="22"/>
        <w:rPr>
          <w:rFonts w:hint="eastAsia"/>
          <w:b/>
          <w:bCs/>
          <w:lang w:val="en-US" w:eastAsia="zh-CN"/>
        </w:rPr>
      </w:pPr>
    </w:p>
    <w:p w14:paraId="24776E94">
      <w:pPr>
        <w:pStyle w:val="54"/>
        <w:shd w:val="clear" w:color="auto"/>
        <w:tabs>
          <w:tab w:val="left" w:pos="1701"/>
        </w:tabs>
        <w:kinsoku/>
        <w:overflowPunct/>
        <w:topLinePunct w:val="0"/>
        <w:bidi w:val="0"/>
        <w:spacing w:line="500" w:lineRule="exact"/>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val="en-US" w:eastAsia="zh-CN" w:bidi="ar-SA"/>
        </w:rPr>
        <w:t>10.2.2</w:t>
      </w:r>
      <w:r>
        <w:rPr>
          <w:rFonts w:hint="eastAsia" w:ascii="宋体" w:hAnsi="宋体" w:eastAsia="宋体" w:cs="宋体"/>
          <w:color w:val="auto"/>
          <w:sz w:val="24"/>
          <w:szCs w:val="24"/>
          <w:highlight w:val="none"/>
          <w:lang w:bidi="ar-SA"/>
        </w:rPr>
        <w:t>价格评分方法</w:t>
      </w:r>
    </w:p>
    <w:p w14:paraId="713EC22E">
      <w:pPr>
        <w:shd w:val="clear" w:color="auto"/>
        <w:kinsoku/>
        <w:overflowPunct/>
        <w:topLinePunct w:val="0"/>
        <w:bidi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SA"/>
        </w:rPr>
        <w:t>满足招标文件技术要求且投标价格最低的投标报价为评标基准价，其价格分为满分。其他投标人的价格分别按照下列公式计算： 投标报价得分=（评标基准价/投标报价）×价格权重</w:t>
      </w:r>
      <w:r>
        <w:rPr>
          <w:rFonts w:hint="eastAsia" w:ascii="宋体" w:hAnsi="宋体" w:eastAsia="宋体" w:cs="宋体"/>
          <w:color w:val="auto"/>
          <w:sz w:val="24"/>
          <w:szCs w:val="24"/>
          <w:highlight w:val="none"/>
          <w:lang w:eastAsia="zh-CN" w:bidi="ar-SA"/>
        </w:rPr>
        <w:t>。</w:t>
      </w:r>
    </w:p>
    <w:p w14:paraId="250225F4">
      <w:pPr>
        <w:shd w:val="clear" w:color="auto"/>
        <w:kinsoku/>
        <w:overflowPunct/>
        <w:topLinePunct w:val="0"/>
        <w:bidi w:val="0"/>
        <w:spacing w:before="156" w:beforeLines="50" w:line="500" w:lineRule="exact"/>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  推荐中标候选人</w:t>
      </w:r>
      <w:bookmarkEnd w:id="53"/>
      <w:bookmarkEnd w:id="54"/>
    </w:p>
    <w:p w14:paraId="727DF7E7">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11.1</w:t>
      </w:r>
      <w:r>
        <w:rPr>
          <w:rFonts w:hint="eastAsia" w:ascii="宋体" w:hAnsi="宋体" w:eastAsia="宋体" w:cs="宋体"/>
          <w:color w:val="auto"/>
          <w:sz w:val="24"/>
          <w:szCs w:val="24"/>
          <w:highlight w:val="none"/>
        </w:rPr>
        <w:t>评标委员会推荐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名中标候选人，并标明排序。</w:t>
      </w:r>
    </w:p>
    <w:p w14:paraId="78C36422">
      <w:pPr>
        <w:shd w:val="clear" w:color="auto"/>
        <w:kinsoku/>
        <w:overflowPunct/>
        <w:topLinePunct w:val="0"/>
        <w:bidi w:val="0"/>
        <w:spacing w:line="500" w:lineRule="exact"/>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w:t>
      </w:r>
      <w:r>
        <w:rPr>
          <w:rFonts w:hint="eastAsia" w:ascii="宋体" w:hAnsi="宋体" w:eastAsia="宋体" w:cs="宋体"/>
          <w:color w:val="auto"/>
          <w:sz w:val="24"/>
          <w:szCs w:val="24"/>
          <w:highlight w:val="none"/>
        </w:rPr>
        <w:t>如出现报价相同情况，则由招标人现场抽签确定中标候选人排名顺序。</w:t>
      </w:r>
    </w:p>
    <w:bookmarkEnd w:id="49"/>
    <w:p w14:paraId="35755D0E">
      <w:pPr>
        <w:shd w:val="clear" w:color="auto"/>
        <w:kinsoku/>
        <w:overflowPunct/>
        <w:topLinePunct w:val="0"/>
        <w:bidi w:val="0"/>
        <w:snapToGrid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12.</w:t>
      </w:r>
      <w:r>
        <w:rPr>
          <w:rFonts w:hint="eastAsia" w:ascii="宋体" w:hAnsi="宋体" w:eastAsia="宋体" w:cs="宋体"/>
          <w:b/>
          <w:color w:val="auto"/>
          <w:sz w:val="24"/>
          <w:szCs w:val="24"/>
          <w:highlight w:val="none"/>
        </w:rPr>
        <w:t>无效投标条款</w:t>
      </w:r>
    </w:p>
    <w:p w14:paraId="487F5D92">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.1投标文件有下列情形之一的,其投标文件拒收:</w:t>
      </w:r>
    </w:p>
    <w:p w14:paraId="631C85DB">
      <w:pPr>
        <w:shd w:val="clear" w:color="auto"/>
        <w:kinsoku/>
        <w:overflowPunct/>
        <w:topLinePunct w:val="0"/>
        <w:bidi w:val="0"/>
        <w:snapToGrid w:val="0"/>
        <w:spacing w:line="500" w:lineRule="exac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(1) 未在开标截止时间前通过网上招标投标系统递交有效电子投标文件的，开标系统不予接收。</w:t>
      </w:r>
    </w:p>
    <w:p w14:paraId="5A9F9D34">
      <w:pPr>
        <w:shd w:val="clear" w:color="auto"/>
        <w:kinsoku/>
        <w:overflowPunct/>
        <w:topLinePunct w:val="0"/>
        <w:bidi w:val="0"/>
        <w:snapToGrid w:val="0"/>
        <w:spacing w:line="50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color w:val="auto"/>
          <w:sz w:val="24"/>
          <w:szCs w:val="24"/>
          <w:highlight w:val="none"/>
        </w:rPr>
        <w:t>所有投标人应在规定时间里完成投标文件的解密工作</w:t>
      </w:r>
      <w:r>
        <w:rPr>
          <w:rFonts w:hint="eastAsia" w:ascii="宋体" w:hAnsi="宋体" w:eastAsia="宋体" w:cs="宋体"/>
          <w:b/>
          <w:bCs/>
          <w:color w:val="auto"/>
          <w:sz w:val="24"/>
          <w:szCs w:val="24"/>
          <w:highlight w:val="none"/>
        </w:rPr>
        <w:t>【投标人</w:t>
      </w:r>
      <w:r>
        <w:rPr>
          <w:rFonts w:hint="eastAsia" w:ascii="宋体" w:hAnsi="宋体" w:eastAsia="宋体" w:cs="宋体"/>
          <w:b/>
          <w:bCs/>
          <w:color w:val="auto"/>
          <w:sz w:val="24"/>
          <w:szCs w:val="24"/>
          <w:highlight w:val="none"/>
          <w:lang w:eastAsia="zh-CN"/>
        </w:rPr>
        <w:t>使用</w:t>
      </w:r>
      <w:r>
        <w:rPr>
          <w:rFonts w:hint="eastAsia" w:ascii="宋体" w:hAnsi="宋体" w:eastAsia="宋体" w:cs="宋体"/>
          <w:b/>
          <w:bCs/>
          <w:color w:val="auto"/>
          <w:sz w:val="24"/>
          <w:szCs w:val="24"/>
          <w:highlight w:val="none"/>
        </w:rPr>
        <w:t>其有效加密锁（CA锁）</w:t>
      </w:r>
      <w:r>
        <w:rPr>
          <w:rFonts w:hint="eastAsia" w:ascii="宋体" w:hAnsi="宋体" w:eastAsia="宋体" w:cs="宋体"/>
          <w:b/>
          <w:bCs/>
          <w:color w:val="auto"/>
          <w:sz w:val="24"/>
          <w:szCs w:val="24"/>
          <w:highlight w:val="none"/>
          <w:lang w:eastAsia="zh-CN"/>
        </w:rPr>
        <w:t>进行</w:t>
      </w:r>
      <w:r>
        <w:rPr>
          <w:rFonts w:hint="eastAsia" w:ascii="宋体" w:hAnsi="宋体" w:eastAsia="宋体" w:cs="宋体"/>
          <w:b/>
          <w:bCs/>
          <w:color w:val="auto"/>
          <w:sz w:val="24"/>
          <w:szCs w:val="24"/>
          <w:highlight w:val="none"/>
        </w:rPr>
        <w:t>解密（因投标人原因未能提供有效CA锁对其投标文件进行解密的，其投标文件按无效标处理），以网上招投标系统解密倒计时为准】</w:t>
      </w:r>
      <w:r>
        <w:rPr>
          <w:rFonts w:hint="eastAsia" w:ascii="宋体" w:hAnsi="宋体" w:eastAsia="宋体" w:cs="宋体"/>
          <w:b/>
          <w:color w:val="auto"/>
          <w:sz w:val="24"/>
          <w:szCs w:val="24"/>
          <w:highlight w:val="none"/>
        </w:rPr>
        <w:t>，因系统原因未能成功解密的投标文件，可导入</w:t>
      </w:r>
      <w:r>
        <w:rPr>
          <w:rFonts w:hint="eastAsia" w:ascii="宋体" w:hAnsi="宋体" w:eastAsia="宋体" w:cs="宋体"/>
          <w:b/>
          <w:color w:val="auto"/>
          <w:sz w:val="24"/>
          <w:szCs w:val="24"/>
          <w:highlight w:val="none"/>
          <w:lang w:eastAsia="zh-CN"/>
        </w:rPr>
        <w:t>备份投标文件</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备份投标文件</w:t>
      </w:r>
      <w:r>
        <w:rPr>
          <w:rFonts w:hint="eastAsia" w:ascii="宋体" w:hAnsi="宋体" w:eastAsia="宋体" w:cs="宋体"/>
          <w:b/>
          <w:color w:val="auto"/>
          <w:sz w:val="24"/>
          <w:szCs w:val="24"/>
          <w:highlight w:val="none"/>
        </w:rPr>
        <w:t>也无法导入的，则投标文件被否决。</w:t>
      </w:r>
    </w:p>
    <w:p w14:paraId="160BAB83">
      <w:pPr>
        <w:shd w:val="clear" w:color="auto"/>
        <w:kinsoku/>
        <w:overflowPunct/>
        <w:topLinePunct w:val="0"/>
        <w:bidi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.2投标人有下列情形之一的,资格审查后其投标作无效投标处理：</w:t>
      </w:r>
    </w:p>
    <w:p w14:paraId="4866CCF8">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(1)法定代表人参加开标会议未携带有效的法定代表人身份证明原件和本人身份证的；委托代理人参加开标会议未携带有效的法定代表人授权书和本人身份证；</w:t>
      </w:r>
    </w:p>
    <w:p w14:paraId="7076A6B8">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(2)投标人为本项目提供招标代理服务的；</w:t>
      </w:r>
    </w:p>
    <w:p w14:paraId="41DB2C38">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(3)投标人与在本项目代理机构存在相互任职或工作的；</w:t>
      </w:r>
    </w:p>
    <w:p w14:paraId="012F6653">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(4)投标保证金未按规定要求缴纳的；</w:t>
      </w:r>
    </w:p>
    <w:p w14:paraId="5B28D26A">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val="0"/>
          <w:bCs w:val="0"/>
          <w:color w:val="auto"/>
          <w:sz w:val="24"/>
          <w:szCs w:val="24"/>
          <w:highlight w:val="none"/>
        </w:rPr>
        <w:t>)评标专家无法查看并检验电子标书中相关资料的；</w:t>
      </w:r>
    </w:p>
    <w:p w14:paraId="0B0DCEE7">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(6)投标人超出营业范围投标的；</w:t>
      </w:r>
    </w:p>
    <w:p w14:paraId="73A2C7E2">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(7)联合体投标未提交联合体协议的；</w:t>
      </w:r>
    </w:p>
    <w:p w14:paraId="1BDF111E">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(8)被暂停营业的；</w:t>
      </w:r>
    </w:p>
    <w:p w14:paraId="7F8E2B7A">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(9)被暂停或取消投标资格的；</w:t>
      </w:r>
    </w:p>
    <w:p w14:paraId="1ADC4C53">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(10)财产被接管或冻结的；</w:t>
      </w:r>
    </w:p>
    <w:p w14:paraId="30BD282E">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(11)投标人单位负责人为同一人或者存在控股、管理关系的不同单位的；</w:t>
      </w:r>
    </w:p>
    <w:p w14:paraId="6A221B5B">
      <w:pPr>
        <w:shd w:val="clear" w:color="auto"/>
        <w:kinsoku/>
        <w:overflowPunct/>
        <w:topLinePunct w:val="0"/>
        <w:bidi w:val="0"/>
        <w:snapToGrid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（12）投标人基本资格条件和特定资格条件中有一项及以上不符合要求的；</w:t>
      </w:r>
    </w:p>
    <w:p w14:paraId="52E568FA">
      <w:pPr>
        <w:shd w:val="clear" w:color="auto"/>
        <w:kinsoku/>
        <w:overflowPunct/>
        <w:topLinePunct w:val="0"/>
        <w:bidi w:val="0"/>
        <w:snapToGrid w:val="0"/>
        <w:spacing w:line="500" w:lineRule="exact"/>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（13）投标人使用相同的MAC地址进行报名的</w:t>
      </w:r>
      <w:r>
        <w:rPr>
          <w:rFonts w:hint="eastAsia" w:ascii="宋体" w:hAnsi="宋体" w:eastAsia="宋体" w:cs="宋体"/>
          <w:color w:val="auto"/>
          <w:sz w:val="24"/>
          <w:szCs w:val="24"/>
          <w:highlight w:val="none"/>
          <w:lang w:eastAsia="zh-CN"/>
        </w:rPr>
        <w:t>；</w:t>
      </w:r>
    </w:p>
    <w:p w14:paraId="63B07076">
      <w:pPr>
        <w:shd w:val="clear" w:color="auto"/>
        <w:kinsoku/>
        <w:overflowPunct/>
        <w:topLinePunct w:val="0"/>
        <w:bidi w:val="0"/>
        <w:snapToGrid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（14）其它情形，经评标委员会提出按无效投标处理，并经公共资源交易监督部门核准的；</w:t>
      </w:r>
    </w:p>
    <w:p w14:paraId="4B73B4FA">
      <w:pPr>
        <w:shd w:val="clear" w:color="auto"/>
        <w:kinsoku/>
        <w:overflowPunct/>
        <w:topLinePunct w:val="0"/>
        <w:bidi w:val="0"/>
        <w:snapToGrid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（15）投标人使用相同IP地址报名的，一经发现，监管部门将进一步核实，查实后按串通投标处理；</w:t>
      </w:r>
    </w:p>
    <w:p w14:paraId="0551611E">
      <w:pPr>
        <w:shd w:val="clear" w:color="auto"/>
        <w:kinsoku/>
        <w:overflowPunct/>
        <w:topLinePunct w:val="0"/>
        <w:bidi w:val="0"/>
        <w:snapToGrid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规定的其它无效投标情形。</w:t>
      </w:r>
    </w:p>
    <w:p w14:paraId="75789A53">
      <w:pPr>
        <w:shd w:val="clear" w:color="auto"/>
        <w:kinsoku/>
        <w:overflowPunct/>
        <w:topLinePunct w:val="0"/>
        <w:bidi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.3 投标人有下列情形之一的,符合性审查后其投标按无效投标处理：</w:t>
      </w:r>
    </w:p>
    <w:p w14:paraId="77F2ADE4">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投标文件</w:t>
      </w:r>
      <w:r>
        <w:rPr>
          <w:rFonts w:hint="eastAsia" w:ascii="宋体" w:hAnsi="宋体" w:eastAsia="宋体" w:cs="宋体"/>
          <w:color w:val="auto"/>
          <w:sz w:val="24"/>
          <w:szCs w:val="24"/>
          <w:highlight w:val="none"/>
          <w:lang w:eastAsia="zh-CN"/>
        </w:rPr>
        <w:t>签章</w:t>
      </w:r>
      <w:r>
        <w:rPr>
          <w:rFonts w:hint="eastAsia" w:ascii="宋体" w:hAnsi="宋体" w:eastAsia="宋体" w:cs="宋体"/>
          <w:color w:val="auto"/>
          <w:sz w:val="24"/>
          <w:szCs w:val="24"/>
          <w:highlight w:val="none"/>
        </w:rPr>
        <w:t>、盖章不全，经评标委员会一致认定对开评标内容有实质性影响并经监督部门核准的；</w:t>
      </w:r>
    </w:p>
    <w:p w14:paraId="376DC837">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)未按规定的格式填写，实质性内容不全或关键字迹模糊、无法辨认; 经监督部门核准的；</w:t>
      </w:r>
    </w:p>
    <w:p w14:paraId="611AFA22">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)同一投标人提交两个以上不同的投标文件或者投标报价，但</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规定提交备选方案的除外；</w:t>
      </w:r>
    </w:p>
    <w:p w14:paraId="2BEED571">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)投标文件没有对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的实质性要求和条件作出响应;</w:t>
      </w:r>
    </w:p>
    <w:p w14:paraId="1981D643">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)投标报价超出规定的投标限价或公布的采购预算的；注：投标人的投标报价各项单价均不得高于招标文件给定的单价最高限价，否则，其投标文件将按无效投标处理。</w:t>
      </w:r>
    </w:p>
    <w:p w14:paraId="4F37742D">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)不按评标委员会要求澄清、说明或补正的，或者评标委员会根据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的规定对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的计算错误进行修正后，投标人不接受修正的投标报价的。</w:t>
      </w:r>
    </w:p>
    <w:p w14:paraId="69D59DDD">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）其它情形，经评标委员会提出按无效投标处理，并经公共资源交易监督部门核准的；</w:t>
      </w:r>
    </w:p>
    <w:p w14:paraId="386E3E63">
      <w:pPr>
        <w:widowControl/>
        <w:shd w:val="clear" w:color="auto"/>
        <w:kinsoku/>
        <w:overflowPunct/>
        <w:topLinePunct w:val="0"/>
        <w:bidi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shd w:val="clear" w:color="auto" w:fill="FFFFFF"/>
          <w:lang w:bidi="ar"/>
        </w:rPr>
        <w:t>未按照招标文件的规定提交投标保证金的；</w:t>
      </w:r>
    </w:p>
    <w:p w14:paraId="4680FD30">
      <w:pPr>
        <w:widowControl/>
        <w:shd w:val="clear" w:color="auto"/>
        <w:kinsoku/>
        <w:overflowPunct/>
        <w:topLinePunct w:val="0"/>
        <w:bidi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shd w:val="clear" w:color="auto" w:fill="FFFFFF"/>
          <w:lang w:bidi="ar"/>
        </w:rPr>
        <w:t>投标文件含有</w:t>
      </w:r>
      <w:r>
        <w:rPr>
          <w:rFonts w:hint="eastAsia" w:ascii="宋体" w:hAnsi="宋体" w:eastAsia="宋体" w:cs="宋体"/>
          <w:color w:val="auto"/>
          <w:kern w:val="0"/>
          <w:sz w:val="24"/>
          <w:szCs w:val="24"/>
          <w:highlight w:val="none"/>
          <w:shd w:val="clear" w:color="auto" w:fill="FFFFFF"/>
          <w:lang w:eastAsia="zh-CN" w:bidi="ar"/>
        </w:rPr>
        <w:t>招标人</w:t>
      </w:r>
      <w:r>
        <w:rPr>
          <w:rFonts w:hint="eastAsia" w:ascii="宋体" w:hAnsi="宋体" w:eastAsia="宋体" w:cs="宋体"/>
          <w:color w:val="auto"/>
          <w:kern w:val="0"/>
          <w:sz w:val="24"/>
          <w:szCs w:val="24"/>
          <w:highlight w:val="none"/>
          <w:shd w:val="clear" w:color="auto" w:fill="FFFFFF"/>
          <w:lang w:bidi="ar"/>
        </w:rPr>
        <w:t>不能接受的附加条件的;</w:t>
      </w:r>
    </w:p>
    <w:p w14:paraId="75C64E7C">
      <w:pPr>
        <w:shd w:val="clear" w:color="auto"/>
        <w:tabs>
          <w:tab w:val="left" w:pos="1123"/>
        </w:tabs>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规定的其它无效投标情形。</w:t>
      </w:r>
    </w:p>
    <w:p w14:paraId="78B12F85">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.4 投标人有下列情形之一的, 详细评审后其投标按无效投标处理：</w:t>
      </w:r>
    </w:p>
    <w:p w14:paraId="1EEB93DD">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(1)投标产品不符合必须强制执行的国家标准的；</w:t>
      </w:r>
    </w:p>
    <w:p w14:paraId="73DB3597">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(2)投标人有串通投标、弄虚作假、行贿等违法行为；</w:t>
      </w:r>
    </w:p>
    <w:p w14:paraId="6DDB6479">
      <w:pPr>
        <w:shd w:val="clear" w:color="auto"/>
        <w:kinsoku/>
        <w:overflowPunct/>
        <w:topLinePunct w:val="0"/>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(3)投标文件含有违反国家法律、法规的内容，或附有招标人不能接受的条件的；</w:t>
      </w:r>
    </w:p>
    <w:p w14:paraId="21B0E9F4">
      <w:pPr>
        <w:shd w:val="clear" w:color="auto"/>
        <w:kinsoku/>
        <w:overflowPunct/>
        <w:topLinePunct w:val="0"/>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（4）在同一项目（或同一标段）中有多个投标人有效投标报价接近最高限价，且评标委员会认为报价出现异常的，可以宣布其投标无效；</w:t>
      </w:r>
    </w:p>
    <w:p w14:paraId="1156ED78">
      <w:pPr>
        <w:shd w:val="clear" w:color="auto"/>
        <w:kinsoku/>
        <w:overflowPunct/>
        <w:topLinePunct w:val="0"/>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（5）报价明显低于其他投标人，且不能证明报价合理性的投标无效；</w:t>
      </w:r>
    </w:p>
    <w:p w14:paraId="6E027D68">
      <w:pPr>
        <w:shd w:val="clear" w:color="auto"/>
        <w:kinsoku/>
        <w:overflowPunct/>
        <w:topLinePunct w:val="0"/>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（6）拒不确认评标委员会评审修正的投标无效；</w:t>
      </w:r>
    </w:p>
    <w:p w14:paraId="107FE468">
      <w:pPr>
        <w:shd w:val="clear" w:color="auto"/>
        <w:kinsoku/>
        <w:overflowPunct/>
        <w:topLinePunct w:val="0"/>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（7）其它情形，经评标委员会提出按无效投标处理，并经公共资源交易监督部门核准的；</w:t>
      </w:r>
    </w:p>
    <w:p w14:paraId="402FB7F9">
      <w:pPr>
        <w:shd w:val="clear" w:color="auto"/>
        <w:kinsoku/>
        <w:overflowPunct/>
        <w:topLinePunct w:val="0"/>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规定的其它无效投标情形。</w:t>
      </w:r>
    </w:p>
    <w:p w14:paraId="33B30BFA">
      <w:pPr>
        <w:pageBreakBefore/>
        <w:shd w:val="clear" w:color="auto"/>
        <w:kinsoku/>
        <w:overflowPunct/>
        <w:topLinePunct w:val="0"/>
        <w:bidi w:val="0"/>
        <w:spacing w:line="500" w:lineRule="exact"/>
        <w:jc w:val="center"/>
        <w:outlineLvl w:val="9"/>
        <w:rPr>
          <w:rFonts w:hint="eastAsia" w:ascii="宋体" w:hAnsi="宋体" w:eastAsia="宋体" w:cs="宋体"/>
          <w:b/>
          <w:color w:val="auto"/>
          <w:sz w:val="24"/>
          <w:szCs w:val="24"/>
          <w:highlight w:val="none"/>
        </w:rPr>
        <w:sectPr>
          <w:footerReference r:id="rId8" w:type="default"/>
          <w:pgSz w:w="11906" w:h="16838"/>
          <w:pgMar w:top="1440" w:right="1800" w:bottom="1440" w:left="1800" w:header="851" w:footer="992" w:gutter="0"/>
          <w:pgNumType w:fmt="decimal" w:start="1"/>
          <w:cols w:space="720" w:num="1"/>
          <w:docGrid w:type="linesAndChars" w:linePitch="312" w:charSpace="0"/>
        </w:sectPr>
      </w:pPr>
    </w:p>
    <w:bookmarkEnd w:id="6"/>
    <w:p w14:paraId="3836E114">
      <w:pPr>
        <w:pStyle w:val="3"/>
        <w:shd w:val="clear"/>
        <w:kinsoku/>
        <w:overflowPunct/>
        <w:topLinePunct w:val="0"/>
        <w:bidi w:val="0"/>
        <w:spacing w:line="500" w:lineRule="exact"/>
        <w:jc w:val="center"/>
        <w:rPr>
          <w:rFonts w:hint="eastAsia" w:ascii="宋体" w:hAnsi="宋体" w:eastAsia="宋体" w:cs="宋体"/>
          <w:color w:val="auto"/>
          <w:sz w:val="28"/>
          <w:szCs w:val="28"/>
          <w:highlight w:val="none"/>
          <w:lang w:eastAsia="zh-CN"/>
        </w:rPr>
      </w:pPr>
      <w:bookmarkStart w:id="55" w:name="_Toc1090"/>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bookmarkEnd w:id="7"/>
      <w:bookmarkStart w:id="56" w:name="_Toc267320052"/>
      <w:bookmarkStart w:id="57" w:name="_Toc340225294"/>
      <w:r>
        <w:rPr>
          <w:rFonts w:hint="eastAsia" w:ascii="宋体" w:hAnsi="宋体" w:eastAsia="宋体" w:cs="宋体"/>
          <w:color w:val="auto"/>
          <w:sz w:val="28"/>
          <w:szCs w:val="28"/>
          <w:highlight w:val="none"/>
          <w:lang w:val="en-US" w:eastAsia="zh-CN"/>
        </w:rPr>
        <w:t>服务需求一览表</w:t>
      </w:r>
      <w:bookmarkEnd w:id="55"/>
    </w:p>
    <w:p w14:paraId="6FE8E402">
      <w:pPr>
        <w:pStyle w:val="32"/>
        <w:shd w:val="clear"/>
        <w:kinsoku/>
        <w:overflowPunct/>
        <w:topLinePunct w:val="0"/>
        <w:bidi w:val="0"/>
        <w:spacing w:before="0" w:beforeAutospacing="0" w:after="0" w:afterAutospacing="0" w:line="500" w:lineRule="exact"/>
        <w:rPr>
          <w:rFonts w:hint="default" w:asciiTheme="minorEastAsia" w:hAnsiTheme="minorEastAsia" w:eastAsiaTheme="minorEastAsia" w:cstheme="minorEastAsia"/>
          <w:b/>
          <w:bCs/>
          <w:snapToGrid w:val="0"/>
          <w:color w:val="000000"/>
          <w:spacing w:val="0"/>
          <w:w w:val="100"/>
          <w:kern w:val="0"/>
          <w:position w:val="0"/>
          <w:sz w:val="28"/>
          <w:szCs w:val="28"/>
          <w:highlight w:val="none"/>
          <w:shd w:val="clear" w:color="auto" w:fill="auto"/>
          <w:lang w:val="en-US" w:eastAsia="zh-CN" w:bidi="ar-SA"/>
        </w:rPr>
      </w:pPr>
      <w:r>
        <w:rPr>
          <w:rFonts w:hint="eastAsia" w:asciiTheme="minorEastAsia" w:hAnsiTheme="minorEastAsia" w:eastAsiaTheme="minorEastAsia" w:cstheme="minorEastAsia"/>
          <w:b/>
          <w:bCs/>
          <w:snapToGrid w:val="0"/>
          <w:color w:val="000000"/>
          <w:spacing w:val="0"/>
          <w:w w:val="100"/>
          <w:kern w:val="0"/>
          <w:position w:val="0"/>
          <w:sz w:val="28"/>
          <w:szCs w:val="28"/>
          <w:highlight w:val="none"/>
          <w:shd w:val="clear" w:color="auto" w:fill="auto"/>
          <w:lang w:val="en-US" w:eastAsia="zh-CN" w:bidi="ar-SA"/>
        </w:rPr>
        <w:t>一、项目概况</w:t>
      </w:r>
    </w:p>
    <w:p w14:paraId="7EA55933">
      <w:pPr>
        <w:pStyle w:val="32"/>
        <w:shd w:val="clear"/>
        <w:kinsoku/>
        <w:overflowPunct/>
        <w:topLinePunct w:val="0"/>
        <w:bidi w:val="0"/>
        <w:spacing w:before="0" w:beforeAutospacing="0" w:after="0" w:afterAutospacing="0" w:line="500" w:lineRule="exact"/>
        <w:ind w:left="0" w:leftChars="0" w:firstLine="720" w:firstLineChars="300"/>
        <w:rPr>
          <w:rFonts w:hint="eastAsia" w:ascii="宋体" w:hAnsi="宋体" w:eastAsia="宋体" w:cs="宋体"/>
          <w:color w:val="auto"/>
          <w:sz w:val="24"/>
          <w:szCs w:val="24"/>
          <w:highlight w:val="none"/>
          <w:shd w:val="clear" w:color="auto" w:fill="FFFFFF"/>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项目名称</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新疆和田学院16号、17号、18号宿舍楼和3号食堂建设项目”全过程跟踪审计、财务决算审核服务采购</w:t>
      </w:r>
    </w:p>
    <w:p w14:paraId="0BB5C414">
      <w:pPr>
        <w:pStyle w:val="21"/>
        <w:shd w:val="clear"/>
        <w:kinsoku/>
        <w:overflowPunct/>
        <w:topLinePunct w:val="0"/>
        <w:bidi w:val="0"/>
        <w:spacing w:line="500" w:lineRule="exact"/>
        <w:ind w:left="0" w:leftChars="0" w:firstLine="723" w:firstLineChars="300"/>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、采购需求：</w:t>
      </w:r>
      <w:r>
        <w:rPr>
          <w:rFonts w:hint="eastAsia" w:ascii="宋体" w:hAnsi="宋体" w:eastAsia="宋体" w:cs="宋体"/>
          <w:b w:val="0"/>
          <w:bCs w:val="0"/>
          <w:color w:val="auto"/>
          <w:sz w:val="24"/>
          <w:szCs w:val="24"/>
          <w:highlight w:val="none"/>
        </w:rPr>
        <w:t>新疆和田学院新建学生宿舍楼3栋、学生食堂1栋，配套建设排水、供热、硬化等室外附属设施，项目总建筑面积47840平方米。包括但不限于:合同审查、组织材料、设备、机械等市场询价与核价、工程量清单及招标控制价审核、施工过程计量与审核、工程进度款审核、工程变更、索赔计算；竣工结算审核；财务决算审核；工程造价合理性分析；对技术人员及相关人员培训、业务指导和能力提升等与建设工程有关的</w:t>
      </w:r>
      <w:r>
        <w:rPr>
          <w:rFonts w:hint="eastAsia" w:ascii="宋体" w:hAnsi="宋体" w:eastAsia="宋体" w:cs="宋体"/>
          <w:b w:val="0"/>
          <w:bCs w:val="0"/>
          <w:color w:val="auto"/>
          <w:sz w:val="24"/>
          <w:szCs w:val="24"/>
          <w:highlight w:val="none"/>
          <w:lang w:eastAsia="zh-CN"/>
        </w:rPr>
        <w:t>全过程跟踪审计</w:t>
      </w:r>
      <w:r>
        <w:rPr>
          <w:rFonts w:hint="eastAsia" w:ascii="宋体" w:hAnsi="宋体" w:eastAsia="宋体" w:cs="宋体"/>
          <w:b w:val="0"/>
          <w:bCs w:val="0"/>
          <w:color w:val="auto"/>
          <w:sz w:val="24"/>
          <w:szCs w:val="24"/>
          <w:highlight w:val="none"/>
        </w:rPr>
        <w:t>服务等。（详见服务需求）</w:t>
      </w:r>
    </w:p>
    <w:p w14:paraId="2F4E9225">
      <w:pPr>
        <w:pStyle w:val="21"/>
        <w:shd w:val="clear"/>
        <w:kinsoku/>
        <w:overflowPunct/>
        <w:topLinePunct w:val="0"/>
        <w:bidi w:val="0"/>
        <w:spacing w:line="360" w:lineRule="auto"/>
        <w:ind w:left="0" w:leftChars="0" w:firstLine="723" w:firstLineChars="300"/>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合同履约期限：</w:t>
      </w:r>
      <w:r>
        <w:rPr>
          <w:rFonts w:hint="eastAsia" w:ascii="宋体" w:hAnsi="宋体" w:eastAsia="宋体" w:cs="宋体"/>
          <w:color w:val="auto"/>
          <w:sz w:val="24"/>
          <w:szCs w:val="24"/>
          <w:highlight w:val="none"/>
        </w:rPr>
        <w:t>自签订合同之日起至竣工决算审核工作完成。</w:t>
      </w:r>
    </w:p>
    <w:bookmarkEnd w:id="8"/>
    <w:bookmarkEnd w:id="56"/>
    <w:bookmarkEnd w:id="57"/>
    <w:p w14:paraId="4EBBA459">
      <w:pPr>
        <w:spacing w:line="360" w:lineRule="auto"/>
        <w:ind w:left="0" w:leftChars="0" w:firstLine="720" w:firstLineChars="300"/>
        <w:jc w:val="left"/>
        <w:rPr>
          <w:rFonts w:hint="eastAsia" w:ascii="宋体" w:hAnsi="宋体" w:eastAsia="宋体" w:cs="宋体"/>
          <w:sz w:val="24"/>
          <w:szCs w:val="24"/>
        </w:rPr>
      </w:pPr>
      <w:bookmarkStart w:id="58" w:name="_Toc3935"/>
      <w:bookmarkStart w:id="59" w:name="_Toc17529"/>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、采购项目预算：1208000.00元 </w:t>
      </w:r>
    </w:p>
    <w:p w14:paraId="0FA2CD8B">
      <w:pPr>
        <w:spacing w:line="360" w:lineRule="auto"/>
        <w:ind w:left="120" w:hanging="120"/>
        <w:jc w:val="left"/>
        <w:rPr>
          <w:rFonts w:hint="eastAsia" w:ascii="宋体" w:hAnsi="宋体" w:eastAsia="宋体" w:cs="宋体"/>
          <w:sz w:val="24"/>
          <w:szCs w:val="24"/>
        </w:rPr>
      </w:pPr>
      <w:r>
        <w:rPr>
          <w:rFonts w:hint="eastAsia" w:ascii="宋体" w:hAnsi="宋体" w:eastAsia="宋体" w:cs="宋体"/>
          <w:sz w:val="24"/>
          <w:szCs w:val="24"/>
        </w:rPr>
        <w:t>四、技术商务要求</w:t>
      </w:r>
    </w:p>
    <w:p w14:paraId="2E0AA56C">
      <w:pPr>
        <w:spacing w:line="360" w:lineRule="auto"/>
        <w:ind w:left="274" w:leftChars="114" w:firstLine="361" w:firstLineChars="150"/>
        <w:jc w:val="left"/>
        <w:rPr>
          <w:rFonts w:hint="eastAsia" w:ascii="宋体" w:hAnsi="宋体" w:eastAsia="宋体" w:cs="宋体"/>
          <w:b/>
          <w:bCs/>
          <w:sz w:val="24"/>
          <w:szCs w:val="24"/>
        </w:rPr>
      </w:pPr>
      <w:r>
        <w:rPr>
          <w:rFonts w:hint="eastAsia" w:ascii="宋体" w:hAnsi="宋体" w:eastAsia="宋体" w:cs="宋体"/>
          <w:b/>
          <w:bCs/>
          <w:sz w:val="24"/>
          <w:szCs w:val="24"/>
        </w:rPr>
        <w:t>（1）服务内容及范围</w:t>
      </w:r>
    </w:p>
    <w:p w14:paraId="08DFFCAE">
      <w:pPr>
        <w:spacing w:line="360" w:lineRule="auto"/>
        <w:ind w:left="274" w:leftChars="114" w:firstLine="600" w:firstLineChars="250"/>
        <w:rPr>
          <w:rFonts w:hint="eastAsia" w:ascii="宋体" w:hAnsi="宋体" w:eastAsia="宋体" w:cs="宋体"/>
          <w:sz w:val="24"/>
          <w:szCs w:val="24"/>
        </w:rPr>
      </w:pPr>
      <w:r>
        <w:rPr>
          <w:rFonts w:hint="eastAsia" w:ascii="宋体" w:hAnsi="宋体" w:eastAsia="宋体" w:cs="宋体"/>
          <w:sz w:val="24"/>
          <w:szCs w:val="24"/>
        </w:rPr>
        <w:t>服务内容：</w:t>
      </w:r>
      <w:r>
        <w:rPr>
          <w:rFonts w:hint="eastAsia" w:ascii="宋体" w:hAnsi="宋体" w:eastAsia="宋体" w:cs="宋体"/>
          <w:b w:val="0"/>
          <w:bCs w:val="0"/>
          <w:color w:val="auto"/>
          <w:sz w:val="24"/>
          <w:szCs w:val="24"/>
          <w:highlight w:val="none"/>
        </w:rPr>
        <w:t>新疆和田学院新建学生宿舍楼3栋、学生食堂1栋，配套建设排水、供热、硬化等室外附属设施，项目总建筑面积47840平方米。包括但不限于:合同审查、组织材料、设备、机械等市场询价与核价、工程量清单及招标控制价审核、施工过程计量与审核、工程进度款审核、工程变更、索赔计算；竣工结算审核；财务决算审核；工程造价合理性分析；对技术人员及相关人员培训、业务指导和能力提升等与建设工程有关的</w:t>
      </w:r>
      <w:r>
        <w:rPr>
          <w:rFonts w:hint="eastAsia" w:ascii="宋体" w:hAnsi="宋体" w:eastAsia="宋体" w:cs="宋体"/>
          <w:b w:val="0"/>
          <w:bCs w:val="0"/>
          <w:color w:val="auto"/>
          <w:sz w:val="24"/>
          <w:szCs w:val="24"/>
          <w:highlight w:val="none"/>
          <w:lang w:eastAsia="zh-CN"/>
        </w:rPr>
        <w:t>全过程跟踪审计</w:t>
      </w:r>
      <w:r>
        <w:rPr>
          <w:rFonts w:hint="eastAsia" w:ascii="宋体" w:hAnsi="宋体" w:eastAsia="宋体" w:cs="宋体"/>
          <w:b w:val="0"/>
          <w:bCs w:val="0"/>
          <w:color w:val="auto"/>
          <w:sz w:val="24"/>
          <w:szCs w:val="24"/>
          <w:highlight w:val="none"/>
        </w:rPr>
        <w:t>服务等。</w:t>
      </w:r>
    </w:p>
    <w:p w14:paraId="05FCA5A8">
      <w:pPr>
        <w:pStyle w:val="18"/>
        <w:spacing w:line="360" w:lineRule="auto"/>
        <w:ind w:firstLine="482" w:firstLineChars="200"/>
        <w:jc w:val="both"/>
        <w:rPr>
          <w:rFonts w:hint="eastAsia" w:ascii="宋体" w:hAnsi="宋体" w:eastAsia="宋体" w:cs="宋体"/>
          <w:sz w:val="24"/>
          <w:szCs w:val="24"/>
        </w:rPr>
      </w:pPr>
      <w:r>
        <w:rPr>
          <w:rFonts w:hint="eastAsia" w:ascii="宋体" w:hAnsi="宋体" w:eastAsia="宋体" w:cs="宋体"/>
          <w:sz w:val="24"/>
          <w:szCs w:val="24"/>
        </w:rPr>
        <w:t>（2）服务要求：</w:t>
      </w:r>
    </w:p>
    <w:p w14:paraId="4BF1C0DE">
      <w:pPr>
        <w:keepNext w:val="0"/>
        <w:keepLines w:val="0"/>
        <w:pageBreakBefore w:val="0"/>
        <w:widowControl w:val="0"/>
        <w:kinsoku/>
        <w:wordWrap/>
        <w:overflowPunct w:val="0"/>
        <w:topLinePunct/>
        <w:autoSpaceDE/>
        <w:autoSpaceDN/>
        <w:bidi w:val="0"/>
        <w:adjustRightInd w:val="0"/>
        <w:snapToGrid w:val="0"/>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1、造价负责人须具有一级注册造价工程师证书（土建专业），且在投标单位注册；</w:t>
      </w:r>
    </w:p>
    <w:p w14:paraId="1A156038">
      <w:pPr>
        <w:pStyle w:val="15"/>
        <w:keepNext w:val="0"/>
        <w:keepLines w:val="0"/>
        <w:pageBreakBefore w:val="0"/>
        <w:widowControl w:val="0"/>
        <w:numPr>
          <w:ilvl w:val="0"/>
          <w:numId w:val="0"/>
        </w:numPr>
        <w:kinsoku/>
        <w:wordWrap/>
        <w:overflowPunct w:val="0"/>
        <w:topLinePunct/>
        <w:autoSpaceDE/>
        <w:autoSpaceDN/>
        <w:bidi w:val="0"/>
        <w:adjustRightInd w:val="0"/>
        <w:snapToGrid w:val="0"/>
        <w:spacing w:after="0" w:line="360" w:lineRule="auto"/>
        <w:ind w:left="0" w:leftChars="0" w:right="0" w:righ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2、财务审计负责人须具备注册会计师执业资格证书，且在投标单位注册；</w:t>
      </w:r>
    </w:p>
    <w:p w14:paraId="3D59CA92">
      <w:pPr>
        <w:keepNext w:val="0"/>
        <w:keepLines w:val="0"/>
        <w:pageBreakBefore w:val="0"/>
        <w:widowControl w:val="0"/>
        <w:kinsoku/>
        <w:wordWrap/>
        <w:overflowPunct w:val="0"/>
        <w:topLinePunct/>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eastAsia="zh-CN"/>
        </w:rPr>
        <w:t>在项目实施服务工作期间，驻场人员不少于 1 人，必须是投标本单位人员，且提供近三个月的社保证明。</w:t>
      </w:r>
    </w:p>
    <w:p w14:paraId="30559B7F">
      <w:pPr>
        <w:keepNext w:val="0"/>
        <w:keepLines w:val="0"/>
        <w:pageBreakBefore w:val="0"/>
        <w:widowControl w:val="0"/>
        <w:kinsoku/>
        <w:wordWrap/>
        <w:overflowPunct w:val="0"/>
        <w:topLinePunct/>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驻场施工现场人员每周出勤不少于5天，须参加每周施工现场的例会。</w:t>
      </w:r>
    </w:p>
    <w:p w14:paraId="5F0B65CC">
      <w:pPr>
        <w:keepNext w:val="0"/>
        <w:keepLines w:val="0"/>
        <w:pageBreakBefore w:val="0"/>
        <w:widowControl w:val="0"/>
        <w:kinsoku/>
        <w:wordWrap/>
        <w:overflowPunct w:val="0"/>
        <w:topLinePunct/>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zh-CN" w:eastAsia="zh-CN"/>
        </w:rPr>
        <w:t>提供竣工结算报告、竣工资料60天内，完成竣工结算审核、财务决算审核工作。</w:t>
      </w:r>
    </w:p>
    <w:p w14:paraId="2063FB7D">
      <w:pPr>
        <w:keepNext w:val="0"/>
        <w:keepLines w:val="0"/>
        <w:pageBreakBefore w:val="0"/>
        <w:widowControl w:val="0"/>
        <w:kinsoku/>
        <w:wordWrap/>
        <w:overflowPunct w:val="0"/>
        <w:topLinePunct/>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zh-CN" w:eastAsia="zh-CN"/>
        </w:rPr>
        <w:t>咨询人在收到经委托人需进行核实的承包单位提交的变更、签证、施工过程结算、工程竣工结算时，未委派项目造价人员进行踏勘现场复核工程量并留存影像资料的，致使出具的工程结算审核报告与项目现场不符、计算工程量不准确等问题。如工程结算审定金额与政府造价审核部门或司法机关认定的结果存在误差，误差率3%以上、5%以下（不含3%，含5% ），咨询人承担项目10%服务费的违约金；误差率5%以上，咨询人承担项目20%服务费的违约金。误差率超过10%，咨询人承担项目30%服务费的违约金。</w:t>
      </w:r>
    </w:p>
    <w:p w14:paraId="37C54125">
      <w:pPr>
        <w:keepNext w:val="0"/>
        <w:keepLines w:val="0"/>
        <w:pageBreakBefore w:val="0"/>
        <w:widowControl w:val="0"/>
        <w:kinsoku/>
        <w:wordWrap/>
        <w:overflowPunct w:val="0"/>
        <w:topLinePunct/>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val="zh-CN" w:eastAsia="zh-CN"/>
        </w:rPr>
        <w:t>经咨询人审核后备案的招标工程量清单，如出现缺项、漏项、工程量计算错误、特征描述不清楚不准确导致的增加的工程造价超过施工合同金额5%以上10%以下（不含5%，含10%）的，委托人有权扣减项目10%的服务费；增加的工程造价超过施工合同金额10%的，委托人有权扣减项目服务费20%的违约金。</w:t>
      </w:r>
    </w:p>
    <w:p w14:paraId="73CCC571">
      <w:pPr>
        <w:keepNext w:val="0"/>
        <w:keepLines w:val="0"/>
        <w:pageBreakBefore w:val="0"/>
        <w:widowControl w:val="0"/>
        <w:kinsoku/>
        <w:wordWrap/>
        <w:overflowPunct w:val="0"/>
        <w:topLinePunct/>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对于政府审计或学校审计部门组织审计提出的问题，对于财政部门审核竣工决算审核报告提出的问题，咨询人必须根据委托人提出的时限配合完成整改工作，所需费用均包含在合同价中，不得以已出具竣工结算审核报告、财务决算审核报告或委托人已认可竣工结算审核报告、财务决算审核报告为由不配合整改工作。</w:t>
      </w:r>
    </w:p>
    <w:p w14:paraId="6E4AD272">
      <w:pPr>
        <w:keepNext w:val="0"/>
        <w:keepLines w:val="0"/>
        <w:pageBreakBefore w:val="0"/>
        <w:widowControl w:val="0"/>
        <w:kinsoku/>
        <w:wordWrap/>
        <w:overflowPunct w:val="0"/>
        <w:topLinePunct/>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9.由咨询人负责对接会计师事务所，完成财务决算审核工作以及财政部门、政府审计提出的问题整改工作。</w:t>
      </w:r>
    </w:p>
    <w:p w14:paraId="02A52745">
      <w:pPr>
        <w:keepNext w:val="0"/>
        <w:keepLines w:val="0"/>
        <w:pageBreakBefore w:val="0"/>
        <w:widowControl w:val="0"/>
        <w:kinsoku/>
        <w:wordWrap/>
        <w:overflowPunct w:val="0"/>
        <w:topLinePunct/>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咨询人为委托人提供咨询服务的过程文件必须无条件向委托人提供。咨询人所有的提交给委托人的资料除签字盖章的文字资料外，还必须有软件版、Excel或Word格式的电子文档(专业软件计算的表格，必须转换为Excel格式或PDF格式)。</w:t>
      </w:r>
    </w:p>
    <w:p w14:paraId="3BD2D666">
      <w:pPr>
        <w:keepNext w:val="0"/>
        <w:keepLines w:val="0"/>
        <w:pageBreakBefore w:val="0"/>
        <w:widowControl w:val="0"/>
        <w:kinsoku/>
        <w:wordWrap/>
        <w:overflowPunct w:val="0"/>
        <w:topLinePunct/>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11.未经委托人书面同意，咨询人不得擅自更换投标文件中确定的咨询人员，否则，每发生一次，向委托人承担3000元违约金，并及时更换经委托人确认的具有同等资质的咨询人员。</w:t>
      </w:r>
    </w:p>
    <w:p w14:paraId="568DDA49">
      <w:pPr>
        <w:keepNext w:val="0"/>
        <w:keepLines w:val="0"/>
        <w:pageBreakBefore w:val="0"/>
        <w:widowControl w:val="0"/>
        <w:kinsoku/>
        <w:wordWrap/>
        <w:overflowPunct w:val="0"/>
        <w:topLinePunct/>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、服务标准：合格</w:t>
      </w:r>
    </w:p>
    <w:p w14:paraId="13230C21">
      <w:pPr>
        <w:spacing w:line="360" w:lineRule="auto"/>
        <w:ind w:left="274" w:leftChars="114" w:firstLine="361" w:firstLineChars="15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（3）商务要求</w:t>
      </w:r>
    </w:p>
    <w:p w14:paraId="762368DD">
      <w:pPr>
        <w:spacing w:line="360" w:lineRule="auto"/>
        <w:ind w:left="120" w:firstLine="480" w:firstLineChars="200"/>
        <w:jc w:val="left"/>
        <w:rPr>
          <w:rFonts w:hint="eastAsia" w:ascii="宋体" w:hAnsi="宋体" w:eastAsia="宋体" w:cs="宋体"/>
          <w:sz w:val="24"/>
          <w:szCs w:val="24"/>
        </w:rPr>
      </w:pPr>
      <w:r>
        <w:rPr>
          <w:rFonts w:hint="eastAsia" w:ascii="宋体" w:hAnsi="宋体" w:eastAsia="宋体" w:cs="宋体"/>
          <w:sz w:val="24"/>
          <w:szCs w:val="24"/>
        </w:rPr>
        <w:t>服务地点：</w:t>
      </w:r>
      <w:r>
        <w:rPr>
          <w:rFonts w:hint="eastAsia" w:eastAsia="宋体"/>
          <w:lang w:val="en-US" w:eastAsia="zh-CN"/>
        </w:rPr>
        <w:t>新疆和田学院新校区</w:t>
      </w:r>
    </w:p>
    <w:p w14:paraId="42B7D61B">
      <w:pPr>
        <w:spacing w:line="360" w:lineRule="auto"/>
        <w:ind w:left="120"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服务周期：自签订合同之日起至竣工决算审核工作完成。</w:t>
      </w:r>
    </w:p>
    <w:p w14:paraId="2C5D4866">
      <w:pPr>
        <w:pStyle w:val="15"/>
        <w:numPr>
          <w:ilvl w:val="0"/>
          <w:numId w:val="0"/>
        </w:numPr>
        <w:spacing w:line="360" w:lineRule="auto"/>
        <w:ind w:left="0" w:leftChars="0" w:right="0" w:rightChars="0"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pacing w:val="0"/>
          <w:w w:val="100"/>
          <w:position w:val="0"/>
          <w:sz w:val="24"/>
          <w:szCs w:val="24"/>
          <w:shd w:val="clear" w:fill="auto"/>
          <w:lang w:val="en-US" w:eastAsia="en-US" w:bidi="en-US"/>
        </w:rPr>
        <w:t>4.</w:t>
      </w:r>
      <w:r>
        <w:rPr>
          <w:rFonts w:hint="eastAsia" w:ascii="宋体" w:hAnsi="宋体" w:eastAsia="宋体" w:cs="宋体"/>
          <w:b/>
          <w:bCs/>
          <w:color w:val="000000"/>
          <w:sz w:val="24"/>
          <w:szCs w:val="24"/>
        </w:rPr>
        <w:t>付款方式：</w:t>
      </w:r>
    </w:p>
    <w:p w14:paraId="163D57D3">
      <w:pPr>
        <w:pStyle w:val="15"/>
        <w:numPr>
          <w:ilvl w:val="0"/>
          <w:numId w:val="0"/>
        </w:numPr>
        <w:spacing w:line="360" w:lineRule="auto"/>
        <w:ind w:left="0" w:leftChars="0" w:right="0" w:righ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1、项目基坑验槽合格后，支付合同价的20%；</w:t>
      </w:r>
    </w:p>
    <w:p w14:paraId="7E9F4C8F">
      <w:pPr>
        <w:pStyle w:val="15"/>
        <w:numPr>
          <w:ilvl w:val="0"/>
          <w:numId w:val="0"/>
        </w:numPr>
        <w:spacing w:line="360" w:lineRule="auto"/>
        <w:ind w:left="0" w:leftChars="0" w:right="0" w:righ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2、主体工程验收合格后，支付合同价的30%；</w:t>
      </w:r>
    </w:p>
    <w:p w14:paraId="2D9A9778">
      <w:pPr>
        <w:pStyle w:val="15"/>
        <w:numPr>
          <w:ilvl w:val="0"/>
          <w:numId w:val="0"/>
        </w:numPr>
        <w:spacing w:line="360" w:lineRule="auto"/>
        <w:ind w:left="0" w:leftChars="0" w:right="0" w:righ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3、“五方”质量验收合格后，支付合同价的20%；</w:t>
      </w:r>
    </w:p>
    <w:p w14:paraId="77C43808">
      <w:pPr>
        <w:pStyle w:val="15"/>
        <w:numPr>
          <w:ilvl w:val="0"/>
          <w:numId w:val="0"/>
        </w:numPr>
        <w:spacing w:line="360" w:lineRule="auto"/>
        <w:ind w:left="0" w:leftChars="0" w:right="0" w:righ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4、提交竣工结算审核、财务决算审核报告后，支付合同价的30%；</w:t>
      </w:r>
    </w:p>
    <w:p w14:paraId="7612202D">
      <w:pPr>
        <w:pStyle w:val="15"/>
        <w:numPr>
          <w:ilvl w:val="0"/>
          <w:numId w:val="0"/>
        </w:numPr>
        <w:spacing w:line="360" w:lineRule="auto"/>
        <w:ind w:left="0" w:leftChars="0" w:right="0" w:rightChars="0" w:firstLine="480" w:firstLineChars="200"/>
        <w:rPr>
          <w:rFonts w:hint="eastAsia" w:ascii="宋体" w:hAnsi="宋体" w:eastAsia="宋体" w:cs="宋体"/>
          <w:color w:val="000000"/>
          <w:kern w:val="2"/>
          <w:sz w:val="24"/>
          <w:szCs w:val="24"/>
        </w:rPr>
      </w:pPr>
      <w:r>
        <w:rPr>
          <w:rFonts w:hint="eastAsia" w:ascii="宋体" w:hAnsi="宋体" w:eastAsia="宋体" w:cs="宋体"/>
          <w:sz w:val="24"/>
          <w:szCs w:val="24"/>
        </w:rPr>
        <w:t>5、具体付款方式以甲乙双方签订合同为准</w:t>
      </w:r>
      <w:r>
        <w:rPr>
          <w:rFonts w:hint="eastAsia" w:ascii="宋体" w:hAnsi="宋体" w:eastAsia="宋体" w:cs="宋体"/>
          <w:sz w:val="24"/>
          <w:szCs w:val="24"/>
          <w:lang w:eastAsia="zh-CN"/>
        </w:rPr>
        <w:t>。</w:t>
      </w:r>
    </w:p>
    <w:p w14:paraId="0B6A8221">
      <w:pPr>
        <w:pStyle w:val="92"/>
        <w:pageBreakBefore w:val="0"/>
        <w:overflowPunct/>
        <w:topLinePunct w:val="0"/>
        <w:bidi w:val="0"/>
        <w:adjustRightInd/>
        <w:snapToGrid/>
        <w:spacing w:line="360" w:lineRule="auto"/>
        <w:ind w:firstLine="40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br w:type="page"/>
      </w:r>
    </w:p>
    <w:p w14:paraId="516F5327">
      <w:pPr>
        <w:pStyle w:val="3"/>
        <w:shd w:val="clear"/>
        <w:kinsoku/>
        <w:overflowPunct/>
        <w:topLinePunct w:val="0"/>
        <w:bidi w:val="0"/>
        <w:spacing w:line="5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第五章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sz w:val="28"/>
          <w:szCs w:val="28"/>
          <w:highlight w:val="none"/>
          <w:lang w:val="en-US" w:eastAsia="zh-CN"/>
        </w:rPr>
        <w:t>合同条款及格式</w:t>
      </w:r>
      <w:bookmarkEnd w:id="58"/>
    </w:p>
    <w:p w14:paraId="675DF909">
      <w:pPr>
        <w:pStyle w:val="29"/>
        <w:numPr>
          <w:ilvl w:val="0"/>
          <w:numId w:val="0"/>
        </w:numPr>
        <w:shd w:val="clear"/>
        <w:kinsoku/>
        <w:overflowPunct/>
        <w:topLinePunct w:val="0"/>
        <w:bidi w:val="0"/>
        <w:spacing w:line="500" w:lineRule="exact"/>
        <w:ind w:leftChars="0" w:right="0" w:rightChars="0"/>
        <w:rPr>
          <w:rFonts w:hint="eastAsia" w:ascii="宋体" w:hAnsi="宋体" w:eastAsia="宋体" w:cs="宋体"/>
          <w:color w:val="auto"/>
          <w:sz w:val="24"/>
          <w:szCs w:val="24"/>
          <w:highlight w:val="none"/>
        </w:rPr>
      </w:pPr>
    </w:p>
    <w:bookmarkEnd w:id="59"/>
    <w:p w14:paraId="33A86AA5">
      <w:pPr>
        <w:pStyle w:val="10"/>
        <w:shd w:val="clear"/>
        <w:kinsoku/>
        <w:overflowPunct/>
        <w:topLinePunct w:val="0"/>
        <w:bidi w:val="0"/>
        <w:spacing w:line="500" w:lineRule="exact"/>
        <w:jc w:val="center"/>
        <w:rPr>
          <w:rFonts w:hint="eastAsia" w:ascii="宋体" w:hAnsi="宋体" w:eastAsia="宋体" w:cs="宋体"/>
          <w:b/>
          <w:bCs/>
          <w:color w:val="auto"/>
          <w:sz w:val="24"/>
          <w:szCs w:val="24"/>
          <w:highlight w:val="none"/>
          <w:lang w:val="en-US" w:eastAsia="zh-CN"/>
        </w:rPr>
      </w:pPr>
      <w:bookmarkStart w:id="60" w:name="_Toc7146"/>
      <w:r>
        <w:rPr>
          <w:rFonts w:hint="eastAsia" w:ascii="宋体" w:hAnsi="宋体" w:eastAsia="宋体" w:cs="宋体"/>
          <w:b/>
          <w:bCs/>
          <w:color w:val="auto"/>
          <w:sz w:val="24"/>
          <w:szCs w:val="24"/>
          <w:highlight w:val="none"/>
          <w:lang w:val="en-US" w:eastAsia="zh-CN"/>
        </w:rPr>
        <w:t>（本合同仅供参考，具体合同条款甲乙双方签订为准）</w:t>
      </w:r>
    </w:p>
    <w:p w14:paraId="3031E172">
      <w:pPr>
        <w:pageBreakBefore w:val="0"/>
        <w:shd w:val="clear"/>
        <w:kinsoku/>
        <w:wordWrap/>
        <w:overflowPunct/>
        <w:topLinePunct w:val="0"/>
        <w:bidi w:val="0"/>
        <w:spacing w:line="500" w:lineRule="exact"/>
        <w:textAlignment w:val="auto"/>
        <w:rPr>
          <w:rFonts w:hint="eastAsia" w:ascii="宋体" w:hAnsi="宋体" w:eastAsia="宋体" w:cs="宋体"/>
          <w:bCs/>
          <w:color w:val="auto"/>
          <w:sz w:val="24"/>
          <w:szCs w:val="24"/>
          <w:highlight w:val="none"/>
        </w:rPr>
      </w:pPr>
    </w:p>
    <w:p w14:paraId="40E7FF3C">
      <w:pPr>
        <w:pageBreakBefore w:val="0"/>
        <w:shd w:val="clear"/>
        <w:kinsoku/>
        <w:wordWrap/>
        <w:overflowPunct/>
        <w:topLinePunct w:val="0"/>
        <w:bidi w:val="0"/>
        <w:spacing w:line="50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GF—2015—0212</w:t>
      </w:r>
      <w:r>
        <w:rPr>
          <w:rFonts w:hint="eastAsia" w:ascii="宋体" w:hAnsi="宋体" w:eastAsia="宋体" w:cs="宋体"/>
          <w:bCs/>
          <w:color w:val="auto"/>
          <w:sz w:val="24"/>
          <w:szCs w:val="24"/>
          <w:highlight w:val="none"/>
          <w:lang w:val="en-US" w:eastAsia="zh-CN"/>
        </w:rPr>
        <w:t xml:space="preserve">                              </w:t>
      </w:r>
    </w:p>
    <w:p w14:paraId="2139B78F">
      <w:pPr>
        <w:pageBreakBefore w:val="0"/>
        <w:shd w:val="clear"/>
        <w:kinsoku/>
        <w:wordWrap/>
        <w:overflowPunct/>
        <w:topLinePunct w:val="0"/>
        <w:bidi w:val="0"/>
        <w:spacing w:line="500" w:lineRule="exact"/>
        <w:ind w:firstLine="6264" w:firstLineChars="2600"/>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合同编号：</w:t>
      </w:r>
    </w:p>
    <w:p w14:paraId="4130F6B7">
      <w:pPr>
        <w:pageBreakBefore w:val="0"/>
        <w:shd w:val="clear"/>
        <w:kinsoku/>
        <w:wordWrap/>
        <w:overflowPunct/>
        <w:topLinePunct w:val="0"/>
        <w:bidi w:val="0"/>
        <w:spacing w:line="500" w:lineRule="exact"/>
        <w:textAlignment w:val="auto"/>
        <w:rPr>
          <w:rFonts w:hint="eastAsia" w:ascii="宋体" w:hAnsi="宋体" w:eastAsia="宋体" w:cs="宋体"/>
          <w:color w:val="auto"/>
          <w:sz w:val="24"/>
          <w:szCs w:val="24"/>
          <w:highlight w:val="none"/>
          <w:lang w:eastAsia="zh-CN"/>
        </w:rPr>
      </w:pPr>
    </w:p>
    <w:p w14:paraId="1064CA1A">
      <w:pPr>
        <w:pStyle w:val="15"/>
        <w:pageBreakBefore w:val="0"/>
        <w:numPr>
          <w:ilvl w:val="0"/>
          <w:numId w:val="0"/>
        </w:numPr>
        <w:shd w:val="clear"/>
        <w:kinsoku/>
        <w:wordWrap/>
        <w:overflowPunct/>
        <w:topLinePunct w:val="0"/>
        <w:bidi w:val="0"/>
        <w:spacing w:line="500" w:lineRule="exact"/>
        <w:ind w:leftChars="0" w:right="0" w:rightChars="0"/>
        <w:textAlignment w:val="auto"/>
        <w:rPr>
          <w:rFonts w:hint="eastAsia" w:ascii="宋体" w:hAnsi="宋体" w:eastAsia="宋体" w:cs="宋体"/>
          <w:color w:val="auto"/>
          <w:sz w:val="24"/>
          <w:szCs w:val="24"/>
          <w:highlight w:val="none"/>
          <w:lang w:eastAsia="zh-CN"/>
        </w:rPr>
      </w:pPr>
    </w:p>
    <w:p w14:paraId="222F90F5">
      <w:pPr>
        <w:pStyle w:val="15"/>
        <w:pageBreakBefore w:val="0"/>
        <w:numPr>
          <w:ilvl w:val="0"/>
          <w:numId w:val="0"/>
        </w:numPr>
        <w:shd w:val="clear"/>
        <w:kinsoku/>
        <w:wordWrap/>
        <w:overflowPunct/>
        <w:topLinePunct w:val="0"/>
        <w:bidi w:val="0"/>
        <w:spacing w:line="500" w:lineRule="exact"/>
        <w:ind w:leftChars="0" w:right="0" w:rightChars="0"/>
        <w:textAlignment w:val="auto"/>
        <w:rPr>
          <w:rFonts w:hint="eastAsia" w:ascii="宋体" w:hAnsi="宋体" w:eastAsia="宋体" w:cs="宋体"/>
          <w:color w:val="auto"/>
          <w:sz w:val="24"/>
          <w:szCs w:val="24"/>
          <w:highlight w:val="none"/>
          <w:lang w:eastAsia="zh-CN"/>
        </w:rPr>
      </w:pPr>
    </w:p>
    <w:p w14:paraId="22F0DA81">
      <w:pPr>
        <w:pageBreakBefore w:val="0"/>
        <w:shd w:val="clear"/>
        <w:kinsoku/>
        <w:wordWrap/>
        <w:overflowPunct/>
        <w:topLinePunct w:val="0"/>
        <w:bidi w:val="0"/>
        <w:spacing w:line="500" w:lineRule="exact"/>
        <w:textAlignment w:val="auto"/>
        <w:rPr>
          <w:rFonts w:hint="eastAsia" w:ascii="宋体" w:hAnsi="宋体" w:eastAsia="宋体" w:cs="宋体"/>
          <w:color w:val="auto"/>
          <w:sz w:val="24"/>
          <w:szCs w:val="24"/>
          <w:highlight w:val="none"/>
        </w:rPr>
      </w:pPr>
    </w:p>
    <w:p w14:paraId="1410DFED">
      <w:pPr>
        <w:pageBreakBefore w:val="0"/>
        <w:shd w:val="clear"/>
        <w:kinsoku/>
        <w:wordWrap/>
        <w:overflowPunct/>
        <w:topLinePunct w:val="0"/>
        <w:bidi w:val="0"/>
        <w:spacing w:line="500" w:lineRule="exact"/>
        <w:textAlignment w:val="auto"/>
        <w:rPr>
          <w:rFonts w:hint="eastAsia" w:ascii="宋体" w:hAnsi="宋体" w:eastAsia="宋体" w:cs="宋体"/>
          <w:color w:val="auto"/>
          <w:sz w:val="24"/>
          <w:szCs w:val="24"/>
          <w:highlight w:val="none"/>
        </w:rPr>
      </w:pPr>
    </w:p>
    <w:p w14:paraId="420069C2">
      <w:pPr>
        <w:pageBreakBefore w:val="0"/>
        <w:shd w:val="clear"/>
        <w:kinsoku/>
        <w:wordWrap/>
        <w:overflowPunct/>
        <w:topLinePunct w:val="0"/>
        <w:bidi w:val="0"/>
        <w:spacing w:line="500" w:lineRule="exact"/>
        <w:textAlignment w:val="auto"/>
        <w:rPr>
          <w:rFonts w:hint="eastAsia" w:ascii="宋体" w:hAnsi="宋体" w:eastAsia="宋体" w:cs="宋体"/>
          <w:color w:val="auto"/>
          <w:sz w:val="24"/>
          <w:szCs w:val="24"/>
          <w:highlight w:val="none"/>
        </w:rPr>
      </w:pPr>
    </w:p>
    <w:p w14:paraId="5AF8EA9B">
      <w:pPr>
        <w:pageBreakBefore w:val="0"/>
        <w:shd w:val="clear"/>
        <w:kinsoku/>
        <w:wordWrap/>
        <w:overflowPunct/>
        <w:topLinePunct w:val="0"/>
        <w:bidi w:val="0"/>
        <w:spacing w:line="500" w:lineRule="exact"/>
        <w:textAlignment w:val="auto"/>
        <w:rPr>
          <w:rFonts w:hint="eastAsia" w:ascii="宋体" w:hAnsi="宋体" w:eastAsia="宋体" w:cs="宋体"/>
          <w:color w:val="auto"/>
          <w:sz w:val="24"/>
          <w:szCs w:val="24"/>
          <w:highlight w:val="none"/>
        </w:rPr>
      </w:pPr>
    </w:p>
    <w:p w14:paraId="548C0A94">
      <w:pPr>
        <w:pageBreakBefore w:val="0"/>
        <w:shd w:val="clear"/>
        <w:kinsoku/>
        <w:wordWrap/>
        <w:overflowPunct/>
        <w:topLinePunct w:val="0"/>
        <w:bidi w:val="0"/>
        <w:spacing w:line="500" w:lineRule="exact"/>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建设工程造价咨询合同</w:t>
      </w:r>
    </w:p>
    <w:p w14:paraId="49DBAC1F">
      <w:pPr>
        <w:pageBreakBefore w:val="0"/>
        <w:shd w:val="clear"/>
        <w:kinsoku/>
        <w:wordWrap/>
        <w:overflowPunct/>
        <w:topLinePunct w:val="0"/>
        <w:bidi w:val="0"/>
        <w:spacing w:line="500" w:lineRule="exact"/>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（示范文本）</w:t>
      </w:r>
    </w:p>
    <w:p w14:paraId="7401B0CE">
      <w:pPr>
        <w:pStyle w:val="77"/>
        <w:pageBreakBefore w:val="0"/>
        <w:shd w:val="clear"/>
        <w:kinsoku/>
        <w:wordWrap/>
        <w:overflowPunct/>
        <w:topLinePunct w:val="0"/>
        <w:bidi w:val="0"/>
        <w:spacing w:line="500" w:lineRule="exact"/>
        <w:jc w:val="both"/>
        <w:textAlignment w:val="auto"/>
        <w:rPr>
          <w:rFonts w:hint="eastAsia" w:ascii="宋体" w:hAnsi="宋体" w:eastAsia="宋体" w:cs="宋体"/>
          <w:color w:val="auto"/>
          <w:sz w:val="24"/>
          <w:szCs w:val="24"/>
          <w:highlight w:val="none"/>
        </w:rPr>
      </w:pPr>
    </w:p>
    <w:p w14:paraId="011D3933">
      <w:pPr>
        <w:pStyle w:val="77"/>
        <w:pageBreakBefore w:val="0"/>
        <w:shd w:val="clear"/>
        <w:kinsoku/>
        <w:wordWrap/>
        <w:overflowPunct/>
        <w:topLinePunct w:val="0"/>
        <w:bidi w:val="0"/>
        <w:spacing w:line="500" w:lineRule="exact"/>
        <w:jc w:val="center"/>
        <w:textAlignment w:val="auto"/>
        <w:rPr>
          <w:rFonts w:hint="eastAsia" w:ascii="宋体" w:hAnsi="宋体" w:eastAsia="宋体" w:cs="宋体"/>
          <w:color w:val="auto"/>
          <w:sz w:val="24"/>
          <w:szCs w:val="24"/>
          <w:highlight w:val="none"/>
        </w:rPr>
      </w:pPr>
    </w:p>
    <w:p w14:paraId="35EFF695">
      <w:pPr>
        <w:pStyle w:val="77"/>
        <w:pageBreakBefore w:val="0"/>
        <w:shd w:val="clear"/>
        <w:kinsoku/>
        <w:wordWrap/>
        <w:overflowPunct/>
        <w:topLinePunct w:val="0"/>
        <w:bidi w:val="0"/>
        <w:spacing w:line="500" w:lineRule="exact"/>
        <w:jc w:val="center"/>
        <w:textAlignment w:val="auto"/>
        <w:rPr>
          <w:rFonts w:hint="eastAsia" w:ascii="宋体" w:hAnsi="宋体" w:eastAsia="宋体" w:cs="宋体"/>
          <w:color w:val="auto"/>
          <w:sz w:val="24"/>
          <w:szCs w:val="24"/>
          <w:highlight w:val="none"/>
        </w:rPr>
      </w:pPr>
    </w:p>
    <w:p w14:paraId="6060007D">
      <w:pPr>
        <w:pStyle w:val="77"/>
        <w:pageBreakBefore w:val="0"/>
        <w:shd w:val="clear"/>
        <w:kinsoku/>
        <w:wordWrap/>
        <w:overflowPunct/>
        <w:topLinePunct w:val="0"/>
        <w:bidi w:val="0"/>
        <w:spacing w:line="500" w:lineRule="exact"/>
        <w:jc w:val="both"/>
        <w:textAlignment w:val="auto"/>
        <w:rPr>
          <w:rFonts w:hint="eastAsia" w:ascii="宋体" w:hAnsi="宋体" w:eastAsia="宋体" w:cs="宋体"/>
          <w:color w:val="auto"/>
          <w:sz w:val="24"/>
          <w:szCs w:val="24"/>
          <w:highlight w:val="none"/>
        </w:rPr>
      </w:pPr>
    </w:p>
    <w:p w14:paraId="0ABA08E5">
      <w:pPr>
        <w:pStyle w:val="77"/>
        <w:pageBreakBefore w:val="0"/>
        <w:shd w:val="clear"/>
        <w:kinsoku/>
        <w:wordWrap/>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3543935</wp:posOffset>
                </wp:positionH>
                <wp:positionV relativeFrom="paragraph">
                  <wp:posOffset>86995</wp:posOffset>
                </wp:positionV>
                <wp:extent cx="2627630" cy="678180"/>
                <wp:effectExtent l="4445" t="4445" r="19685" b="18415"/>
                <wp:wrapNone/>
                <wp:docPr id="8" name="文本框 8"/>
                <wp:cNvGraphicFramePr/>
                <a:graphic xmlns:a="http://schemas.openxmlformats.org/drawingml/2006/main">
                  <a:graphicData uri="http://schemas.microsoft.com/office/word/2010/wordprocessingShape">
                    <wps:wsp>
                      <wps:cNvSpPr txBox="1"/>
                      <wps:spPr>
                        <a:xfrm>
                          <a:off x="0" y="0"/>
                          <a:ext cx="2627630" cy="678180"/>
                        </a:xfrm>
                        <a:prstGeom prst="rect">
                          <a:avLst/>
                        </a:prstGeom>
                        <a:solidFill>
                          <a:srgbClr val="FFFFFF"/>
                        </a:solidFill>
                        <a:ln w="0" cap="flat" cmpd="sng">
                          <a:solidFill>
                            <a:srgbClr val="FFFFFF"/>
                          </a:solidFill>
                          <a:prstDash val="solid"/>
                          <a:miter/>
                          <a:headEnd type="none" w="med" len="med"/>
                          <a:tailEnd type="none" w="med" len="med"/>
                        </a:ln>
                        <a:effectLst/>
                      </wps:spPr>
                      <wps:txbx>
                        <w:txbxContent>
                          <w:p w14:paraId="1605B326">
                            <w:pPr>
                              <w:rPr>
                                <w:b/>
                                <w:sz w:val="32"/>
                                <w:szCs w:val="32"/>
                              </w:rPr>
                            </w:pPr>
                            <w:r>
                              <w:rPr>
                                <w:rFonts w:hint="eastAsia"/>
                                <w:b/>
                                <w:sz w:val="32"/>
                                <w:szCs w:val="32"/>
                              </w:rPr>
                              <w:t>制定</w:t>
                            </w:r>
                          </w:p>
                        </w:txbxContent>
                      </wps:txbx>
                      <wps:bodyPr upright="1"/>
                    </wps:wsp>
                  </a:graphicData>
                </a:graphic>
              </wp:anchor>
            </w:drawing>
          </mc:Choice>
          <mc:Fallback>
            <w:pict>
              <v:shape id="_x0000_s1026" o:spid="_x0000_s1026" o:spt="202" type="#_x0000_t202" style="position:absolute;left:0pt;margin-left:279.05pt;margin-top:6.85pt;height:53.4pt;width:206.9pt;z-index:251659264;mso-width-relative:page;mso-height-relative:page;" fillcolor="#FFFFFF" filled="t" stroked="t" coordsize="21600,21600" o:gfxdata="UEsDBAoAAAAAAIdO4kAAAAAAAAAAAAAAAAAEAAAAZHJzL1BLAwQUAAAACACHTuJA+Kp7dNkAAAAK&#10;AQAADwAAAGRycy9kb3ducmV2LnhtbE2PwU7DMAyG70i8Q2QkLoglLSrbStMdhtCEOK3jslvWeG2h&#10;cUqTbeXtMSc42v+n35+L1eR6ccYxdJ40JDMFAqn2tqNGw/vu5X4BIkRD1vSeUMM3BliV11eFya2/&#10;0BbPVWwEl1DIjYY2xiGXMtQtOhNmfkDi7OhHZyKPYyPtaC5c7nqZKvUonemIL7RmwHWL9Wd1chpe&#10;a9lNH+tnt4n4dvc1prTfVRutb28S9QQi4hT/YPjVZ3Uo2engT2SD6DVk2SJhlIOHOQgGlvNkCeLA&#10;i1RlIMtC/n+h/AFQSwMEFAAAAAgAh07iQKagN8MJAgAAQQQAAA4AAABkcnMvZTJvRG9jLnhtbK1T&#10;S44TMRDdI3EHy3vSSZAyUZTOSBDCBgHSwAEcu7rbkn9yOenOBeAGrNiw51xzDsruTJgZNlnQC3fZ&#10;VX5V71V5fTtYw44QUXtX89lkyhk46ZV2bc2/ftm9WnKGSTgljHdQ8xMgv928fLHuwwrmvvNGQWQE&#10;4nDVh5p3KYVVVaHswAqc+ACOnI2PViTaxrZSUfSEbk01n04XVe+jCtFLQKTT7ejkZ8R4DaBvGi1h&#10;6+XBgksjagQjElHCTgfkm1Jt04BMn5oGITFTc2KaykpJyN7ntdqsxaqNInRanksQ15TwjJMV2lHS&#10;C9RWJMEOUf8DZbWMHn2TJtLbaiRSFCEWs+kzbe46EaBwIakxXETH/wcrPx4/R6ZVzantTlhq+P2P&#10;7/c/f9//+saWWZ4+4Iqi7gLFpeGNH2hoHs6RDjProYk2/4kPIz+Je7qIC0Nikg7ni/nN4jW5JPkW&#10;N8vZsqhf/b0dIqb34C3LRs0jNa9oKo4fMFElFPoQkpOhN1rttDFlE9v9WxPZUVCjd+XLRdKVJ2HG&#10;sb7UJwWNbkMjQ/XYQPTRtSXZk3C8DjVXtRXYjdkLwjhYVieIZcQ6EOqdUyydAkns6GXxXIkFxZkB&#10;eojZKpFJaHNNJFEzLlOHMuZniXK3xq5kKw37gUCzuffqRB08hKjbjtQtPayyhyarCHV+BXl0H+/J&#10;fvzyN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p7dNkAAAAKAQAADwAAAAAAAAABACAAAAAi&#10;AAAAZHJzL2Rvd25yZXYueG1sUEsBAhQAFAAAAAgAh07iQKagN8MJAgAAQQQAAA4AAAAAAAAAAQAg&#10;AAAAKAEAAGRycy9lMm9Eb2MueG1sUEsFBgAAAAAGAAYAWQEAAKMFAAAAAA==&#10;">
                <v:fill on="t" focussize="0,0"/>
                <v:stroke weight="0pt" color="#FFFFFF" joinstyle="miter"/>
                <v:imagedata o:title=""/>
                <o:lock v:ext="edit" aspectratio="f"/>
                <v:textbox>
                  <w:txbxContent>
                    <w:p w14:paraId="1605B326">
                      <w:pPr>
                        <w:rPr>
                          <w:b/>
                          <w:sz w:val="32"/>
                          <w:szCs w:val="32"/>
                        </w:rPr>
                      </w:pPr>
                      <w:r>
                        <w:rPr>
                          <w:rFonts w:hint="eastAsia"/>
                          <w:b/>
                          <w:sz w:val="32"/>
                          <w:szCs w:val="32"/>
                        </w:rPr>
                        <w:t>制定</w:t>
                      </w:r>
                    </w:p>
                  </w:txbxContent>
                </v:textbox>
              </v:shape>
            </w:pict>
          </mc:Fallback>
        </mc:AlternateConten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住 房 和 城 乡 建 设 部</w:t>
      </w:r>
    </w:p>
    <w:p w14:paraId="0DEBC926">
      <w:pPr>
        <w:pStyle w:val="77"/>
        <w:pageBreakBefore w:val="0"/>
        <w:shd w:val="clear"/>
        <w:kinsoku/>
        <w:wordWrap/>
        <w:overflowPunct/>
        <w:topLinePunct w:val="0"/>
        <w:bidi w:val="0"/>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国家工商行政管理总局</w:t>
      </w:r>
    </w:p>
    <w:p w14:paraId="618A9B25">
      <w:pPr>
        <w:pStyle w:val="77"/>
        <w:pageBreakBefore w:val="0"/>
        <w:shd w:val="clear"/>
        <w:kinsoku/>
        <w:wordWrap/>
        <w:overflowPunct/>
        <w:topLinePunct w:val="0"/>
        <w:bidi w:val="0"/>
        <w:spacing w:line="500" w:lineRule="exact"/>
        <w:jc w:val="both"/>
        <w:textAlignment w:val="auto"/>
        <w:rPr>
          <w:rFonts w:hint="eastAsia" w:ascii="宋体" w:hAnsi="宋体" w:eastAsia="宋体" w:cs="宋体"/>
          <w:color w:val="auto"/>
          <w:sz w:val="24"/>
          <w:szCs w:val="24"/>
          <w:highlight w:val="none"/>
          <w:lang w:val="zh-CN"/>
        </w:rPr>
      </w:pPr>
    </w:p>
    <w:p w14:paraId="54F30801">
      <w:pPr>
        <w:pStyle w:val="77"/>
        <w:pageBreakBefore w:val="0"/>
        <w:shd w:val="clear"/>
        <w:kinsoku/>
        <w:wordWrap/>
        <w:overflowPunct/>
        <w:topLinePunct w:val="0"/>
        <w:bidi w:val="0"/>
        <w:spacing w:line="500" w:lineRule="exact"/>
        <w:jc w:val="both"/>
        <w:textAlignment w:val="auto"/>
        <w:rPr>
          <w:rFonts w:hint="eastAsia" w:ascii="宋体" w:hAnsi="宋体" w:eastAsia="宋体" w:cs="宋体"/>
          <w:color w:val="auto"/>
          <w:sz w:val="24"/>
          <w:szCs w:val="24"/>
          <w:highlight w:val="none"/>
          <w:lang w:val="zh-CN"/>
        </w:rPr>
      </w:pPr>
    </w:p>
    <w:p w14:paraId="213198E7">
      <w:pPr>
        <w:pStyle w:val="78"/>
        <w:pageBreakBefore w:val="0"/>
        <w:shd w:val="clear"/>
        <w:kinsoku/>
        <w:wordWrap/>
        <w:overflowPunct/>
        <w:topLinePunct w:val="0"/>
        <w:bidi w:val="0"/>
        <w:spacing w:before="0" w:after="0" w:line="50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说  明</w:t>
      </w:r>
    </w:p>
    <w:p w14:paraId="050745B9">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指导建设工程造价咨询合同当事人的签约行为，维护合同当事人的合法权益，依据《中华人民共和国民法典》、《中华人民共和国建筑法》、《中华人民共和国招标投标法》以及相关法律法规，住房和城乡建设部、国家工商行政管理总局对《建设工程造价咨询合同（示范文本）》（GF-2002-0212）进行了修订，制定了《建设工程造价咨询合同（示范文本）》（GF-2015- 0212 ）（以下简称《示范文本》）。为了便于合同当事人使用《示范文本》，现就有关问题说明如下：</w:t>
      </w:r>
    </w:p>
    <w:p w14:paraId="4DBEE0F4">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一、《示范文本》的组成</w:t>
      </w:r>
    </w:p>
    <w:p w14:paraId="242C8E03">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《示范文本》由协议书、通用条件和专用条件三部分组成。</w:t>
      </w:r>
    </w:p>
    <w:p w14:paraId="22918E33">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（一）协议书</w:t>
      </w:r>
    </w:p>
    <w:p w14:paraId="28BD81E4">
      <w:pPr>
        <w:keepNext w:val="0"/>
        <w:keepLines w:val="0"/>
        <w:pageBreakBefore w:val="0"/>
        <w:widowControl w:val="0"/>
        <w:shd w:val="clear"/>
        <w:kinsoku/>
        <w:wordWrap/>
        <w:overflowPunct/>
        <w:topLinePunct w:val="0"/>
        <w:autoSpaceDE/>
        <w:autoSpaceDN/>
        <w:bidi w:val="0"/>
        <w:adjustRightInd/>
        <w:snapToGrid/>
        <w:spacing w:line="500" w:lineRule="exact"/>
        <w:ind w:left="168" w:leftChars="7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《示范文本》协议书集中约定了合同当事人基本的合同权利义务。</w:t>
      </w:r>
    </w:p>
    <w:p w14:paraId="5A079464">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（二）通用条件</w:t>
      </w:r>
    </w:p>
    <w:p w14:paraId="295A79F3">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通用条件是合同当事人根据《中华人民共和国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》、《中华人民共和国建筑法》等法律法规的规定，就工程造价咨询的实施及相关事项，对合同当事人的权利义务作出的原则性约定。</w:t>
      </w:r>
    </w:p>
    <w:p w14:paraId="7D283770">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通用条件既考虑了现行法律法规对工程发承包计价的有关要求，也考虑了工程造价咨询管理的特殊需要。</w:t>
      </w:r>
    </w:p>
    <w:p w14:paraId="2F0D3DA9">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（三）专用条件</w:t>
      </w:r>
    </w:p>
    <w:p w14:paraId="5DC79429">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条件是对通用条件原则性约定的细化、完善、补充、修改或另行约定的条件。合同当事人可以根据不同建设工程的特点及发承包计价的具体情况，通过双方的谈判、协商对相应的专用条件进行修改补充。在使用专用条件时，应注意以下事项：</w:t>
      </w:r>
    </w:p>
    <w:p w14:paraId="120195D5">
      <w:pPr>
        <w:keepNext w:val="0"/>
        <w:keepLines w:val="0"/>
        <w:pageBreakBefore w:val="0"/>
        <w:widowControl w:val="0"/>
        <w:shd w:val="clear"/>
        <w:kinsoku/>
        <w:wordWrap/>
        <w:overflowPunct/>
        <w:topLinePunct w:val="0"/>
        <w:autoSpaceDE/>
        <w:autoSpaceDN/>
        <w:bidi w:val="0"/>
        <w:adjustRightInd/>
        <w:snapToGrid/>
        <w:spacing w:line="500" w:lineRule="exact"/>
        <w:ind w:right="29" w:rightChars="12"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1.专用条件的编号应与相应的通用条件的编号一致；</w:t>
      </w:r>
    </w:p>
    <w:p w14:paraId="3AC27E06">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2.合同当事人可以通过对专用条件的修改，满足具体工程的特殊要求，避免直接修改通用条件；</w:t>
      </w:r>
    </w:p>
    <w:p w14:paraId="386928FE">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3.在专用条件中有横道线的地方，合同当事人可针对相应的通用条件进行细化、完善、补充、修改或另行约定；如无细化、完善、补充、修改或另行约定，则填写“无”或划“/”。</w:t>
      </w:r>
    </w:p>
    <w:p w14:paraId="3F5D48BC">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二、《示范文本》的性质和适用范围</w:t>
      </w:r>
    </w:p>
    <w:p w14:paraId="3742A8A7">
      <w:pPr>
        <w:keepNext w:val="0"/>
        <w:keepLines w:val="0"/>
        <w:pageBreakBefore w:val="0"/>
        <w:widowControl w:val="0"/>
        <w:shd w:val="clea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sectPr>
          <w:footerReference r:id="rId13" w:type="first"/>
          <w:headerReference r:id="rId9" w:type="default"/>
          <w:footerReference r:id="rId11" w:type="default"/>
          <w:headerReference r:id="rId10" w:type="even"/>
          <w:footerReference r:id="rId12" w:type="even"/>
          <w:pgSz w:w="11906" w:h="16838"/>
          <w:pgMar w:top="1418" w:right="1555" w:bottom="1418" w:left="1531" w:header="851" w:footer="992" w:gutter="0"/>
          <w:pgNumType w:fmt="decimal"/>
          <w:cols w:space="720" w:num="1"/>
          <w:titlePg/>
          <w:docGrid w:type="lines" w:linePitch="312" w:charSpace="0"/>
        </w:sectPr>
      </w:pPr>
      <w:r>
        <w:rPr>
          <w:rFonts w:hint="eastAsia" w:ascii="宋体" w:hAnsi="宋体" w:eastAsia="宋体" w:cs="宋体"/>
          <w:color w:val="auto"/>
          <w:sz w:val="24"/>
          <w:szCs w:val="24"/>
          <w:highlight w:val="none"/>
        </w:rPr>
        <w:t>《示范文本》供合同双方当事人参照使用，可适用于各类建设工程全过程造价咨询服务以及阶段性造价咨询服务的合同订立。合同当事人可结合建设工程具体情况，按照法律法规规定，根据《示范文本》的内容，约定双方具体的权利义务。</w:t>
      </w:r>
    </w:p>
    <w:p w14:paraId="657C8059">
      <w:pPr>
        <w:keepNext/>
        <w:keepLines/>
        <w:spacing w:line="520" w:lineRule="exact"/>
        <w:ind w:left="160" w:hanging="160"/>
        <w:jc w:val="center"/>
        <w:outlineLvl w:val="0"/>
        <w:rPr>
          <w:rFonts w:hint="eastAsia" w:ascii="宋体" w:hAnsi="宋体" w:eastAsia="宋体" w:cs="宋体"/>
          <w:sz w:val="32"/>
          <w:szCs w:val="32"/>
        </w:rPr>
      </w:pPr>
      <w:r>
        <w:rPr>
          <w:rFonts w:hint="eastAsia" w:ascii="宋体" w:hAnsi="宋体" w:eastAsia="宋体" w:cs="宋体"/>
          <w:kern w:val="44"/>
          <w:sz w:val="32"/>
          <w:szCs w:val="32"/>
        </w:rPr>
        <w:t>第一部分　协议书</w:t>
      </w:r>
    </w:p>
    <w:p w14:paraId="4D628330">
      <w:pPr>
        <w:ind w:left="120" w:hanging="120"/>
        <w:rPr>
          <w:rFonts w:hint="eastAsia" w:ascii="宋体" w:hAnsi="宋体" w:eastAsia="宋体" w:cs="宋体"/>
          <w:sz w:val="24"/>
        </w:rPr>
      </w:pPr>
    </w:p>
    <w:p w14:paraId="19AE7243">
      <w:pPr>
        <w:spacing w:line="520" w:lineRule="exact"/>
        <w:ind w:left="48" w:firstLine="480" w:firstLineChars="200"/>
        <w:rPr>
          <w:rFonts w:hint="eastAsia" w:ascii="宋体" w:hAnsi="宋体" w:eastAsia="宋体" w:cs="宋体"/>
          <w:spacing w:val="-4"/>
          <w:sz w:val="24"/>
          <w:u w:val="single"/>
        </w:rPr>
      </w:pPr>
      <w:bookmarkStart w:id="61" w:name="7"/>
      <w:r>
        <w:rPr>
          <w:rFonts w:hint="eastAsia" w:ascii="宋体" w:hAnsi="宋体" w:eastAsia="宋体" w:cs="宋体"/>
          <w:sz w:val="24"/>
        </w:rPr>
        <w:t>委托人（全称）：</w:t>
      </w:r>
      <w:r>
        <w:rPr>
          <w:rFonts w:hint="eastAsia" w:ascii="宋体" w:hAnsi="宋体" w:eastAsia="宋体" w:cs="宋体"/>
          <w:sz w:val="24"/>
          <w:u w:val="single"/>
        </w:rPr>
        <w:t xml:space="preserve"> 新疆和田学院          </w:t>
      </w:r>
    </w:p>
    <w:p w14:paraId="2A103899">
      <w:pPr>
        <w:pStyle w:val="79"/>
        <w:spacing w:line="520" w:lineRule="exact"/>
        <w:ind w:left="43" w:leftChars="18"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咨询人（全称）：</w:t>
      </w:r>
      <w:r>
        <w:rPr>
          <w:rFonts w:hint="eastAsia" w:ascii="宋体" w:hAnsi="宋体" w:eastAsia="宋体" w:cs="宋体"/>
          <w:sz w:val="24"/>
          <w:szCs w:val="24"/>
          <w:u w:val="single"/>
        </w:rPr>
        <w:t xml:space="preserve">                          </w:t>
      </w:r>
    </w:p>
    <w:p w14:paraId="1CADA941">
      <w:pPr>
        <w:pStyle w:val="79"/>
        <w:spacing w:line="520" w:lineRule="exact"/>
        <w:ind w:left="24" w:leftChars="10"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根据《中华人民共和国民法典》及其他有关法律、法规，遵循平等、自愿、公平和诚实信用的原则，双方就下述建设工程委托造价咨询与其他服务事项协商一致，订立本合同。</w:t>
      </w:r>
    </w:p>
    <w:p w14:paraId="27B5E22F">
      <w:pPr>
        <w:spacing w:line="520" w:lineRule="exact"/>
        <w:ind w:firstLine="482" w:firstLineChars="200"/>
        <w:rPr>
          <w:rStyle w:val="98"/>
          <w:rFonts w:hint="eastAsia" w:ascii="宋体" w:hAnsi="宋体" w:eastAsia="宋体" w:cs="宋体"/>
          <w:sz w:val="24"/>
          <w:szCs w:val="24"/>
        </w:rPr>
      </w:pPr>
      <w:bookmarkStart w:id="62" w:name="_Toc256000021"/>
      <w:bookmarkStart w:id="63" w:name="_Toc256000129"/>
      <w:bookmarkStart w:id="64" w:name="_Toc419045056"/>
      <w:r>
        <w:rPr>
          <w:rStyle w:val="98"/>
          <w:rFonts w:hint="eastAsia" w:ascii="宋体" w:hAnsi="宋体" w:eastAsia="宋体" w:cs="宋体"/>
          <w:sz w:val="24"/>
          <w:szCs w:val="24"/>
        </w:rPr>
        <w:t>一、工程概况</w:t>
      </w:r>
      <w:bookmarkEnd w:id="62"/>
      <w:bookmarkEnd w:id="63"/>
    </w:p>
    <w:p w14:paraId="494E767D">
      <w:pPr>
        <w:spacing w:line="52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kern w:val="0"/>
          <w:sz w:val="24"/>
        </w:rPr>
        <w:t>工程名称：</w:t>
      </w:r>
      <w:r>
        <w:rPr>
          <w:rFonts w:hint="eastAsia" w:ascii="宋体" w:hAnsi="宋体" w:eastAsia="宋体" w:cs="宋体"/>
          <w:sz w:val="24"/>
          <w:u w:val="single"/>
        </w:rPr>
        <w:t xml:space="preserve">                                                </w:t>
      </w:r>
      <w:r>
        <w:rPr>
          <w:rFonts w:hint="eastAsia" w:ascii="宋体" w:hAnsi="宋体" w:eastAsia="宋体" w:cs="宋体"/>
          <w:sz w:val="24"/>
        </w:rPr>
        <w:t>；</w:t>
      </w:r>
    </w:p>
    <w:p w14:paraId="4CBB838E">
      <w:pPr>
        <w:spacing w:line="520" w:lineRule="exact"/>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kern w:val="0"/>
          <w:sz w:val="24"/>
        </w:rPr>
        <w:t>工程地点：</w:t>
      </w:r>
      <w:bookmarkEnd w:id="64"/>
      <w:r>
        <w:rPr>
          <w:rFonts w:hint="eastAsia" w:ascii="宋体" w:hAnsi="宋体" w:eastAsia="宋体" w:cs="宋体"/>
          <w:sz w:val="24"/>
          <w:u w:val="single"/>
        </w:rPr>
        <w:t xml:space="preserve">                                                 </w:t>
      </w:r>
      <w:r>
        <w:rPr>
          <w:rFonts w:hint="eastAsia" w:ascii="宋体" w:hAnsi="宋体" w:eastAsia="宋体" w:cs="宋体"/>
          <w:sz w:val="24"/>
        </w:rPr>
        <w:t>；</w:t>
      </w:r>
    </w:p>
    <w:p w14:paraId="32C5A902">
      <w:pPr>
        <w:spacing w:line="520" w:lineRule="exact"/>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kern w:val="0"/>
          <w:sz w:val="24"/>
        </w:rPr>
        <w:t>工程规模：</w:t>
      </w:r>
      <w:r>
        <w:rPr>
          <w:rFonts w:hint="eastAsia" w:ascii="宋体" w:hAnsi="宋体" w:eastAsia="宋体" w:cs="宋体"/>
          <w:sz w:val="24"/>
          <w:u w:val="single"/>
        </w:rPr>
        <w:t xml:space="preserve">                                                 </w:t>
      </w:r>
      <w:r>
        <w:rPr>
          <w:rFonts w:hint="eastAsia" w:ascii="宋体" w:hAnsi="宋体" w:eastAsia="宋体" w:cs="宋体"/>
          <w:sz w:val="24"/>
        </w:rPr>
        <w:t>；</w:t>
      </w:r>
    </w:p>
    <w:p w14:paraId="0EA02336">
      <w:pPr>
        <w:spacing w:line="520" w:lineRule="exact"/>
        <w:ind w:left="48"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kern w:val="0"/>
          <w:sz w:val="24"/>
        </w:rPr>
        <w:t>投资金额：</w:t>
      </w:r>
      <w:r>
        <w:rPr>
          <w:rFonts w:hint="eastAsia" w:ascii="宋体" w:hAnsi="宋体" w:eastAsia="宋体" w:cs="宋体"/>
          <w:sz w:val="24"/>
          <w:u w:val="single"/>
        </w:rPr>
        <w:t xml:space="preserve">                                         </w:t>
      </w:r>
      <w:r>
        <w:rPr>
          <w:rFonts w:hint="eastAsia" w:ascii="宋体" w:hAnsi="宋体" w:eastAsia="宋体" w:cs="宋体"/>
          <w:sz w:val="24"/>
        </w:rPr>
        <w:t>；</w:t>
      </w:r>
    </w:p>
    <w:p w14:paraId="12C01D7C">
      <w:pPr>
        <w:spacing w:line="520" w:lineRule="exact"/>
        <w:ind w:left="48" w:firstLine="480" w:firstLineChars="20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kern w:val="0"/>
          <w:sz w:val="24"/>
        </w:rPr>
        <w:t>资金来源</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p>
    <w:p w14:paraId="61A0FC8D">
      <w:pPr>
        <w:pStyle w:val="79"/>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6.建设工期或周期：</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C7914ED">
      <w:pPr>
        <w:pStyle w:val="79"/>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7.其他：</w:t>
      </w:r>
      <w:r>
        <w:rPr>
          <w:rFonts w:hint="eastAsia" w:ascii="宋体" w:hAnsi="宋体" w:eastAsia="宋体" w:cs="宋体"/>
          <w:sz w:val="24"/>
          <w:szCs w:val="24"/>
          <w:u w:val="single"/>
        </w:rPr>
        <w:t xml:space="preserve">                                                             。</w:t>
      </w:r>
      <w:bookmarkEnd w:id="61"/>
    </w:p>
    <w:p w14:paraId="68D8659E">
      <w:pPr>
        <w:pStyle w:val="19"/>
        <w:spacing w:before="0" w:after="0" w:line="520" w:lineRule="exact"/>
        <w:ind w:firstLine="482" w:firstLineChars="200"/>
        <w:jc w:val="left"/>
        <w:rPr>
          <w:rFonts w:hint="eastAsia" w:ascii="宋体" w:hAnsi="宋体" w:eastAsia="宋体" w:cs="宋体"/>
          <w:sz w:val="24"/>
          <w:szCs w:val="24"/>
        </w:rPr>
      </w:pPr>
      <w:bookmarkStart w:id="65" w:name="_Toc419045059"/>
      <w:bookmarkStart w:id="66" w:name="_Toc256000130"/>
      <w:bookmarkStart w:id="67" w:name="_Toc256000022"/>
      <w:r>
        <w:rPr>
          <w:rFonts w:hint="eastAsia" w:ascii="宋体" w:hAnsi="宋体" w:eastAsia="宋体" w:cs="宋体"/>
          <w:sz w:val="24"/>
          <w:szCs w:val="24"/>
        </w:rPr>
        <w:t>二、服务范围及工作内容</w:t>
      </w:r>
      <w:bookmarkEnd w:id="65"/>
      <w:bookmarkEnd w:id="66"/>
      <w:bookmarkEnd w:id="67"/>
    </w:p>
    <w:p w14:paraId="687BBA2F">
      <w:pPr>
        <w:ind w:left="274" w:leftChars="114" w:firstLine="600" w:firstLineChars="250"/>
        <w:rPr>
          <w:rFonts w:hint="eastAsia" w:ascii="宋体" w:hAnsi="宋体" w:eastAsia="宋体" w:cs="宋体"/>
          <w:sz w:val="24"/>
          <w:u w:val="single"/>
        </w:rPr>
      </w:pPr>
      <w:r>
        <w:rPr>
          <w:rFonts w:hint="eastAsia" w:ascii="宋体" w:hAnsi="宋体" w:eastAsia="宋体" w:cs="宋体"/>
          <w:kern w:val="0"/>
          <w:sz w:val="24"/>
        </w:rPr>
        <w:t>双方约定的服务范围及工作内容：</w:t>
      </w:r>
      <w:r>
        <w:rPr>
          <w:rFonts w:hint="eastAsia" w:ascii="宋体" w:hAnsi="宋体" w:eastAsia="宋体" w:cs="宋体"/>
          <w:kern w:val="0"/>
          <w:sz w:val="24"/>
          <w:u w:val="single"/>
        </w:rPr>
        <w:t>包括但不限于</w:t>
      </w:r>
      <w:r>
        <w:rPr>
          <w:rFonts w:hint="eastAsia" w:ascii="宋体" w:hAnsi="宋体" w:eastAsia="宋体" w:cs="宋体"/>
          <w:sz w:val="24"/>
          <w:u w:val="single"/>
        </w:rPr>
        <w:t>初步设计概算审核、合同审查、组织材料、设备、机械等市场询价与核价、工程量清单及招标控制价审核、施工过程计量与审核、工程进度款审核、工程变更、索赔计算；竣工结算审核；财务决算审核；工程造价合理性分析；对技术人员及相关人员培训、业务指导和能力提升等与建设工程有关的</w:t>
      </w:r>
      <w:r>
        <w:rPr>
          <w:rFonts w:hint="eastAsia" w:ascii="宋体" w:hAnsi="宋体" w:eastAsia="宋体" w:cs="宋体"/>
          <w:sz w:val="24"/>
          <w:u w:val="single"/>
          <w:lang w:eastAsia="zh-CN"/>
        </w:rPr>
        <w:t>全过程跟踪审计</w:t>
      </w:r>
      <w:r>
        <w:rPr>
          <w:rFonts w:hint="eastAsia" w:ascii="宋体" w:hAnsi="宋体" w:eastAsia="宋体" w:cs="宋体"/>
          <w:sz w:val="24"/>
          <w:u w:val="single"/>
        </w:rPr>
        <w:t>服务等。</w:t>
      </w:r>
    </w:p>
    <w:p w14:paraId="0406CE6A">
      <w:pPr>
        <w:pStyle w:val="79"/>
        <w:spacing w:line="520" w:lineRule="exact"/>
        <w:ind w:left="240" w:leftChars="100" w:firstLine="240" w:firstLineChars="100"/>
        <w:jc w:val="left"/>
        <w:rPr>
          <w:rFonts w:hint="eastAsia" w:ascii="宋体" w:hAnsi="宋体" w:eastAsia="宋体" w:cs="宋体"/>
          <w:sz w:val="24"/>
          <w:szCs w:val="24"/>
        </w:rPr>
      </w:pPr>
      <w:r>
        <w:rPr>
          <w:rFonts w:hint="eastAsia" w:ascii="宋体" w:hAnsi="宋体" w:eastAsia="宋体" w:cs="宋体"/>
          <w:sz w:val="24"/>
          <w:szCs w:val="24"/>
        </w:rPr>
        <w:t>服务范围及工作内容详见附录A。</w:t>
      </w:r>
      <w:bookmarkStart w:id="68" w:name="_Toc419045060"/>
      <w:bookmarkStart w:id="69" w:name="9"/>
    </w:p>
    <w:p w14:paraId="4F2C7058">
      <w:pPr>
        <w:pStyle w:val="19"/>
        <w:spacing w:before="0" w:after="0" w:line="520" w:lineRule="exact"/>
        <w:ind w:firstLine="482" w:firstLineChars="200"/>
        <w:jc w:val="left"/>
        <w:rPr>
          <w:rFonts w:hint="eastAsia" w:ascii="宋体" w:hAnsi="宋体" w:eastAsia="宋体" w:cs="宋体"/>
          <w:sz w:val="24"/>
          <w:szCs w:val="24"/>
        </w:rPr>
      </w:pPr>
      <w:bookmarkStart w:id="70" w:name="_Toc256000023"/>
      <w:bookmarkStart w:id="71" w:name="_Toc256000131"/>
      <w:r>
        <w:rPr>
          <w:rFonts w:hint="eastAsia" w:ascii="宋体" w:hAnsi="宋体" w:eastAsia="宋体" w:cs="宋体"/>
          <w:sz w:val="24"/>
          <w:szCs w:val="24"/>
        </w:rPr>
        <w:t>三、服务期限</w:t>
      </w:r>
      <w:bookmarkEnd w:id="68"/>
      <w:bookmarkEnd w:id="70"/>
      <w:bookmarkEnd w:id="71"/>
    </w:p>
    <w:p w14:paraId="66EFE039">
      <w:pPr>
        <w:pStyle w:val="79"/>
        <w:spacing w:line="520" w:lineRule="exact"/>
        <w:ind w:left="240" w:leftChars="100" w:firstLine="240" w:firstLineChars="100"/>
        <w:jc w:val="left"/>
        <w:rPr>
          <w:rFonts w:hint="eastAsia" w:ascii="宋体" w:hAnsi="宋体" w:eastAsia="宋体" w:cs="宋体"/>
          <w:sz w:val="24"/>
          <w:szCs w:val="24"/>
        </w:rPr>
      </w:pPr>
      <w:r>
        <w:rPr>
          <w:rFonts w:hint="eastAsia" w:ascii="宋体" w:hAnsi="宋体" w:eastAsia="宋体" w:cs="宋体"/>
          <w:sz w:val="24"/>
          <w:szCs w:val="24"/>
        </w:rPr>
        <w:t>本合同约定的建设工程造价咨询服务自</w:t>
      </w:r>
      <w:r>
        <w:rPr>
          <w:rFonts w:hint="eastAsia" w:ascii="宋体" w:hAnsi="宋体" w:eastAsia="宋体" w:cs="宋体"/>
          <w:sz w:val="24"/>
          <w:szCs w:val="24"/>
          <w:u w:val="single"/>
        </w:rPr>
        <w:t xml:space="preserve">       年    月   日</w:t>
      </w:r>
      <w:r>
        <w:rPr>
          <w:rFonts w:hint="eastAsia" w:ascii="宋体" w:hAnsi="宋体" w:eastAsia="宋体" w:cs="宋体"/>
          <w:sz w:val="24"/>
          <w:szCs w:val="24"/>
        </w:rPr>
        <w:t>开始实施，至</w:t>
      </w:r>
      <w:r>
        <w:rPr>
          <w:rFonts w:hint="eastAsia" w:ascii="宋体" w:hAnsi="宋体" w:eastAsia="宋体" w:cs="宋体"/>
          <w:sz w:val="24"/>
          <w:szCs w:val="24"/>
          <w:u w:val="single"/>
        </w:rPr>
        <w:t xml:space="preserve">        年   月   日</w:t>
      </w:r>
      <w:r>
        <w:rPr>
          <w:rFonts w:hint="eastAsia" w:ascii="宋体" w:hAnsi="宋体" w:eastAsia="宋体" w:cs="宋体"/>
          <w:sz w:val="24"/>
          <w:szCs w:val="24"/>
        </w:rPr>
        <w:t>终结。</w:t>
      </w:r>
      <w:bookmarkEnd w:id="69"/>
    </w:p>
    <w:p w14:paraId="21C0AD82">
      <w:pPr>
        <w:pStyle w:val="19"/>
        <w:spacing w:before="0" w:after="0" w:line="520" w:lineRule="exact"/>
        <w:ind w:firstLine="482" w:firstLineChars="200"/>
        <w:jc w:val="left"/>
        <w:rPr>
          <w:rFonts w:hint="eastAsia" w:ascii="宋体" w:hAnsi="宋体" w:eastAsia="宋体" w:cs="宋体"/>
          <w:sz w:val="24"/>
          <w:szCs w:val="24"/>
        </w:rPr>
      </w:pPr>
      <w:bookmarkStart w:id="72" w:name="_Toc419045061"/>
      <w:bookmarkStart w:id="73" w:name="_Toc256000132"/>
      <w:bookmarkStart w:id="74" w:name="_Toc256000024"/>
      <w:r>
        <w:rPr>
          <w:rFonts w:hint="eastAsia" w:ascii="宋体" w:hAnsi="宋体" w:eastAsia="宋体" w:cs="宋体"/>
          <w:sz w:val="24"/>
          <w:szCs w:val="24"/>
        </w:rPr>
        <w:t>四、质量标准</w:t>
      </w:r>
      <w:bookmarkEnd w:id="72"/>
      <w:bookmarkEnd w:id="73"/>
      <w:bookmarkEnd w:id="74"/>
    </w:p>
    <w:p w14:paraId="5D5405F9">
      <w:pPr>
        <w:spacing w:line="520" w:lineRule="exact"/>
        <w:ind w:firstLine="480" w:firstLineChars="200"/>
        <w:rPr>
          <w:rFonts w:hint="eastAsia" w:ascii="宋体" w:hAnsi="宋体" w:eastAsia="宋体" w:cs="宋体"/>
          <w:sz w:val="24"/>
        </w:rPr>
      </w:pPr>
      <w:r>
        <w:rPr>
          <w:rFonts w:hint="eastAsia" w:ascii="宋体" w:hAnsi="宋体" w:eastAsia="宋体" w:cs="宋体"/>
          <w:sz w:val="24"/>
        </w:rPr>
        <w:t>工程造价咨询成果文件应符合：</w:t>
      </w:r>
    </w:p>
    <w:p w14:paraId="11A1411E">
      <w:pPr>
        <w:spacing w:line="520" w:lineRule="exact"/>
        <w:ind w:firstLine="480" w:firstLineChars="200"/>
        <w:rPr>
          <w:rFonts w:hint="eastAsia" w:ascii="宋体" w:hAnsi="宋体" w:eastAsia="宋体" w:cs="宋体"/>
          <w:sz w:val="24"/>
          <w:u w:val="single"/>
        </w:rPr>
      </w:pPr>
      <w:r>
        <w:rPr>
          <w:rFonts w:hint="eastAsia" w:ascii="宋体" w:hAnsi="宋体" w:eastAsia="宋体" w:cs="宋体"/>
          <w:sz w:val="24"/>
          <w:u w:val="single"/>
        </w:rPr>
        <w:t>现行国家或行业有关规定、标准、规范的要求。</w:t>
      </w:r>
    </w:p>
    <w:p w14:paraId="4B477110">
      <w:pPr>
        <w:pStyle w:val="19"/>
        <w:spacing w:before="0" w:after="0" w:line="520" w:lineRule="exact"/>
        <w:ind w:firstLine="482" w:firstLineChars="200"/>
        <w:jc w:val="left"/>
        <w:rPr>
          <w:rFonts w:hint="eastAsia" w:ascii="宋体" w:hAnsi="宋体" w:eastAsia="宋体" w:cs="宋体"/>
          <w:sz w:val="24"/>
          <w:szCs w:val="24"/>
        </w:rPr>
      </w:pPr>
      <w:bookmarkStart w:id="75" w:name="_Toc256000025"/>
      <w:bookmarkStart w:id="76" w:name="_Toc256000133"/>
      <w:bookmarkStart w:id="77" w:name="_Toc419045062"/>
      <w:bookmarkStart w:id="78" w:name="12"/>
      <w:r>
        <w:rPr>
          <w:rFonts w:hint="eastAsia" w:ascii="宋体" w:hAnsi="宋体" w:eastAsia="宋体" w:cs="宋体"/>
          <w:sz w:val="24"/>
          <w:szCs w:val="24"/>
        </w:rPr>
        <w:t>五、酬金或计取方式</w:t>
      </w:r>
      <w:bookmarkEnd w:id="75"/>
      <w:bookmarkEnd w:id="76"/>
      <w:bookmarkEnd w:id="77"/>
    </w:p>
    <w:p w14:paraId="2354903D">
      <w:pPr>
        <w:spacing w:line="520" w:lineRule="exact"/>
        <w:ind w:left="480" w:leftChars="100" w:hanging="240" w:hangingChars="100"/>
        <w:rPr>
          <w:rFonts w:hint="eastAsia" w:ascii="宋体" w:hAnsi="宋体" w:eastAsia="宋体" w:cs="宋体"/>
          <w:sz w:val="24"/>
          <w:u w:val="single"/>
        </w:rPr>
      </w:pPr>
      <w:r>
        <w:rPr>
          <w:rFonts w:hint="eastAsia" w:ascii="宋体" w:hAnsi="宋体" w:eastAsia="宋体" w:cs="宋体"/>
          <w:sz w:val="24"/>
        </w:rPr>
        <w:t xml:space="preserve">  1.酬金：</w:t>
      </w:r>
      <w:r>
        <w:rPr>
          <w:rFonts w:hint="eastAsia" w:ascii="宋体" w:hAnsi="宋体" w:eastAsia="宋体" w:cs="宋体"/>
          <w:sz w:val="24"/>
          <w:u w:val="single"/>
        </w:rPr>
        <w:t>¥           元 （大写：                     元整）；</w:t>
      </w:r>
    </w:p>
    <w:p w14:paraId="7CA49D76">
      <w:pPr>
        <w:spacing w:line="520" w:lineRule="exact"/>
        <w:ind w:left="480" w:leftChars="100" w:hanging="240" w:hangingChars="100"/>
        <w:rPr>
          <w:rFonts w:hint="eastAsia" w:ascii="宋体" w:hAnsi="宋体" w:eastAsia="宋体" w:cs="宋体"/>
          <w:sz w:val="24"/>
        </w:rPr>
      </w:pPr>
      <w:r>
        <w:rPr>
          <w:rFonts w:hint="eastAsia" w:ascii="宋体" w:hAnsi="宋体" w:eastAsia="宋体" w:cs="宋体"/>
          <w:sz w:val="24"/>
        </w:rPr>
        <w:t>2.计取方式：</w:t>
      </w:r>
      <w:r>
        <w:rPr>
          <w:rFonts w:hint="eastAsia" w:ascii="宋体" w:hAnsi="宋体" w:eastAsia="宋体" w:cs="宋体"/>
          <w:sz w:val="24"/>
          <w:u w:val="single"/>
        </w:rPr>
        <w:t xml:space="preserve">                                         。</w:t>
      </w:r>
    </w:p>
    <w:p w14:paraId="68C5B82A">
      <w:pPr>
        <w:pStyle w:val="79"/>
        <w:spacing w:line="520" w:lineRule="exact"/>
        <w:ind w:left="120" w:hanging="120"/>
        <w:jc w:val="left"/>
        <w:rPr>
          <w:rFonts w:hint="eastAsia" w:ascii="宋体" w:hAnsi="宋体" w:eastAsia="宋体" w:cs="宋体"/>
          <w:sz w:val="24"/>
          <w:szCs w:val="24"/>
        </w:rPr>
      </w:pPr>
      <w:r>
        <w:rPr>
          <w:rFonts w:hint="eastAsia" w:ascii="宋体" w:hAnsi="宋体" w:eastAsia="宋体" w:cs="宋体"/>
          <w:sz w:val="24"/>
          <w:szCs w:val="24"/>
        </w:rPr>
        <w:t>酬金或计取方式详见附录A。</w:t>
      </w:r>
    </w:p>
    <w:p w14:paraId="55E91E23">
      <w:pPr>
        <w:widowControl/>
        <w:spacing w:line="520" w:lineRule="exact"/>
        <w:ind w:left="120" w:hanging="120"/>
        <w:jc w:val="left"/>
        <w:rPr>
          <w:rFonts w:hint="eastAsia" w:ascii="宋体" w:hAnsi="宋体" w:eastAsia="宋体" w:cs="宋体"/>
          <w:b/>
          <w:bCs/>
          <w:kern w:val="0"/>
          <w:sz w:val="24"/>
        </w:rPr>
      </w:pPr>
      <w:bookmarkStart w:id="79" w:name="_Toc419045058"/>
      <w:r>
        <w:rPr>
          <w:rFonts w:hint="eastAsia" w:ascii="宋体" w:hAnsi="宋体" w:eastAsia="宋体" w:cs="宋体"/>
          <w:b/>
          <w:bCs/>
          <w:kern w:val="0"/>
          <w:sz w:val="24"/>
        </w:rPr>
        <w:t>六、合同文件的构成</w:t>
      </w:r>
      <w:bookmarkEnd w:id="79"/>
    </w:p>
    <w:p w14:paraId="4407EE7C">
      <w:pPr>
        <w:widowControl/>
        <w:spacing w:line="520" w:lineRule="exact"/>
        <w:ind w:left="120" w:hanging="120"/>
        <w:jc w:val="left"/>
        <w:rPr>
          <w:rFonts w:hint="eastAsia" w:ascii="宋体" w:hAnsi="宋体" w:eastAsia="宋体" w:cs="宋体"/>
          <w:kern w:val="0"/>
          <w:sz w:val="24"/>
        </w:rPr>
      </w:pPr>
      <w:r>
        <w:rPr>
          <w:rFonts w:hint="eastAsia" w:ascii="宋体" w:hAnsi="宋体" w:eastAsia="宋体" w:cs="宋体"/>
          <w:kern w:val="0"/>
          <w:sz w:val="24"/>
        </w:rPr>
        <w:t>本协议书与下列文件一起构成合同文件:</w:t>
      </w:r>
    </w:p>
    <w:p w14:paraId="0533F8B6">
      <w:pPr>
        <w:pStyle w:val="79"/>
        <w:spacing w:line="520" w:lineRule="exact"/>
        <w:ind w:left="120" w:hanging="120"/>
        <w:jc w:val="left"/>
        <w:rPr>
          <w:rFonts w:hint="eastAsia" w:ascii="宋体" w:hAnsi="宋体" w:eastAsia="宋体" w:cs="宋体"/>
          <w:sz w:val="24"/>
          <w:szCs w:val="24"/>
        </w:rPr>
      </w:pPr>
      <w:r>
        <w:rPr>
          <w:rFonts w:hint="eastAsia" w:ascii="宋体" w:hAnsi="宋体" w:eastAsia="宋体" w:cs="宋体"/>
          <w:sz w:val="24"/>
          <w:szCs w:val="24"/>
        </w:rPr>
        <w:t>1.中标通知书或委托书（如果有）；</w:t>
      </w:r>
    </w:p>
    <w:p w14:paraId="75452227">
      <w:pPr>
        <w:pStyle w:val="79"/>
        <w:spacing w:line="520" w:lineRule="exact"/>
        <w:ind w:left="120" w:hanging="120"/>
        <w:jc w:val="left"/>
        <w:rPr>
          <w:rFonts w:hint="eastAsia" w:ascii="宋体" w:hAnsi="宋体" w:eastAsia="宋体" w:cs="宋体"/>
          <w:sz w:val="24"/>
          <w:szCs w:val="24"/>
        </w:rPr>
      </w:pPr>
      <w:r>
        <w:rPr>
          <w:rFonts w:hint="eastAsia" w:ascii="宋体" w:hAnsi="宋体" w:eastAsia="宋体" w:cs="宋体"/>
          <w:sz w:val="24"/>
          <w:szCs w:val="24"/>
        </w:rPr>
        <w:t>2.投标函及投标函附录或造价咨询服务建议书（如果有）；</w:t>
      </w:r>
    </w:p>
    <w:p w14:paraId="20B819E1">
      <w:pPr>
        <w:pStyle w:val="79"/>
        <w:spacing w:line="520" w:lineRule="exact"/>
        <w:ind w:left="120" w:hanging="120"/>
        <w:jc w:val="left"/>
        <w:rPr>
          <w:rFonts w:hint="eastAsia" w:ascii="宋体" w:hAnsi="宋体" w:eastAsia="宋体" w:cs="宋体"/>
          <w:sz w:val="24"/>
          <w:szCs w:val="24"/>
        </w:rPr>
      </w:pPr>
      <w:r>
        <w:rPr>
          <w:rFonts w:hint="eastAsia" w:ascii="宋体" w:hAnsi="宋体" w:eastAsia="宋体" w:cs="宋体"/>
          <w:sz w:val="24"/>
          <w:szCs w:val="24"/>
        </w:rPr>
        <w:t>3.专用条件及附录；</w:t>
      </w:r>
    </w:p>
    <w:p w14:paraId="2128C10D">
      <w:pPr>
        <w:pStyle w:val="79"/>
        <w:spacing w:line="520" w:lineRule="exact"/>
        <w:ind w:left="120" w:hanging="120"/>
        <w:jc w:val="left"/>
        <w:rPr>
          <w:rFonts w:hint="eastAsia" w:ascii="宋体" w:hAnsi="宋体" w:eastAsia="宋体" w:cs="宋体"/>
          <w:sz w:val="24"/>
          <w:szCs w:val="24"/>
        </w:rPr>
      </w:pPr>
      <w:r>
        <w:rPr>
          <w:rFonts w:hint="eastAsia" w:ascii="宋体" w:hAnsi="宋体" w:eastAsia="宋体" w:cs="宋体"/>
          <w:sz w:val="24"/>
          <w:szCs w:val="24"/>
        </w:rPr>
        <w:t>4.通用条件；</w:t>
      </w:r>
    </w:p>
    <w:p w14:paraId="1E555A9E">
      <w:pPr>
        <w:pStyle w:val="79"/>
        <w:spacing w:line="520" w:lineRule="exact"/>
        <w:ind w:left="120" w:hanging="120"/>
        <w:jc w:val="left"/>
        <w:rPr>
          <w:rFonts w:hint="eastAsia" w:ascii="宋体" w:hAnsi="宋体" w:eastAsia="宋体" w:cs="宋体"/>
          <w:sz w:val="24"/>
          <w:szCs w:val="24"/>
        </w:rPr>
      </w:pPr>
      <w:r>
        <w:rPr>
          <w:rFonts w:hint="eastAsia" w:ascii="宋体" w:hAnsi="宋体" w:eastAsia="宋体" w:cs="宋体"/>
          <w:sz w:val="24"/>
          <w:szCs w:val="24"/>
        </w:rPr>
        <w:t>5.其他合同文件。</w:t>
      </w:r>
    </w:p>
    <w:p w14:paraId="1EE37033">
      <w:pPr>
        <w:pStyle w:val="79"/>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w:t>
      </w:r>
    </w:p>
    <w:p w14:paraId="58900BC9">
      <w:pPr>
        <w:pStyle w:val="79"/>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在合同订立及履行过程中形成的与合同有关的文件（包括补充协议）均构</w:t>
      </w:r>
    </w:p>
    <w:p w14:paraId="47993B5B">
      <w:pPr>
        <w:spacing w:line="520" w:lineRule="exact"/>
        <w:ind w:left="120" w:hanging="120"/>
        <w:rPr>
          <w:rFonts w:hint="eastAsia" w:ascii="宋体" w:hAnsi="宋体" w:eastAsia="宋体" w:cs="宋体"/>
          <w:bCs/>
          <w:smallCaps/>
          <w:sz w:val="24"/>
        </w:rPr>
      </w:pPr>
      <w:r>
        <w:rPr>
          <w:rFonts w:hint="eastAsia" w:ascii="宋体" w:hAnsi="宋体" w:eastAsia="宋体" w:cs="宋体"/>
          <w:sz w:val="24"/>
        </w:rPr>
        <w:t>成合同文件的组成部分。</w:t>
      </w:r>
    </w:p>
    <w:p w14:paraId="3FDD2F66">
      <w:pPr>
        <w:spacing w:line="520" w:lineRule="exact"/>
        <w:ind w:firstLine="482" w:firstLineChars="200"/>
        <w:jc w:val="left"/>
        <w:outlineLvl w:val="0"/>
        <w:rPr>
          <w:rFonts w:hint="eastAsia" w:ascii="宋体" w:hAnsi="宋体" w:eastAsia="宋体" w:cs="宋体"/>
          <w:b/>
          <w:kern w:val="0"/>
          <w:sz w:val="24"/>
        </w:rPr>
      </w:pPr>
      <w:bookmarkStart w:id="80" w:name="_Toc419045057"/>
      <w:bookmarkStart w:id="81" w:name="_Toc256000026"/>
      <w:bookmarkStart w:id="82" w:name="_Toc256000134"/>
      <w:r>
        <w:rPr>
          <w:rFonts w:hint="eastAsia" w:ascii="宋体" w:hAnsi="宋体" w:eastAsia="宋体" w:cs="宋体"/>
          <w:b/>
          <w:kern w:val="0"/>
          <w:sz w:val="24"/>
        </w:rPr>
        <w:t>七、</w:t>
      </w:r>
      <w:bookmarkStart w:id="83" w:name="8"/>
      <w:r>
        <w:rPr>
          <w:rFonts w:hint="eastAsia" w:ascii="宋体" w:hAnsi="宋体" w:eastAsia="宋体" w:cs="宋体"/>
          <w:b/>
          <w:kern w:val="0"/>
          <w:sz w:val="24"/>
        </w:rPr>
        <w:t>词语</w:t>
      </w:r>
      <w:bookmarkEnd w:id="80"/>
      <w:r>
        <w:rPr>
          <w:rFonts w:hint="eastAsia" w:ascii="宋体" w:hAnsi="宋体" w:eastAsia="宋体" w:cs="宋体"/>
          <w:b/>
          <w:kern w:val="0"/>
          <w:sz w:val="24"/>
        </w:rPr>
        <w:t>定义</w:t>
      </w:r>
      <w:bookmarkEnd w:id="81"/>
      <w:bookmarkEnd w:id="82"/>
    </w:p>
    <w:p w14:paraId="01A0D058">
      <w:pPr>
        <w:pStyle w:val="79"/>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协议书中相关词语的含义与通用条件中的定义与解释相同。</w:t>
      </w:r>
      <w:bookmarkEnd w:id="83"/>
    </w:p>
    <w:p w14:paraId="7CD59172">
      <w:pPr>
        <w:pStyle w:val="19"/>
        <w:spacing w:before="0" w:after="0" w:line="520" w:lineRule="exact"/>
        <w:ind w:firstLine="482" w:firstLineChars="200"/>
        <w:jc w:val="left"/>
        <w:rPr>
          <w:rFonts w:hint="eastAsia" w:ascii="宋体" w:hAnsi="宋体" w:eastAsia="宋体" w:cs="宋体"/>
          <w:sz w:val="24"/>
          <w:szCs w:val="24"/>
        </w:rPr>
      </w:pPr>
      <w:bookmarkStart w:id="84" w:name="_Toc256000027"/>
      <w:bookmarkStart w:id="85" w:name="_Toc419045063"/>
      <w:bookmarkStart w:id="86" w:name="_Toc256000135"/>
      <w:r>
        <w:rPr>
          <w:rFonts w:hint="eastAsia" w:ascii="宋体" w:hAnsi="宋体" w:eastAsia="宋体" w:cs="宋体"/>
          <w:sz w:val="24"/>
          <w:szCs w:val="24"/>
        </w:rPr>
        <w:t>八、合同订立</w:t>
      </w:r>
      <w:bookmarkEnd w:id="84"/>
      <w:bookmarkEnd w:id="85"/>
      <w:bookmarkEnd w:id="86"/>
    </w:p>
    <w:p w14:paraId="2662155E">
      <w:pPr>
        <w:pStyle w:val="79"/>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1F47A6D">
      <w:pPr>
        <w:pStyle w:val="79"/>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2.订立地点：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EB2E274">
      <w:pPr>
        <w:pStyle w:val="19"/>
        <w:spacing w:before="0" w:after="0" w:line="520" w:lineRule="exact"/>
        <w:ind w:firstLine="482" w:firstLineChars="200"/>
        <w:jc w:val="left"/>
        <w:rPr>
          <w:rFonts w:hint="eastAsia" w:ascii="宋体" w:hAnsi="宋体" w:eastAsia="宋体" w:cs="宋体"/>
          <w:sz w:val="24"/>
          <w:szCs w:val="24"/>
        </w:rPr>
      </w:pPr>
      <w:bookmarkStart w:id="87" w:name="_Toc256000028"/>
      <w:bookmarkStart w:id="88" w:name="_Toc256000136"/>
      <w:bookmarkStart w:id="89" w:name="_Toc419045064"/>
      <w:r>
        <w:rPr>
          <w:rFonts w:hint="eastAsia" w:ascii="宋体" w:hAnsi="宋体" w:eastAsia="宋体" w:cs="宋体"/>
          <w:sz w:val="24"/>
          <w:szCs w:val="24"/>
        </w:rPr>
        <w:t>九、合同生效</w:t>
      </w:r>
      <w:bookmarkEnd w:id="87"/>
      <w:bookmarkEnd w:id="88"/>
      <w:bookmarkEnd w:id="89"/>
    </w:p>
    <w:p w14:paraId="558B9011">
      <w:pPr>
        <w:pStyle w:val="79"/>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w:t>
      </w:r>
      <w:r>
        <w:rPr>
          <w:rFonts w:hint="eastAsia" w:ascii="宋体" w:hAnsi="宋体" w:eastAsia="宋体" w:cs="宋体"/>
          <w:sz w:val="24"/>
          <w:szCs w:val="24"/>
          <w:u w:val="single"/>
        </w:rPr>
        <w:t>自签订之日</w:t>
      </w:r>
      <w:r>
        <w:rPr>
          <w:rFonts w:hint="eastAsia" w:ascii="宋体" w:hAnsi="宋体" w:eastAsia="宋体" w:cs="宋体"/>
          <w:sz w:val="24"/>
          <w:szCs w:val="24"/>
        </w:rPr>
        <w:t>起生效。</w:t>
      </w:r>
    </w:p>
    <w:p w14:paraId="7A7EC243">
      <w:pPr>
        <w:pStyle w:val="19"/>
        <w:spacing w:before="0" w:after="0" w:line="520" w:lineRule="exact"/>
        <w:ind w:firstLine="482" w:firstLineChars="200"/>
        <w:jc w:val="left"/>
        <w:rPr>
          <w:rFonts w:hint="eastAsia" w:ascii="宋体" w:hAnsi="宋体" w:eastAsia="宋体" w:cs="宋体"/>
          <w:sz w:val="24"/>
          <w:szCs w:val="24"/>
        </w:rPr>
      </w:pPr>
      <w:bookmarkStart w:id="90" w:name="_Toc419045065"/>
      <w:bookmarkStart w:id="91" w:name="_Toc256000029"/>
      <w:bookmarkStart w:id="92" w:name="_Toc256000137"/>
      <w:r>
        <w:rPr>
          <w:rFonts w:hint="eastAsia" w:ascii="宋体" w:hAnsi="宋体" w:eastAsia="宋体" w:cs="宋体"/>
          <w:sz w:val="24"/>
          <w:szCs w:val="24"/>
        </w:rPr>
        <w:t>十、合同份数</w:t>
      </w:r>
      <w:bookmarkEnd w:id="90"/>
      <w:bookmarkEnd w:id="91"/>
      <w:bookmarkEnd w:id="92"/>
    </w:p>
    <w:p w14:paraId="2B2EE005">
      <w:pPr>
        <w:pStyle w:val="79"/>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份，具有同等法律效力，其中委托人执</w:t>
      </w:r>
      <w:r>
        <w:rPr>
          <w:rFonts w:hint="eastAsia" w:ascii="宋体" w:hAnsi="宋体" w:eastAsia="宋体" w:cs="宋体"/>
          <w:sz w:val="24"/>
          <w:szCs w:val="24"/>
          <w:u w:val="single"/>
        </w:rPr>
        <w:t xml:space="preserve">    </w:t>
      </w:r>
      <w:r>
        <w:rPr>
          <w:rFonts w:hint="eastAsia" w:ascii="宋体" w:hAnsi="宋体" w:eastAsia="宋体" w:cs="宋体"/>
          <w:sz w:val="24"/>
          <w:szCs w:val="24"/>
        </w:rPr>
        <w:t>份，咨询人执</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11CC7394">
      <w:pPr>
        <w:pStyle w:val="79"/>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委 托 人：___________（盖章）      咨 询 人：___________（盖章） </w:t>
      </w:r>
    </w:p>
    <w:p w14:paraId="0034FB33">
      <w:pPr>
        <w:pStyle w:val="79"/>
        <w:spacing w:line="520" w:lineRule="exact"/>
        <w:ind w:left="120" w:hanging="120"/>
        <w:rPr>
          <w:rFonts w:hint="eastAsia" w:ascii="宋体" w:hAnsi="宋体" w:eastAsia="宋体" w:cs="宋体"/>
          <w:sz w:val="24"/>
          <w:szCs w:val="24"/>
        </w:rPr>
      </w:pPr>
      <w:r>
        <w:rPr>
          <w:rFonts w:hint="eastAsia" w:ascii="宋体" w:hAnsi="宋体" w:eastAsia="宋体" w:cs="宋体"/>
          <w:sz w:val="24"/>
          <w:szCs w:val="24"/>
        </w:rPr>
        <w:t xml:space="preserve">    法定代表人或其授权的               法定代表人或其授权的</w:t>
      </w:r>
    </w:p>
    <w:p w14:paraId="3F2632A5">
      <w:pPr>
        <w:pStyle w:val="79"/>
        <w:spacing w:line="520" w:lineRule="exact"/>
        <w:ind w:left="274" w:leftChars="114" w:firstLine="360" w:firstLineChars="150"/>
        <w:rPr>
          <w:rFonts w:hint="eastAsia" w:ascii="宋体" w:hAnsi="宋体" w:eastAsia="宋体" w:cs="宋体"/>
          <w:sz w:val="24"/>
          <w:szCs w:val="24"/>
        </w:rPr>
      </w:pPr>
      <w:r>
        <w:rPr>
          <w:rFonts w:hint="eastAsia" w:ascii="宋体" w:hAnsi="宋体" w:eastAsia="宋体" w:cs="宋体"/>
          <w:sz w:val="24"/>
          <w:szCs w:val="24"/>
        </w:rPr>
        <w:t xml:space="preserve">代理人：_________（签字）         代理人：_________（签字）         </w:t>
      </w:r>
    </w:p>
    <w:p w14:paraId="08B3E60B">
      <w:pPr>
        <w:pStyle w:val="79"/>
        <w:spacing w:line="520" w:lineRule="exact"/>
        <w:ind w:left="274" w:leftChars="114" w:firstLine="360" w:firstLineChars="150"/>
        <w:rPr>
          <w:rFonts w:hint="eastAsia" w:ascii="宋体" w:hAnsi="宋体" w:eastAsia="宋体" w:cs="宋体"/>
          <w:spacing w:val="-6"/>
          <w:sz w:val="24"/>
          <w:szCs w:val="24"/>
          <w:highlight w:val="yellow"/>
        </w:rPr>
      </w:pPr>
      <w:r>
        <w:rPr>
          <w:rFonts w:hint="eastAsia" w:ascii="宋体" w:hAnsi="宋体" w:eastAsia="宋体" w:cs="宋体"/>
          <w:sz w:val="24"/>
          <w:szCs w:val="24"/>
        </w:rPr>
        <w:t>纳税人识别码：                    纳税人识别码：</w:t>
      </w:r>
    </w:p>
    <w:p w14:paraId="4B9917D8">
      <w:pPr>
        <w:pStyle w:val="79"/>
        <w:spacing w:line="520" w:lineRule="exact"/>
        <w:ind w:left="274" w:leftChars="114" w:firstLine="360" w:firstLineChars="150"/>
        <w:jc w:val="left"/>
        <w:rPr>
          <w:rFonts w:hint="eastAsia" w:ascii="宋体" w:hAnsi="宋体" w:eastAsia="宋体" w:cs="宋体"/>
          <w:spacing w:val="-10"/>
          <w:sz w:val="24"/>
          <w:szCs w:val="24"/>
        </w:rPr>
      </w:pPr>
      <w:r>
        <w:rPr>
          <w:rFonts w:hint="eastAsia" w:ascii="宋体" w:hAnsi="宋体" w:eastAsia="宋体" w:cs="宋体"/>
          <w:sz w:val="24"/>
          <w:szCs w:val="24"/>
        </w:rPr>
        <w:t>住   所：</w:t>
      </w:r>
      <w:r>
        <w:rPr>
          <w:rFonts w:hint="eastAsia" w:ascii="宋体" w:hAnsi="宋体" w:eastAsia="宋体" w:cs="宋体"/>
          <w:b/>
          <w:bCs/>
          <w:sz w:val="24"/>
          <w:szCs w:val="24"/>
        </w:rPr>
        <w:t xml:space="preserve">                  </w:t>
      </w:r>
      <w:r>
        <w:rPr>
          <w:rFonts w:hint="eastAsia" w:ascii="宋体" w:hAnsi="宋体" w:eastAsia="宋体" w:cs="宋体"/>
          <w:sz w:val="24"/>
          <w:szCs w:val="24"/>
        </w:rPr>
        <w:t xml:space="preserve">       住  所：</w:t>
      </w:r>
      <w:r>
        <w:rPr>
          <w:rFonts w:hint="eastAsia" w:ascii="宋体" w:hAnsi="宋体" w:eastAsia="宋体" w:cs="宋体"/>
          <w:spacing w:val="-10"/>
          <w:sz w:val="24"/>
          <w:szCs w:val="24"/>
        </w:rPr>
        <w:t xml:space="preserve">                          </w:t>
      </w:r>
      <w:r>
        <w:rPr>
          <w:rFonts w:hint="eastAsia" w:ascii="宋体" w:hAnsi="宋体" w:eastAsia="宋体" w:cs="宋体"/>
          <w:sz w:val="24"/>
          <w:szCs w:val="24"/>
        </w:rPr>
        <w:t xml:space="preserve">                   </w:t>
      </w:r>
    </w:p>
    <w:p w14:paraId="7CFF9EFE">
      <w:pPr>
        <w:pStyle w:val="79"/>
        <w:spacing w:line="520" w:lineRule="exact"/>
        <w:ind w:left="274" w:leftChars="114" w:firstLine="360" w:firstLineChars="150"/>
        <w:jc w:val="left"/>
        <w:rPr>
          <w:rFonts w:hint="eastAsia" w:ascii="宋体" w:hAnsi="宋体" w:eastAsia="宋体" w:cs="宋体"/>
          <w:spacing w:val="-11"/>
          <w:sz w:val="24"/>
          <w:szCs w:val="24"/>
        </w:rPr>
      </w:pPr>
      <w:r>
        <w:rPr>
          <w:rFonts w:hint="eastAsia" w:ascii="宋体" w:hAnsi="宋体" w:eastAsia="宋体" w:cs="宋体"/>
          <w:sz w:val="24"/>
          <w:szCs w:val="24"/>
        </w:rPr>
        <w:t>账   号：</w:t>
      </w:r>
      <w:r>
        <w:rPr>
          <w:rFonts w:hint="eastAsia" w:ascii="宋体" w:hAnsi="宋体" w:eastAsia="宋体" w:cs="宋体"/>
          <w:b/>
          <w:bCs/>
          <w:sz w:val="24"/>
          <w:szCs w:val="24"/>
        </w:rPr>
        <w:t xml:space="preserve">                      </w:t>
      </w:r>
      <w:r>
        <w:rPr>
          <w:rFonts w:hint="eastAsia" w:ascii="宋体" w:hAnsi="宋体" w:eastAsia="宋体" w:cs="宋体"/>
          <w:sz w:val="24"/>
          <w:szCs w:val="24"/>
        </w:rPr>
        <w:t xml:space="preserve">   账  号：</w:t>
      </w:r>
    </w:p>
    <w:p w14:paraId="7B518C3C">
      <w:pPr>
        <w:pStyle w:val="79"/>
        <w:spacing w:line="5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b/>
          <w:bCs/>
          <w:sz w:val="24"/>
          <w:szCs w:val="24"/>
        </w:rPr>
        <w:t xml:space="preserve">                </w:t>
      </w:r>
      <w:r>
        <w:rPr>
          <w:rFonts w:hint="eastAsia" w:ascii="宋体" w:hAnsi="宋体" w:eastAsia="宋体" w:cs="宋体"/>
          <w:sz w:val="24"/>
          <w:szCs w:val="24"/>
        </w:rPr>
        <w:t xml:space="preserve">       开户银行：</w:t>
      </w:r>
    </w:p>
    <w:p w14:paraId="66C3F33D">
      <w:pPr>
        <w:pStyle w:val="79"/>
        <w:spacing w:line="520" w:lineRule="exact"/>
        <w:ind w:firstLine="120" w:firstLineChars="50"/>
        <w:jc w:val="left"/>
        <w:rPr>
          <w:rFonts w:hint="eastAsia" w:ascii="宋体" w:hAnsi="宋体" w:eastAsia="宋体" w:cs="宋体"/>
          <w:sz w:val="24"/>
          <w:szCs w:val="24"/>
        </w:rPr>
      </w:pPr>
      <w:r>
        <w:rPr>
          <w:rFonts w:hint="eastAsia" w:ascii="宋体" w:hAnsi="宋体" w:eastAsia="宋体" w:cs="宋体"/>
          <w:sz w:val="24"/>
          <w:szCs w:val="24"/>
        </w:rPr>
        <w:t xml:space="preserve">   邮政编码：</w:t>
      </w:r>
      <w:r>
        <w:rPr>
          <w:rFonts w:hint="eastAsia" w:ascii="宋体" w:hAnsi="宋体" w:eastAsia="宋体" w:cs="宋体"/>
          <w:b/>
          <w:bCs/>
          <w:sz w:val="24"/>
          <w:szCs w:val="24"/>
        </w:rPr>
        <w:t xml:space="preserve">       </w:t>
      </w:r>
      <w:r>
        <w:rPr>
          <w:rFonts w:hint="eastAsia" w:ascii="宋体" w:hAnsi="宋体" w:eastAsia="宋体" w:cs="宋体"/>
          <w:sz w:val="24"/>
          <w:szCs w:val="24"/>
        </w:rPr>
        <w:t xml:space="preserve">                邮政编码：</w:t>
      </w:r>
    </w:p>
    <w:p w14:paraId="5AC9B807">
      <w:pPr>
        <w:pStyle w:val="79"/>
        <w:spacing w:line="520" w:lineRule="exact"/>
        <w:ind w:firstLine="120" w:firstLineChars="50"/>
        <w:jc w:val="left"/>
        <w:rPr>
          <w:rFonts w:hint="eastAsia" w:ascii="宋体" w:hAnsi="宋体" w:eastAsia="宋体" w:cs="宋体"/>
          <w:sz w:val="24"/>
          <w:szCs w:val="24"/>
        </w:rPr>
      </w:pPr>
      <w:r>
        <w:rPr>
          <w:rFonts w:hint="eastAsia" w:ascii="宋体" w:hAnsi="宋体" w:eastAsia="宋体" w:cs="宋体"/>
          <w:sz w:val="24"/>
          <w:szCs w:val="24"/>
        </w:rPr>
        <w:t xml:space="preserve">   电    话：</w:t>
      </w:r>
      <w:r>
        <w:rPr>
          <w:rFonts w:hint="eastAsia" w:ascii="宋体" w:hAnsi="宋体" w:eastAsia="宋体" w:cs="宋体"/>
          <w:b/>
          <w:bCs/>
          <w:sz w:val="24"/>
          <w:szCs w:val="24"/>
        </w:rPr>
        <w:t xml:space="preserve">            </w:t>
      </w:r>
      <w:r>
        <w:rPr>
          <w:rFonts w:hint="eastAsia" w:ascii="宋体" w:hAnsi="宋体" w:eastAsia="宋体" w:cs="宋体"/>
          <w:sz w:val="24"/>
          <w:szCs w:val="24"/>
        </w:rPr>
        <w:t xml:space="preserve">           电    话：</w:t>
      </w:r>
    </w:p>
    <w:p w14:paraId="54B9DF6D">
      <w:pPr>
        <w:pStyle w:val="79"/>
        <w:spacing w:line="520" w:lineRule="exact"/>
        <w:ind w:firstLine="120" w:firstLineChars="50"/>
        <w:jc w:val="left"/>
        <w:rPr>
          <w:rFonts w:hint="eastAsia" w:ascii="宋体" w:hAnsi="宋体" w:eastAsia="宋体" w:cs="宋体"/>
          <w:sz w:val="24"/>
          <w:szCs w:val="24"/>
        </w:rPr>
      </w:pPr>
      <w:r>
        <w:rPr>
          <w:rFonts w:hint="eastAsia" w:ascii="宋体" w:hAnsi="宋体" w:eastAsia="宋体" w:cs="宋体"/>
          <w:sz w:val="24"/>
          <w:szCs w:val="24"/>
        </w:rPr>
        <w:t xml:space="preserve">   传    真：</w:t>
      </w:r>
      <w:r>
        <w:rPr>
          <w:rFonts w:hint="eastAsia" w:ascii="宋体" w:hAnsi="宋体" w:eastAsia="宋体" w:cs="宋体"/>
          <w:b/>
          <w:bCs/>
          <w:sz w:val="24"/>
          <w:szCs w:val="24"/>
        </w:rPr>
        <w:t xml:space="preserve">            </w:t>
      </w:r>
      <w:r>
        <w:rPr>
          <w:rFonts w:hint="eastAsia" w:ascii="宋体" w:hAnsi="宋体" w:eastAsia="宋体" w:cs="宋体"/>
          <w:sz w:val="24"/>
          <w:szCs w:val="24"/>
        </w:rPr>
        <w:t xml:space="preserve"> </w:t>
      </w:r>
      <w:r>
        <w:rPr>
          <w:rFonts w:hint="eastAsia" w:ascii="宋体" w:hAnsi="宋体" w:eastAsia="宋体" w:cs="宋体"/>
          <w:spacing w:val="10"/>
          <w:sz w:val="24"/>
          <w:szCs w:val="24"/>
        </w:rPr>
        <w:t xml:space="preserve">  </w:t>
      </w:r>
      <w:r>
        <w:rPr>
          <w:rFonts w:hint="eastAsia" w:ascii="宋体" w:hAnsi="宋体" w:eastAsia="宋体" w:cs="宋体"/>
          <w:sz w:val="24"/>
          <w:szCs w:val="24"/>
        </w:rPr>
        <w:t xml:space="preserve">        传    真：</w:t>
      </w:r>
    </w:p>
    <w:p w14:paraId="5DF1A50D">
      <w:pPr>
        <w:pStyle w:val="79"/>
        <w:spacing w:line="520" w:lineRule="exact"/>
        <w:ind w:firstLine="120" w:firstLineChars="50"/>
        <w:jc w:val="left"/>
        <w:rPr>
          <w:rFonts w:hint="eastAsia" w:ascii="宋体" w:hAnsi="宋体" w:eastAsia="宋体" w:cs="宋体"/>
          <w:sz w:val="24"/>
          <w:szCs w:val="24"/>
        </w:rPr>
      </w:pPr>
      <w:r>
        <w:rPr>
          <w:rFonts w:hint="eastAsia" w:ascii="宋体" w:hAnsi="宋体" w:eastAsia="宋体" w:cs="宋体"/>
          <w:sz w:val="24"/>
          <w:szCs w:val="24"/>
        </w:rPr>
        <w:t xml:space="preserve">   电子信箱：</w:t>
      </w:r>
      <w:r>
        <w:rPr>
          <w:rFonts w:hint="eastAsia" w:ascii="宋体" w:hAnsi="宋体" w:eastAsia="宋体" w:cs="宋体"/>
          <w:spacing w:val="10"/>
          <w:sz w:val="24"/>
          <w:szCs w:val="24"/>
        </w:rPr>
        <w:t xml:space="preserve">                 </w:t>
      </w:r>
      <w:r>
        <w:rPr>
          <w:rFonts w:hint="eastAsia" w:ascii="宋体" w:hAnsi="宋体" w:eastAsia="宋体" w:cs="宋体"/>
          <w:sz w:val="24"/>
          <w:szCs w:val="24"/>
        </w:rPr>
        <w:t xml:space="preserve">    电子信箱：</w:t>
      </w:r>
    </w:p>
    <w:p w14:paraId="4BAAC40A">
      <w:pPr>
        <w:pStyle w:val="79"/>
        <w:ind w:left="120" w:hanging="120"/>
        <w:rPr>
          <w:rFonts w:hint="eastAsia" w:ascii="宋体" w:hAnsi="宋体" w:eastAsia="宋体" w:cs="宋体"/>
          <w:sz w:val="24"/>
          <w:szCs w:val="24"/>
        </w:rPr>
      </w:pPr>
      <w:r>
        <w:rPr>
          <w:rFonts w:hint="eastAsia" w:ascii="宋体" w:hAnsi="宋体" w:eastAsia="宋体" w:cs="宋体"/>
          <w:sz w:val="24"/>
          <w:szCs w:val="24"/>
        </w:rPr>
        <w:t xml:space="preserve">        </w:t>
      </w:r>
    </w:p>
    <w:p w14:paraId="61AA32E6">
      <w:pPr>
        <w:pStyle w:val="79"/>
        <w:ind w:left="120" w:hanging="120"/>
        <w:rPr>
          <w:rFonts w:hint="eastAsia" w:ascii="宋体" w:hAnsi="宋体" w:eastAsia="宋体" w:cs="宋体"/>
          <w:sz w:val="24"/>
          <w:szCs w:val="24"/>
        </w:rPr>
      </w:pPr>
    </w:p>
    <w:p w14:paraId="30F9B59E">
      <w:pPr>
        <w:pStyle w:val="79"/>
        <w:ind w:left="120" w:hanging="120"/>
        <w:rPr>
          <w:rFonts w:hint="eastAsia" w:ascii="宋体" w:hAnsi="宋体" w:eastAsia="宋体" w:cs="宋体"/>
          <w:sz w:val="24"/>
          <w:szCs w:val="24"/>
        </w:rPr>
      </w:pPr>
    </w:p>
    <w:p w14:paraId="1ED12432">
      <w:pPr>
        <w:pStyle w:val="79"/>
        <w:ind w:left="120" w:hanging="120"/>
        <w:rPr>
          <w:rFonts w:hint="eastAsia" w:ascii="宋体" w:hAnsi="宋体" w:eastAsia="宋体" w:cs="宋体"/>
          <w:sz w:val="24"/>
          <w:szCs w:val="24"/>
        </w:rPr>
      </w:pPr>
    </w:p>
    <w:p w14:paraId="52C2FC43">
      <w:pPr>
        <w:pStyle w:val="79"/>
        <w:ind w:left="120" w:hanging="120"/>
        <w:rPr>
          <w:rFonts w:hint="eastAsia" w:ascii="宋体" w:hAnsi="宋体" w:eastAsia="宋体" w:cs="宋体"/>
          <w:sz w:val="24"/>
          <w:szCs w:val="24"/>
        </w:rPr>
      </w:pPr>
    </w:p>
    <w:p w14:paraId="669BE103">
      <w:pPr>
        <w:pStyle w:val="79"/>
        <w:ind w:left="120" w:hanging="120"/>
        <w:rPr>
          <w:rFonts w:hint="eastAsia" w:ascii="宋体" w:hAnsi="宋体" w:eastAsia="宋体" w:cs="宋体"/>
          <w:sz w:val="24"/>
          <w:szCs w:val="24"/>
        </w:rPr>
      </w:pPr>
    </w:p>
    <w:p w14:paraId="7CE1EB11">
      <w:pPr>
        <w:pStyle w:val="79"/>
        <w:ind w:left="120" w:hanging="120"/>
        <w:rPr>
          <w:rFonts w:hint="eastAsia" w:ascii="宋体" w:hAnsi="宋体" w:eastAsia="宋体" w:cs="宋体"/>
          <w:sz w:val="24"/>
          <w:szCs w:val="24"/>
        </w:rPr>
      </w:pPr>
    </w:p>
    <w:p w14:paraId="362A1961">
      <w:pPr>
        <w:pStyle w:val="79"/>
        <w:ind w:left="120" w:hanging="120"/>
        <w:rPr>
          <w:rFonts w:hint="eastAsia" w:ascii="宋体" w:hAnsi="宋体" w:eastAsia="宋体" w:cs="宋体"/>
          <w:sz w:val="24"/>
          <w:szCs w:val="24"/>
        </w:rPr>
      </w:pPr>
    </w:p>
    <w:p w14:paraId="7787FA72">
      <w:pPr>
        <w:pStyle w:val="79"/>
        <w:ind w:left="120" w:hanging="120"/>
        <w:rPr>
          <w:rFonts w:hint="eastAsia" w:ascii="宋体" w:hAnsi="宋体" w:eastAsia="宋体" w:cs="宋体"/>
          <w:sz w:val="24"/>
          <w:szCs w:val="24"/>
        </w:rPr>
      </w:pPr>
    </w:p>
    <w:p w14:paraId="455BA542">
      <w:pPr>
        <w:pStyle w:val="79"/>
        <w:ind w:left="120" w:hanging="120"/>
        <w:rPr>
          <w:rFonts w:hint="eastAsia" w:ascii="宋体" w:hAnsi="宋体" w:eastAsia="宋体" w:cs="宋体"/>
          <w:sz w:val="24"/>
          <w:szCs w:val="24"/>
        </w:rPr>
      </w:pPr>
    </w:p>
    <w:p w14:paraId="1B279B25">
      <w:pPr>
        <w:pStyle w:val="79"/>
        <w:ind w:left="120" w:hanging="120"/>
        <w:rPr>
          <w:rFonts w:hint="eastAsia" w:ascii="宋体" w:hAnsi="宋体" w:eastAsia="宋体" w:cs="宋体"/>
          <w:sz w:val="24"/>
          <w:szCs w:val="24"/>
        </w:rPr>
      </w:pPr>
    </w:p>
    <w:p w14:paraId="71E97BAE">
      <w:pPr>
        <w:pStyle w:val="79"/>
        <w:ind w:left="120" w:hanging="120"/>
        <w:rPr>
          <w:rFonts w:hint="eastAsia" w:ascii="宋体" w:hAnsi="宋体" w:eastAsia="宋体" w:cs="宋体"/>
          <w:sz w:val="24"/>
          <w:szCs w:val="24"/>
        </w:rPr>
      </w:pPr>
    </w:p>
    <w:p w14:paraId="1DAE0F7F">
      <w:pPr>
        <w:pStyle w:val="79"/>
        <w:ind w:left="120" w:hanging="120"/>
        <w:rPr>
          <w:rFonts w:hint="eastAsia" w:ascii="宋体" w:hAnsi="宋体" w:eastAsia="宋体" w:cs="宋体"/>
          <w:sz w:val="24"/>
          <w:szCs w:val="24"/>
        </w:rPr>
      </w:pPr>
    </w:p>
    <w:p w14:paraId="49D8BAC9">
      <w:pPr>
        <w:pStyle w:val="79"/>
        <w:ind w:left="120" w:hanging="120"/>
        <w:rPr>
          <w:rFonts w:hint="eastAsia" w:ascii="宋体" w:hAnsi="宋体" w:eastAsia="宋体" w:cs="宋体"/>
          <w:sz w:val="24"/>
          <w:szCs w:val="24"/>
        </w:rPr>
      </w:pPr>
    </w:p>
    <w:p w14:paraId="0E353494">
      <w:pPr>
        <w:pStyle w:val="79"/>
        <w:ind w:left="120" w:hanging="120"/>
        <w:rPr>
          <w:rFonts w:hint="eastAsia" w:ascii="宋体" w:hAnsi="宋体" w:eastAsia="宋体" w:cs="宋体"/>
          <w:sz w:val="24"/>
          <w:szCs w:val="24"/>
        </w:rPr>
      </w:pPr>
    </w:p>
    <w:p w14:paraId="5D2A86AC">
      <w:pPr>
        <w:pStyle w:val="79"/>
        <w:ind w:left="120" w:hanging="120"/>
        <w:rPr>
          <w:rFonts w:hint="eastAsia" w:ascii="宋体" w:hAnsi="宋体" w:eastAsia="宋体" w:cs="宋体"/>
          <w:sz w:val="24"/>
          <w:szCs w:val="24"/>
        </w:rPr>
      </w:pPr>
    </w:p>
    <w:p w14:paraId="3EC5AAD9">
      <w:pPr>
        <w:pStyle w:val="79"/>
        <w:ind w:left="120" w:hanging="120"/>
        <w:rPr>
          <w:rFonts w:hint="eastAsia" w:ascii="宋体" w:hAnsi="宋体" w:eastAsia="宋体" w:cs="宋体"/>
          <w:sz w:val="24"/>
          <w:szCs w:val="24"/>
        </w:rPr>
      </w:pPr>
    </w:p>
    <w:p w14:paraId="4B94685E">
      <w:pPr>
        <w:pStyle w:val="79"/>
        <w:ind w:left="120" w:hanging="120"/>
        <w:rPr>
          <w:rFonts w:hint="eastAsia" w:ascii="宋体" w:hAnsi="宋体" w:eastAsia="宋体" w:cs="宋体"/>
          <w:sz w:val="24"/>
          <w:szCs w:val="24"/>
        </w:rPr>
      </w:pPr>
    </w:p>
    <w:p w14:paraId="23F5B313">
      <w:pPr>
        <w:pStyle w:val="79"/>
        <w:ind w:left="120" w:hanging="120"/>
        <w:rPr>
          <w:rFonts w:hint="eastAsia" w:ascii="宋体" w:hAnsi="宋体" w:eastAsia="宋体" w:cs="宋体"/>
          <w:sz w:val="24"/>
          <w:szCs w:val="24"/>
        </w:rPr>
      </w:pPr>
    </w:p>
    <w:p w14:paraId="56985444">
      <w:pPr>
        <w:pStyle w:val="79"/>
        <w:ind w:left="120" w:hanging="120"/>
        <w:rPr>
          <w:rFonts w:hint="eastAsia" w:ascii="宋体" w:hAnsi="宋体" w:eastAsia="宋体" w:cs="宋体"/>
          <w:sz w:val="24"/>
          <w:szCs w:val="24"/>
        </w:rPr>
      </w:pPr>
    </w:p>
    <w:p w14:paraId="718003B0">
      <w:pPr>
        <w:pStyle w:val="79"/>
        <w:ind w:left="120" w:hanging="120"/>
        <w:rPr>
          <w:rFonts w:hint="eastAsia" w:ascii="宋体" w:hAnsi="宋体" w:eastAsia="宋体" w:cs="宋体"/>
          <w:sz w:val="24"/>
          <w:szCs w:val="24"/>
        </w:rPr>
      </w:pPr>
    </w:p>
    <w:p w14:paraId="706E8C2A">
      <w:pPr>
        <w:pStyle w:val="79"/>
        <w:ind w:left="120" w:hanging="120"/>
        <w:rPr>
          <w:rFonts w:hint="eastAsia" w:ascii="宋体" w:hAnsi="宋体" w:eastAsia="宋体" w:cs="宋体"/>
          <w:sz w:val="24"/>
          <w:szCs w:val="24"/>
        </w:rPr>
      </w:pPr>
    </w:p>
    <w:p w14:paraId="2D89F296">
      <w:pPr>
        <w:pStyle w:val="79"/>
        <w:ind w:left="120" w:hanging="120"/>
        <w:rPr>
          <w:rFonts w:hint="eastAsia" w:ascii="宋体" w:hAnsi="宋体" w:eastAsia="宋体" w:cs="宋体"/>
          <w:sz w:val="24"/>
          <w:szCs w:val="24"/>
        </w:rPr>
      </w:pPr>
    </w:p>
    <w:p w14:paraId="52A21853">
      <w:pPr>
        <w:pStyle w:val="79"/>
        <w:ind w:left="120" w:hanging="120"/>
        <w:rPr>
          <w:rFonts w:hint="eastAsia" w:ascii="宋体" w:hAnsi="宋体" w:eastAsia="宋体" w:cs="宋体"/>
          <w:sz w:val="24"/>
          <w:szCs w:val="24"/>
        </w:rPr>
      </w:pPr>
    </w:p>
    <w:bookmarkEnd w:id="78"/>
    <w:p w14:paraId="2720E674">
      <w:pPr>
        <w:keepNext/>
        <w:keepLines/>
        <w:spacing w:before="340" w:after="120" w:line="576" w:lineRule="auto"/>
        <w:ind w:left="161" w:hanging="161"/>
        <w:jc w:val="center"/>
        <w:outlineLvl w:val="0"/>
        <w:rPr>
          <w:rFonts w:hint="eastAsia" w:ascii="宋体" w:hAnsi="宋体" w:eastAsia="宋体" w:cs="宋体"/>
          <w:b/>
          <w:bCs/>
          <w:kern w:val="44"/>
          <w:sz w:val="28"/>
          <w:szCs w:val="28"/>
        </w:rPr>
      </w:pPr>
      <w:bookmarkStart w:id="93" w:name="_Toc419045066"/>
      <w:bookmarkStart w:id="94" w:name="_Toc256000138"/>
      <w:bookmarkStart w:id="95" w:name="_Toc256000030"/>
      <w:r>
        <w:rPr>
          <w:rFonts w:hint="eastAsia" w:ascii="宋体" w:hAnsi="宋体" w:eastAsia="宋体" w:cs="宋体"/>
          <w:b/>
          <w:bCs/>
          <w:kern w:val="44"/>
          <w:sz w:val="32"/>
          <w:szCs w:val="32"/>
        </w:rPr>
        <w:t>第二部分　通用条件</w:t>
      </w:r>
      <w:bookmarkEnd w:id="93"/>
      <w:bookmarkEnd w:id="94"/>
      <w:bookmarkEnd w:id="95"/>
    </w:p>
    <w:p w14:paraId="6B3E1788">
      <w:pPr>
        <w:pStyle w:val="19"/>
        <w:spacing w:before="0" w:after="0" w:line="480" w:lineRule="exact"/>
        <w:ind w:left="120" w:hanging="120"/>
        <w:jc w:val="left"/>
        <w:rPr>
          <w:rFonts w:hint="eastAsia" w:ascii="宋体" w:hAnsi="宋体" w:eastAsia="宋体" w:cs="宋体"/>
          <w:sz w:val="24"/>
          <w:szCs w:val="24"/>
        </w:rPr>
      </w:pPr>
      <w:r>
        <w:rPr>
          <w:rFonts w:hint="eastAsia" w:ascii="宋体" w:hAnsi="宋体" w:eastAsia="宋体" w:cs="宋体"/>
          <w:sz w:val="24"/>
          <w:szCs w:val="24"/>
        </w:rPr>
        <w:t xml:space="preserve">    </w:t>
      </w:r>
      <w:bookmarkStart w:id="96" w:name="_Toc256000139"/>
      <w:bookmarkStart w:id="97" w:name="_Toc419045067"/>
      <w:bookmarkStart w:id="98" w:name="_Toc256000031"/>
      <w:r>
        <w:rPr>
          <w:rFonts w:hint="eastAsia" w:ascii="宋体" w:hAnsi="宋体" w:eastAsia="宋体" w:cs="宋体"/>
          <w:sz w:val="24"/>
          <w:szCs w:val="24"/>
        </w:rPr>
        <w:t>1.词语定义、语言、解释顺序与适用法律</w:t>
      </w:r>
      <w:bookmarkEnd w:id="96"/>
      <w:bookmarkEnd w:id="97"/>
      <w:bookmarkEnd w:id="98"/>
    </w:p>
    <w:p w14:paraId="4B2D91D3">
      <w:pPr>
        <w:spacing w:line="480" w:lineRule="exact"/>
        <w:ind w:firstLine="480" w:firstLineChars="200"/>
        <w:jc w:val="left"/>
        <w:outlineLvl w:val="1"/>
        <w:rPr>
          <w:rFonts w:hint="eastAsia" w:ascii="宋体" w:hAnsi="宋体" w:eastAsia="宋体" w:cs="宋体"/>
          <w:bCs/>
          <w:kern w:val="28"/>
          <w:sz w:val="24"/>
        </w:rPr>
      </w:pPr>
      <w:bookmarkStart w:id="99" w:name="_Toc419045068"/>
      <w:bookmarkStart w:id="100" w:name="_Toc256000140"/>
      <w:bookmarkStart w:id="101" w:name="_Toc256000032"/>
      <w:r>
        <w:rPr>
          <w:rFonts w:hint="eastAsia" w:ascii="宋体" w:hAnsi="宋体" w:eastAsia="宋体" w:cs="宋体"/>
          <w:bCs/>
          <w:kern w:val="28"/>
          <w:sz w:val="24"/>
        </w:rPr>
        <w:t>1.1词语定义</w:t>
      </w:r>
      <w:bookmarkEnd w:id="99"/>
      <w:bookmarkEnd w:id="100"/>
      <w:bookmarkEnd w:id="101"/>
    </w:p>
    <w:p w14:paraId="45871132">
      <w:pPr>
        <w:pStyle w:val="79"/>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组成本合同的全部文件中的下列名词和用语应具有本款所赋予的含义：</w:t>
      </w:r>
    </w:p>
    <w:p w14:paraId="60A25A8B">
      <w:pPr>
        <w:pStyle w:val="79"/>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1.1.1“工程”是指按照本合同约定实施造价咨询与其他服务的建设工程。    </w:t>
      </w:r>
    </w:p>
    <w:p w14:paraId="45C8705B">
      <w:pPr>
        <w:pStyle w:val="79"/>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1.1.2“工程造价”是指工程项目建设过程中预计或实际支出的全部费用。</w:t>
      </w:r>
    </w:p>
    <w:p w14:paraId="458B24AE">
      <w:pPr>
        <w:pStyle w:val="79"/>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1.1.3“委托人”是指本合同中委托造价咨询与其他服务的一方，及其合法的继承人或受让人。</w:t>
      </w:r>
    </w:p>
    <w:p w14:paraId="0A83BA88">
      <w:pPr>
        <w:pStyle w:val="79"/>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1.1.4“咨询人”是指本合同中提供造价咨询与其他服务的一方</w:t>
      </w:r>
      <w:r>
        <w:rPr>
          <w:rFonts w:hint="eastAsia" w:ascii="宋体" w:hAnsi="宋体" w:eastAsia="宋体" w:cs="宋体"/>
          <w:b/>
          <w:bCs/>
          <w:sz w:val="24"/>
          <w:szCs w:val="24"/>
        </w:rPr>
        <w:t>，</w:t>
      </w:r>
      <w:r>
        <w:rPr>
          <w:rFonts w:hint="eastAsia" w:ascii="宋体" w:hAnsi="宋体" w:eastAsia="宋体" w:cs="宋体"/>
          <w:sz w:val="24"/>
          <w:szCs w:val="24"/>
        </w:rPr>
        <w:t>及其合法的继承人。</w:t>
      </w:r>
    </w:p>
    <w:p w14:paraId="3813C46A">
      <w:pPr>
        <w:pStyle w:val="79"/>
        <w:spacing w:line="480" w:lineRule="exact"/>
        <w:ind w:left="274" w:leftChars="114" w:firstLine="120" w:firstLineChars="50"/>
        <w:jc w:val="left"/>
        <w:rPr>
          <w:rFonts w:hint="eastAsia" w:ascii="宋体" w:hAnsi="宋体" w:eastAsia="宋体" w:cs="宋体"/>
          <w:sz w:val="24"/>
          <w:szCs w:val="24"/>
        </w:rPr>
      </w:pPr>
      <w:r>
        <w:rPr>
          <w:rFonts w:hint="eastAsia" w:ascii="宋体" w:hAnsi="宋体" w:eastAsia="宋体" w:cs="宋体"/>
          <w:sz w:val="24"/>
          <w:szCs w:val="24"/>
        </w:rPr>
        <w:t xml:space="preserve"> 1.1.5“第三人”是指除委托人、咨询人以外与本咨询业务有关的当事人。</w:t>
      </w:r>
    </w:p>
    <w:p w14:paraId="062C6FBF">
      <w:pPr>
        <w:pStyle w:val="79"/>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1.1.6“正常工作”是指本合同订立时通用条件和专用条件中约定的咨询人的工作。</w:t>
      </w:r>
    </w:p>
    <w:p w14:paraId="6C4ED056">
      <w:pPr>
        <w:pStyle w:val="79"/>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1.1.7“附加工作”是指咨询人根据合同条件完成的正常工作以外的工作。</w:t>
      </w:r>
    </w:p>
    <w:p w14:paraId="1E87FFF6">
      <w:pPr>
        <w:pStyle w:val="79"/>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1.1.8“项目咨询团队”是指咨询人指派负责履行本合同的团队，其团队成员为本合同的项目咨询人员。</w:t>
      </w:r>
    </w:p>
    <w:p w14:paraId="64B4E468">
      <w:pPr>
        <w:pStyle w:val="79"/>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1.1.9“项目负责人”是指由咨询人的法定代表人书面授权，在授权范围内负责履行本合同、主持项目咨询团队工作的负责人。</w:t>
      </w:r>
    </w:p>
    <w:p w14:paraId="4B3C46B3">
      <w:pPr>
        <w:spacing w:line="480" w:lineRule="exact"/>
        <w:ind w:firstLine="480" w:firstLineChars="200"/>
        <w:rPr>
          <w:rFonts w:hint="eastAsia" w:ascii="宋体" w:hAnsi="宋体" w:eastAsia="宋体" w:cs="宋体"/>
          <w:kern w:val="0"/>
          <w:sz w:val="24"/>
        </w:rPr>
      </w:pPr>
      <w:r>
        <w:rPr>
          <w:rFonts w:hint="eastAsia" w:ascii="宋体" w:hAnsi="宋体" w:eastAsia="宋体" w:cs="宋体"/>
          <w:sz w:val="24"/>
        </w:rPr>
        <w:t>1.1.10“</w:t>
      </w:r>
      <w:r>
        <w:rPr>
          <w:rFonts w:hint="eastAsia" w:ascii="宋体" w:hAnsi="宋体" w:eastAsia="宋体" w:cs="宋体"/>
          <w:kern w:val="0"/>
          <w:sz w:val="24"/>
        </w:rPr>
        <w:t>委托人代表”是指由委托人的法定代表人书面授权，在授权范围内行使委托人权利的人。</w:t>
      </w:r>
    </w:p>
    <w:p w14:paraId="0AEFCBC6">
      <w:pPr>
        <w:pStyle w:val="79"/>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1.1.11“酬金”是指咨询人履行本合同义务，委托人按照本合同约定给付咨询人的金额。</w:t>
      </w:r>
    </w:p>
    <w:p w14:paraId="7E8B296C">
      <w:pPr>
        <w:pStyle w:val="79"/>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1.1.12“正常工作酬金”是指在协议书中载明的，咨询人完成正常工作，委托人应给付咨询人的酬金。</w:t>
      </w:r>
    </w:p>
    <w:p w14:paraId="5A03DC28">
      <w:pPr>
        <w:pStyle w:val="79"/>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1.1.13“附加工作酬金”是指咨询人完成附加工作，委托人应给付咨询人的酬金。</w:t>
      </w:r>
    </w:p>
    <w:p w14:paraId="12CDC7AD">
      <w:pPr>
        <w:spacing w:line="480" w:lineRule="exact"/>
        <w:ind w:firstLine="480" w:firstLineChars="200"/>
        <w:rPr>
          <w:rFonts w:hint="eastAsia" w:ascii="宋体" w:hAnsi="宋体" w:eastAsia="宋体" w:cs="宋体"/>
          <w:kern w:val="0"/>
          <w:sz w:val="24"/>
        </w:rPr>
      </w:pPr>
      <w:r>
        <w:rPr>
          <w:rFonts w:hint="eastAsia" w:ascii="宋体" w:hAnsi="宋体" w:eastAsia="宋体" w:cs="宋体"/>
          <w:sz w:val="24"/>
        </w:rPr>
        <w:t xml:space="preserve">1.1.14 </w:t>
      </w:r>
      <w:r>
        <w:rPr>
          <w:rFonts w:hint="eastAsia" w:ascii="宋体" w:hAnsi="宋体" w:eastAsia="宋体" w:cs="宋体"/>
          <w:kern w:val="0"/>
          <w:sz w:val="24"/>
        </w:rPr>
        <w:t>“书面形式”是指合同书、信件和数据电文（包括电报、电传、传真、电子数据交换和电子邮件）等可以有形地表现所载内容的形式。</w:t>
      </w:r>
    </w:p>
    <w:p w14:paraId="6F162062">
      <w:pPr>
        <w:spacing w:line="480" w:lineRule="exact"/>
        <w:ind w:firstLine="480" w:firstLineChars="200"/>
        <w:rPr>
          <w:rFonts w:hint="eastAsia" w:ascii="宋体" w:hAnsi="宋体" w:eastAsia="宋体" w:cs="宋体"/>
          <w:kern w:val="0"/>
          <w:sz w:val="24"/>
        </w:rPr>
      </w:pPr>
      <w:r>
        <w:rPr>
          <w:rFonts w:hint="eastAsia" w:ascii="宋体" w:hAnsi="宋体" w:eastAsia="宋体" w:cs="宋体"/>
          <w:sz w:val="24"/>
        </w:rPr>
        <w:t xml:space="preserve">1.1.15 </w:t>
      </w:r>
      <w:r>
        <w:rPr>
          <w:rFonts w:hint="eastAsia" w:ascii="宋体" w:hAnsi="宋体" w:eastAsia="宋体" w:cs="宋体"/>
          <w:kern w:val="0"/>
          <w:sz w:val="24"/>
        </w:rPr>
        <w:t>“不可抗力”是指委托人和咨询人在订立本合同时不可预见，在合同履行过程中不可避免并不能克服的自然灾害和社会性突发事件，如地震、海啸、瘟疫、水灾、骚乱、暴动、战争等情形。</w:t>
      </w:r>
    </w:p>
    <w:p w14:paraId="1D1AD673">
      <w:pPr>
        <w:pStyle w:val="27"/>
        <w:spacing w:before="0" w:after="0" w:line="480" w:lineRule="exact"/>
        <w:ind w:firstLine="480" w:firstLineChars="200"/>
        <w:jc w:val="left"/>
        <w:rPr>
          <w:rFonts w:hint="eastAsia" w:ascii="宋体" w:hAnsi="宋体" w:eastAsia="宋体" w:cs="宋体"/>
          <w:b w:val="0"/>
          <w:sz w:val="24"/>
          <w:szCs w:val="24"/>
        </w:rPr>
      </w:pPr>
      <w:bookmarkStart w:id="102" w:name="_Toc256000033"/>
      <w:bookmarkStart w:id="103" w:name="_Toc256000141"/>
      <w:bookmarkStart w:id="104" w:name="_Toc419045069"/>
      <w:r>
        <w:rPr>
          <w:rFonts w:hint="eastAsia" w:ascii="宋体" w:hAnsi="宋体" w:eastAsia="宋体" w:cs="宋体"/>
          <w:b w:val="0"/>
          <w:sz w:val="24"/>
          <w:szCs w:val="24"/>
        </w:rPr>
        <w:t>1.2语言</w:t>
      </w:r>
      <w:bookmarkEnd w:id="102"/>
      <w:bookmarkEnd w:id="103"/>
      <w:bookmarkEnd w:id="104"/>
    </w:p>
    <w:p w14:paraId="7A7DAE65">
      <w:pPr>
        <w:pStyle w:val="79"/>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本合同使用中文书写、解释和说明。如专用条件约定使用两种及以上语言文字时，应以中文为准。</w:t>
      </w:r>
    </w:p>
    <w:p w14:paraId="1DA60B41">
      <w:pPr>
        <w:pStyle w:val="27"/>
        <w:spacing w:before="0" w:after="0" w:line="480" w:lineRule="exact"/>
        <w:ind w:firstLine="480" w:firstLineChars="200"/>
        <w:jc w:val="left"/>
        <w:rPr>
          <w:rFonts w:hint="eastAsia" w:ascii="宋体" w:hAnsi="宋体" w:eastAsia="宋体" w:cs="宋体"/>
          <w:b w:val="0"/>
          <w:sz w:val="24"/>
          <w:szCs w:val="24"/>
        </w:rPr>
      </w:pPr>
      <w:bookmarkStart w:id="105" w:name="_Toc256000034"/>
      <w:bookmarkStart w:id="106" w:name="_Toc256000142"/>
      <w:bookmarkStart w:id="107" w:name="_Toc419045070"/>
      <w:r>
        <w:rPr>
          <w:rFonts w:hint="eastAsia" w:ascii="宋体" w:hAnsi="宋体" w:eastAsia="宋体" w:cs="宋体"/>
          <w:b w:val="0"/>
          <w:sz w:val="24"/>
          <w:szCs w:val="24"/>
        </w:rPr>
        <w:t>1.3合同文件的优先顺序</w:t>
      </w:r>
      <w:bookmarkEnd w:id="105"/>
      <w:bookmarkEnd w:id="106"/>
      <w:bookmarkEnd w:id="107"/>
    </w:p>
    <w:p w14:paraId="46121CA8">
      <w:pPr>
        <w:pStyle w:val="79"/>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组成本合同的下列文件彼此应能相互解释、互为说明。除专用条件另有约定外，本合同文件的解释顺序如下：</w:t>
      </w:r>
    </w:p>
    <w:p w14:paraId="62F809E7">
      <w:pPr>
        <w:pStyle w:val="79"/>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1.协议书</w:t>
      </w:r>
    </w:p>
    <w:p w14:paraId="0DD50D77">
      <w:pPr>
        <w:pStyle w:val="79"/>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2.中标通知书或委托书（如果有）；</w:t>
      </w:r>
    </w:p>
    <w:p w14:paraId="70738A08">
      <w:pPr>
        <w:pStyle w:val="79"/>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3.专用条件及附录；</w:t>
      </w:r>
    </w:p>
    <w:p w14:paraId="531C0260">
      <w:pPr>
        <w:pStyle w:val="79"/>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4.通用条件；</w:t>
      </w:r>
    </w:p>
    <w:p w14:paraId="79430A48">
      <w:pPr>
        <w:pStyle w:val="79"/>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5.投标函及投标函附录或造价咨询服务建议书（如果有）；</w:t>
      </w:r>
    </w:p>
    <w:p w14:paraId="03BF5B5D">
      <w:pPr>
        <w:spacing w:line="480" w:lineRule="exact"/>
        <w:ind w:left="120" w:hanging="120"/>
        <w:rPr>
          <w:rFonts w:hint="eastAsia" w:ascii="宋体" w:hAnsi="宋体" w:eastAsia="宋体" w:cs="宋体"/>
          <w:bCs/>
          <w:sz w:val="24"/>
        </w:rPr>
      </w:pPr>
      <w:r>
        <w:rPr>
          <w:rFonts w:hint="eastAsia" w:ascii="宋体" w:hAnsi="宋体" w:eastAsia="宋体" w:cs="宋体"/>
          <w:bCs/>
          <w:sz w:val="24"/>
        </w:rPr>
        <w:t>6.</w:t>
      </w:r>
      <w:r>
        <w:rPr>
          <w:rFonts w:hint="eastAsia" w:ascii="宋体" w:hAnsi="宋体" w:eastAsia="宋体" w:cs="宋体"/>
          <w:bCs/>
          <w:kern w:val="0"/>
          <w:sz w:val="24"/>
        </w:rPr>
        <w:t>其他合同文件。</w:t>
      </w:r>
    </w:p>
    <w:p w14:paraId="17F2CBC8">
      <w:pPr>
        <w:pStyle w:val="79"/>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上述各项合同文件包括合同当事人就该项合同文件所作出的补充和修改，属于同一类内容的文件，应以最新签署的为准。</w:t>
      </w:r>
    </w:p>
    <w:p w14:paraId="7A11EE0F">
      <w:pPr>
        <w:pStyle w:val="79"/>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在合同订立及履行过程中形成的与合同有关的文件均构成合同文件的组成部分。</w:t>
      </w:r>
    </w:p>
    <w:p w14:paraId="6B56169F">
      <w:pPr>
        <w:pStyle w:val="27"/>
        <w:spacing w:before="0" w:after="0" w:line="480" w:lineRule="exact"/>
        <w:ind w:firstLine="480" w:firstLineChars="200"/>
        <w:jc w:val="left"/>
        <w:rPr>
          <w:rFonts w:hint="eastAsia" w:ascii="宋体" w:hAnsi="宋体" w:eastAsia="宋体" w:cs="宋体"/>
          <w:b w:val="0"/>
          <w:sz w:val="24"/>
          <w:szCs w:val="24"/>
        </w:rPr>
      </w:pPr>
      <w:bookmarkStart w:id="108" w:name="_Toc256000035"/>
      <w:bookmarkStart w:id="109" w:name="_Toc419045071"/>
      <w:bookmarkStart w:id="110" w:name="_Toc256000143"/>
      <w:r>
        <w:rPr>
          <w:rFonts w:hint="eastAsia" w:ascii="宋体" w:hAnsi="宋体" w:eastAsia="宋体" w:cs="宋体"/>
          <w:b w:val="0"/>
          <w:sz w:val="24"/>
          <w:szCs w:val="24"/>
        </w:rPr>
        <w:t>1.4适用法律</w:t>
      </w:r>
      <w:bookmarkEnd w:id="108"/>
      <w:bookmarkEnd w:id="109"/>
      <w:bookmarkEnd w:id="110"/>
    </w:p>
    <w:p w14:paraId="0A24661F">
      <w:pPr>
        <w:pStyle w:val="79"/>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本合同适用中华人民共和国法律、行政法规、部门规章以及工程所在地的地方性法规、自治条例、单行条例和地方政府规章等。</w:t>
      </w:r>
    </w:p>
    <w:p w14:paraId="17BE5E29">
      <w:pPr>
        <w:pStyle w:val="79"/>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合同当事人可以在专用条件中约定本合同适用的其他规范、规程、定额、技术标准等规范性文件。</w:t>
      </w:r>
    </w:p>
    <w:p w14:paraId="6D5F8280">
      <w:pPr>
        <w:pStyle w:val="19"/>
        <w:spacing w:before="0" w:after="0" w:line="480" w:lineRule="exact"/>
        <w:ind w:firstLine="482" w:firstLineChars="200"/>
        <w:jc w:val="left"/>
        <w:rPr>
          <w:rFonts w:hint="eastAsia" w:ascii="宋体" w:hAnsi="宋体" w:eastAsia="宋体" w:cs="宋体"/>
          <w:sz w:val="24"/>
          <w:szCs w:val="24"/>
        </w:rPr>
      </w:pPr>
      <w:bookmarkStart w:id="111" w:name="_Toc256000036"/>
      <w:bookmarkStart w:id="112" w:name="_Toc256000144"/>
      <w:r>
        <w:rPr>
          <w:rFonts w:hint="eastAsia" w:ascii="宋体" w:hAnsi="宋体" w:eastAsia="宋体" w:cs="宋体"/>
          <w:sz w:val="24"/>
          <w:szCs w:val="24"/>
        </w:rPr>
        <w:t>2.委托人的义务</w:t>
      </w:r>
      <w:bookmarkEnd w:id="111"/>
      <w:bookmarkEnd w:id="112"/>
    </w:p>
    <w:p w14:paraId="2066FF6B">
      <w:pPr>
        <w:pStyle w:val="27"/>
        <w:spacing w:before="0" w:after="0" w:line="480" w:lineRule="exact"/>
        <w:ind w:firstLine="480" w:firstLineChars="200"/>
        <w:jc w:val="left"/>
        <w:rPr>
          <w:rFonts w:hint="eastAsia" w:ascii="宋体" w:hAnsi="宋体" w:eastAsia="宋体" w:cs="宋体"/>
          <w:b w:val="0"/>
          <w:sz w:val="24"/>
          <w:szCs w:val="24"/>
        </w:rPr>
      </w:pPr>
      <w:bookmarkStart w:id="113" w:name="_Toc256000037"/>
      <w:bookmarkStart w:id="114" w:name="_Toc419045072"/>
      <w:bookmarkStart w:id="115" w:name="_Toc256000145"/>
      <w:r>
        <w:rPr>
          <w:rFonts w:hint="eastAsia" w:ascii="宋体" w:hAnsi="宋体" w:eastAsia="宋体" w:cs="宋体"/>
          <w:b w:val="0"/>
          <w:sz w:val="24"/>
          <w:szCs w:val="24"/>
        </w:rPr>
        <w:t>2.1提供资料</w:t>
      </w:r>
      <w:bookmarkEnd w:id="113"/>
      <w:bookmarkEnd w:id="114"/>
      <w:bookmarkEnd w:id="115"/>
    </w:p>
    <w:p w14:paraId="39E396BE">
      <w:pPr>
        <w:pStyle w:val="79"/>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人应当在专用条件约定的时间内，按照附录C的约定无偿向咨询人提供与本合同咨询业务有关的资料。在本合同履行过程中，委托人应及时向咨询人提供最新的与本合同咨询业务有关的资料。委托人应对所提供资料的真实性、准确性、合法性与完整性负责。</w:t>
      </w:r>
    </w:p>
    <w:p w14:paraId="541B9643">
      <w:pPr>
        <w:pStyle w:val="79"/>
        <w:spacing w:line="480" w:lineRule="exact"/>
        <w:ind w:firstLine="480" w:firstLineChars="200"/>
        <w:rPr>
          <w:rFonts w:hint="eastAsia" w:ascii="宋体" w:hAnsi="宋体" w:eastAsia="宋体" w:cs="宋体"/>
          <w:sz w:val="24"/>
          <w:szCs w:val="24"/>
        </w:rPr>
      </w:pPr>
      <w:bookmarkStart w:id="116" w:name="_Toc419045073"/>
      <w:r>
        <w:rPr>
          <w:rFonts w:hint="eastAsia" w:ascii="宋体" w:hAnsi="宋体" w:eastAsia="宋体" w:cs="宋体"/>
          <w:sz w:val="24"/>
          <w:szCs w:val="24"/>
        </w:rPr>
        <w:t>2.2提供工作条件</w:t>
      </w:r>
      <w:bookmarkEnd w:id="116"/>
    </w:p>
    <w:p w14:paraId="6FF02A42">
      <w:pPr>
        <w:pStyle w:val="79"/>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委托人应为咨询人完成造价咨询提供必要的条件。</w:t>
      </w:r>
    </w:p>
    <w:p w14:paraId="24B5312D">
      <w:pPr>
        <w:pStyle w:val="79"/>
        <w:spacing w:line="480" w:lineRule="exact"/>
        <w:ind w:firstLine="480" w:firstLineChars="200"/>
        <w:rPr>
          <w:rFonts w:hint="eastAsia" w:ascii="宋体" w:hAnsi="宋体" w:eastAsia="宋体" w:cs="宋体"/>
          <w:bCs/>
          <w:kern w:val="28"/>
          <w:sz w:val="24"/>
          <w:szCs w:val="24"/>
        </w:rPr>
      </w:pPr>
      <w:r>
        <w:rPr>
          <w:rFonts w:hint="eastAsia" w:ascii="宋体" w:hAnsi="宋体" w:eastAsia="宋体" w:cs="宋体"/>
          <w:sz w:val="24"/>
          <w:szCs w:val="24"/>
        </w:rPr>
        <w:t>2.2.1委托人需要咨询人派驻项目现场咨询人员的，除专用条件另有</w:t>
      </w:r>
      <w:r>
        <w:rPr>
          <w:rFonts w:hint="eastAsia" w:ascii="宋体" w:hAnsi="宋体" w:eastAsia="宋体" w:cs="宋体"/>
          <w:bCs/>
          <w:kern w:val="28"/>
          <w:sz w:val="24"/>
          <w:szCs w:val="24"/>
        </w:rPr>
        <w:t>约定外，项目咨询人员有权无偿使用附录D中由委托人提供的房屋及设备。</w:t>
      </w:r>
    </w:p>
    <w:p w14:paraId="521F8195">
      <w:pPr>
        <w:spacing w:line="480" w:lineRule="exact"/>
        <w:ind w:firstLine="480" w:firstLineChars="200"/>
        <w:rPr>
          <w:rFonts w:hint="eastAsia" w:ascii="宋体" w:hAnsi="宋体" w:eastAsia="宋体" w:cs="宋体"/>
          <w:sz w:val="24"/>
        </w:rPr>
      </w:pPr>
      <w:r>
        <w:rPr>
          <w:rFonts w:hint="eastAsia" w:ascii="宋体" w:hAnsi="宋体" w:eastAsia="宋体" w:cs="宋体"/>
          <w:sz w:val="24"/>
        </w:rPr>
        <w:t>2.2.2</w:t>
      </w:r>
      <w:r>
        <w:rPr>
          <w:rFonts w:hint="eastAsia" w:ascii="宋体" w:hAnsi="宋体" w:eastAsia="宋体" w:cs="宋体"/>
          <w:bCs/>
          <w:kern w:val="28"/>
          <w:sz w:val="24"/>
        </w:rPr>
        <w:t>委托人应负责与本工程造价咨询业务有关的所有外部关系的协调，为咨询人履行本合同提供必要的外部条件。</w:t>
      </w:r>
    </w:p>
    <w:p w14:paraId="1BD07DB8">
      <w:pPr>
        <w:pStyle w:val="27"/>
        <w:spacing w:before="0" w:after="0" w:line="480" w:lineRule="exact"/>
        <w:ind w:firstLine="480" w:firstLineChars="200"/>
        <w:jc w:val="left"/>
        <w:rPr>
          <w:rFonts w:hint="eastAsia" w:ascii="宋体" w:hAnsi="宋体" w:eastAsia="宋体" w:cs="宋体"/>
          <w:b w:val="0"/>
          <w:sz w:val="24"/>
          <w:szCs w:val="24"/>
        </w:rPr>
      </w:pPr>
      <w:bookmarkStart w:id="117" w:name="_Toc256000038"/>
      <w:bookmarkStart w:id="118" w:name="_Toc419045074"/>
      <w:bookmarkStart w:id="119" w:name="_Toc256000146"/>
      <w:r>
        <w:rPr>
          <w:rFonts w:hint="eastAsia" w:ascii="宋体" w:hAnsi="宋体" w:eastAsia="宋体" w:cs="宋体"/>
          <w:b w:val="0"/>
          <w:sz w:val="24"/>
          <w:szCs w:val="24"/>
        </w:rPr>
        <w:t>2.3合理工作时限</w:t>
      </w:r>
      <w:bookmarkEnd w:id="117"/>
      <w:bookmarkEnd w:id="118"/>
      <w:bookmarkEnd w:id="119"/>
    </w:p>
    <w:p w14:paraId="5F979759">
      <w:pPr>
        <w:spacing w:line="480" w:lineRule="exact"/>
        <w:ind w:firstLine="480" w:firstLineChars="200"/>
        <w:rPr>
          <w:rFonts w:hint="eastAsia" w:ascii="宋体" w:hAnsi="宋体" w:eastAsia="宋体" w:cs="宋体"/>
          <w:bCs/>
          <w:kern w:val="28"/>
          <w:sz w:val="24"/>
        </w:rPr>
      </w:pPr>
      <w:r>
        <w:rPr>
          <w:rFonts w:hint="eastAsia" w:ascii="宋体" w:hAnsi="宋体" w:eastAsia="宋体" w:cs="宋体"/>
          <w:bCs/>
          <w:kern w:val="28"/>
          <w:sz w:val="24"/>
        </w:rPr>
        <w:t>委托人应当为咨询人完成其咨询工作，设定合理的工作时限。</w:t>
      </w:r>
    </w:p>
    <w:p w14:paraId="3DD84F2B">
      <w:pPr>
        <w:pStyle w:val="27"/>
        <w:spacing w:before="0" w:after="0" w:line="480" w:lineRule="exact"/>
        <w:ind w:firstLine="480" w:firstLineChars="200"/>
        <w:jc w:val="left"/>
        <w:rPr>
          <w:rFonts w:hint="eastAsia" w:ascii="宋体" w:hAnsi="宋体" w:eastAsia="宋体" w:cs="宋体"/>
          <w:b w:val="0"/>
          <w:sz w:val="24"/>
          <w:szCs w:val="24"/>
        </w:rPr>
      </w:pPr>
      <w:bookmarkStart w:id="120" w:name="_Toc419045075"/>
      <w:bookmarkStart w:id="121" w:name="_Toc256000039"/>
      <w:bookmarkStart w:id="122" w:name="_Toc256000147"/>
      <w:r>
        <w:rPr>
          <w:rFonts w:hint="eastAsia" w:ascii="宋体" w:hAnsi="宋体" w:eastAsia="宋体" w:cs="宋体"/>
          <w:b w:val="0"/>
          <w:sz w:val="24"/>
          <w:szCs w:val="24"/>
        </w:rPr>
        <w:t>2.4委托人代表</w:t>
      </w:r>
      <w:bookmarkEnd w:id="120"/>
      <w:bookmarkEnd w:id="121"/>
      <w:bookmarkEnd w:id="122"/>
    </w:p>
    <w:p w14:paraId="69AF8579">
      <w:pPr>
        <w:spacing w:line="480" w:lineRule="exact"/>
        <w:ind w:firstLine="480" w:firstLineChars="200"/>
        <w:rPr>
          <w:rFonts w:hint="eastAsia" w:ascii="宋体" w:hAnsi="宋体" w:eastAsia="宋体" w:cs="宋体"/>
          <w:bCs/>
          <w:kern w:val="28"/>
          <w:sz w:val="24"/>
        </w:rPr>
      </w:pPr>
      <w:r>
        <w:rPr>
          <w:rFonts w:hint="eastAsia" w:ascii="宋体" w:hAnsi="宋体" w:eastAsia="宋体" w:cs="宋体"/>
          <w:bCs/>
          <w:kern w:val="28"/>
          <w:sz w:val="24"/>
        </w:rPr>
        <w:t>委托人应授权一名代表负责本合同的履行。委托人应在双方签订本合同7日内，将委托人代表的姓名和权限范围书面告知咨询人。委托人更换委托人代表时，应提前7日书面通知咨询人。</w:t>
      </w:r>
    </w:p>
    <w:p w14:paraId="71B5419A">
      <w:pPr>
        <w:pStyle w:val="27"/>
        <w:spacing w:before="0" w:after="0" w:line="480" w:lineRule="exact"/>
        <w:ind w:firstLine="480" w:firstLineChars="200"/>
        <w:jc w:val="left"/>
        <w:rPr>
          <w:rFonts w:hint="eastAsia" w:ascii="宋体" w:hAnsi="宋体" w:eastAsia="宋体" w:cs="宋体"/>
          <w:b w:val="0"/>
          <w:sz w:val="24"/>
          <w:szCs w:val="24"/>
        </w:rPr>
      </w:pPr>
      <w:bookmarkStart w:id="123" w:name="_Toc256000148"/>
      <w:bookmarkStart w:id="124" w:name="_Toc419045076"/>
      <w:bookmarkStart w:id="125" w:name="_Toc256000040"/>
      <w:r>
        <w:rPr>
          <w:rFonts w:hint="eastAsia" w:ascii="宋体" w:hAnsi="宋体" w:eastAsia="宋体" w:cs="宋体"/>
          <w:b w:val="0"/>
          <w:sz w:val="24"/>
          <w:szCs w:val="24"/>
        </w:rPr>
        <w:t>2.5答复</w:t>
      </w:r>
      <w:bookmarkEnd w:id="123"/>
      <w:bookmarkEnd w:id="124"/>
      <w:bookmarkEnd w:id="125"/>
    </w:p>
    <w:p w14:paraId="5660D8C1">
      <w:pPr>
        <w:spacing w:line="480" w:lineRule="exact"/>
        <w:ind w:firstLine="480" w:firstLineChars="200"/>
        <w:rPr>
          <w:rFonts w:hint="eastAsia" w:ascii="宋体" w:hAnsi="宋体" w:eastAsia="宋体" w:cs="宋体"/>
          <w:bCs/>
          <w:kern w:val="28"/>
          <w:sz w:val="24"/>
        </w:rPr>
      </w:pPr>
      <w:r>
        <w:rPr>
          <w:rFonts w:hint="eastAsia" w:ascii="宋体" w:hAnsi="宋体" w:eastAsia="宋体" w:cs="宋体"/>
          <w:bCs/>
          <w:kern w:val="28"/>
          <w:sz w:val="24"/>
        </w:rPr>
        <w:t>委托人应当在专用条件约定的时间内就咨询人以书面形式提交并要求做出答复的事宜给予书面答复。逾期未答复的，由此造成的工作延误和损失由委托人承担。</w:t>
      </w:r>
    </w:p>
    <w:p w14:paraId="6FF2CEBE">
      <w:pPr>
        <w:pStyle w:val="27"/>
        <w:spacing w:before="0" w:after="0" w:line="480" w:lineRule="exact"/>
        <w:ind w:firstLine="480" w:firstLineChars="200"/>
        <w:jc w:val="left"/>
        <w:rPr>
          <w:rFonts w:hint="eastAsia" w:ascii="宋体" w:hAnsi="宋体" w:eastAsia="宋体" w:cs="宋体"/>
          <w:b w:val="0"/>
          <w:sz w:val="24"/>
          <w:szCs w:val="24"/>
        </w:rPr>
      </w:pPr>
      <w:bookmarkStart w:id="126" w:name="_Toc419045077"/>
      <w:bookmarkStart w:id="127" w:name="_Toc256000041"/>
      <w:bookmarkStart w:id="128" w:name="_Toc256000149"/>
      <w:r>
        <w:rPr>
          <w:rFonts w:hint="eastAsia" w:ascii="宋体" w:hAnsi="宋体" w:eastAsia="宋体" w:cs="宋体"/>
          <w:b w:val="0"/>
          <w:sz w:val="24"/>
          <w:szCs w:val="24"/>
        </w:rPr>
        <w:t>2.6支付</w:t>
      </w:r>
      <w:bookmarkEnd w:id="126"/>
      <w:bookmarkEnd w:id="127"/>
      <w:bookmarkEnd w:id="128"/>
    </w:p>
    <w:p w14:paraId="6B1ECA1C">
      <w:pPr>
        <w:spacing w:line="480" w:lineRule="exact"/>
        <w:ind w:firstLine="480" w:firstLineChars="200"/>
        <w:rPr>
          <w:rFonts w:hint="eastAsia" w:ascii="宋体" w:hAnsi="宋体" w:eastAsia="宋体" w:cs="宋体"/>
          <w:bCs/>
          <w:kern w:val="28"/>
          <w:sz w:val="24"/>
        </w:rPr>
      </w:pPr>
      <w:r>
        <w:rPr>
          <w:rFonts w:hint="eastAsia" w:ascii="宋体" w:hAnsi="宋体" w:eastAsia="宋体" w:cs="宋体"/>
          <w:bCs/>
          <w:kern w:val="28"/>
          <w:sz w:val="24"/>
        </w:rPr>
        <w:t>委托人应当按照合同的约定，向咨询人支付酬金。</w:t>
      </w:r>
    </w:p>
    <w:p w14:paraId="2DEDDAD4">
      <w:pPr>
        <w:pStyle w:val="19"/>
        <w:spacing w:before="0" w:after="0" w:line="480" w:lineRule="exact"/>
        <w:ind w:firstLine="482" w:firstLineChars="200"/>
        <w:jc w:val="left"/>
        <w:rPr>
          <w:rFonts w:hint="eastAsia" w:ascii="宋体" w:hAnsi="宋体" w:eastAsia="宋体" w:cs="宋体"/>
          <w:sz w:val="24"/>
          <w:szCs w:val="24"/>
        </w:rPr>
      </w:pPr>
      <w:bookmarkStart w:id="129" w:name="_Toc256000150"/>
      <w:bookmarkStart w:id="130" w:name="_Toc419045078"/>
      <w:bookmarkStart w:id="131" w:name="_Toc256000042"/>
      <w:r>
        <w:rPr>
          <w:rFonts w:hint="eastAsia" w:ascii="宋体" w:hAnsi="宋体" w:eastAsia="宋体" w:cs="宋体"/>
          <w:sz w:val="24"/>
          <w:szCs w:val="24"/>
        </w:rPr>
        <w:t>3.咨询人的义务</w:t>
      </w:r>
      <w:bookmarkEnd w:id="129"/>
      <w:bookmarkEnd w:id="130"/>
      <w:bookmarkEnd w:id="131"/>
    </w:p>
    <w:p w14:paraId="3DC19CE9">
      <w:pPr>
        <w:pStyle w:val="27"/>
        <w:spacing w:before="0" w:after="0" w:line="480" w:lineRule="exact"/>
        <w:ind w:firstLine="480" w:firstLineChars="200"/>
        <w:jc w:val="left"/>
        <w:rPr>
          <w:rFonts w:hint="eastAsia" w:ascii="宋体" w:hAnsi="宋体" w:eastAsia="宋体" w:cs="宋体"/>
          <w:b w:val="0"/>
          <w:sz w:val="24"/>
          <w:szCs w:val="24"/>
        </w:rPr>
      </w:pPr>
      <w:bookmarkStart w:id="132" w:name="_Toc256000043"/>
      <w:bookmarkStart w:id="133" w:name="_Toc256000151"/>
      <w:bookmarkStart w:id="134" w:name="_Toc419045080"/>
      <w:bookmarkStart w:id="135" w:name="16"/>
      <w:r>
        <w:rPr>
          <w:rFonts w:hint="eastAsia" w:ascii="宋体" w:hAnsi="宋体" w:eastAsia="宋体" w:cs="宋体"/>
          <w:b w:val="0"/>
          <w:sz w:val="24"/>
          <w:szCs w:val="24"/>
        </w:rPr>
        <w:t>3.1 项目咨询团队及人员</w:t>
      </w:r>
      <w:bookmarkEnd w:id="132"/>
      <w:bookmarkEnd w:id="133"/>
      <w:bookmarkEnd w:id="134"/>
    </w:p>
    <w:p w14:paraId="0998400C">
      <w:pPr>
        <w:pStyle w:val="79"/>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3.1.1项目咨询团队的主要人员应具有专用条件约定的资格条件，团队人员的数量应符合专用条件的约定。</w:t>
      </w:r>
    </w:p>
    <w:p w14:paraId="227F7CF1">
      <w:pPr>
        <w:pStyle w:val="79"/>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3.1.2项目负责人</w:t>
      </w:r>
    </w:p>
    <w:p w14:paraId="2B07941E">
      <w:pPr>
        <w:pStyle w:val="79"/>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咨询人应以书面形式授权一名项目负责人负责履行本合同、主持项目咨询团队工作。采用招标程序签署本合同的，项目负责人应当与投标文件载明的一致。</w:t>
      </w:r>
    </w:p>
    <w:p w14:paraId="36986B32">
      <w:pPr>
        <w:pStyle w:val="79"/>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3.1.3在本合同履行过程中，咨询人员应保持相对稳定，以保证咨询工作正常进行。</w:t>
      </w:r>
    </w:p>
    <w:p w14:paraId="2BE7E7F3">
      <w:pPr>
        <w:pStyle w:val="79"/>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咨询人可根据工程进展和工作需要等情形调整项目咨询团队人员。咨询人更换项目负责人时，应提前7日向委托人书面报告，经委托人同意后方可更换。除专用条件另有约定外，咨询人更换项目咨询团队其他咨询人员，应提前3日向委托人书面报告，经委托人同意后以相当资格与能力的人员替换。</w:t>
      </w:r>
    </w:p>
    <w:p w14:paraId="14F30245">
      <w:pPr>
        <w:pStyle w:val="79"/>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3.1.4咨询人员有下列情形之一，委托人要求咨询人更换的，咨询人应当更换：</w:t>
      </w:r>
    </w:p>
    <w:p w14:paraId="16C3E220">
      <w:pPr>
        <w:pStyle w:val="79"/>
        <w:spacing w:line="480" w:lineRule="exact"/>
        <w:ind w:left="120" w:hanging="120"/>
        <w:jc w:val="left"/>
        <w:rPr>
          <w:rFonts w:hint="eastAsia" w:ascii="宋体" w:hAnsi="宋体" w:eastAsia="宋体" w:cs="宋体"/>
          <w:sz w:val="24"/>
          <w:szCs w:val="24"/>
        </w:rPr>
      </w:pPr>
      <w:r>
        <w:rPr>
          <w:rFonts w:hint="eastAsia" w:ascii="宋体" w:hAnsi="宋体" w:eastAsia="宋体" w:cs="宋体"/>
          <w:sz w:val="24"/>
          <w:szCs w:val="24"/>
        </w:rPr>
        <w:t>（1）存在严重过失行为的；</w:t>
      </w:r>
    </w:p>
    <w:p w14:paraId="057387C8">
      <w:pPr>
        <w:pStyle w:val="79"/>
        <w:spacing w:line="480" w:lineRule="exact"/>
        <w:ind w:left="120" w:hanging="120"/>
        <w:jc w:val="left"/>
        <w:rPr>
          <w:rFonts w:hint="eastAsia" w:ascii="宋体" w:hAnsi="宋体" w:eastAsia="宋体" w:cs="宋体"/>
          <w:sz w:val="24"/>
          <w:szCs w:val="24"/>
        </w:rPr>
      </w:pPr>
      <w:r>
        <w:rPr>
          <w:rFonts w:hint="eastAsia" w:ascii="宋体" w:hAnsi="宋体" w:eastAsia="宋体" w:cs="宋体"/>
          <w:sz w:val="24"/>
          <w:szCs w:val="24"/>
        </w:rPr>
        <w:t>（2）存在违法行为不能履行职责的；</w:t>
      </w:r>
    </w:p>
    <w:p w14:paraId="29624EFA">
      <w:pPr>
        <w:pStyle w:val="79"/>
        <w:spacing w:line="480" w:lineRule="exact"/>
        <w:ind w:left="120" w:hanging="120"/>
        <w:jc w:val="left"/>
        <w:rPr>
          <w:rFonts w:hint="eastAsia" w:ascii="宋体" w:hAnsi="宋体" w:eastAsia="宋体" w:cs="宋体"/>
          <w:sz w:val="24"/>
          <w:szCs w:val="24"/>
        </w:rPr>
      </w:pPr>
      <w:r>
        <w:rPr>
          <w:rFonts w:hint="eastAsia" w:ascii="宋体" w:hAnsi="宋体" w:eastAsia="宋体" w:cs="宋体"/>
          <w:sz w:val="24"/>
          <w:szCs w:val="24"/>
        </w:rPr>
        <w:t>（3）涉嫌犯罪的；</w:t>
      </w:r>
    </w:p>
    <w:p w14:paraId="4CE326D3">
      <w:pPr>
        <w:pStyle w:val="79"/>
        <w:spacing w:line="480" w:lineRule="exact"/>
        <w:ind w:left="120" w:hanging="120"/>
        <w:jc w:val="left"/>
        <w:rPr>
          <w:rFonts w:hint="eastAsia" w:ascii="宋体" w:hAnsi="宋体" w:eastAsia="宋体" w:cs="宋体"/>
          <w:sz w:val="24"/>
          <w:szCs w:val="24"/>
        </w:rPr>
      </w:pPr>
      <w:r>
        <w:rPr>
          <w:rFonts w:hint="eastAsia" w:ascii="宋体" w:hAnsi="宋体" w:eastAsia="宋体" w:cs="宋体"/>
          <w:sz w:val="24"/>
          <w:szCs w:val="24"/>
        </w:rPr>
        <w:t>（4）不能胜任岗位职责的；</w:t>
      </w:r>
    </w:p>
    <w:p w14:paraId="124A3292">
      <w:pPr>
        <w:pStyle w:val="79"/>
        <w:spacing w:line="480" w:lineRule="exact"/>
        <w:ind w:left="120" w:hanging="120"/>
        <w:jc w:val="left"/>
        <w:rPr>
          <w:rFonts w:hint="eastAsia" w:ascii="宋体" w:hAnsi="宋体" w:eastAsia="宋体" w:cs="宋体"/>
          <w:sz w:val="24"/>
          <w:szCs w:val="24"/>
        </w:rPr>
      </w:pPr>
      <w:r>
        <w:rPr>
          <w:rFonts w:hint="eastAsia" w:ascii="宋体" w:hAnsi="宋体" w:eastAsia="宋体" w:cs="宋体"/>
          <w:sz w:val="24"/>
          <w:szCs w:val="24"/>
        </w:rPr>
        <w:t>（5）严重违反职业道德的；</w:t>
      </w:r>
    </w:p>
    <w:p w14:paraId="0D25345B">
      <w:pPr>
        <w:pStyle w:val="79"/>
        <w:spacing w:line="480" w:lineRule="exact"/>
        <w:ind w:left="120" w:hanging="120"/>
        <w:jc w:val="left"/>
        <w:rPr>
          <w:rStyle w:val="99"/>
          <w:rFonts w:hint="eastAsia" w:ascii="宋体" w:hAnsi="宋体" w:eastAsia="宋体" w:cs="宋体"/>
          <w:b w:val="0"/>
          <w:sz w:val="24"/>
          <w:szCs w:val="24"/>
        </w:rPr>
      </w:pPr>
      <w:r>
        <w:rPr>
          <w:rFonts w:hint="eastAsia" w:ascii="宋体" w:hAnsi="宋体" w:eastAsia="宋体" w:cs="宋体"/>
          <w:sz w:val="24"/>
          <w:szCs w:val="24"/>
        </w:rPr>
        <w:t>（6）专用条件约定的其他情形。</w:t>
      </w:r>
    </w:p>
    <w:p w14:paraId="45DED01B">
      <w:pPr>
        <w:pStyle w:val="27"/>
        <w:spacing w:before="0" w:after="0" w:line="480" w:lineRule="exact"/>
        <w:ind w:firstLine="480" w:firstLineChars="200"/>
        <w:jc w:val="left"/>
        <w:rPr>
          <w:rFonts w:hint="eastAsia" w:ascii="宋体" w:hAnsi="宋体" w:eastAsia="宋体" w:cs="宋体"/>
          <w:b w:val="0"/>
          <w:sz w:val="24"/>
          <w:szCs w:val="24"/>
        </w:rPr>
      </w:pPr>
      <w:bookmarkStart w:id="136" w:name="_Toc256000044"/>
      <w:bookmarkStart w:id="137" w:name="_Toc256000152"/>
      <w:r>
        <w:rPr>
          <w:rFonts w:hint="eastAsia" w:ascii="宋体" w:hAnsi="宋体" w:eastAsia="宋体" w:cs="宋体"/>
          <w:b w:val="0"/>
          <w:sz w:val="24"/>
          <w:szCs w:val="24"/>
        </w:rPr>
        <w:t>3.2 咨询人的工作要求</w:t>
      </w:r>
      <w:bookmarkEnd w:id="136"/>
      <w:bookmarkEnd w:id="137"/>
    </w:p>
    <w:p w14:paraId="48F4E02A">
      <w:pPr>
        <w:pStyle w:val="79"/>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3.2.1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3B71F3B0">
      <w:pPr>
        <w:pStyle w:val="79"/>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3.2.2咨询人应当在专用条件约定的时间内，按照专用条件约定的份数、组成向委托人提交咨询成果文件。</w:t>
      </w:r>
    </w:p>
    <w:p w14:paraId="6A62B1A8">
      <w:pPr>
        <w:pStyle w:val="79"/>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604249D7">
      <w:pPr>
        <w:pStyle w:val="79"/>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3.2.3咨询人提交的工程造价咨询成果文件，除加盖咨询人单位公章、工程造价咨询企业执业印章外，还必须按要求加盖参加咨询工作人员的执业（从业）资格印章。</w:t>
      </w:r>
    </w:p>
    <w:p w14:paraId="0F7C73B2">
      <w:pPr>
        <w:pStyle w:val="79"/>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3.2.4咨询人应在专用条件约定的时间内，对委托人以书面形式提出的建议或者异议给予书面答复。</w:t>
      </w:r>
    </w:p>
    <w:p w14:paraId="6243464A">
      <w:pPr>
        <w:pStyle w:val="79"/>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3.2.5咨询人从事工程造价咨询活动，应当遵循独立、客观、公正、诚</w:t>
      </w:r>
    </w:p>
    <w:p w14:paraId="37EFA00B">
      <w:pPr>
        <w:pStyle w:val="79"/>
        <w:spacing w:line="480" w:lineRule="exact"/>
        <w:ind w:left="120" w:hanging="120"/>
        <w:jc w:val="left"/>
        <w:rPr>
          <w:rFonts w:hint="eastAsia" w:ascii="宋体" w:hAnsi="宋体" w:eastAsia="宋体" w:cs="宋体"/>
          <w:sz w:val="24"/>
          <w:szCs w:val="24"/>
        </w:rPr>
      </w:pPr>
      <w:r>
        <w:rPr>
          <w:rFonts w:hint="eastAsia" w:ascii="宋体" w:hAnsi="宋体" w:eastAsia="宋体" w:cs="宋体"/>
          <w:sz w:val="24"/>
          <w:szCs w:val="24"/>
        </w:rPr>
        <w:t>实信用的原则，不得损害社会公共利益和他人的合法权益。</w:t>
      </w:r>
    </w:p>
    <w:p w14:paraId="6ACCB4B1">
      <w:pPr>
        <w:pStyle w:val="79"/>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3.2.6咨询人承诺按照法律规定及合同约定，完成合同范围内的建设工程造价咨询服务，不转包承接的造价咨询服务业务。</w:t>
      </w:r>
    </w:p>
    <w:p w14:paraId="64B4A0B8">
      <w:pPr>
        <w:pStyle w:val="27"/>
        <w:spacing w:before="0" w:after="0" w:line="480" w:lineRule="exact"/>
        <w:ind w:firstLine="480" w:firstLineChars="200"/>
        <w:jc w:val="left"/>
        <w:rPr>
          <w:rFonts w:hint="eastAsia" w:ascii="宋体" w:hAnsi="宋体" w:eastAsia="宋体" w:cs="宋体"/>
          <w:b w:val="0"/>
          <w:sz w:val="24"/>
          <w:szCs w:val="24"/>
        </w:rPr>
      </w:pPr>
      <w:bookmarkStart w:id="138" w:name="_Toc256000045"/>
      <w:bookmarkStart w:id="139" w:name="_Toc419045081"/>
      <w:bookmarkStart w:id="140" w:name="_Toc256000153"/>
      <w:r>
        <w:rPr>
          <w:rFonts w:hint="eastAsia" w:ascii="宋体" w:hAnsi="宋体" w:eastAsia="宋体" w:cs="宋体"/>
          <w:b w:val="0"/>
          <w:sz w:val="24"/>
          <w:szCs w:val="24"/>
        </w:rPr>
        <w:t>3.3咨询人的工作依据</w:t>
      </w:r>
      <w:bookmarkEnd w:id="138"/>
      <w:bookmarkEnd w:id="139"/>
      <w:bookmarkEnd w:id="140"/>
    </w:p>
    <w:p w14:paraId="032F0349">
      <w:pPr>
        <w:pStyle w:val="79"/>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咨询人应在专用条件内与委托人协商明确履行本合同约定的咨询服务需要适用的技术标准、规范、定额等工作依据，但不得违反国家及工程所在地的强制性标准、规范。</w:t>
      </w:r>
    </w:p>
    <w:p w14:paraId="75A0CA58">
      <w:pPr>
        <w:pStyle w:val="79"/>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咨询人应自行配备本条所述的技术标准、规范、定额等相关资料。必须由委托人提供的资料，应在附录C中载明。需要委托人协助才能获得的资料，委托人应予以协助。</w:t>
      </w:r>
    </w:p>
    <w:p w14:paraId="7A596386">
      <w:pPr>
        <w:pStyle w:val="27"/>
        <w:spacing w:before="0" w:after="0" w:line="480" w:lineRule="exact"/>
        <w:ind w:firstLine="480" w:firstLineChars="200"/>
        <w:jc w:val="left"/>
        <w:rPr>
          <w:rFonts w:hint="eastAsia" w:ascii="宋体" w:hAnsi="宋体" w:eastAsia="宋体" w:cs="宋体"/>
          <w:b w:val="0"/>
          <w:sz w:val="24"/>
          <w:szCs w:val="24"/>
        </w:rPr>
      </w:pPr>
      <w:bookmarkStart w:id="141" w:name="_Toc256000046"/>
      <w:bookmarkStart w:id="142" w:name="_Toc419045082"/>
      <w:bookmarkStart w:id="143" w:name="_Toc256000154"/>
      <w:r>
        <w:rPr>
          <w:rFonts w:hint="eastAsia" w:ascii="宋体" w:hAnsi="宋体" w:eastAsia="宋体" w:cs="宋体"/>
          <w:b w:val="0"/>
          <w:sz w:val="24"/>
          <w:szCs w:val="24"/>
        </w:rPr>
        <w:t>3.4使用委托人房屋及设备的返还</w:t>
      </w:r>
      <w:bookmarkEnd w:id="141"/>
      <w:bookmarkEnd w:id="142"/>
      <w:bookmarkEnd w:id="143"/>
    </w:p>
    <w:p w14:paraId="6C03433E">
      <w:pPr>
        <w:pStyle w:val="79"/>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项目咨询人员使用委托人提供的房屋及设备的，咨询人应妥善使用和保管，在本合同终止时将上述房屋及设备按专用条件约定的时间和方式返还委托人。</w:t>
      </w:r>
    </w:p>
    <w:bookmarkEnd w:id="135"/>
    <w:p w14:paraId="1F32A3D5">
      <w:pPr>
        <w:spacing w:line="480" w:lineRule="exact"/>
        <w:ind w:firstLine="482" w:firstLineChars="200"/>
        <w:rPr>
          <w:rFonts w:hint="eastAsia" w:ascii="宋体" w:hAnsi="宋体" w:eastAsia="宋体" w:cs="宋体"/>
          <w:b/>
          <w:bCs/>
          <w:sz w:val="24"/>
        </w:rPr>
      </w:pPr>
      <w:bookmarkStart w:id="144" w:name="_Toc419045083"/>
      <w:bookmarkStart w:id="145" w:name="19"/>
      <w:r>
        <w:rPr>
          <w:rFonts w:hint="eastAsia" w:ascii="宋体" w:hAnsi="宋体" w:eastAsia="宋体" w:cs="宋体"/>
          <w:b/>
          <w:bCs/>
          <w:sz w:val="24"/>
        </w:rPr>
        <w:t>4.违约责任</w:t>
      </w:r>
      <w:bookmarkEnd w:id="144"/>
    </w:p>
    <w:p w14:paraId="7FE10CF3">
      <w:pPr>
        <w:pStyle w:val="27"/>
        <w:spacing w:before="0" w:after="0" w:line="480" w:lineRule="exact"/>
        <w:ind w:firstLine="480" w:firstLineChars="200"/>
        <w:jc w:val="left"/>
        <w:rPr>
          <w:rFonts w:hint="eastAsia" w:ascii="宋体" w:hAnsi="宋体" w:eastAsia="宋体" w:cs="宋体"/>
          <w:b w:val="0"/>
          <w:sz w:val="24"/>
          <w:szCs w:val="24"/>
        </w:rPr>
      </w:pPr>
      <w:bookmarkStart w:id="146" w:name="_Toc256000047"/>
      <w:bookmarkStart w:id="147" w:name="_Toc256000155"/>
      <w:r>
        <w:rPr>
          <w:rFonts w:hint="eastAsia" w:ascii="宋体" w:hAnsi="宋体" w:eastAsia="宋体" w:cs="宋体"/>
          <w:b w:val="0"/>
          <w:sz w:val="24"/>
          <w:szCs w:val="24"/>
        </w:rPr>
        <w:t>4.1委托人的违约责任</w:t>
      </w:r>
      <w:bookmarkEnd w:id="146"/>
      <w:bookmarkEnd w:id="147"/>
    </w:p>
    <w:p w14:paraId="21B6598D">
      <w:pPr>
        <w:pStyle w:val="79"/>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4.1.1委托人不履行本合同义务或者履行义务不符合本合同约定的，应承担违约责任。双方可在专用条件中约定违约金的计算及支付方法。</w:t>
      </w:r>
    </w:p>
    <w:p w14:paraId="5F167933">
      <w:pPr>
        <w:pStyle w:val="79"/>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4.1.2委托人违反本合同约定造成咨询人损失的，委托人应予以赔偿。双方可在专用条件中约定赔偿金额的确定及支付方法。</w:t>
      </w:r>
    </w:p>
    <w:p w14:paraId="7E32DEC5">
      <w:pPr>
        <w:pStyle w:val="79"/>
        <w:spacing w:line="480" w:lineRule="exact"/>
        <w:ind w:firstLine="480" w:firstLineChars="200"/>
        <w:jc w:val="left"/>
        <w:rPr>
          <w:rStyle w:val="98"/>
          <w:rFonts w:hint="eastAsia" w:ascii="宋体" w:hAnsi="宋体" w:eastAsia="宋体" w:cs="宋体"/>
          <w:b w:val="0"/>
          <w:bCs w:val="0"/>
          <w:sz w:val="24"/>
          <w:szCs w:val="24"/>
        </w:rPr>
      </w:pPr>
      <w:r>
        <w:rPr>
          <w:rFonts w:hint="eastAsia" w:ascii="宋体" w:hAnsi="宋体" w:eastAsia="宋体" w:cs="宋体"/>
          <w:sz w:val="24"/>
          <w:szCs w:val="24"/>
        </w:rPr>
        <w:t>4.1.3委托人未能按期支付酬金超过14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14:paraId="1ABE9214">
      <w:pPr>
        <w:pStyle w:val="27"/>
        <w:spacing w:before="0" w:after="0" w:line="480" w:lineRule="exact"/>
        <w:ind w:firstLine="480" w:firstLineChars="200"/>
        <w:jc w:val="left"/>
        <w:rPr>
          <w:rFonts w:hint="eastAsia" w:ascii="宋体" w:hAnsi="宋体" w:eastAsia="宋体" w:cs="宋体"/>
          <w:b w:val="0"/>
          <w:sz w:val="24"/>
          <w:szCs w:val="24"/>
        </w:rPr>
      </w:pPr>
      <w:bookmarkStart w:id="148" w:name="_Toc419045084"/>
      <w:bookmarkStart w:id="149" w:name="_Toc256000156"/>
      <w:bookmarkStart w:id="150" w:name="_Toc256000048"/>
      <w:r>
        <w:rPr>
          <w:rFonts w:hint="eastAsia" w:ascii="宋体" w:hAnsi="宋体" w:eastAsia="宋体" w:cs="宋体"/>
          <w:b w:val="0"/>
          <w:sz w:val="24"/>
          <w:szCs w:val="24"/>
        </w:rPr>
        <w:t>4.2咨询人的违约责任</w:t>
      </w:r>
      <w:bookmarkEnd w:id="148"/>
      <w:bookmarkEnd w:id="149"/>
      <w:bookmarkEnd w:id="150"/>
    </w:p>
    <w:p w14:paraId="7CCDC630">
      <w:pPr>
        <w:pStyle w:val="79"/>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4.2.1咨询人不履行本合同义务或者履行义务不符合本合同约定的，应承担违约责任。双方可在专用条件中约定违约金的计算及支付方法。</w:t>
      </w:r>
    </w:p>
    <w:p w14:paraId="58DA1CCC">
      <w:pPr>
        <w:pStyle w:val="79"/>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4.2.2因咨询人违反本合同约定给委托人造成损失的，咨询人应当赔偿委托人损失。双方可在专用条件中约定赔偿金额的确定及支付方法。</w:t>
      </w:r>
    </w:p>
    <w:p w14:paraId="0133AA15">
      <w:pPr>
        <w:spacing w:line="480" w:lineRule="exact"/>
        <w:ind w:firstLine="482" w:firstLineChars="200"/>
        <w:rPr>
          <w:rFonts w:hint="eastAsia" w:ascii="宋体" w:hAnsi="宋体" w:eastAsia="宋体" w:cs="宋体"/>
          <w:b/>
          <w:sz w:val="24"/>
        </w:rPr>
      </w:pPr>
      <w:bookmarkStart w:id="151" w:name="_Toc419045086"/>
      <w:r>
        <w:rPr>
          <w:rFonts w:hint="eastAsia" w:ascii="宋体" w:hAnsi="宋体" w:eastAsia="宋体" w:cs="宋体"/>
          <w:b/>
          <w:sz w:val="24"/>
        </w:rPr>
        <w:t>5.支付</w:t>
      </w:r>
      <w:bookmarkEnd w:id="151"/>
    </w:p>
    <w:p w14:paraId="77BC8336">
      <w:pPr>
        <w:spacing w:line="480" w:lineRule="exact"/>
        <w:ind w:firstLine="480" w:firstLineChars="200"/>
        <w:jc w:val="left"/>
        <w:outlineLvl w:val="1"/>
        <w:rPr>
          <w:rFonts w:hint="eastAsia" w:ascii="宋体" w:hAnsi="宋体" w:eastAsia="宋体" w:cs="宋体"/>
          <w:b/>
          <w:bCs/>
          <w:kern w:val="28"/>
          <w:sz w:val="24"/>
        </w:rPr>
      </w:pPr>
      <w:bookmarkStart w:id="152" w:name="_Toc419045087"/>
      <w:bookmarkStart w:id="153" w:name="_Toc256000049"/>
      <w:bookmarkStart w:id="154" w:name="_Toc256000157"/>
      <w:r>
        <w:rPr>
          <w:rFonts w:hint="eastAsia" w:ascii="宋体" w:hAnsi="宋体" w:eastAsia="宋体" w:cs="宋体"/>
          <w:kern w:val="28"/>
          <w:sz w:val="24"/>
        </w:rPr>
        <w:t>5.1支付货币</w:t>
      </w:r>
      <w:bookmarkEnd w:id="152"/>
      <w:bookmarkEnd w:id="153"/>
      <w:bookmarkEnd w:id="154"/>
    </w:p>
    <w:p w14:paraId="1ED51F96">
      <w:pPr>
        <w:spacing w:line="480" w:lineRule="exact"/>
        <w:ind w:left="120" w:hanging="120"/>
        <w:rPr>
          <w:rFonts w:hint="eastAsia" w:ascii="宋体" w:hAnsi="宋体" w:eastAsia="宋体" w:cs="宋体"/>
          <w:kern w:val="0"/>
          <w:sz w:val="24"/>
        </w:rPr>
      </w:pPr>
      <w:r>
        <w:rPr>
          <w:rFonts w:hint="eastAsia" w:ascii="宋体" w:hAnsi="宋体" w:eastAsia="宋体" w:cs="宋体"/>
          <w:sz w:val="24"/>
        </w:rPr>
        <w:t>　</w:t>
      </w:r>
      <w:r>
        <w:rPr>
          <w:rFonts w:hint="eastAsia" w:ascii="宋体" w:hAnsi="宋体" w:eastAsia="宋体" w:cs="宋体"/>
          <w:kern w:val="0"/>
          <w:sz w:val="24"/>
        </w:rPr>
        <w:t>　除专用条件另有约定外，酬金均以人民币支付。涉及外币支付的，所采用的货币种类和汇率等在专用条件中约定。</w:t>
      </w:r>
    </w:p>
    <w:p w14:paraId="06F662AE">
      <w:pPr>
        <w:pStyle w:val="27"/>
        <w:spacing w:before="0" w:after="0" w:line="480" w:lineRule="exact"/>
        <w:ind w:firstLine="480" w:firstLineChars="200"/>
        <w:jc w:val="left"/>
        <w:rPr>
          <w:rFonts w:hint="eastAsia" w:ascii="宋体" w:hAnsi="宋体" w:eastAsia="宋体" w:cs="宋体"/>
          <w:b w:val="0"/>
          <w:sz w:val="24"/>
          <w:szCs w:val="24"/>
        </w:rPr>
      </w:pPr>
      <w:bookmarkStart w:id="155" w:name="_Toc256000050"/>
      <w:bookmarkStart w:id="156" w:name="_Toc256000158"/>
      <w:r>
        <w:rPr>
          <w:rFonts w:hint="eastAsia" w:ascii="宋体" w:hAnsi="宋体" w:eastAsia="宋体" w:cs="宋体"/>
          <w:b w:val="0"/>
          <w:sz w:val="24"/>
          <w:szCs w:val="24"/>
        </w:rPr>
        <w:t>5.2支付申请</w:t>
      </w:r>
      <w:bookmarkEnd w:id="155"/>
      <w:bookmarkEnd w:id="156"/>
    </w:p>
    <w:p w14:paraId="04862B8A">
      <w:pPr>
        <w:spacing w:line="480" w:lineRule="exact"/>
        <w:ind w:left="120" w:hanging="120"/>
        <w:rPr>
          <w:rFonts w:hint="eastAsia" w:ascii="宋体" w:hAnsi="宋体" w:eastAsia="宋体" w:cs="宋体"/>
          <w:kern w:val="0"/>
          <w:sz w:val="24"/>
        </w:rPr>
      </w:pPr>
      <w:r>
        <w:rPr>
          <w:rFonts w:hint="eastAsia" w:ascii="宋体" w:hAnsi="宋体" w:eastAsia="宋体" w:cs="宋体"/>
          <w:sz w:val="24"/>
        </w:rPr>
        <w:t>　　</w:t>
      </w:r>
      <w:r>
        <w:rPr>
          <w:rFonts w:hint="eastAsia" w:ascii="宋体" w:hAnsi="宋体" w:eastAsia="宋体" w:cs="宋体"/>
          <w:kern w:val="0"/>
          <w:sz w:val="24"/>
        </w:rPr>
        <w:t>咨询人应在本合同约定的每次应付款日期前，向委托人提交支付申请书，支付申请书的提交日期由双方在专用条件中约定。支付申请书应当说明当期应付款总额，并列出当期应支付的款项及其金额。</w:t>
      </w:r>
    </w:p>
    <w:p w14:paraId="1054B793">
      <w:pPr>
        <w:pStyle w:val="27"/>
        <w:spacing w:before="0" w:after="0" w:line="480" w:lineRule="exact"/>
        <w:ind w:firstLine="480" w:firstLineChars="200"/>
        <w:jc w:val="left"/>
        <w:rPr>
          <w:rFonts w:hint="eastAsia" w:ascii="宋体" w:hAnsi="宋体" w:eastAsia="宋体" w:cs="宋体"/>
          <w:b w:val="0"/>
          <w:sz w:val="24"/>
          <w:szCs w:val="24"/>
        </w:rPr>
      </w:pPr>
      <w:bookmarkStart w:id="157" w:name="_Toc256000159"/>
      <w:bookmarkStart w:id="158" w:name="_Toc256000051"/>
      <w:r>
        <w:rPr>
          <w:rFonts w:hint="eastAsia" w:ascii="宋体" w:hAnsi="宋体" w:eastAsia="宋体" w:cs="宋体"/>
          <w:b w:val="0"/>
          <w:sz w:val="24"/>
          <w:szCs w:val="24"/>
        </w:rPr>
        <w:t>5.3 支付酬金</w:t>
      </w:r>
      <w:bookmarkEnd w:id="157"/>
      <w:bookmarkEnd w:id="158"/>
    </w:p>
    <w:p w14:paraId="15DB471B">
      <w:pPr>
        <w:spacing w:line="480" w:lineRule="exact"/>
        <w:ind w:left="120" w:hanging="120"/>
        <w:rPr>
          <w:rFonts w:hint="eastAsia" w:ascii="宋体" w:hAnsi="宋体" w:eastAsia="宋体" w:cs="宋体"/>
          <w:kern w:val="0"/>
          <w:sz w:val="24"/>
        </w:rPr>
      </w:pPr>
      <w:r>
        <w:rPr>
          <w:rFonts w:hint="eastAsia" w:ascii="宋体" w:hAnsi="宋体" w:eastAsia="宋体" w:cs="宋体"/>
          <w:sz w:val="24"/>
        </w:rPr>
        <w:t>　　</w:t>
      </w:r>
      <w:r>
        <w:rPr>
          <w:rFonts w:hint="eastAsia" w:ascii="宋体" w:hAnsi="宋体" w:eastAsia="宋体" w:cs="宋体"/>
          <w:kern w:val="0"/>
          <w:sz w:val="24"/>
        </w:rPr>
        <w:t>支付酬金包括正常工作酬金、附加工作酬金、合理化建议奖励金额及费用。</w:t>
      </w:r>
    </w:p>
    <w:p w14:paraId="2DB91A9C">
      <w:pPr>
        <w:pStyle w:val="27"/>
        <w:spacing w:before="0" w:after="0" w:line="480" w:lineRule="exact"/>
        <w:ind w:firstLine="480" w:firstLineChars="200"/>
        <w:jc w:val="left"/>
        <w:rPr>
          <w:rFonts w:hint="eastAsia" w:ascii="宋体" w:hAnsi="宋体" w:eastAsia="宋体" w:cs="宋体"/>
          <w:b w:val="0"/>
          <w:sz w:val="24"/>
          <w:szCs w:val="24"/>
        </w:rPr>
      </w:pPr>
      <w:bookmarkStart w:id="159" w:name="_Toc256000160"/>
      <w:bookmarkStart w:id="160" w:name="_Toc256000052"/>
      <w:r>
        <w:rPr>
          <w:rFonts w:hint="eastAsia" w:ascii="宋体" w:hAnsi="宋体" w:eastAsia="宋体" w:cs="宋体"/>
          <w:b w:val="0"/>
          <w:sz w:val="24"/>
          <w:szCs w:val="24"/>
        </w:rPr>
        <w:t>5.4有异议部分的支付</w:t>
      </w:r>
      <w:bookmarkEnd w:id="159"/>
      <w:bookmarkEnd w:id="160"/>
    </w:p>
    <w:p w14:paraId="455E7245">
      <w:pPr>
        <w:spacing w:line="480" w:lineRule="exact"/>
        <w:ind w:left="120" w:hanging="120"/>
        <w:rPr>
          <w:rFonts w:hint="eastAsia" w:ascii="宋体" w:hAnsi="宋体" w:eastAsia="宋体" w:cs="宋体"/>
          <w:bCs/>
          <w:kern w:val="28"/>
          <w:sz w:val="24"/>
        </w:rPr>
      </w:pPr>
      <w:r>
        <w:rPr>
          <w:rFonts w:hint="eastAsia" w:ascii="宋体" w:hAnsi="宋体" w:eastAsia="宋体" w:cs="宋体"/>
          <w:sz w:val="24"/>
        </w:rPr>
        <w:t>　</w:t>
      </w:r>
      <w:r>
        <w:rPr>
          <w:rFonts w:hint="eastAsia" w:ascii="宋体" w:hAnsi="宋体" w:eastAsia="宋体" w:cs="宋体"/>
          <w:bCs/>
          <w:kern w:val="28"/>
          <w:sz w:val="24"/>
        </w:rPr>
        <w:t>　委托人对咨询人提交的支付申请书有异议时，应当在收到咨询人提交的支付申请书后7日内，以书面形式向咨询人发出异议通知。无异议部分的款项应按期支付，有异议部分的款项按第7条约定办理。</w:t>
      </w:r>
    </w:p>
    <w:p w14:paraId="4AD35E04">
      <w:pPr>
        <w:spacing w:line="480" w:lineRule="exact"/>
        <w:ind w:firstLine="482" w:firstLineChars="200"/>
        <w:rPr>
          <w:rFonts w:hint="eastAsia" w:ascii="宋体" w:hAnsi="宋体" w:eastAsia="宋体" w:cs="宋体"/>
          <w:b/>
          <w:bCs/>
          <w:sz w:val="24"/>
        </w:rPr>
      </w:pPr>
      <w:bookmarkStart w:id="161" w:name="_Toc419045088"/>
      <w:r>
        <w:rPr>
          <w:rFonts w:hint="eastAsia" w:ascii="宋体" w:hAnsi="宋体" w:eastAsia="宋体" w:cs="宋体"/>
          <w:b/>
          <w:bCs/>
          <w:sz w:val="24"/>
        </w:rPr>
        <w:t>6.合同变更、解除与终止</w:t>
      </w:r>
      <w:bookmarkEnd w:id="161"/>
    </w:p>
    <w:p w14:paraId="041DF151">
      <w:pPr>
        <w:spacing w:line="480" w:lineRule="exact"/>
        <w:ind w:firstLine="480" w:firstLineChars="200"/>
        <w:rPr>
          <w:rFonts w:hint="eastAsia" w:ascii="宋体" w:hAnsi="宋体" w:eastAsia="宋体" w:cs="宋体"/>
          <w:sz w:val="24"/>
        </w:rPr>
      </w:pPr>
      <w:bookmarkStart w:id="162" w:name="_Toc419045089"/>
      <w:r>
        <w:rPr>
          <w:rFonts w:hint="eastAsia" w:ascii="宋体" w:hAnsi="宋体" w:eastAsia="宋体" w:cs="宋体"/>
          <w:bCs/>
          <w:kern w:val="28"/>
          <w:sz w:val="24"/>
        </w:rPr>
        <w:t>6.1合同变更</w:t>
      </w:r>
      <w:bookmarkEnd w:id="162"/>
      <w:r>
        <w:rPr>
          <w:rFonts w:hint="eastAsia" w:ascii="宋体" w:hAnsi="宋体" w:eastAsia="宋体" w:cs="宋体"/>
          <w:sz w:val="24"/>
        </w:rPr>
        <w:t xml:space="preserve"> </w:t>
      </w:r>
    </w:p>
    <w:p w14:paraId="10746678">
      <w:pPr>
        <w:spacing w:line="480" w:lineRule="exact"/>
        <w:ind w:firstLine="480" w:firstLineChars="200"/>
        <w:rPr>
          <w:rFonts w:hint="eastAsia" w:ascii="宋体" w:hAnsi="宋体" w:eastAsia="宋体" w:cs="宋体"/>
          <w:bCs/>
          <w:kern w:val="28"/>
          <w:sz w:val="24"/>
        </w:rPr>
      </w:pPr>
      <w:r>
        <w:rPr>
          <w:rFonts w:hint="eastAsia" w:ascii="宋体" w:hAnsi="宋体" w:eastAsia="宋体" w:cs="宋体"/>
          <w:sz w:val="24"/>
        </w:rPr>
        <w:t xml:space="preserve">  </w:t>
      </w:r>
      <w:r>
        <w:rPr>
          <w:rFonts w:hint="eastAsia" w:ascii="宋体" w:hAnsi="宋体" w:eastAsia="宋体" w:cs="宋体"/>
          <w:bCs/>
          <w:kern w:val="28"/>
          <w:sz w:val="24"/>
        </w:rPr>
        <w:t>　6.1.1 任何一方以书面形式提出变更请求时，双方经协商一致后可进行变更。</w:t>
      </w:r>
    </w:p>
    <w:p w14:paraId="621E21AF">
      <w:pPr>
        <w:spacing w:line="480" w:lineRule="exact"/>
        <w:ind w:firstLine="480" w:firstLineChars="200"/>
        <w:rPr>
          <w:rFonts w:hint="eastAsia" w:ascii="宋体" w:hAnsi="宋体" w:eastAsia="宋体" w:cs="宋体"/>
          <w:bCs/>
          <w:sz w:val="24"/>
        </w:rPr>
      </w:pPr>
      <w:r>
        <w:rPr>
          <w:rFonts w:hint="eastAsia" w:ascii="宋体" w:hAnsi="宋体" w:eastAsia="宋体" w:cs="宋体"/>
          <w:bCs/>
          <w:kern w:val="28"/>
          <w:sz w:val="24"/>
        </w:rPr>
        <w:t>　　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0D6107CC">
      <w:pPr>
        <w:spacing w:line="480" w:lineRule="exact"/>
        <w:ind w:firstLine="480" w:firstLineChars="200"/>
        <w:rPr>
          <w:rFonts w:hint="eastAsia" w:ascii="宋体" w:hAnsi="宋体" w:eastAsia="宋体" w:cs="宋体"/>
          <w:bCs/>
          <w:kern w:val="28"/>
          <w:sz w:val="24"/>
        </w:rPr>
      </w:pPr>
      <w:r>
        <w:rPr>
          <w:rFonts w:hint="eastAsia" w:ascii="宋体" w:hAnsi="宋体" w:eastAsia="宋体" w:cs="宋体"/>
          <w:bCs/>
          <w:kern w:val="28"/>
          <w:sz w:val="24"/>
        </w:rPr>
        <w:t>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666F4535">
      <w:pPr>
        <w:spacing w:line="480" w:lineRule="exact"/>
        <w:ind w:firstLine="480" w:firstLineChars="200"/>
        <w:rPr>
          <w:rFonts w:hint="eastAsia" w:ascii="宋体" w:hAnsi="宋体" w:eastAsia="宋体" w:cs="宋体"/>
          <w:bCs/>
          <w:sz w:val="24"/>
        </w:rPr>
      </w:pPr>
      <w:r>
        <w:rPr>
          <w:rFonts w:hint="eastAsia" w:ascii="宋体" w:hAnsi="宋体" w:eastAsia="宋体" w:cs="宋体"/>
          <w:bCs/>
          <w:kern w:val="28"/>
          <w:sz w:val="24"/>
        </w:rPr>
        <w:t>　　6.1.4 因工程规模、服务范围及工作内容的变化等导致咨询人的工作量增减时，服务酬金应作相应调整，调整方法由双方在专用条件中约定。</w:t>
      </w:r>
    </w:p>
    <w:p w14:paraId="0B55E604">
      <w:pPr>
        <w:spacing w:line="480" w:lineRule="exact"/>
        <w:ind w:firstLine="480" w:firstLineChars="200"/>
        <w:rPr>
          <w:rFonts w:hint="eastAsia" w:ascii="宋体" w:hAnsi="宋体" w:eastAsia="宋体" w:cs="宋体"/>
          <w:bCs/>
          <w:sz w:val="24"/>
        </w:rPr>
      </w:pPr>
      <w:bookmarkStart w:id="163" w:name="_Toc419045090"/>
      <w:r>
        <w:rPr>
          <w:rFonts w:hint="eastAsia" w:ascii="宋体" w:hAnsi="宋体" w:eastAsia="宋体" w:cs="宋体"/>
          <w:kern w:val="28"/>
          <w:sz w:val="24"/>
        </w:rPr>
        <w:t>6.2合同</w:t>
      </w:r>
      <w:r>
        <w:rPr>
          <w:rFonts w:hint="eastAsia" w:ascii="宋体" w:hAnsi="宋体" w:eastAsia="宋体" w:cs="宋体"/>
          <w:bCs/>
          <w:kern w:val="28"/>
          <w:sz w:val="24"/>
        </w:rPr>
        <w:t>解除</w:t>
      </w:r>
      <w:bookmarkEnd w:id="163"/>
    </w:p>
    <w:p w14:paraId="27465993">
      <w:pPr>
        <w:spacing w:line="480" w:lineRule="exact"/>
        <w:ind w:firstLine="480" w:firstLineChars="200"/>
        <w:rPr>
          <w:rFonts w:hint="eastAsia" w:ascii="宋体" w:hAnsi="宋体" w:eastAsia="宋体" w:cs="宋体"/>
          <w:bCs/>
          <w:sz w:val="24"/>
        </w:rPr>
      </w:pPr>
      <w:r>
        <w:rPr>
          <w:rFonts w:hint="eastAsia" w:ascii="宋体" w:hAnsi="宋体" w:eastAsia="宋体" w:cs="宋体"/>
          <w:sz w:val="24"/>
        </w:rPr>
        <w:t xml:space="preserve">6.2.1 </w:t>
      </w:r>
      <w:r>
        <w:rPr>
          <w:rFonts w:hint="eastAsia" w:ascii="宋体" w:hAnsi="宋体" w:eastAsia="宋体" w:cs="宋体"/>
          <w:bCs/>
          <w:kern w:val="28"/>
          <w:sz w:val="24"/>
        </w:rPr>
        <w:t>委托人与咨询人协商一致，可以解除合同。</w:t>
      </w:r>
    </w:p>
    <w:p w14:paraId="0783E5B5">
      <w:pPr>
        <w:spacing w:line="480" w:lineRule="exact"/>
        <w:ind w:firstLine="480" w:firstLineChars="200"/>
        <w:rPr>
          <w:rFonts w:hint="eastAsia" w:ascii="宋体" w:hAnsi="宋体" w:eastAsia="宋体" w:cs="宋体"/>
          <w:bCs/>
          <w:sz w:val="24"/>
        </w:rPr>
      </w:pPr>
      <w:r>
        <w:rPr>
          <w:rFonts w:hint="eastAsia" w:ascii="宋体" w:hAnsi="宋体" w:eastAsia="宋体" w:cs="宋体"/>
          <w:bCs/>
          <w:kern w:val="28"/>
          <w:sz w:val="24"/>
        </w:rPr>
        <w:t>6.2.2 有下列情形之一的，合同当事人一方或双方可以解除合同：</w:t>
      </w:r>
    </w:p>
    <w:p w14:paraId="65D5CE52">
      <w:pPr>
        <w:spacing w:line="480" w:lineRule="exact"/>
        <w:ind w:firstLine="480" w:firstLineChars="200"/>
        <w:rPr>
          <w:rFonts w:hint="eastAsia" w:ascii="宋体" w:hAnsi="宋体" w:eastAsia="宋体" w:cs="宋体"/>
          <w:bCs/>
          <w:kern w:val="28"/>
          <w:sz w:val="24"/>
        </w:rPr>
      </w:pPr>
      <w:r>
        <w:rPr>
          <w:rFonts w:hint="eastAsia" w:ascii="宋体" w:hAnsi="宋体" w:eastAsia="宋体" w:cs="宋体"/>
          <w:bCs/>
          <w:kern w:val="28"/>
          <w:sz w:val="24"/>
        </w:rPr>
        <w:t>（1）咨询人将本合同约定的工程造价咨询服务工作全部或部分转包给他人，委托人可以解除合同；</w:t>
      </w:r>
    </w:p>
    <w:p w14:paraId="346A9272">
      <w:pPr>
        <w:spacing w:line="480" w:lineRule="exact"/>
        <w:ind w:firstLine="480" w:firstLineChars="200"/>
        <w:rPr>
          <w:rFonts w:hint="eastAsia" w:ascii="宋体" w:hAnsi="宋体" w:eastAsia="宋体" w:cs="宋体"/>
          <w:bCs/>
          <w:sz w:val="24"/>
        </w:rPr>
      </w:pPr>
      <w:r>
        <w:rPr>
          <w:rFonts w:hint="eastAsia" w:ascii="宋体" w:hAnsi="宋体" w:eastAsia="宋体" w:cs="宋体"/>
          <w:bCs/>
          <w:kern w:val="28"/>
          <w:sz w:val="24"/>
        </w:rPr>
        <w:t xml:space="preserve">    （2）咨询人提供的造价咨询服务不符合合同约定的要求，经委托人催告仍不能达到合同约定要求的，委托人可以解除合同；</w:t>
      </w:r>
    </w:p>
    <w:p w14:paraId="1302E9B5">
      <w:pPr>
        <w:spacing w:line="480" w:lineRule="exact"/>
        <w:ind w:firstLine="480" w:firstLineChars="200"/>
        <w:rPr>
          <w:rFonts w:hint="eastAsia" w:ascii="宋体" w:hAnsi="宋体" w:eastAsia="宋体" w:cs="宋体"/>
          <w:bCs/>
          <w:sz w:val="24"/>
        </w:rPr>
      </w:pPr>
      <w:r>
        <w:rPr>
          <w:rFonts w:hint="eastAsia" w:ascii="宋体" w:hAnsi="宋体" w:eastAsia="宋体" w:cs="宋体"/>
          <w:bCs/>
          <w:kern w:val="28"/>
          <w:sz w:val="24"/>
        </w:rPr>
        <w:t>（3）委托人未按合同约定支付服务酬金，经咨询人催告后，在28天内仍未支付的，咨询人可以解除合同；</w:t>
      </w:r>
    </w:p>
    <w:p w14:paraId="18659CDF">
      <w:pPr>
        <w:spacing w:line="480" w:lineRule="exact"/>
        <w:ind w:firstLine="480" w:firstLineChars="200"/>
        <w:rPr>
          <w:rFonts w:hint="eastAsia" w:ascii="宋体" w:hAnsi="宋体" w:eastAsia="宋体" w:cs="宋体"/>
          <w:bCs/>
          <w:sz w:val="24"/>
        </w:rPr>
      </w:pPr>
      <w:r>
        <w:rPr>
          <w:rFonts w:hint="eastAsia" w:ascii="宋体" w:hAnsi="宋体" w:eastAsia="宋体" w:cs="宋体"/>
          <w:bCs/>
          <w:kern w:val="28"/>
          <w:sz w:val="24"/>
        </w:rPr>
        <w:t>（4）因不可抗力致使合同无法履行；</w:t>
      </w:r>
    </w:p>
    <w:p w14:paraId="1DC07F0B">
      <w:pPr>
        <w:spacing w:line="480" w:lineRule="exact"/>
        <w:ind w:firstLine="480" w:firstLineChars="200"/>
        <w:rPr>
          <w:rFonts w:hint="eastAsia" w:ascii="宋体" w:hAnsi="宋体" w:eastAsia="宋体" w:cs="宋体"/>
          <w:bCs/>
          <w:sz w:val="24"/>
        </w:rPr>
      </w:pPr>
      <w:r>
        <w:rPr>
          <w:rFonts w:hint="eastAsia" w:ascii="宋体" w:hAnsi="宋体" w:eastAsia="宋体" w:cs="宋体"/>
          <w:bCs/>
          <w:kern w:val="28"/>
          <w:sz w:val="24"/>
        </w:rPr>
        <w:t>（5）因一方违约致使合同无法实际履行或实际履行已无必要。</w:t>
      </w:r>
    </w:p>
    <w:p w14:paraId="0F79F107">
      <w:pPr>
        <w:spacing w:line="480" w:lineRule="exact"/>
        <w:ind w:firstLine="480" w:firstLineChars="200"/>
        <w:rPr>
          <w:rFonts w:hint="eastAsia" w:ascii="宋体" w:hAnsi="宋体" w:eastAsia="宋体" w:cs="宋体"/>
          <w:bCs/>
          <w:sz w:val="24"/>
        </w:rPr>
      </w:pPr>
      <w:r>
        <w:rPr>
          <w:rFonts w:hint="eastAsia" w:ascii="宋体" w:hAnsi="宋体" w:eastAsia="宋体" w:cs="宋体"/>
          <w:bCs/>
          <w:kern w:val="28"/>
          <w:sz w:val="24"/>
        </w:rPr>
        <w:t>除上述情形外，双方可以根据委托的服务范围及工作内容，在专用条件中约定解除合同的其他条件。</w:t>
      </w:r>
    </w:p>
    <w:p w14:paraId="7EA2B284">
      <w:pPr>
        <w:spacing w:line="480" w:lineRule="exact"/>
        <w:ind w:firstLine="480" w:firstLineChars="200"/>
        <w:rPr>
          <w:rFonts w:hint="eastAsia" w:ascii="宋体" w:hAnsi="宋体" w:eastAsia="宋体" w:cs="宋体"/>
          <w:bCs/>
          <w:sz w:val="24"/>
        </w:rPr>
      </w:pPr>
      <w:r>
        <w:rPr>
          <w:rFonts w:hint="eastAsia" w:ascii="宋体" w:hAnsi="宋体" w:eastAsia="宋体" w:cs="宋体"/>
          <w:bCs/>
          <w:kern w:val="28"/>
          <w:sz w:val="24"/>
        </w:rPr>
        <w:t>6.2.3 任何一方提出解除合同的，应提前30天书面通知对方。</w:t>
      </w:r>
    </w:p>
    <w:p w14:paraId="0486DDB5">
      <w:pPr>
        <w:spacing w:line="480" w:lineRule="exact"/>
        <w:ind w:firstLine="480" w:firstLineChars="200"/>
        <w:rPr>
          <w:rFonts w:hint="eastAsia" w:ascii="宋体" w:hAnsi="宋体" w:eastAsia="宋体" w:cs="宋体"/>
          <w:bCs/>
          <w:sz w:val="24"/>
        </w:rPr>
      </w:pPr>
      <w:r>
        <w:rPr>
          <w:rFonts w:hint="eastAsia" w:ascii="宋体" w:hAnsi="宋体" w:eastAsia="宋体" w:cs="宋体"/>
          <w:bCs/>
          <w:kern w:val="28"/>
          <w:sz w:val="24"/>
        </w:rPr>
        <w:t>6.2.4合同解除后，委托人应按照合同约定向咨询人支付已完成部分的咨询服务酬金。</w:t>
      </w:r>
    </w:p>
    <w:p w14:paraId="3C22D195">
      <w:pPr>
        <w:spacing w:line="480" w:lineRule="exact"/>
        <w:ind w:firstLine="480" w:firstLineChars="200"/>
        <w:rPr>
          <w:rFonts w:hint="eastAsia" w:ascii="宋体" w:hAnsi="宋体" w:eastAsia="宋体" w:cs="宋体"/>
          <w:bCs/>
          <w:sz w:val="24"/>
        </w:rPr>
      </w:pPr>
      <w:r>
        <w:rPr>
          <w:rFonts w:hint="eastAsia" w:ascii="宋体" w:hAnsi="宋体" w:eastAsia="宋体" w:cs="宋体"/>
          <w:bCs/>
          <w:kern w:val="28"/>
          <w:sz w:val="24"/>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14:paraId="5C7F39B8">
      <w:pPr>
        <w:spacing w:line="480" w:lineRule="exact"/>
        <w:ind w:firstLine="480" w:firstLineChars="200"/>
        <w:rPr>
          <w:rFonts w:hint="eastAsia" w:ascii="宋体" w:hAnsi="宋体" w:eastAsia="宋体" w:cs="宋体"/>
          <w:bCs/>
          <w:sz w:val="24"/>
        </w:rPr>
      </w:pPr>
      <w:r>
        <w:rPr>
          <w:rFonts w:hint="eastAsia" w:ascii="宋体" w:hAnsi="宋体" w:eastAsia="宋体" w:cs="宋体"/>
          <w:bCs/>
          <w:kern w:val="28"/>
          <w:sz w:val="24"/>
        </w:rPr>
        <w:t>6.2.5本合同解除后，本合同约定的有关结算、争议解决方式的条款仍然有效。</w:t>
      </w:r>
    </w:p>
    <w:p w14:paraId="5758708D">
      <w:pPr>
        <w:spacing w:line="480" w:lineRule="exact"/>
        <w:ind w:firstLine="480" w:firstLineChars="200"/>
        <w:rPr>
          <w:rFonts w:hint="eastAsia" w:ascii="宋体" w:hAnsi="宋体" w:eastAsia="宋体" w:cs="宋体"/>
          <w:bCs/>
          <w:kern w:val="28"/>
          <w:sz w:val="24"/>
        </w:rPr>
      </w:pPr>
      <w:r>
        <w:rPr>
          <w:rFonts w:hint="eastAsia" w:ascii="宋体" w:hAnsi="宋体" w:eastAsia="宋体" w:cs="宋体"/>
          <w:bCs/>
          <w:kern w:val="28"/>
          <w:sz w:val="24"/>
        </w:rPr>
        <w:t>6.3 合同终止</w:t>
      </w:r>
    </w:p>
    <w:p w14:paraId="5CBF0D1C">
      <w:pPr>
        <w:spacing w:line="480" w:lineRule="exact"/>
        <w:ind w:firstLine="482" w:firstLineChars="200"/>
        <w:rPr>
          <w:rFonts w:hint="eastAsia" w:ascii="宋体" w:hAnsi="宋体" w:eastAsia="宋体" w:cs="宋体"/>
          <w:bCs/>
          <w:kern w:val="28"/>
          <w:sz w:val="24"/>
        </w:rPr>
      </w:pPr>
      <w:r>
        <w:rPr>
          <w:rFonts w:hint="eastAsia" w:ascii="宋体" w:hAnsi="宋体" w:eastAsia="宋体" w:cs="宋体"/>
          <w:b/>
          <w:bCs/>
          <w:smallCaps/>
          <w:sz w:val="24"/>
        </w:rPr>
        <w:t>　</w:t>
      </w:r>
      <w:r>
        <w:rPr>
          <w:rFonts w:hint="eastAsia" w:ascii="宋体" w:hAnsi="宋体" w:eastAsia="宋体" w:cs="宋体"/>
          <w:bCs/>
          <w:kern w:val="28"/>
          <w:sz w:val="24"/>
        </w:rPr>
        <w:t>　除合同解除外，以下条件全部满足时，本合同终止：</w:t>
      </w:r>
    </w:p>
    <w:p w14:paraId="4E5F39A0">
      <w:pPr>
        <w:spacing w:line="480" w:lineRule="exact"/>
        <w:ind w:firstLine="480" w:firstLineChars="200"/>
        <w:rPr>
          <w:rFonts w:hint="eastAsia" w:ascii="宋体" w:hAnsi="宋体" w:eastAsia="宋体" w:cs="宋体"/>
          <w:bCs/>
          <w:kern w:val="28"/>
          <w:sz w:val="24"/>
        </w:rPr>
      </w:pPr>
      <w:r>
        <w:rPr>
          <w:rFonts w:hint="eastAsia" w:ascii="宋体" w:hAnsi="宋体" w:eastAsia="宋体" w:cs="宋体"/>
          <w:bCs/>
          <w:kern w:val="28"/>
          <w:sz w:val="24"/>
        </w:rPr>
        <w:t>　 （1）咨询人完成本合同约定的全部工作；</w:t>
      </w:r>
    </w:p>
    <w:p w14:paraId="3F906A30">
      <w:pPr>
        <w:spacing w:line="480" w:lineRule="exact"/>
        <w:ind w:firstLine="480" w:firstLineChars="200"/>
        <w:rPr>
          <w:rFonts w:hint="eastAsia" w:ascii="宋体" w:hAnsi="宋体" w:eastAsia="宋体" w:cs="宋体"/>
          <w:bCs/>
          <w:sz w:val="24"/>
        </w:rPr>
      </w:pPr>
      <w:r>
        <w:rPr>
          <w:rFonts w:hint="eastAsia" w:ascii="宋体" w:hAnsi="宋体" w:eastAsia="宋体" w:cs="宋体"/>
          <w:bCs/>
          <w:kern w:val="28"/>
          <w:sz w:val="24"/>
        </w:rPr>
        <w:t>　 （2）委托人与咨询人结清并支付酬金；</w:t>
      </w:r>
    </w:p>
    <w:p w14:paraId="6889A553">
      <w:pPr>
        <w:spacing w:line="480" w:lineRule="exact"/>
        <w:ind w:firstLine="420" w:firstLineChars="175"/>
        <w:rPr>
          <w:rFonts w:hint="eastAsia" w:ascii="宋体" w:hAnsi="宋体" w:eastAsia="宋体" w:cs="宋体"/>
          <w:bCs/>
          <w:sz w:val="24"/>
        </w:rPr>
      </w:pPr>
      <w:r>
        <w:rPr>
          <w:rFonts w:hint="eastAsia" w:ascii="宋体" w:hAnsi="宋体" w:eastAsia="宋体" w:cs="宋体"/>
          <w:bCs/>
          <w:kern w:val="28"/>
          <w:sz w:val="24"/>
        </w:rPr>
        <w:t>（3）咨询人将委托人提供的资料交还。</w:t>
      </w:r>
    </w:p>
    <w:p w14:paraId="0C1DADB8">
      <w:pPr>
        <w:spacing w:line="480" w:lineRule="exact"/>
        <w:ind w:firstLine="482" w:firstLineChars="200"/>
        <w:rPr>
          <w:rFonts w:hint="eastAsia" w:ascii="宋体" w:hAnsi="宋体" w:eastAsia="宋体" w:cs="宋体"/>
          <w:b/>
          <w:sz w:val="24"/>
        </w:rPr>
      </w:pPr>
      <w:bookmarkStart w:id="164" w:name="_Toc419045091"/>
      <w:r>
        <w:rPr>
          <w:rFonts w:hint="eastAsia" w:ascii="宋体" w:hAnsi="宋体" w:eastAsia="宋体" w:cs="宋体"/>
          <w:b/>
          <w:sz w:val="24"/>
        </w:rPr>
        <w:t>7.争议解决</w:t>
      </w:r>
      <w:bookmarkEnd w:id="145"/>
      <w:bookmarkEnd w:id="164"/>
    </w:p>
    <w:p w14:paraId="45A71ADF">
      <w:pPr>
        <w:widowControl/>
        <w:spacing w:line="480" w:lineRule="exact"/>
        <w:ind w:firstLine="480" w:firstLineChars="200"/>
        <w:jc w:val="left"/>
        <w:rPr>
          <w:rFonts w:hint="eastAsia" w:ascii="宋体" w:hAnsi="宋体" w:eastAsia="宋体" w:cs="宋体"/>
          <w:bCs/>
          <w:smallCaps/>
          <w:kern w:val="28"/>
          <w:sz w:val="24"/>
        </w:rPr>
      </w:pPr>
      <w:bookmarkStart w:id="165" w:name="_Toc419045092"/>
      <w:r>
        <w:rPr>
          <w:rFonts w:hint="eastAsia" w:ascii="宋体" w:hAnsi="宋体" w:eastAsia="宋体" w:cs="宋体"/>
          <w:bCs/>
          <w:smallCaps/>
          <w:kern w:val="28"/>
          <w:sz w:val="24"/>
        </w:rPr>
        <w:t>7.1协商</w:t>
      </w:r>
      <w:bookmarkEnd w:id="165"/>
    </w:p>
    <w:p w14:paraId="41E781AD">
      <w:pPr>
        <w:widowControl/>
        <w:spacing w:line="48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　　双方应本着诚实信用的原则协商解决本合同履行过程中发生的争议。</w:t>
      </w:r>
      <w:bookmarkStart w:id="166" w:name="37"/>
    </w:p>
    <w:p w14:paraId="71298E5B">
      <w:pPr>
        <w:widowControl/>
        <w:spacing w:line="480" w:lineRule="exact"/>
        <w:ind w:firstLine="480" w:firstLineChars="200"/>
        <w:jc w:val="left"/>
        <w:rPr>
          <w:rFonts w:hint="eastAsia" w:ascii="宋体" w:hAnsi="宋体" w:eastAsia="宋体" w:cs="宋体"/>
          <w:bCs/>
          <w:smallCaps/>
          <w:kern w:val="28"/>
          <w:sz w:val="24"/>
        </w:rPr>
      </w:pPr>
      <w:bookmarkStart w:id="167" w:name="_Toc419045093"/>
      <w:r>
        <w:rPr>
          <w:rFonts w:hint="eastAsia" w:ascii="宋体" w:hAnsi="宋体" w:eastAsia="宋体" w:cs="宋体"/>
          <w:bCs/>
          <w:smallCaps/>
          <w:kern w:val="28"/>
          <w:sz w:val="24"/>
        </w:rPr>
        <w:t>7.2</w:t>
      </w:r>
      <w:bookmarkEnd w:id="166"/>
      <w:r>
        <w:rPr>
          <w:rFonts w:hint="eastAsia" w:ascii="宋体" w:hAnsi="宋体" w:eastAsia="宋体" w:cs="宋体"/>
          <w:bCs/>
          <w:smallCaps/>
          <w:kern w:val="28"/>
          <w:sz w:val="24"/>
        </w:rPr>
        <w:t>调解</w:t>
      </w:r>
      <w:bookmarkEnd w:id="167"/>
    </w:p>
    <w:p w14:paraId="13136A9D">
      <w:pPr>
        <w:widowControl/>
        <w:spacing w:line="480" w:lineRule="exact"/>
        <w:ind w:firstLine="480" w:firstLineChars="200"/>
        <w:jc w:val="left"/>
        <w:rPr>
          <w:rFonts w:hint="eastAsia" w:ascii="宋体" w:hAnsi="宋体" w:eastAsia="宋体" w:cs="宋体"/>
          <w:b/>
          <w:bCs/>
          <w:kern w:val="0"/>
          <w:sz w:val="24"/>
        </w:rPr>
      </w:pPr>
      <w:r>
        <w:rPr>
          <w:rFonts w:hint="eastAsia" w:ascii="宋体" w:hAnsi="宋体" w:eastAsia="宋体" w:cs="宋体"/>
          <w:kern w:val="0"/>
          <w:sz w:val="24"/>
        </w:rPr>
        <w:t>　　如果双方不能在14日内或双方商定的其他时间内解决本合同争议，可以将其提交给专用条件约定的或事后达成协议的调解人进行调解。</w:t>
      </w:r>
    </w:p>
    <w:p w14:paraId="443A5EF2">
      <w:pPr>
        <w:spacing w:line="480" w:lineRule="exact"/>
        <w:ind w:firstLine="480" w:firstLineChars="200"/>
        <w:rPr>
          <w:rFonts w:hint="eastAsia" w:ascii="宋体" w:hAnsi="宋体" w:eastAsia="宋体" w:cs="宋体"/>
          <w:bCs/>
          <w:smallCaps/>
          <w:kern w:val="28"/>
          <w:sz w:val="24"/>
        </w:rPr>
      </w:pPr>
      <w:bookmarkStart w:id="168" w:name="38"/>
      <w:bookmarkStart w:id="169" w:name="_Toc419045094"/>
      <w:r>
        <w:rPr>
          <w:rFonts w:hint="eastAsia" w:ascii="宋体" w:hAnsi="宋体" w:eastAsia="宋体" w:cs="宋体"/>
          <w:bCs/>
          <w:smallCaps/>
          <w:kern w:val="28"/>
          <w:sz w:val="24"/>
        </w:rPr>
        <w:t>7.</w:t>
      </w:r>
      <w:bookmarkEnd w:id="168"/>
      <w:r>
        <w:rPr>
          <w:rFonts w:hint="eastAsia" w:ascii="宋体" w:hAnsi="宋体" w:eastAsia="宋体" w:cs="宋体"/>
          <w:bCs/>
          <w:smallCaps/>
          <w:kern w:val="28"/>
          <w:sz w:val="24"/>
        </w:rPr>
        <w:t>3仲裁或诉讼</w:t>
      </w:r>
      <w:bookmarkEnd w:id="169"/>
    </w:p>
    <w:p w14:paraId="1B7ABDA5">
      <w:pPr>
        <w:spacing w:line="480" w:lineRule="exact"/>
        <w:ind w:firstLine="480" w:firstLineChars="200"/>
        <w:rPr>
          <w:rFonts w:hint="eastAsia" w:ascii="宋体" w:hAnsi="宋体" w:eastAsia="宋体" w:cs="宋体"/>
          <w:b/>
          <w:bCs/>
          <w:kern w:val="0"/>
          <w:sz w:val="24"/>
        </w:rPr>
      </w:pPr>
      <w:r>
        <w:rPr>
          <w:rFonts w:hint="eastAsia" w:ascii="宋体" w:hAnsi="宋体" w:eastAsia="宋体" w:cs="宋体"/>
          <w:sz w:val="24"/>
        </w:rPr>
        <w:t>　　</w:t>
      </w:r>
      <w:r>
        <w:rPr>
          <w:rFonts w:hint="eastAsia" w:ascii="宋体" w:hAnsi="宋体" w:eastAsia="宋体" w:cs="宋体"/>
          <w:kern w:val="0"/>
          <w:sz w:val="24"/>
        </w:rPr>
        <w:t>双方均有权不经调解直接向专用条件约定的仲裁机构申请仲裁或向有管辖权的人民法院提起诉讼。</w:t>
      </w:r>
    </w:p>
    <w:p w14:paraId="70568092">
      <w:pPr>
        <w:spacing w:line="480" w:lineRule="exact"/>
        <w:ind w:firstLine="482" w:firstLineChars="200"/>
        <w:rPr>
          <w:rFonts w:hint="eastAsia" w:ascii="宋体" w:hAnsi="宋体" w:eastAsia="宋体" w:cs="宋体"/>
          <w:b/>
          <w:bCs/>
          <w:sz w:val="24"/>
        </w:rPr>
      </w:pPr>
      <w:bookmarkStart w:id="170" w:name="_Toc419045095"/>
      <w:r>
        <w:rPr>
          <w:rFonts w:hint="eastAsia" w:ascii="宋体" w:hAnsi="宋体" w:eastAsia="宋体" w:cs="宋体"/>
          <w:b/>
          <w:bCs/>
          <w:sz w:val="24"/>
        </w:rPr>
        <w:t>8.其他</w:t>
      </w:r>
      <w:bookmarkEnd w:id="170"/>
    </w:p>
    <w:p w14:paraId="133699AA">
      <w:pPr>
        <w:pStyle w:val="27"/>
        <w:spacing w:before="0" w:after="0" w:line="480" w:lineRule="exact"/>
        <w:ind w:firstLine="480" w:firstLineChars="200"/>
        <w:jc w:val="left"/>
        <w:rPr>
          <w:rFonts w:hint="eastAsia" w:ascii="宋体" w:hAnsi="宋体" w:eastAsia="宋体" w:cs="宋体"/>
          <w:b w:val="0"/>
          <w:sz w:val="24"/>
          <w:szCs w:val="24"/>
        </w:rPr>
      </w:pPr>
      <w:bookmarkStart w:id="171" w:name="39"/>
      <w:bookmarkStart w:id="172" w:name="_Toc256000053"/>
      <w:bookmarkStart w:id="173" w:name="_Toc256000161"/>
      <w:bookmarkStart w:id="174" w:name="_Toc419045096"/>
      <w:r>
        <w:rPr>
          <w:rFonts w:hint="eastAsia" w:ascii="宋体" w:hAnsi="宋体" w:eastAsia="宋体" w:cs="宋体"/>
          <w:b w:val="0"/>
          <w:smallCaps/>
          <w:sz w:val="24"/>
          <w:szCs w:val="24"/>
        </w:rPr>
        <w:t>8.1</w:t>
      </w:r>
      <w:bookmarkEnd w:id="171"/>
      <w:r>
        <w:rPr>
          <w:rFonts w:hint="eastAsia" w:ascii="宋体" w:hAnsi="宋体" w:eastAsia="宋体" w:cs="宋体"/>
          <w:b w:val="0"/>
          <w:sz w:val="24"/>
          <w:szCs w:val="24"/>
        </w:rPr>
        <w:t>考察及相关费用</w:t>
      </w:r>
      <w:bookmarkEnd w:id="172"/>
      <w:bookmarkEnd w:id="173"/>
      <w:bookmarkEnd w:id="174"/>
    </w:p>
    <w:p w14:paraId="178DA9B7">
      <w:pPr>
        <w:spacing w:line="480" w:lineRule="exact"/>
        <w:ind w:firstLine="480" w:firstLineChars="200"/>
        <w:rPr>
          <w:rFonts w:hint="eastAsia" w:ascii="宋体" w:hAnsi="宋体" w:eastAsia="宋体" w:cs="宋体"/>
          <w:bCs/>
          <w:smallCaps/>
          <w:sz w:val="24"/>
        </w:rPr>
      </w:pPr>
      <w:r>
        <w:rPr>
          <w:rFonts w:hint="eastAsia" w:ascii="宋体" w:hAnsi="宋体" w:eastAsia="宋体" w:cs="宋体"/>
          <w:bCs/>
          <w:smallCaps/>
          <w:kern w:val="28"/>
          <w:sz w:val="24"/>
        </w:rPr>
        <w:t>除专用条件另有约定外，咨询人经委托人同意进行考察发生的费用由委托人审核后另行支付。差旅费及相关费用的承担由双方在专用条件中约定。</w:t>
      </w:r>
    </w:p>
    <w:p w14:paraId="7C0A3E48">
      <w:pPr>
        <w:pStyle w:val="27"/>
        <w:spacing w:before="0" w:after="0" w:line="480" w:lineRule="exact"/>
        <w:ind w:firstLine="480" w:firstLineChars="200"/>
        <w:jc w:val="left"/>
        <w:rPr>
          <w:rFonts w:hint="eastAsia" w:ascii="宋体" w:hAnsi="宋体" w:eastAsia="宋体" w:cs="宋体"/>
          <w:b w:val="0"/>
          <w:sz w:val="24"/>
          <w:szCs w:val="24"/>
        </w:rPr>
      </w:pPr>
      <w:bookmarkStart w:id="175" w:name="_Toc256000162"/>
      <w:bookmarkStart w:id="176" w:name="_Toc256000054"/>
      <w:r>
        <w:rPr>
          <w:rFonts w:hint="eastAsia" w:ascii="宋体" w:hAnsi="宋体" w:eastAsia="宋体" w:cs="宋体"/>
          <w:b w:val="0"/>
          <w:sz w:val="24"/>
          <w:szCs w:val="24"/>
        </w:rPr>
        <w:t>8.2奖励</w:t>
      </w:r>
      <w:bookmarkEnd w:id="175"/>
      <w:bookmarkEnd w:id="176"/>
    </w:p>
    <w:p w14:paraId="1CB28AD2">
      <w:pPr>
        <w:spacing w:line="480" w:lineRule="exact"/>
        <w:ind w:firstLine="480" w:firstLineChars="200"/>
        <w:rPr>
          <w:rFonts w:hint="eastAsia" w:ascii="宋体" w:hAnsi="宋体" w:eastAsia="宋体" w:cs="宋体"/>
          <w:bCs/>
          <w:smallCaps/>
          <w:sz w:val="24"/>
        </w:rPr>
      </w:pPr>
      <w:r>
        <w:rPr>
          <w:rFonts w:hint="eastAsia" w:ascii="宋体" w:hAnsi="宋体" w:eastAsia="宋体" w:cs="宋体"/>
          <w:bCs/>
          <w:smallCaps/>
          <w:kern w:val="28"/>
          <w:sz w:val="24"/>
        </w:rPr>
        <w:t>对于咨询人在服务过程中提出合理化建议，使委托人获得效益的，双方在专用条件中约定奖励金额的确定方法。奖励金额在合理化建议被采纳后，与最近一期的正常工作酬金同期支付。</w:t>
      </w:r>
    </w:p>
    <w:p w14:paraId="1215CB1D">
      <w:pPr>
        <w:pStyle w:val="27"/>
        <w:spacing w:before="0" w:after="0" w:line="480" w:lineRule="exact"/>
        <w:ind w:firstLine="480" w:firstLineChars="200"/>
        <w:jc w:val="left"/>
        <w:rPr>
          <w:rFonts w:hint="eastAsia" w:ascii="宋体" w:hAnsi="宋体" w:eastAsia="宋体" w:cs="宋体"/>
          <w:b w:val="0"/>
          <w:sz w:val="24"/>
          <w:szCs w:val="24"/>
        </w:rPr>
      </w:pPr>
      <w:bookmarkStart w:id="177" w:name="_Toc256000055"/>
      <w:bookmarkStart w:id="178" w:name="_Toc256000163"/>
      <w:r>
        <w:rPr>
          <w:rFonts w:hint="eastAsia" w:ascii="宋体" w:hAnsi="宋体" w:eastAsia="宋体" w:cs="宋体"/>
          <w:b w:val="0"/>
          <w:sz w:val="24"/>
          <w:szCs w:val="24"/>
        </w:rPr>
        <w:t>8.3保密</w:t>
      </w:r>
      <w:bookmarkEnd w:id="177"/>
      <w:bookmarkEnd w:id="178"/>
    </w:p>
    <w:p w14:paraId="1119D3C4">
      <w:pPr>
        <w:spacing w:line="480" w:lineRule="exact"/>
        <w:ind w:firstLine="480" w:firstLineChars="200"/>
        <w:rPr>
          <w:rFonts w:hint="eastAsia" w:ascii="宋体" w:hAnsi="宋体" w:eastAsia="宋体" w:cs="宋体"/>
          <w:bCs/>
          <w:smallCaps/>
          <w:kern w:val="28"/>
          <w:sz w:val="24"/>
        </w:rPr>
      </w:pPr>
      <w:r>
        <w:rPr>
          <w:rFonts w:hint="eastAsia" w:ascii="宋体" w:hAnsi="宋体" w:eastAsia="宋体" w:cs="宋体"/>
          <w:bCs/>
          <w:smallCaps/>
          <w:kern w:val="28"/>
          <w:sz w:val="24"/>
        </w:rPr>
        <w:t>在本合同履行期间或专用条件约定的期限内，双方不得泄露对方申明的保密资料，亦不得泄露与实施工程有关的第三人所提供的保密资料。保密事项在专用条件中约定。</w:t>
      </w:r>
    </w:p>
    <w:p w14:paraId="082CE37C">
      <w:pPr>
        <w:spacing w:line="480" w:lineRule="exact"/>
        <w:ind w:left="120" w:hanging="120"/>
        <w:rPr>
          <w:rFonts w:hint="eastAsia" w:ascii="宋体" w:hAnsi="宋体" w:eastAsia="宋体" w:cs="宋体"/>
          <w:b/>
          <w:bCs/>
          <w:sz w:val="24"/>
        </w:rPr>
      </w:pPr>
      <w:r>
        <w:rPr>
          <w:rFonts w:hint="eastAsia" w:ascii="宋体" w:hAnsi="宋体" w:eastAsia="宋体" w:cs="宋体"/>
          <w:bCs/>
          <w:smallCaps/>
          <w:sz w:val="24"/>
        </w:rPr>
        <w:t xml:space="preserve">　　 </w:t>
      </w:r>
      <w:bookmarkStart w:id="179" w:name="_Toc419045097"/>
      <w:r>
        <w:rPr>
          <w:rFonts w:hint="eastAsia" w:ascii="宋体" w:hAnsi="宋体" w:eastAsia="宋体" w:cs="宋体"/>
          <w:bCs/>
          <w:kern w:val="28"/>
          <w:sz w:val="24"/>
        </w:rPr>
        <w:t>8.4</w:t>
      </w:r>
      <w:bookmarkEnd w:id="179"/>
      <w:r>
        <w:rPr>
          <w:rFonts w:hint="eastAsia" w:ascii="宋体" w:hAnsi="宋体" w:eastAsia="宋体" w:cs="宋体"/>
          <w:bCs/>
          <w:kern w:val="28"/>
          <w:sz w:val="24"/>
        </w:rPr>
        <w:t>联络</w:t>
      </w:r>
    </w:p>
    <w:p w14:paraId="2309DBB8">
      <w:pPr>
        <w:spacing w:line="480" w:lineRule="exact"/>
        <w:ind w:firstLine="480" w:firstLineChars="200"/>
        <w:rPr>
          <w:rFonts w:hint="eastAsia" w:ascii="宋体" w:hAnsi="宋体" w:eastAsia="宋体" w:cs="宋体"/>
          <w:bCs/>
          <w:smallCaps/>
          <w:sz w:val="24"/>
        </w:rPr>
      </w:pPr>
      <w:r>
        <w:rPr>
          <w:rFonts w:hint="eastAsia" w:ascii="宋体" w:hAnsi="宋体" w:eastAsia="宋体" w:cs="宋体"/>
          <w:bCs/>
          <w:smallCaps/>
          <w:kern w:val="28"/>
          <w:sz w:val="24"/>
        </w:rPr>
        <w:t>8.4.1与合同有关的通知、指示、要求、决定等，均应采用书面形式，并应在专用条件约定的期限内送达接收人和送达地点。</w:t>
      </w:r>
    </w:p>
    <w:p w14:paraId="38806F8A">
      <w:pPr>
        <w:spacing w:line="480" w:lineRule="exact"/>
        <w:ind w:firstLine="480" w:firstLineChars="200"/>
        <w:rPr>
          <w:rFonts w:hint="eastAsia" w:ascii="宋体" w:hAnsi="宋体" w:eastAsia="宋体" w:cs="宋体"/>
          <w:bCs/>
          <w:smallCaps/>
          <w:sz w:val="24"/>
        </w:rPr>
      </w:pPr>
      <w:r>
        <w:rPr>
          <w:rFonts w:hint="eastAsia" w:ascii="宋体" w:hAnsi="宋体" w:eastAsia="宋体" w:cs="宋体"/>
          <w:bCs/>
          <w:smallCaps/>
          <w:kern w:val="28"/>
          <w:sz w:val="24"/>
        </w:rPr>
        <w:t>8.4.2委托人和咨询人应在专用条件中约定各自的送达接收人、送达地点、电子邮箱。任何一方指定的接收人或送达地点或电子邮箱发生变动的，应提前3天以书面形式通知对方，否则视为未发生变动。</w:t>
      </w:r>
    </w:p>
    <w:p w14:paraId="37C703E8">
      <w:pPr>
        <w:spacing w:line="480" w:lineRule="exact"/>
        <w:ind w:firstLine="480" w:firstLineChars="200"/>
        <w:rPr>
          <w:rFonts w:hint="eastAsia" w:ascii="宋体" w:hAnsi="宋体" w:eastAsia="宋体" w:cs="宋体"/>
          <w:bCs/>
          <w:smallCaps/>
          <w:sz w:val="24"/>
        </w:rPr>
      </w:pPr>
      <w:r>
        <w:rPr>
          <w:rFonts w:hint="eastAsia" w:ascii="宋体" w:hAnsi="宋体" w:eastAsia="宋体" w:cs="宋体"/>
          <w:bCs/>
          <w:smallCaps/>
          <w:kern w:val="28"/>
          <w:sz w:val="24"/>
        </w:rPr>
        <w:t>8.4.3委托人和咨询人应当及时签收另一方送达至送达地点和指定接收人的往来函件，如确有充分证据证明一方无正当理由拒不签收的，视为认可往来函件的内容。</w:t>
      </w:r>
    </w:p>
    <w:p w14:paraId="7ADAAAFF">
      <w:pPr>
        <w:pStyle w:val="27"/>
        <w:spacing w:before="0" w:after="0" w:line="480" w:lineRule="exact"/>
        <w:ind w:firstLine="480" w:firstLineChars="200"/>
        <w:jc w:val="left"/>
        <w:rPr>
          <w:rFonts w:hint="eastAsia" w:ascii="宋体" w:hAnsi="宋体" w:eastAsia="宋体" w:cs="宋体"/>
          <w:b w:val="0"/>
          <w:sz w:val="24"/>
          <w:szCs w:val="24"/>
        </w:rPr>
      </w:pPr>
      <w:bookmarkStart w:id="180" w:name="_Toc256000164"/>
      <w:bookmarkStart w:id="181" w:name="_Toc256000056"/>
      <w:r>
        <w:rPr>
          <w:rFonts w:hint="eastAsia" w:ascii="宋体" w:hAnsi="宋体" w:eastAsia="宋体" w:cs="宋体"/>
          <w:b w:val="0"/>
          <w:sz w:val="24"/>
          <w:szCs w:val="24"/>
        </w:rPr>
        <w:t>8.5知识产权</w:t>
      </w:r>
      <w:bookmarkEnd w:id="180"/>
      <w:bookmarkEnd w:id="181"/>
    </w:p>
    <w:p w14:paraId="29D258F0">
      <w:pPr>
        <w:spacing w:line="480" w:lineRule="exact"/>
        <w:ind w:firstLine="480" w:firstLineChars="200"/>
        <w:rPr>
          <w:rFonts w:hint="eastAsia" w:ascii="宋体" w:hAnsi="宋体" w:eastAsia="宋体" w:cs="宋体"/>
          <w:bCs/>
          <w:smallCaps/>
          <w:sz w:val="24"/>
        </w:rPr>
      </w:pPr>
      <w:r>
        <w:rPr>
          <w:rFonts w:hint="eastAsia" w:ascii="宋体" w:hAnsi="宋体" w:eastAsia="宋体" w:cs="宋体"/>
          <w:bCs/>
          <w:smallCaps/>
          <w:kern w:val="28"/>
          <w:sz w:val="24"/>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61F2F5FA">
      <w:pPr>
        <w:spacing w:line="480" w:lineRule="exact"/>
        <w:ind w:firstLine="480" w:firstLineChars="200"/>
        <w:rPr>
          <w:rFonts w:hint="eastAsia" w:ascii="宋体" w:hAnsi="宋体" w:eastAsia="宋体" w:cs="宋体"/>
          <w:bCs/>
          <w:smallCaps/>
          <w:sz w:val="24"/>
        </w:rPr>
      </w:pPr>
      <w:r>
        <w:rPr>
          <w:rFonts w:hint="eastAsia" w:ascii="宋体" w:hAnsi="宋体" w:eastAsia="宋体" w:cs="宋体"/>
          <w:bCs/>
          <w:smallCaps/>
          <w:kern w:val="28"/>
          <w:sz w:val="24"/>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05EEF733">
      <w:pPr>
        <w:spacing w:line="480" w:lineRule="exact"/>
        <w:ind w:firstLine="480" w:firstLineChars="200"/>
        <w:rPr>
          <w:rFonts w:hint="eastAsia" w:ascii="宋体" w:hAnsi="宋体" w:eastAsia="宋体" w:cs="宋体"/>
          <w:bCs/>
          <w:smallCaps/>
          <w:sz w:val="24"/>
        </w:rPr>
      </w:pPr>
      <w:r>
        <w:rPr>
          <w:rFonts w:hint="eastAsia" w:ascii="宋体" w:hAnsi="宋体" w:eastAsia="宋体" w:cs="宋体"/>
          <w:bCs/>
          <w:smallCaps/>
          <w:kern w:val="28"/>
          <w:sz w:val="24"/>
        </w:rPr>
        <w:t>双方保证在履行本合同过程中不侵犯对方及第三方的知识产权。因咨询人侵犯他人知识产权所引起的责任，由咨询人承担；因委托人提供的基础资料导致侵权的，由委托人承担责任。</w:t>
      </w:r>
    </w:p>
    <w:p w14:paraId="68F8C5D9">
      <w:pPr>
        <w:spacing w:line="480" w:lineRule="exact"/>
        <w:ind w:firstLine="480" w:firstLineChars="200"/>
        <w:rPr>
          <w:rFonts w:hint="eastAsia" w:ascii="宋体" w:hAnsi="宋体" w:eastAsia="宋体" w:cs="宋体"/>
          <w:bCs/>
          <w:smallCaps/>
          <w:sz w:val="24"/>
        </w:rPr>
      </w:pPr>
      <w:r>
        <w:rPr>
          <w:rFonts w:hint="eastAsia" w:ascii="宋体" w:hAnsi="宋体" w:eastAsia="宋体" w:cs="宋体"/>
          <w:bCs/>
          <w:smallCaps/>
          <w:kern w:val="28"/>
          <w:sz w:val="24"/>
        </w:rPr>
        <w:t>除专用条件另有约定外，双方均有权在履行本合同保密义务并且不损害对方利益的情况下，将履行本合同形成的有关成果文件用于企业宣传、申报奖项以及接受上级主管部门的检查。</w:t>
      </w:r>
    </w:p>
    <w:p w14:paraId="3F146EEE">
      <w:pPr>
        <w:ind w:firstLine="480" w:firstLineChars="200"/>
        <w:rPr>
          <w:rFonts w:hint="eastAsia" w:ascii="宋体" w:hAnsi="宋体" w:eastAsia="宋体" w:cs="宋体"/>
          <w:sz w:val="24"/>
        </w:rPr>
      </w:pPr>
      <w:r>
        <w:rPr>
          <w:rFonts w:hint="eastAsia" w:ascii="宋体" w:hAnsi="宋体" w:eastAsia="宋体" w:cs="宋体"/>
          <w:sz w:val="24"/>
        </w:rPr>
        <w:t>　　</w:t>
      </w:r>
    </w:p>
    <w:p w14:paraId="41B4E417">
      <w:pPr>
        <w:pStyle w:val="2"/>
        <w:rPr>
          <w:rFonts w:hint="eastAsia" w:ascii="宋体" w:hAnsi="宋体" w:eastAsia="宋体" w:cs="宋体"/>
          <w:sz w:val="24"/>
        </w:rPr>
      </w:pPr>
    </w:p>
    <w:p w14:paraId="4AF123F7">
      <w:pPr>
        <w:pStyle w:val="2"/>
        <w:rPr>
          <w:rFonts w:hint="eastAsia" w:ascii="宋体" w:hAnsi="宋体" w:eastAsia="宋体" w:cs="宋体"/>
          <w:sz w:val="24"/>
        </w:rPr>
      </w:pPr>
    </w:p>
    <w:p w14:paraId="7A251863">
      <w:pPr>
        <w:pStyle w:val="2"/>
        <w:rPr>
          <w:rFonts w:hint="eastAsia" w:ascii="宋体" w:hAnsi="宋体" w:eastAsia="宋体" w:cs="宋体"/>
          <w:sz w:val="24"/>
        </w:rPr>
      </w:pPr>
    </w:p>
    <w:p w14:paraId="04EBA1DC">
      <w:pPr>
        <w:pStyle w:val="2"/>
        <w:rPr>
          <w:rFonts w:hint="eastAsia" w:ascii="宋体" w:hAnsi="宋体" w:eastAsia="宋体" w:cs="宋体"/>
          <w:sz w:val="24"/>
        </w:rPr>
      </w:pPr>
    </w:p>
    <w:p w14:paraId="2D27BE9F">
      <w:pPr>
        <w:pStyle w:val="2"/>
        <w:rPr>
          <w:rFonts w:hint="eastAsia" w:ascii="宋体" w:hAnsi="宋体" w:eastAsia="宋体" w:cs="宋体"/>
          <w:sz w:val="24"/>
        </w:rPr>
      </w:pPr>
    </w:p>
    <w:p w14:paraId="1C1ED4D8">
      <w:pPr>
        <w:pStyle w:val="2"/>
        <w:rPr>
          <w:rFonts w:hint="eastAsia" w:ascii="宋体" w:hAnsi="宋体" w:eastAsia="宋体" w:cs="宋体"/>
          <w:sz w:val="24"/>
        </w:rPr>
      </w:pPr>
    </w:p>
    <w:p w14:paraId="5B547BCF">
      <w:pPr>
        <w:pStyle w:val="2"/>
        <w:rPr>
          <w:rFonts w:hint="eastAsia" w:ascii="宋体" w:hAnsi="宋体" w:eastAsia="宋体" w:cs="宋体"/>
          <w:sz w:val="24"/>
        </w:rPr>
      </w:pPr>
    </w:p>
    <w:p w14:paraId="64DE4624">
      <w:pPr>
        <w:pStyle w:val="2"/>
        <w:rPr>
          <w:rFonts w:hint="eastAsia" w:ascii="宋体" w:hAnsi="宋体" w:eastAsia="宋体" w:cs="宋体"/>
          <w:sz w:val="24"/>
        </w:rPr>
      </w:pPr>
    </w:p>
    <w:p w14:paraId="3B30C3B6">
      <w:pPr>
        <w:pStyle w:val="2"/>
        <w:rPr>
          <w:rFonts w:hint="eastAsia" w:ascii="宋体" w:hAnsi="宋体" w:eastAsia="宋体" w:cs="宋体"/>
          <w:sz w:val="24"/>
        </w:rPr>
      </w:pPr>
    </w:p>
    <w:p w14:paraId="1EA6B54C">
      <w:pPr>
        <w:pStyle w:val="2"/>
        <w:rPr>
          <w:rFonts w:hint="eastAsia" w:ascii="宋体" w:hAnsi="宋体" w:eastAsia="宋体" w:cs="宋体"/>
          <w:sz w:val="24"/>
        </w:rPr>
      </w:pPr>
    </w:p>
    <w:p w14:paraId="7399C2C4">
      <w:pPr>
        <w:pStyle w:val="2"/>
        <w:rPr>
          <w:rFonts w:hint="eastAsia" w:ascii="宋体" w:hAnsi="宋体" w:eastAsia="宋体" w:cs="宋体"/>
          <w:sz w:val="24"/>
        </w:rPr>
      </w:pPr>
    </w:p>
    <w:p w14:paraId="6D5397AF">
      <w:pPr>
        <w:pStyle w:val="2"/>
        <w:rPr>
          <w:rFonts w:hint="eastAsia" w:ascii="宋体" w:hAnsi="宋体" w:eastAsia="宋体" w:cs="宋体"/>
          <w:sz w:val="24"/>
        </w:rPr>
      </w:pPr>
    </w:p>
    <w:p w14:paraId="23CEB82D">
      <w:pPr>
        <w:pStyle w:val="2"/>
        <w:rPr>
          <w:rFonts w:hint="eastAsia" w:ascii="宋体" w:hAnsi="宋体" w:eastAsia="宋体" w:cs="宋体"/>
          <w:sz w:val="24"/>
        </w:rPr>
      </w:pPr>
    </w:p>
    <w:p w14:paraId="5B281E44">
      <w:pPr>
        <w:pStyle w:val="2"/>
        <w:rPr>
          <w:rFonts w:hint="eastAsia" w:ascii="宋体" w:hAnsi="宋体" w:eastAsia="宋体" w:cs="宋体"/>
          <w:sz w:val="24"/>
        </w:rPr>
      </w:pPr>
    </w:p>
    <w:p w14:paraId="23C1CCC7">
      <w:pPr>
        <w:pStyle w:val="2"/>
        <w:rPr>
          <w:rFonts w:hint="eastAsia" w:ascii="宋体" w:hAnsi="宋体" w:eastAsia="宋体" w:cs="宋体"/>
          <w:sz w:val="24"/>
        </w:rPr>
      </w:pPr>
    </w:p>
    <w:p w14:paraId="1E2D95C3">
      <w:pPr>
        <w:pStyle w:val="2"/>
        <w:rPr>
          <w:rFonts w:hint="eastAsia" w:ascii="宋体" w:hAnsi="宋体" w:eastAsia="宋体" w:cs="宋体"/>
          <w:sz w:val="24"/>
        </w:rPr>
      </w:pPr>
    </w:p>
    <w:p w14:paraId="13D2E625">
      <w:pPr>
        <w:pStyle w:val="2"/>
        <w:rPr>
          <w:rFonts w:hint="eastAsia" w:ascii="宋体" w:hAnsi="宋体" w:eastAsia="宋体" w:cs="宋体"/>
          <w:sz w:val="24"/>
        </w:rPr>
      </w:pPr>
    </w:p>
    <w:p w14:paraId="35E1CEE8">
      <w:pPr>
        <w:pStyle w:val="2"/>
        <w:rPr>
          <w:rFonts w:hint="eastAsia" w:ascii="宋体" w:hAnsi="宋体" w:eastAsia="宋体" w:cs="宋体"/>
          <w:sz w:val="24"/>
        </w:rPr>
      </w:pPr>
    </w:p>
    <w:p w14:paraId="5EC42650">
      <w:pPr>
        <w:pStyle w:val="2"/>
        <w:rPr>
          <w:rFonts w:hint="eastAsia" w:ascii="宋体" w:hAnsi="宋体" w:eastAsia="宋体" w:cs="宋体"/>
          <w:sz w:val="24"/>
        </w:rPr>
      </w:pPr>
    </w:p>
    <w:p w14:paraId="7E01B518">
      <w:pPr>
        <w:pStyle w:val="21"/>
        <w:ind w:firstLine="480"/>
        <w:rPr>
          <w:rFonts w:hint="eastAsia" w:ascii="宋体" w:hAnsi="宋体" w:eastAsia="宋体" w:cs="宋体"/>
          <w:sz w:val="24"/>
        </w:rPr>
      </w:pPr>
    </w:p>
    <w:p w14:paraId="04516ECA">
      <w:pPr>
        <w:pStyle w:val="3"/>
        <w:numPr>
          <w:ilvl w:val="0"/>
          <w:numId w:val="0"/>
        </w:numPr>
        <w:spacing w:line="560" w:lineRule="exact"/>
        <w:jc w:val="center"/>
        <w:rPr>
          <w:rFonts w:hint="eastAsia" w:ascii="宋体" w:hAnsi="宋体" w:eastAsia="宋体" w:cs="宋体"/>
          <w:szCs w:val="32"/>
        </w:rPr>
      </w:pPr>
      <w:bookmarkStart w:id="182" w:name="_Toc256000080"/>
      <w:bookmarkStart w:id="183" w:name="_Toc256000188"/>
      <w:bookmarkStart w:id="184" w:name="_Toc419045126"/>
      <w:r>
        <w:rPr>
          <w:rFonts w:hint="eastAsia" w:ascii="宋体" w:hAnsi="宋体" w:eastAsia="宋体" w:cs="宋体"/>
        </w:rPr>
        <w:t>第三部分　专用条件</w:t>
      </w:r>
      <w:bookmarkStart w:id="185" w:name="_Toc422322522"/>
      <w:bookmarkStart w:id="186" w:name="_Toc419045099"/>
    </w:p>
    <w:p w14:paraId="24F705C5">
      <w:pPr>
        <w:spacing w:line="560" w:lineRule="exact"/>
        <w:ind w:left="120" w:hanging="120"/>
        <w:jc w:val="left"/>
        <w:outlineLvl w:val="0"/>
        <w:rPr>
          <w:rFonts w:hint="eastAsia" w:ascii="宋体" w:hAnsi="宋体" w:eastAsia="宋体" w:cs="宋体"/>
          <w:bCs/>
          <w:sz w:val="24"/>
        </w:rPr>
      </w:pPr>
      <w:bookmarkStart w:id="187" w:name="_Toc56530669"/>
      <w:r>
        <w:rPr>
          <w:rFonts w:hint="eastAsia" w:ascii="宋体" w:hAnsi="宋体" w:eastAsia="宋体" w:cs="宋体"/>
          <w:bCs/>
          <w:sz w:val="24"/>
        </w:rPr>
        <w:t>1.词语定义、语言、解释顺序与适用法律</w:t>
      </w:r>
      <w:bookmarkEnd w:id="185"/>
      <w:bookmarkEnd w:id="186"/>
      <w:bookmarkEnd w:id="187"/>
    </w:p>
    <w:p w14:paraId="5032E75C">
      <w:pPr>
        <w:spacing w:line="560" w:lineRule="exact"/>
        <w:ind w:left="120" w:hanging="120"/>
        <w:jc w:val="left"/>
        <w:outlineLvl w:val="0"/>
        <w:rPr>
          <w:rFonts w:hint="eastAsia" w:ascii="宋体" w:hAnsi="宋体" w:eastAsia="宋体" w:cs="宋体"/>
          <w:bCs/>
          <w:sz w:val="24"/>
        </w:rPr>
      </w:pPr>
      <w:bookmarkStart w:id="188" w:name="_Toc422322524"/>
      <w:bookmarkStart w:id="189" w:name="_Toc419045101"/>
      <w:bookmarkStart w:id="190" w:name="_Toc56530670"/>
      <w:r>
        <w:rPr>
          <w:rFonts w:hint="eastAsia" w:ascii="宋体" w:hAnsi="宋体" w:eastAsia="宋体" w:cs="宋体"/>
          <w:bCs/>
          <w:sz w:val="24"/>
        </w:rPr>
        <w:t>1.2 语言</w:t>
      </w:r>
      <w:bookmarkEnd w:id="188"/>
      <w:bookmarkEnd w:id="189"/>
      <w:bookmarkEnd w:id="190"/>
    </w:p>
    <w:p w14:paraId="77E9E6F6">
      <w:pPr>
        <w:spacing w:line="560" w:lineRule="exact"/>
        <w:ind w:left="120" w:hanging="120"/>
        <w:jc w:val="left"/>
        <w:rPr>
          <w:rFonts w:hint="eastAsia" w:ascii="宋体" w:hAnsi="宋体" w:eastAsia="宋体" w:cs="宋体"/>
          <w:bCs/>
          <w:kern w:val="28"/>
          <w:sz w:val="24"/>
        </w:rPr>
      </w:pPr>
      <w:r>
        <w:rPr>
          <w:rFonts w:hint="eastAsia" w:ascii="宋体" w:hAnsi="宋体" w:eastAsia="宋体" w:cs="宋体"/>
          <w:bCs/>
          <w:sz w:val="24"/>
        </w:rPr>
        <w:t xml:space="preserve">   本合同文件除使用中文外，还可用</w:t>
      </w:r>
      <w:r>
        <w:rPr>
          <w:rFonts w:hint="eastAsia" w:ascii="宋体" w:hAnsi="宋体" w:eastAsia="宋体" w:cs="宋体"/>
          <w:bCs/>
          <w:sz w:val="24"/>
          <w:u w:val="single"/>
        </w:rPr>
        <w:t>_ /</w:t>
      </w:r>
      <w:r>
        <w:rPr>
          <w:rFonts w:hint="eastAsia" w:ascii="宋体" w:hAnsi="宋体" w:eastAsia="宋体" w:cs="宋体"/>
          <w:bCs/>
          <w:sz w:val="24"/>
        </w:rPr>
        <w:t>_。</w:t>
      </w:r>
    </w:p>
    <w:p w14:paraId="58B113F3">
      <w:pPr>
        <w:spacing w:before="60" w:after="60" w:line="560" w:lineRule="exact"/>
        <w:ind w:left="120" w:hanging="120"/>
        <w:jc w:val="left"/>
        <w:outlineLvl w:val="1"/>
        <w:rPr>
          <w:rFonts w:hint="eastAsia" w:ascii="宋体" w:hAnsi="宋体" w:eastAsia="宋体" w:cs="宋体"/>
          <w:bCs/>
          <w:kern w:val="28"/>
          <w:sz w:val="24"/>
        </w:rPr>
      </w:pPr>
      <w:bookmarkStart w:id="191" w:name="_Toc56530671"/>
      <w:bookmarkStart w:id="192" w:name="_Toc422322525"/>
      <w:r>
        <w:rPr>
          <w:rFonts w:hint="eastAsia" w:ascii="宋体" w:hAnsi="宋体" w:eastAsia="宋体" w:cs="宋体"/>
          <w:bCs/>
          <w:kern w:val="28"/>
          <w:sz w:val="24"/>
        </w:rPr>
        <w:t>1.3合同文件的优先顺序</w:t>
      </w:r>
      <w:bookmarkEnd w:id="191"/>
      <w:bookmarkEnd w:id="192"/>
    </w:p>
    <w:p w14:paraId="6CE8A6B2">
      <w:pPr>
        <w:spacing w:line="560" w:lineRule="exact"/>
        <w:ind w:left="120" w:hanging="120"/>
        <w:jc w:val="left"/>
        <w:rPr>
          <w:rFonts w:hint="eastAsia" w:ascii="宋体" w:hAnsi="宋体" w:eastAsia="宋体" w:cs="宋体"/>
          <w:bCs/>
          <w:sz w:val="24"/>
        </w:rPr>
      </w:pPr>
      <w:r>
        <w:rPr>
          <w:rFonts w:hint="eastAsia" w:ascii="宋体" w:hAnsi="宋体" w:eastAsia="宋体" w:cs="宋体"/>
          <w:bCs/>
          <w:sz w:val="24"/>
        </w:rPr>
        <w:t>本合同文件的解释顺序为：</w:t>
      </w:r>
      <w:r>
        <w:rPr>
          <w:rFonts w:hint="eastAsia" w:ascii="宋体" w:hAnsi="宋体" w:eastAsia="宋体" w:cs="宋体"/>
          <w:bCs/>
          <w:sz w:val="24"/>
          <w:u w:val="single"/>
        </w:rPr>
        <w:t>按通用条款1.3执行</w:t>
      </w:r>
      <w:r>
        <w:rPr>
          <w:rFonts w:hint="eastAsia" w:ascii="宋体" w:hAnsi="宋体" w:eastAsia="宋体" w:cs="宋体"/>
          <w:bCs/>
          <w:sz w:val="24"/>
        </w:rPr>
        <w:t xml:space="preserve"> 。</w:t>
      </w:r>
    </w:p>
    <w:p w14:paraId="6558FB23">
      <w:pPr>
        <w:spacing w:line="560" w:lineRule="exact"/>
        <w:ind w:left="120" w:hanging="120"/>
        <w:jc w:val="left"/>
        <w:outlineLvl w:val="0"/>
        <w:rPr>
          <w:rFonts w:hint="eastAsia" w:ascii="宋体" w:hAnsi="宋体" w:eastAsia="宋体" w:cs="宋体"/>
          <w:bCs/>
          <w:sz w:val="24"/>
        </w:rPr>
      </w:pPr>
      <w:bookmarkStart w:id="193" w:name="_Toc422322526"/>
      <w:bookmarkStart w:id="194" w:name="_Toc56530672"/>
      <w:bookmarkStart w:id="195" w:name="_Toc419045102"/>
      <w:r>
        <w:rPr>
          <w:rFonts w:hint="eastAsia" w:ascii="宋体" w:hAnsi="宋体" w:eastAsia="宋体" w:cs="宋体"/>
          <w:bCs/>
          <w:sz w:val="24"/>
        </w:rPr>
        <w:t>1.4适用法律</w:t>
      </w:r>
      <w:bookmarkEnd w:id="193"/>
      <w:bookmarkEnd w:id="194"/>
      <w:bookmarkEnd w:id="195"/>
    </w:p>
    <w:p w14:paraId="79EDD651">
      <w:pPr>
        <w:spacing w:line="560" w:lineRule="exact"/>
        <w:ind w:left="120" w:hanging="120"/>
        <w:jc w:val="left"/>
        <w:rPr>
          <w:rFonts w:hint="eastAsia" w:ascii="宋体" w:hAnsi="宋体" w:eastAsia="宋体" w:cs="宋体"/>
          <w:bCs/>
          <w:sz w:val="24"/>
          <w:u w:val="single"/>
        </w:rPr>
      </w:pPr>
      <w:r>
        <w:rPr>
          <w:rFonts w:hint="eastAsia" w:ascii="宋体" w:hAnsi="宋体" w:eastAsia="宋体" w:cs="宋体"/>
          <w:bCs/>
          <w:sz w:val="24"/>
        </w:rPr>
        <w:t xml:space="preserve">本合同适用的其他规范性文件包括: </w:t>
      </w:r>
      <w:r>
        <w:rPr>
          <w:rFonts w:hint="eastAsia" w:ascii="宋体" w:hAnsi="宋体" w:eastAsia="宋体" w:cs="宋体"/>
          <w:bCs/>
          <w:sz w:val="24"/>
          <w:u w:val="single"/>
        </w:rPr>
        <w:t>《建设工程造价咨询成果文件质量标准》  《建设项目全过程造价咨询规程、建设项目工程结算编审规程》、GB50500-20</w:t>
      </w:r>
      <w:r>
        <w:rPr>
          <w:rFonts w:hint="eastAsia" w:ascii="宋体" w:hAnsi="宋体" w:eastAsia="宋体" w:cs="宋体"/>
          <w:bCs/>
          <w:sz w:val="24"/>
          <w:u w:val="single"/>
          <w:lang w:val="en-US" w:eastAsia="zh-CN"/>
        </w:rPr>
        <w:t>24</w:t>
      </w:r>
      <w:r>
        <w:rPr>
          <w:rFonts w:hint="eastAsia" w:ascii="宋体" w:hAnsi="宋体" w:eastAsia="宋体" w:cs="宋体"/>
          <w:bCs/>
          <w:sz w:val="24"/>
          <w:u w:val="single"/>
        </w:rPr>
        <w:t>建设工程工程量清单计价规范。</w:t>
      </w:r>
    </w:p>
    <w:p w14:paraId="632482BE">
      <w:pPr>
        <w:spacing w:line="560" w:lineRule="exact"/>
        <w:ind w:left="120" w:hanging="120"/>
        <w:jc w:val="left"/>
        <w:outlineLvl w:val="0"/>
        <w:rPr>
          <w:rFonts w:hint="eastAsia" w:ascii="宋体" w:hAnsi="宋体" w:eastAsia="宋体" w:cs="宋体"/>
          <w:bCs/>
          <w:sz w:val="24"/>
        </w:rPr>
      </w:pPr>
      <w:bookmarkStart w:id="196" w:name="_Toc422322527"/>
      <w:bookmarkStart w:id="197" w:name="_Toc56530673"/>
      <w:bookmarkStart w:id="198" w:name="_Toc419045103"/>
      <w:r>
        <w:rPr>
          <w:rFonts w:hint="eastAsia" w:ascii="宋体" w:hAnsi="宋体" w:eastAsia="宋体" w:cs="宋体"/>
          <w:bCs/>
          <w:sz w:val="24"/>
        </w:rPr>
        <w:t>2.委托人的义务</w:t>
      </w:r>
      <w:bookmarkEnd w:id="196"/>
      <w:bookmarkEnd w:id="197"/>
      <w:bookmarkEnd w:id="198"/>
    </w:p>
    <w:p w14:paraId="2E9456E9">
      <w:pPr>
        <w:spacing w:line="560" w:lineRule="exact"/>
        <w:ind w:left="120" w:hanging="120"/>
        <w:jc w:val="left"/>
        <w:outlineLvl w:val="0"/>
        <w:rPr>
          <w:rFonts w:hint="eastAsia" w:ascii="宋体" w:hAnsi="宋体" w:eastAsia="宋体" w:cs="宋体"/>
          <w:bCs/>
          <w:sz w:val="24"/>
        </w:rPr>
      </w:pPr>
      <w:bookmarkStart w:id="199" w:name="_Toc56530674"/>
      <w:bookmarkStart w:id="200" w:name="_Toc419045104"/>
      <w:bookmarkStart w:id="201" w:name="_Toc422322528"/>
      <w:r>
        <w:rPr>
          <w:rFonts w:hint="eastAsia" w:ascii="宋体" w:hAnsi="宋体" w:eastAsia="宋体" w:cs="宋体"/>
          <w:bCs/>
          <w:sz w:val="24"/>
        </w:rPr>
        <w:t>2.1提供资料</w:t>
      </w:r>
      <w:bookmarkEnd w:id="199"/>
      <w:bookmarkEnd w:id="200"/>
      <w:bookmarkEnd w:id="201"/>
    </w:p>
    <w:p w14:paraId="28EFA3B7">
      <w:pPr>
        <w:spacing w:line="560" w:lineRule="exact"/>
        <w:ind w:left="120" w:hanging="120"/>
        <w:jc w:val="left"/>
        <w:rPr>
          <w:rFonts w:hint="eastAsia" w:ascii="宋体" w:hAnsi="宋体" w:eastAsia="宋体" w:cs="宋体"/>
          <w:bCs/>
          <w:sz w:val="24"/>
        </w:rPr>
      </w:pPr>
      <w:r>
        <w:rPr>
          <w:rFonts w:hint="eastAsia" w:ascii="宋体" w:hAnsi="宋体" w:eastAsia="宋体" w:cs="宋体"/>
          <w:bCs/>
          <w:sz w:val="24"/>
        </w:rPr>
        <w:t>委托人按照附录C约定无偿向咨询人提供与本合同咨询业务有关资料的时间为：</w:t>
      </w:r>
      <w:r>
        <w:rPr>
          <w:rFonts w:hint="eastAsia" w:ascii="宋体" w:hAnsi="宋体" w:eastAsia="宋体" w:cs="宋体"/>
          <w:bCs/>
          <w:sz w:val="24"/>
          <w:u w:val="single"/>
        </w:rPr>
        <w:t xml:space="preserve">  3天 </w:t>
      </w:r>
      <w:r>
        <w:rPr>
          <w:rFonts w:hint="eastAsia" w:ascii="宋体" w:hAnsi="宋体" w:eastAsia="宋体" w:cs="宋体"/>
          <w:bCs/>
          <w:sz w:val="24"/>
        </w:rPr>
        <w:t>。</w:t>
      </w:r>
    </w:p>
    <w:p w14:paraId="0035CB67">
      <w:pPr>
        <w:spacing w:line="560" w:lineRule="exact"/>
        <w:ind w:left="120" w:hanging="120"/>
        <w:jc w:val="left"/>
        <w:outlineLvl w:val="0"/>
        <w:rPr>
          <w:rFonts w:hint="eastAsia" w:ascii="宋体" w:hAnsi="宋体" w:eastAsia="宋体" w:cs="宋体"/>
          <w:bCs/>
          <w:sz w:val="24"/>
        </w:rPr>
      </w:pPr>
      <w:bookmarkStart w:id="202" w:name="_Toc422322529"/>
      <w:bookmarkStart w:id="203" w:name="_Toc56530675"/>
      <w:bookmarkStart w:id="204" w:name="_Toc419045105"/>
      <w:r>
        <w:rPr>
          <w:rFonts w:hint="eastAsia" w:ascii="宋体" w:hAnsi="宋体" w:eastAsia="宋体" w:cs="宋体"/>
          <w:bCs/>
          <w:sz w:val="24"/>
        </w:rPr>
        <w:t>2.2提供工作条件</w:t>
      </w:r>
      <w:bookmarkEnd w:id="202"/>
      <w:bookmarkEnd w:id="203"/>
      <w:bookmarkEnd w:id="204"/>
    </w:p>
    <w:p w14:paraId="0F06E93E">
      <w:pPr>
        <w:spacing w:line="560" w:lineRule="exact"/>
        <w:ind w:left="120" w:hanging="120"/>
        <w:jc w:val="left"/>
        <w:rPr>
          <w:rFonts w:hint="eastAsia" w:ascii="宋体" w:hAnsi="宋体" w:eastAsia="宋体" w:cs="宋体"/>
          <w:bCs/>
          <w:sz w:val="24"/>
        </w:rPr>
      </w:pPr>
      <w:r>
        <w:rPr>
          <w:rFonts w:hint="eastAsia" w:ascii="宋体" w:hAnsi="宋体" w:eastAsia="宋体" w:cs="宋体"/>
          <w:bCs/>
          <w:sz w:val="24"/>
        </w:rPr>
        <w:t>2.2.1项目咨询人员使用附录D中由委托人提供的房屋及设备，支付使用费的标准为:</w:t>
      </w:r>
      <w:r>
        <w:rPr>
          <w:rFonts w:hint="eastAsia" w:ascii="宋体" w:hAnsi="宋体" w:eastAsia="宋体" w:cs="宋体"/>
          <w:bCs/>
          <w:sz w:val="24"/>
          <w:u w:val="single"/>
        </w:rPr>
        <w:t xml:space="preserve">  无 </w:t>
      </w:r>
      <w:r>
        <w:rPr>
          <w:rFonts w:hint="eastAsia" w:ascii="宋体" w:hAnsi="宋体" w:eastAsia="宋体" w:cs="宋体"/>
          <w:bCs/>
          <w:sz w:val="24"/>
        </w:rPr>
        <w:t>。</w:t>
      </w:r>
    </w:p>
    <w:p w14:paraId="3EEA14ED">
      <w:pPr>
        <w:spacing w:before="60" w:after="60" w:line="560" w:lineRule="exact"/>
        <w:ind w:left="120" w:hanging="120"/>
        <w:jc w:val="left"/>
        <w:outlineLvl w:val="1"/>
        <w:rPr>
          <w:rFonts w:hint="eastAsia" w:ascii="宋体" w:hAnsi="宋体" w:eastAsia="宋体" w:cs="宋体"/>
          <w:bCs/>
          <w:sz w:val="24"/>
        </w:rPr>
      </w:pPr>
      <w:bookmarkStart w:id="205" w:name="_Toc422322530"/>
      <w:bookmarkStart w:id="206" w:name="_Toc419045106"/>
      <w:bookmarkStart w:id="207" w:name="_Toc56530676"/>
      <w:r>
        <w:rPr>
          <w:rFonts w:hint="eastAsia" w:ascii="宋体" w:hAnsi="宋体" w:eastAsia="宋体" w:cs="宋体"/>
          <w:bCs/>
          <w:sz w:val="24"/>
        </w:rPr>
        <w:t>2.4委托人代表</w:t>
      </w:r>
      <w:bookmarkEnd w:id="205"/>
      <w:bookmarkEnd w:id="206"/>
      <w:bookmarkEnd w:id="207"/>
    </w:p>
    <w:p w14:paraId="3E7D1BE7">
      <w:pPr>
        <w:spacing w:line="560" w:lineRule="exact"/>
        <w:ind w:left="120" w:hanging="120"/>
        <w:jc w:val="left"/>
        <w:rPr>
          <w:rFonts w:hint="eastAsia" w:ascii="宋体" w:hAnsi="宋体" w:eastAsia="宋体" w:cs="宋体"/>
          <w:bCs/>
          <w:kern w:val="28"/>
          <w:sz w:val="24"/>
        </w:rPr>
      </w:pPr>
      <w:r>
        <w:rPr>
          <w:rFonts w:hint="eastAsia" w:ascii="宋体" w:hAnsi="宋体" w:eastAsia="宋体" w:cs="宋体"/>
          <w:bCs/>
          <w:sz w:val="24"/>
        </w:rPr>
        <w:t>委托人代表为：</w:t>
      </w:r>
      <w:r>
        <w:rPr>
          <w:rFonts w:hint="eastAsia" w:ascii="宋体" w:hAnsi="宋体" w:eastAsia="宋体" w:cs="宋体"/>
          <w:sz w:val="24"/>
          <w:u w:val="single"/>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 xml:space="preserve">，其权限范围 </w:t>
      </w:r>
      <w:r>
        <w:rPr>
          <w:rFonts w:hint="eastAsia" w:ascii="宋体" w:hAnsi="宋体" w:eastAsia="宋体" w:cs="宋体"/>
          <w:bCs/>
          <w:sz w:val="24"/>
          <w:u w:val="single"/>
        </w:rPr>
        <w:t xml:space="preserve"> /_</w:t>
      </w:r>
      <w:r>
        <w:rPr>
          <w:rFonts w:hint="eastAsia" w:ascii="宋体" w:hAnsi="宋体" w:eastAsia="宋体" w:cs="宋体"/>
          <w:bCs/>
          <w:sz w:val="24"/>
        </w:rPr>
        <w:t>。</w:t>
      </w:r>
    </w:p>
    <w:p w14:paraId="18F85491">
      <w:pPr>
        <w:spacing w:before="60" w:after="60" w:line="560" w:lineRule="exact"/>
        <w:ind w:left="120" w:hanging="120"/>
        <w:jc w:val="left"/>
        <w:outlineLvl w:val="1"/>
        <w:rPr>
          <w:rFonts w:hint="eastAsia" w:ascii="宋体" w:hAnsi="宋体" w:eastAsia="宋体" w:cs="宋体"/>
          <w:bCs/>
          <w:sz w:val="24"/>
        </w:rPr>
      </w:pPr>
      <w:bookmarkStart w:id="208" w:name="_Toc56530677"/>
      <w:bookmarkStart w:id="209" w:name="_Toc422322531"/>
      <w:r>
        <w:rPr>
          <w:rFonts w:hint="eastAsia" w:ascii="宋体" w:hAnsi="宋体" w:eastAsia="宋体" w:cs="宋体"/>
          <w:bCs/>
          <w:sz w:val="24"/>
        </w:rPr>
        <w:t>2.5答复</w:t>
      </w:r>
      <w:bookmarkEnd w:id="208"/>
      <w:bookmarkEnd w:id="209"/>
    </w:p>
    <w:p w14:paraId="5A60AEF7">
      <w:pPr>
        <w:spacing w:line="560" w:lineRule="exact"/>
        <w:ind w:left="120" w:hanging="120"/>
        <w:jc w:val="left"/>
        <w:rPr>
          <w:rFonts w:hint="eastAsia" w:ascii="宋体" w:hAnsi="宋体" w:eastAsia="宋体" w:cs="宋体"/>
          <w:bCs/>
          <w:sz w:val="24"/>
        </w:rPr>
      </w:pPr>
      <w:r>
        <w:rPr>
          <w:rFonts w:hint="eastAsia" w:ascii="宋体" w:hAnsi="宋体" w:eastAsia="宋体" w:cs="宋体"/>
          <w:bCs/>
          <w:sz w:val="24"/>
        </w:rPr>
        <w:t xml:space="preserve">  委托人同意除紧急情况外在</w:t>
      </w:r>
      <w:r>
        <w:rPr>
          <w:rFonts w:hint="eastAsia" w:ascii="宋体" w:hAnsi="宋体" w:eastAsia="宋体" w:cs="宋体"/>
          <w:bCs/>
          <w:sz w:val="24"/>
          <w:u w:val="single"/>
        </w:rPr>
        <w:t xml:space="preserve"> 3 </w:t>
      </w:r>
      <w:r>
        <w:rPr>
          <w:rFonts w:hint="eastAsia" w:ascii="宋体" w:hAnsi="宋体" w:eastAsia="宋体" w:cs="宋体"/>
          <w:bCs/>
          <w:sz w:val="24"/>
        </w:rPr>
        <w:t>日内，对咨询人书面提交并要求做出决定的事宜给予书面答复。逾期未答复的，并不视为委托人认可。</w:t>
      </w:r>
    </w:p>
    <w:p w14:paraId="3E82C6D2">
      <w:pPr>
        <w:spacing w:line="560" w:lineRule="exact"/>
        <w:ind w:left="120" w:hanging="120"/>
        <w:jc w:val="left"/>
        <w:outlineLvl w:val="0"/>
        <w:rPr>
          <w:rFonts w:hint="eastAsia" w:ascii="宋体" w:hAnsi="宋体" w:eastAsia="宋体" w:cs="宋体"/>
          <w:bCs/>
          <w:sz w:val="24"/>
        </w:rPr>
      </w:pPr>
      <w:bookmarkStart w:id="210" w:name="_Toc419045107"/>
      <w:bookmarkStart w:id="211" w:name="_Toc56530678"/>
      <w:bookmarkStart w:id="212" w:name="_Toc422322532"/>
      <w:r>
        <w:rPr>
          <w:rFonts w:hint="eastAsia" w:ascii="宋体" w:hAnsi="宋体" w:eastAsia="宋体" w:cs="宋体"/>
          <w:bCs/>
          <w:sz w:val="24"/>
        </w:rPr>
        <w:t>3.咨询人的义务</w:t>
      </w:r>
      <w:bookmarkEnd w:id="210"/>
      <w:bookmarkEnd w:id="211"/>
      <w:bookmarkEnd w:id="212"/>
    </w:p>
    <w:p w14:paraId="380FCD28">
      <w:pPr>
        <w:spacing w:before="60" w:after="60" w:line="560" w:lineRule="exact"/>
        <w:ind w:left="120" w:hanging="120"/>
        <w:jc w:val="left"/>
        <w:outlineLvl w:val="1"/>
        <w:rPr>
          <w:rFonts w:hint="eastAsia" w:ascii="宋体" w:hAnsi="宋体" w:eastAsia="宋体" w:cs="宋体"/>
          <w:bCs/>
          <w:sz w:val="24"/>
        </w:rPr>
      </w:pPr>
      <w:bookmarkStart w:id="213" w:name="_Toc422322533"/>
      <w:bookmarkStart w:id="214" w:name="_Toc419045109"/>
      <w:bookmarkStart w:id="215" w:name="_Toc56530679"/>
      <w:r>
        <w:rPr>
          <w:rFonts w:hint="eastAsia" w:ascii="宋体" w:hAnsi="宋体" w:eastAsia="宋体" w:cs="宋体"/>
          <w:bCs/>
          <w:sz w:val="24"/>
        </w:rPr>
        <w:t>3.1项目咨询团队及人员</w:t>
      </w:r>
      <w:bookmarkEnd w:id="213"/>
      <w:bookmarkEnd w:id="214"/>
      <w:bookmarkEnd w:id="215"/>
    </w:p>
    <w:p w14:paraId="437DCE54">
      <w:pPr>
        <w:spacing w:line="560" w:lineRule="exact"/>
        <w:ind w:left="120" w:hanging="120"/>
        <w:jc w:val="left"/>
        <w:rPr>
          <w:rFonts w:hint="eastAsia" w:ascii="宋体" w:hAnsi="宋体" w:eastAsia="宋体" w:cs="宋体"/>
          <w:b/>
          <w:sz w:val="24"/>
        </w:rPr>
      </w:pPr>
      <w:r>
        <w:rPr>
          <w:rFonts w:hint="eastAsia" w:ascii="宋体" w:hAnsi="宋体" w:eastAsia="宋体" w:cs="宋体"/>
          <w:b/>
          <w:sz w:val="24"/>
        </w:rPr>
        <w:t>3.1.1项目团队的主要人员应具有</w:t>
      </w:r>
      <w:r>
        <w:rPr>
          <w:rFonts w:hint="eastAsia" w:ascii="宋体" w:hAnsi="宋体" w:eastAsia="宋体" w:cs="宋体"/>
          <w:b/>
          <w:sz w:val="24"/>
          <w:u w:val="single"/>
        </w:rPr>
        <w:t xml:space="preserve">      </w:t>
      </w:r>
      <w:r>
        <w:rPr>
          <w:rFonts w:hint="eastAsia" w:ascii="宋体" w:hAnsi="宋体" w:eastAsia="宋体" w:cs="宋体"/>
          <w:b/>
          <w:sz w:val="24"/>
        </w:rPr>
        <w:t>资格条件，团队人员的数量为</w:t>
      </w:r>
      <w:r>
        <w:rPr>
          <w:rFonts w:hint="eastAsia" w:ascii="宋体" w:hAnsi="宋体" w:eastAsia="宋体" w:cs="宋体"/>
          <w:b/>
          <w:sz w:val="24"/>
          <w:u w:val="single"/>
        </w:rPr>
        <w:t xml:space="preserve">  </w:t>
      </w:r>
      <w:r>
        <w:rPr>
          <w:rFonts w:hint="eastAsia" w:ascii="宋体" w:hAnsi="宋体" w:eastAsia="宋体" w:cs="宋体"/>
          <w:b/>
          <w:sz w:val="24"/>
        </w:rPr>
        <w:t>人（注册造价师 名，各专业工程师  名），驻场人员不少于 1 人，且必须是本单位人员，建设云可查，且提供近三个月的社保证明。</w:t>
      </w:r>
    </w:p>
    <w:tbl>
      <w:tblPr>
        <w:tblStyle w:val="34"/>
        <w:tblW w:w="0" w:type="auto"/>
        <w:tblInd w:w="5"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1562"/>
        <w:gridCol w:w="1655"/>
        <w:gridCol w:w="1655"/>
        <w:gridCol w:w="1327"/>
        <w:gridCol w:w="2117"/>
      </w:tblGrid>
      <w:tr w14:paraId="6B1E78C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62" w:type="dxa"/>
            <w:noWrap w:val="0"/>
            <w:vAlign w:val="top"/>
          </w:tcPr>
          <w:p w14:paraId="084A834C">
            <w:pPr>
              <w:pStyle w:val="50"/>
              <w:spacing w:before="3"/>
              <w:ind w:left="120" w:right="512" w:hanging="120"/>
              <w:jc w:val="center"/>
              <w:rPr>
                <w:rFonts w:hint="eastAsia" w:ascii="宋体" w:hAnsi="宋体" w:eastAsia="宋体" w:cs="宋体"/>
                <w:sz w:val="24"/>
              </w:rPr>
            </w:pPr>
            <w:r>
              <w:rPr>
                <w:rFonts w:hint="eastAsia" w:ascii="宋体" w:hAnsi="宋体" w:eastAsia="宋体" w:cs="宋体"/>
                <w:sz w:val="24"/>
              </w:rPr>
              <w:t>序号</w:t>
            </w:r>
          </w:p>
        </w:tc>
        <w:tc>
          <w:tcPr>
            <w:tcW w:w="1655" w:type="dxa"/>
            <w:noWrap w:val="0"/>
            <w:vAlign w:val="top"/>
          </w:tcPr>
          <w:p w14:paraId="72D7AC92">
            <w:pPr>
              <w:pStyle w:val="50"/>
              <w:spacing w:before="3"/>
              <w:ind w:left="120" w:right="198" w:hanging="120"/>
              <w:jc w:val="center"/>
              <w:rPr>
                <w:rFonts w:hint="eastAsia" w:ascii="宋体" w:hAnsi="宋体" w:eastAsia="宋体" w:cs="宋体"/>
                <w:sz w:val="24"/>
              </w:rPr>
            </w:pPr>
            <w:r>
              <w:rPr>
                <w:rFonts w:hint="eastAsia" w:ascii="宋体" w:hAnsi="宋体" w:eastAsia="宋体" w:cs="宋体"/>
                <w:sz w:val="24"/>
              </w:rPr>
              <w:t>姓名</w:t>
            </w:r>
          </w:p>
        </w:tc>
        <w:tc>
          <w:tcPr>
            <w:tcW w:w="1655" w:type="dxa"/>
            <w:noWrap w:val="0"/>
            <w:vAlign w:val="top"/>
          </w:tcPr>
          <w:p w14:paraId="7342701D">
            <w:pPr>
              <w:pStyle w:val="50"/>
              <w:spacing w:before="3"/>
              <w:ind w:left="120" w:right="198" w:hanging="120"/>
              <w:jc w:val="center"/>
              <w:rPr>
                <w:rFonts w:hint="eastAsia" w:ascii="宋体" w:hAnsi="宋体" w:eastAsia="宋体" w:cs="宋体"/>
                <w:sz w:val="24"/>
              </w:rPr>
            </w:pPr>
            <w:r>
              <w:rPr>
                <w:rFonts w:hint="eastAsia" w:ascii="宋体" w:hAnsi="宋体" w:eastAsia="宋体" w:cs="宋体"/>
                <w:sz w:val="24"/>
              </w:rPr>
              <w:t>职务</w:t>
            </w:r>
          </w:p>
        </w:tc>
        <w:tc>
          <w:tcPr>
            <w:tcW w:w="1327" w:type="dxa"/>
            <w:noWrap w:val="0"/>
            <w:vAlign w:val="top"/>
          </w:tcPr>
          <w:p w14:paraId="6E5D5290">
            <w:pPr>
              <w:pStyle w:val="50"/>
              <w:spacing w:before="3"/>
              <w:ind w:left="120" w:right="155" w:hanging="120"/>
              <w:jc w:val="center"/>
              <w:rPr>
                <w:rFonts w:hint="eastAsia" w:ascii="宋体" w:hAnsi="宋体" w:eastAsia="宋体" w:cs="宋体"/>
                <w:sz w:val="24"/>
              </w:rPr>
            </w:pPr>
            <w:r>
              <w:rPr>
                <w:rFonts w:hint="eastAsia" w:ascii="宋体" w:hAnsi="宋体" w:eastAsia="宋体" w:cs="宋体"/>
                <w:sz w:val="24"/>
              </w:rPr>
              <w:t>工作年限</w:t>
            </w:r>
          </w:p>
        </w:tc>
        <w:tc>
          <w:tcPr>
            <w:tcW w:w="2117" w:type="dxa"/>
            <w:noWrap w:val="0"/>
            <w:vAlign w:val="top"/>
          </w:tcPr>
          <w:p w14:paraId="59042996">
            <w:pPr>
              <w:pStyle w:val="50"/>
              <w:spacing w:before="3"/>
              <w:ind w:left="120" w:right="94" w:hanging="120"/>
              <w:jc w:val="center"/>
              <w:rPr>
                <w:rFonts w:hint="eastAsia" w:ascii="宋体" w:hAnsi="宋体" w:eastAsia="宋体" w:cs="宋体"/>
                <w:sz w:val="24"/>
              </w:rPr>
            </w:pPr>
            <w:r>
              <w:rPr>
                <w:rFonts w:hint="eastAsia" w:ascii="宋体" w:hAnsi="宋体" w:eastAsia="宋体" w:cs="宋体"/>
                <w:sz w:val="24"/>
              </w:rPr>
              <w:t>执业资格证编码</w:t>
            </w:r>
          </w:p>
        </w:tc>
      </w:tr>
      <w:tr w14:paraId="0F9F5F7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62" w:type="dxa"/>
            <w:noWrap w:val="0"/>
            <w:vAlign w:val="top"/>
          </w:tcPr>
          <w:p w14:paraId="2F20F813">
            <w:pPr>
              <w:pStyle w:val="50"/>
              <w:spacing w:before="1"/>
              <w:ind w:left="120" w:hanging="120"/>
              <w:jc w:val="center"/>
              <w:rPr>
                <w:rFonts w:hint="eastAsia" w:ascii="宋体" w:hAnsi="宋体" w:eastAsia="宋体" w:cs="宋体"/>
                <w:sz w:val="24"/>
              </w:rPr>
            </w:pPr>
            <w:r>
              <w:rPr>
                <w:rFonts w:hint="eastAsia" w:ascii="宋体" w:hAnsi="宋体" w:eastAsia="宋体" w:cs="宋体"/>
                <w:sz w:val="24"/>
              </w:rPr>
              <w:t>1</w:t>
            </w:r>
          </w:p>
        </w:tc>
        <w:tc>
          <w:tcPr>
            <w:tcW w:w="1655" w:type="dxa"/>
            <w:noWrap w:val="0"/>
            <w:vAlign w:val="top"/>
          </w:tcPr>
          <w:p w14:paraId="21DC15F9">
            <w:pPr>
              <w:pStyle w:val="50"/>
              <w:spacing w:before="1"/>
              <w:ind w:left="120" w:right="198" w:hanging="120"/>
              <w:jc w:val="center"/>
              <w:rPr>
                <w:rFonts w:hint="eastAsia" w:ascii="宋体" w:hAnsi="宋体" w:eastAsia="宋体" w:cs="宋体"/>
                <w:sz w:val="24"/>
              </w:rPr>
            </w:pPr>
          </w:p>
        </w:tc>
        <w:tc>
          <w:tcPr>
            <w:tcW w:w="1655" w:type="dxa"/>
            <w:noWrap w:val="0"/>
            <w:vAlign w:val="top"/>
          </w:tcPr>
          <w:p w14:paraId="1FEB4954">
            <w:pPr>
              <w:pStyle w:val="50"/>
              <w:spacing w:before="1"/>
              <w:ind w:left="120" w:right="198" w:hanging="120"/>
              <w:jc w:val="center"/>
              <w:rPr>
                <w:rFonts w:hint="eastAsia" w:ascii="宋体" w:hAnsi="宋体" w:eastAsia="宋体" w:cs="宋体"/>
                <w:sz w:val="24"/>
              </w:rPr>
            </w:pPr>
          </w:p>
        </w:tc>
        <w:tc>
          <w:tcPr>
            <w:tcW w:w="1327" w:type="dxa"/>
            <w:noWrap w:val="0"/>
            <w:vAlign w:val="top"/>
          </w:tcPr>
          <w:p w14:paraId="370BFE78">
            <w:pPr>
              <w:pStyle w:val="50"/>
              <w:spacing w:before="1"/>
              <w:ind w:left="120" w:right="155" w:hanging="120"/>
              <w:jc w:val="center"/>
              <w:rPr>
                <w:rFonts w:hint="eastAsia" w:ascii="宋体" w:hAnsi="宋体" w:eastAsia="宋体" w:cs="宋体"/>
                <w:sz w:val="24"/>
              </w:rPr>
            </w:pPr>
          </w:p>
        </w:tc>
        <w:tc>
          <w:tcPr>
            <w:tcW w:w="2117" w:type="dxa"/>
            <w:noWrap w:val="0"/>
            <w:vAlign w:val="top"/>
          </w:tcPr>
          <w:p w14:paraId="33618BE7">
            <w:pPr>
              <w:pStyle w:val="50"/>
              <w:spacing w:before="182" w:line="265" w:lineRule="exact"/>
              <w:ind w:left="120" w:right="94" w:hanging="120"/>
              <w:jc w:val="center"/>
              <w:rPr>
                <w:rFonts w:hint="eastAsia" w:ascii="宋体" w:hAnsi="宋体" w:eastAsia="宋体" w:cs="宋体"/>
                <w:sz w:val="24"/>
              </w:rPr>
            </w:pPr>
          </w:p>
        </w:tc>
      </w:tr>
      <w:tr w14:paraId="5F78728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62" w:type="dxa"/>
            <w:noWrap w:val="0"/>
            <w:vAlign w:val="top"/>
          </w:tcPr>
          <w:p w14:paraId="76F055F4">
            <w:pPr>
              <w:pStyle w:val="50"/>
              <w:spacing w:before="2"/>
              <w:ind w:left="120" w:hanging="120"/>
              <w:jc w:val="center"/>
              <w:rPr>
                <w:rFonts w:hint="eastAsia" w:ascii="宋体" w:hAnsi="宋体" w:eastAsia="宋体" w:cs="宋体"/>
                <w:sz w:val="24"/>
              </w:rPr>
            </w:pPr>
            <w:r>
              <w:rPr>
                <w:rFonts w:hint="eastAsia" w:ascii="宋体" w:hAnsi="宋体" w:eastAsia="宋体" w:cs="宋体"/>
                <w:sz w:val="24"/>
              </w:rPr>
              <w:t>2</w:t>
            </w:r>
          </w:p>
        </w:tc>
        <w:tc>
          <w:tcPr>
            <w:tcW w:w="1655" w:type="dxa"/>
            <w:noWrap w:val="0"/>
            <w:vAlign w:val="top"/>
          </w:tcPr>
          <w:p w14:paraId="0A7B43CB">
            <w:pPr>
              <w:pStyle w:val="50"/>
              <w:spacing w:before="2"/>
              <w:ind w:left="120" w:right="198" w:hanging="120"/>
              <w:jc w:val="center"/>
              <w:rPr>
                <w:rFonts w:hint="eastAsia" w:ascii="宋体" w:hAnsi="宋体" w:eastAsia="宋体" w:cs="宋体"/>
                <w:sz w:val="24"/>
              </w:rPr>
            </w:pPr>
          </w:p>
        </w:tc>
        <w:tc>
          <w:tcPr>
            <w:tcW w:w="1655" w:type="dxa"/>
            <w:noWrap w:val="0"/>
            <w:vAlign w:val="top"/>
          </w:tcPr>
          <w:p w14:paraId="5BF88B85">
            <w:pPr>
              <w:pStyle w:val="50"/>
              <w:spacing w:before="2"/>
              <w:ind w:left="120" w:right="198" w:hanging="120"/>
              <w:jc w:val="center"/>
              <w:rPr>
                <w:rFonts w:hint="eastAsia" w:ascii="宋体" w:hAnsi="宋体" w:eastAsia="宋体" w:cs="宋体"/>
                <w:sz w:val="24"/>
              </w:rPr>
            </w:pPr>
          </w:p>
        </w:tc>
        <w:tc>
          <w:tcPr>
            <w:tcW w:w="1327" w:type="dxa"/>
            <w:noWrap w:val="0"/>
            <w:vAlign w:val="top"/>
          </w:tcPr>
          <w:p w14:paraId="08118EB4">
            <w:pPr>
              <w:pStyle w:val="50"/>
              <w:spacing w:before="2"/>
              <w:ind w:left="120" w:right="155" w:hanging="120"/>
              <w:jc w:val="center"/>
              <w:rPr>
                <w:rFonts w:hint="eastAsia" w:ascii="宋体" w:hAnsi="宋体" w:eastAsia="宋体" w:cs="宋体"/>
                <w:sz w:val="24"/>
              </w:rPr>
            </w:pPr>
          </w:p>
        </w:tc>
        <w:tc>
          <w:tcPr>
            <w:tcW w:w="2117" w:type="dxa"/>
            <w:noWrap w:val="0"/>
            <w:vAlign w:val="top"/>
          </w:tcPr>
          <w:p w14:paraId="7601EAF2">
            <w:pPr>
              <w:pStyle w:val="50"/>
              <w:spacing w:before="2"/>
              <w:ind w:left="120" w:right="94" w:hanging="120"/>
              <w:jc w:val="center"/>
              <w:rPr>
                <w:rFonts w:hint="eastAsia" w:ascii="宋体" w:hAnsi="宋体" w:eastAsia="宋体" w:cs="宋体"/>
                <w:sz w:val="24"/>
              </w:rPr>
            </w:pPr>
          </w:p>
        </w:tc>
      </w:tr>
      <w:tr w14:paraId="59CEED6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562" w:type="dxa"/>
            <w:noWrap w:val="0"/>
            <w:vAlign w:val="top"/>
          </w:tcPr>
          <w:p w14:paraId="772EF131">
            <w:pPr>
              <w:pStyle w:val="50"/>
              <w:ind w:left="120" w:hanging="120"/>
              <w:jc w:val="center"/>
              <w:rPr>
                <w:rFonts w:hint="eastAsia" w:ascii="宋体" w:hAnsi="宋体" w:eastAsia="宋体" w:cs="宋体"/>
                <w:sz w:val="24"/>
              </w:rPr>
            </w:pPr>
            <w:r>
              <w:rPr>
                <w:rFonts w:hint="eastAsia" w:ascii="宋体" w:hAnsi="宋体" w:eastAsia="宋体" w:cs="宋体"/>
                <w:sz w:val="24"/>
              </w:rPr>
              <w:t>3</w:t>
            </w:r>
          </w:p>
        </w:tc>
        <w:tc>
          <w:tcPr>
            <w:tcW w:w="1655" w:type="dxa"/>
            <w:noWrap w:val="0"/>
            <w:vAlign w:val="top"/>
          </w:tcPr>
          <w:p w14:paraId="36F746F9">
            <w:pPr>
              <w:pStyle w:val="50"/>
              <w:ind w:left="120" w:right="198" w:hanging="120"/>
              <w:jc w:val="center"/>
              <w:rPr>
                <w:rFonts w:hint="eastAsia" w:ascii="宋体" w:hAnsi="宋体" w:eastAsia="宋体" w:cs="宋体"/>
                <w:sz w:val="24"/>
              </w:rPr>
            </w:pPr>
          </w:p>
        </w:tc>
        <w:tc>
          <w:tcPr>
            <w:tcW w:w="1655" w:type="dxa"/>
            <w:noWrap w:val="0"/>
            <w:vAlign w:val="top"/>
          </w:tcPr>
          <w:p w14:paraId="41EF3BD8">
            <w:pPr>
              <w:pStyle w:val="50"/>
              <w:ind w:left="120" w:right="198" w:hanging="120"/>
              <w:jc w:val="center"/>
              <w:rPr>
                <w:rFonts w:hint="eastAsia" w:ascii="宋体" w:hAnsi="宋体" w:eastAsia="宋体" w:cs="宋体"/>
                <w:sz w:val="24"/>
              </w:rPr>
            </w:pPr>
          </w:p>
        </w:tc>
        <w:tc>
          <w:tcPr>
            <w:tcW w:w="1327" w:type="dxa"/>
            <w:noWrap w:val="0"/>
            <w:vAlign w:val="top"/>
          </w:tcPr>
          <w:p w14:paraId="02FBF4F7">
            <w:pPr>
              <w:pStyle w:val="50"/>
              <w:ind w:left="120" w:hanging="120"/>
              <w:jc w:val="center"/>
              <w:rPr>
                <w:rFonts w:hint="eastAsia" w:ascii="宋体" w:hAnsi="宋体" w:eastAsia="宋体" w:cs="宋体"/>
                <w:sz w:val="24"/>
              </w:rPr>
            </w:pPr>
          </w:p>
        </w:tc>
        <w:tc>
          <w:tcPr>
            <w:tcW w:w="2117" w:type="dxa"/>
            <w:noWrap w:val="0"/>
            <w:vAlign w:val="top"/>
          </w:tcPr>
          <w:p w14:paraId="64036380">
            <w:pPr>
              <w:pStyle w:val="50"/>
              <w:ind w:left="120" w:right="94" w:hanging="120"/>
              <w:jc w:val="center"/>
              <w:rPr>
                <w:rFonts w:hint="eastAsia" w:ascii="宋体" w:hAnsi="宋体" w:eastAsia="宋体" w:cs="宋体"/>
                <w:sz w:val="24"/>
              </w:rPr>
            </w:pPr>
          </w:p>
        </w:tc>
      </w:tr>
      <w:tr w14:paraId="0130C7E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562" w:type="dxa"/>
            <w:noWrap w:val="0"/>
            <w:vAlign w:val="top"/>
          </w:tcPr>
          <w:p w14:paraId="42C6D09D">
            <w:pPr>
              <w:pStyle w:val="50"/>
              <w:spacing w:before="1"/>
              <w:ind w:left="120" w:hanging="120"/>
              <w:jc w:val="center"/>
              <w:rPr>
                <w:rFonts w:hint="eastAsia" w:ascii="宋体" w:hAnsi="宋体" w:eastAsia="宋体" w:cs="宋体"/>
                <w:sz w:val="24"/>
              </w:rPr>
            </w:pPr>
          </w:p>
        </w:tc>
        <w:tc>
          <w:tcPr>
            <w:tcW w:w="1655" w:type="dxa"/>
            <w:noWrap w:val="0"/>
            <w:vAlign w:val="top"/>
          </w:tcPr>
          <w:p w14:paraId="00773C49">
            <w:pPr>
              <w:pStyle w:val="50"/>
              <w:spacing w:before="1"/>
              <w:ind w:left="120" w:right="198" w:hanging="120"/>
              <w:jc w:val="center"/>
              <w:rPr>
                <w:rFonts w:hint="eastAsia" w:ascii="宋体" w:hAnsi="宋体" w:eastAsia="宋体" w:cs="宋体"/>
                <w:sz w:val="24"/>
              </w:rPr>
            </w:pPr>
          </w:p>
        </w:tc>
        <w:tc>
          <w:tcPr>
            <w:tcW w:w="1655" w:type="dxa"/>
            <w:noWrap w:val="0"/>
            <w:vAlign w:val="top"/>
          </w:tcPr>
          <w:p w14:paraId="49E60CE0">
            <w:pPr>
              <w:pStyle w:val="50"/>
              <w:spacing w:before="1"/>
              <w:ind w:left="120" w:right="198" w:hanging="120"/>
              <w:jc w:val="center"/>
              <w:rPr>
                <w:rFonts w:hint="eastAsia" w:ascii="宋体" w:hAnsi="宋体" w:eastAsia="宋体" w:cs="宋体"/>
                <w:sz w:val="24"/>
              </w:rPr>
            </w:pPr>
          </w:p>
        </w:tc>
        <w:tc>
          <w:tcPr>
            <w:tcW w:w="1327" w:type="dxa"/>
            <w:noWrap w:val="0"/>
            <w:vAlign w:val="top"/>
          </w:tcPr>
          <w:p w14:paraId="1C45D1B4">
            <w:pPr>
              <w:pStyle w:val="50"/>
              <w:spacing w:before="1"/>
              <w:ind w:left="120" w:hanging="120"/>
              <w:jc w:val="center"/>
              <w:rPr>
                <w:rFonts w:hint="eastAsia" w:ascii="宋体" w:hAnsi="宋体" w:eastAsia="宋体" w:cs="宋体"/>
                <w:sz w:val="24"/>
              </w:rPr>
            </w:pPr>
          </w:p>
        </w:tc>
        <w:tc>
          <w:tcPr>
            <w:tcW w:w="2117" w:type="dxa"/>
            <w:noWrap w:val="0"/>
            <w:vAlign w:val="top"/>
          </w:tcPr>
          <w:p w14:paraId="79A8A3E5">
            <w:pPr>
              <w:pStyle w:val="50"/>
              <w:spacing w:before="1"/>
              <w:ind w:left="120" w:right="94" w:hanging="120"/>
              <w:jc w:val="center"/>
              <w:rPr>
                <w:rFonts w:hint="eastAsia" w:ascii="宋体" w:hAnsi="宋体" w:eastAsia="宋体" w:cs="宋体"/>
                <w:sz w:val="24"/>
              </w:rPr>
            </w:pPr>
          </w:p>
        </w:tc>
      </w:tr>
      <w:tr w14:paraId="0D545BF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562" w:type="dxa"/>
            <w:noWrap w:val="0"/>
            <w:vAlign w:val="top"/>
          </w:tcPr>
          <w:p w14:paraId="2CAE49BD">
            <w:pPr>
              <w:pStyle w:val="50"/>
              <w:spacing w:before="19"/>
              <w:ind w:left="120" w:hanging="120"/>
              <w:jc w:val="center"/>
              <w:rPr>
                <w:rFonts w:hint="eastAsia" w:ascii="宋体" w:hAnsi="宋体" w:eastAsia="宋体" w:cs="宋体"/>
                <w:sz w:val="24"/>
              </w:rPr>
            </w:pPr>
          </w:p>
        </w:tc>
        <w:tc>
          <w:tcPr>
            <w:tcW w:w="1655" w:type="dxa"/>
            <w:noWrap w:val="0"/>
            <w:vAlign w:val="top"/>
          </w:tcPr>
          <w:p w14:paraId="217C6B37">
            <w:pPr>
              <w:pStyle w:val="50"/>
              <w:spacing w:before="19"/>
              <w:ind w:left="120" w:right="198" w:hanging="120"/>
              <w:jc w:val="center"/>
              <w:rPr>
                <w:rFonts w:hint="eastAsia" w:ascii="宋体" w:hAnsi="宋体" w:eastAsia="宋体" w:cs="宋体"/>
                <w:sz w:val="24"/>
              </w:rPr>
            </w:pPr>
          </w:p>
        </w:tc>
        <w:tc>
          <w:tcPr>
            <w:tcW w:w="1655" w:type="dxa"/>
            <w:noWrap w:val="0"/>
            <w:vAlign w:val="top"/>
          </w:tcPr>
          <w:p w14:paraId="07B4F695">
            <w:pPr>
              <w:pStyle w:val="50"/>
              <w:spacing w:before="19"/>
              <w:ind w:left="120" w:right="198" w:hanging="120"/>
              <w:jc w:val="center"/>
              <w:rPr>
                <w:rFonts w:hint="eastAsia" w:ascii="宋体" w:hAnsi="宋体" w:eastAsia="宋体" w:cs="宋体"/>
                <w:sz w:val="24"/>
              </w:rPr>
            </w:pPr>
          </w:p>
        </w:tc>
        <w:tc>
          <w:tcPr>
            <w:tcW w:w="1327" w:type="dxa"/>
            <w:noWrap w:val="0"/>
            <w:vAlign w:val="top"/>
          </w:tcPr>
          <w:p w14:paraId="164F7D4A">
            <w:pPr>
              <w:pStyle w:val="50"/>
              <w:spacing w:before="19"/>
              <w:ind w:left="120" w:hanging="120"/>
              <w:jc w:val="center"/>
              <w:rPr>
                <w:rFonts w:hint="eastAsia" w:ascii="宋体" w:hAnsi="宋体" w:eastAsia="宋体" w:cs="宋体"/>
                <w:sz w:val="24"/>
              </w:rPr>
            </w:pPr>
          </w:p>
        </w:tc>
        <w:tc>
          <w:tcPr>
            <w:tcW w:w="2117" w:type="dxa"/>
            <w:noWrap w:val="0"/>
            <w:vAlign w:val="top"/>
          </w:tcPr>
          <w:p w14:paraId="38FF1AAA">
            <w:pPr>
              <w:pStyle w:val="50"/>
              <w:ind w:left="120" w:hanging="120"/>
              <w:rPr>
                <w:rFonts w:hint="eastAsia" w:ascii="宋体" w:hAnsi="宋体" w:eastAsia="宋体" w:cs="宋体"/>
                <w:sz w:val="24"/>
              </w:rPr>
            </w:pPr>
          </w:p>
        </w:tc>
      </w:tr>
      <w:tr w14:paraId="5F820C9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62" w:type="dxa"/>
            <w:noWrap w:val="0"/>
            <w:vAlign w:val="top"/>
          </w:tcPr>
          <w:p w14:paraId="0F60AEA9">
            <w:pPr>
              <w:pStyle w:val="50"/>
              <w:spacing w:before="1"/>
              <w:ind w:left="120" w:hanging="120"/>
              <w:jc w:val="center"/>
              <w:rPr>
                <w:rFonts w:hint="eastAsia" w:ascii="宋体" w:hAnsi="宋体" w:eastAsia="宋体" w:cs="宋体"/>
                <w:sz w:val="24"/>
              </w:rPr>
            </w:pPr>
          </w:p>
        </w:tc>
        <w:tc>
          <w:tcPr>
            <w:tcW w:w="1655" w:type="dxa"/>
            <w:noWrap w:val="0"/>
            <w:vAlign w:val="top"/>
          </w:tcPr>
          <w:p w14:paraId="2661B4DE">
            <w:pPr>
              <w:pStyle w:val="50"/>
              <w:spacing w:before="1"/>
              <w:ind w:left="120" w:right="198" w:hanging="120"/>
              <w:jc w:val="center"/>
              <w:rPr>
                <w:rFonts w:hint="eastAsia" w:ascii="宋体" w:hAnsi="宋体" w:eastAsia="宋体" w:cs="宋体"/>
                <w:sz w:val="24"/>
              </w:rPr>
            </w:pPr>
          </w:p>
        </w:tc>
        <w:tc>
          <w:tcPr>
            <w:tcW w:w="1655" w:type="dxa"/>
            <w:noWrap w:val="0"/>
            <w:vAlign w:val="top"/>
          </w:tcPr>
          <w:p w14:paraId="3861323D">
            <w:pPr>
              <w:pStyle w:val="50"/>
              <w:spacing w:before="1"/>
              <w:ind w:left="120" w:right="198" w:hanging="120"/>
              <w:jc w:val="center"/>
              <w:rPr>
                <w:rFonts w:hint="eastAsia" w:ascii="宋体" w:hAnsi="宋体" w:eastAsia="宋体" w:cs="宋体"/>
                <w:sz w:val="24"/>
              </w:rPr>
            </w:pPr>
          </w:p>
        </w:tc>
        <w:tc>
          <w:tcPr>
            <w:tcW w:w="1327" w:type="dxa"/>
            <w:noWrap w:val="0"/>
            <w:vAlign w:val="top"/>
          </w:tcPr>
          <w:p w14:paraId="44C12FB3">
            <w:pPr>
              <w:pStyle w:val="50"/>
              <w:spacing w:before="1"/>
              <w:ind w:left="120" w:hanging="120"/>
              <w:jc w:val="center"/>
              <w:rPr>
                <w:rFonts w:hint="eastAsia" w:ascii="宋体" w:hAnsi="宋体" w:eastAsia="宋体" w:cs="宋体"/>
                <w:sz w:val="24"/>
              </w:rPr>
            </w:pPr>
          </w:p>
        </w:tc>
        <w:tc>
          <w:tcPr>
            <w:tcW w:w="2117" w:type="dxa"/>
            <w:noWrap w:val="0"/>
            <w:vAlign w:val="top"/>
          </w:tcPr>
          <w:p w14:paraId="2348D886">
            <w:pPr>
              <w:pStyle w:val="50"/>
              <w:spacing w:before="1"/>
              <w:ind w:left="120" w:right="94" w:hanging="120"/>
              <w:jc w:val="center"/>
              <w:rPr>
                <w:rFonts w:hint="eastAsia" w:ascii="宋体" w:hAnsi="宋体" w:eastAsia="宋体" w:cs="宋体"/>
                <w:sz w:val="24"/>
              </w:rPr>
            </w:pPr>
          </w:p>
        </w:tc>
      </w:tr>
    </w:tbl>
    <w:p w14:paraId="65019722">
      <w:pPr>
        <w:spacing w:line="560" w:lineRule="exact"/>
        <w:ind w:left="120" w:hanging="120"/>
        <w:jc w:val="left"/>
        <w:rPr>
          <w:rFonts w:hint="eastAsia" w:ascii="宋体" w:hAnsi="宋体" w:eastAsia="宋体" w:cs="宋体"/>
          <w:bCs/>
          <w:sz w:val="24"/>
        </w:rPr>
      </w:pPr>
      <w:r>
        <w:rPr>
          <w:rFonts w:hint="eastAsia" w:ascii="宋体" w:hAnsi="宋体" w:eastAsia="宋体" w:cs="宋体"/>
          <w:bCs/>
          <w:sz w:val="24"/>
        </w:rPr>
        <w:t>3.1.2项目负责人为：</w:t>
      </w:r>
      <w:r>
        <w:rPr>
          <w:rFonts w:hint="eastAsia" w:ascii="宋体" w:hAnsi="宋体" w:eastAsia="宋体" w:cs="宋体"/>
          <w:sz w:val="24"/>
          <w:u w:val="single"/>
        </w:rPr>
        <w:t xml:space="preserve">    </w:t>
      </w:r>
      <w:r>
        <w:rPr>
          <w:rFonts w:hint="eastAsia" w:ascii="宋体" w:hAnsi="宋体" w:eastAsia="宋体" w:cs="宋体"/>
          <w:bCs/>
          <w:sz w:val="24"/>
        </w:rPr>
        <w:t>，项目负责人为履行本合同的权限为：</w:t>
      </w:r>
      <w:r>
        <w:rPr>
          <w:rFonts w:hint="eastAsia" w:ascii="宋体" w:hAnsi="宋体" w:eastAsia="宋体" w:cs="宋体"/>
          <w:bCs/>
          <w:sz w:val="24"/>
          <w:u w:val="single"/>
        </w:rPr>
        <w:t xml:space="preserve">依据委托造价咨询合同完成咨询业务  </w:t>
      </w:r>
      <w:r>
        <w:rPr>
          <w:rFonts w:hint="eastAsia" w:ascii="宋体" w:hAnsi="宋体" w:eastAsia="宋体" w:cs="宋体"/>
          <w:bCs/>
          <w:sz w:val="24"/>
        </w:rPr>
        <w:t>。</w:t>
      </w:r>
    </w:p>
    <w:p w14:paraId="0CF39939">
      <w:pPr>
        <w:spacing w:line="560" w:lineRule="exact"/>
        <w:ind w:left="120" w:hanging="120"/>
        <w:jc w:val="left"/>
        <w:rPr>
          <w:rFonts w:hint="eastAsia" w:ascii="宋体" w:hAnsi="宋体" w:eastAsia="宋体" w:cs="宋体"/>
          <w:spacing w:val="-2"/>
          <w:sz w:val="24"/>
          <w:u w:val="single"/>
        </w:rPr>
      </w:pPr>
      <w:r>
        <w:rPr>
          <w:rFonts w:hint="eastAsia" w:ascii="宋体" w:hAnsi="宋体" w:eastAsia="宋体" w:cs="宋体"/>
          <w:bCs/>
          <w:sz w:val="24"/>
        </w:rPr>
        <w:t xml:space="preserve">3.1.3咨询人更换项目咨询团队其他咨询人员的约定 </w:t>
      </w:r>
      <w:r>
        <w:rPr>
          <w:rFonts w:hint="eastAsia" w:ascii="宋体" w:hAnsi="宋体" w:eastAsia="宋体" w:cs="宋体"/>
          <w:bCs/>
          <w:sz w:val="24"/>
          <w:u w:val="single"/>
        </w:rPr>
        <w:t xml:space="preserve"> </w:t>
      </w:r>
      <w:r>
        <w:rPr>
          <w:rFonts w:hint="eastAsia" w:ascii="宋体" w:hAnsi="宋体" w:eastAsia="宋体" w:cs="宋体"/>
          <w:spacing w:val="-2"/>
          <w:sz w:val="24"/>
          <w:u w:val="single"/>
        </w:rPr>
        <w:t xml:space="preserve">未经委托人书面同意，咨询人不得擅自更换上述表格中确定的咨询人员，否则，每发生一次，向委托人承担 3000 元违约金，并及时更换经委托人确认的具有同等资质的咨询人员。 </w:t>
      </w:r>
    </w:p>
    <w:p w14:paraId="08F8C1F4">
      <w:pPr>
        <w:spacing w:line="560" w:lineRule="exact"/>
        <w:ind w:left="120" w:hanging="120"/>
        <w:jc w:val="left"/>
        <w:rPr>
          <w:rFonts w:hint="eastAsia" w:ascii="宋体" w:hAnsi="宋体" w:eastAsia="宋体" w:cs="宋体"/>
          <w:bCs/>
          <w:sz w:val="24"/>
        </w:rPr>
      </w:pPr>
      <w:r>
        <w:rPr>
          <w:rFonts w:hint="eastAsia" w:ascii="宋体" w:hAnsi="宋体" w:eastAsia="宋体" w:cs="宋体"/>
          <w:bCs/>
          <w:sz w:val="24"/>
        </w:rPr>
        <w:t>3.1.4委托人要求更换咨询人员的情形还包括：</w:t>
      </w:r>
      <w:r>
        <w:rPr>
          <w:rFonts w:hint="eastAsia" w:ascii="宋体" w:hAnsi="宋体" w:eastAsia="宋体" w:cs="宋体"/>
          <w:bCs/>
          <w:sz w:val="24"/>
          <w:u w:val="single"/>
        </w:rPr>
        <w:t xml:space="preserve">  </w:t>
      </w:r>
      <w:r>
        <w:rPr>
          <w:rFonts w:hint="eastAsia" w:ascii="宋体" w:hAnsi="宋体" w:eastAsia="宋体" w:cs="宋体"/>
          <w:spacing w:val="-2"/>
          <w:sz w:val="24"/>
          <w:u w:val="single"/>
        </w:rPr>
        <w:t>与该项目相关方存</w:t>
      </w:r>
      <w:r>
        <w:rPr>
          <w:rFonts w:hint="eastAsia" w:ascii="宋体" w:hAnsi="宋体" w:eastAsia="宋体" w:cs="宋体"/>
          <w:sz w:val="24"/>
          <w:u w:val="single"/>
        </w:rPr>
        <w:t>在利害关系必须回避的，以及因咨询人工作出现严重错误，服务态度恶劣造成委托人对其工作不满意，或委托人认为咨询人员在履行职责中存在其他不当行为的，委托人有权提出更换咨询团队；情节严重的，委托人可终止合同，且不予支付咨询费，咨询人应对委托人造成的损失进行赔偿，委托方保留诉讼权利，并报相关门列入黑名单</w:t>
      </w:r>
      <w:r>
        <w:rPr>
          <w:rFonts w:hint="eastAsia" w:ascii="宋体" w:hAnsi="宋体" w:eastAsia="宋体" w:cs="宋体"/>
          <w:bCs/>
          <w:sz w:val="24"/>
          <w:u w:val="single"/>
        </w:rPr>
        <w:t>。</w:t>
      </w:r>
      <w:r>
        <w:rPr>
          <w:rFonts w:hint="eastAsia" w:ascii="宋体" w:hAnsi="宋体" w:eastAsia="宋体" w:cs="宋体"/>
          <w:bCs/>
          <w:sz w:val="24"/>
        </w:rPr>
        <w:t xml:space="preserve"> </w:t>
      </w:r>
    </w:p>
    <w:p w14:paraId="762026A0">
      <w:pPr>
        <w:spacing w:before="60" w:after="60" w:line="560" w:lineRule="exact"/>
        <w:ind w:left="120" w:hanging="120"/>
        <w:jc w:val="left"/>
        <w:outlineLvl w:val="1"/>
        <w:rPr>
          <w:rFonts w:hint="eastAsia" w:ascii="宋体" w:hAnsi="宋体" w:eastAsia="宋体" w:cs="宋体"/>
          <w:bCs/>
          <w:sz w:val="24"/>
        </w:rPr>
      </w:pPr>
      <w:bookmarkStart w:id="216" w:name="_Toc56530680"/>
      <w:bookmarkStart w:id="217" w:name="_Toc422322534"/>
      <w:bookmarkStart w:id="218" w:name="_Toc419045110"/>
      <w:r>
        <w:rPr>
          <w:rFonts w:hint="eastAsia" w:ascii="宋体" w:hAnsi="宋体" w:eastAsia="宋体" w:cs="宋体"/>
          <w:bCs/>
          <w:sz w:val="24"/>
        </w:rPr>
        <w:t>3.2咨询人的工作要求</w:t>
      </w:r>
      <w:bookmarkEnd w:id="216"/>
      <w:bookmarkEnd w:id="217"/>
      <w:bookmarkEnd w:id="218"/>
    </w:p>
    <w:p w14:paraId="278E4AE1">
      <w:pPr>
        <w:spacing w:line="560" w:lineRule="exact"/>
        <w:ind w:left="274" w:leftChars="114" w:firstLine="360" w:firstLineChars="150"/>
        <w:jc w:val="left"/>
        <w:rPr>
          <w:rFonts w:hint="eastAsia" w:ascii="宋体" w:hAnsi="宋体" w:eastAsia="宋体" w:cs="宋体"/>
          <w:bCs/>
          <w:sz w:val="24"/>
          <w:u w:val="single"/>
        </w:rPr>
      </w:pPr>
      <w:r>
        <w:rPr>
          <w:rFonts w:hint="eastAsia" w:ascii="宋体" w:hAnsi="宋体" w:eastAsia="宋体" w:cs="宋体"/>
          <w:bCs/>
          <w:sz w:val="24"/>
        </w:rPr>
        <w:t>3.2.1咨询人向委托人提供有关资料的时间：</w:t>
      </w:r>
      <w:r>
        <w:rPr>
          <w:rFonts w:hint="eastAsia" w:ascii="宋体" w:hAnsi="宋体" w:eastAsia="宋体" w:cs="宋体"/>
          <w:bCs/>
          <w:sz w:val="24"/>
          <w:u w:val="single"/>
        </w:rPr>
        <w:t>以委托人要求为准。</w:t>
      </w:r>
    </w:p>
    <w:p w14:paraId="12CFB86B">
      <w:pPr>
        <w:spacing w:line="560" w:lineRule="exact"/>
        <w:ind w:left="274" w:leftChars="114" w:firstLine="360" w:firstLineChars="150"/>
        <w:jc w:val="left"/>
        <w:rPr>
          <w:rFonts w:hint="eastAsia" w:ascii="宋体" w:hAnsi="宋体" w:eastAsia="宋体" w:cs="宋体"/>
          <w:bCs/>
          <w:sz w:val="24"/>
          <w:u w:val="single"/>
        </w:rPr>
      </w:pPr>
      <w:r>
        <w:rPr>
          <w:rFonts w:hint="eastAsia" w:ascii="宋体" w:hAnsi="宋体" w:eastAsia="宋体" w:cs="宋体"/>
          <w:bCs/>
          <w:sz w:val="24"/>
        </w:rPr>
        <w:t>咨询人向委托人提供的资料还包括：</w:t>
      </w:r>
      <w:r>
        <w:rPr>
          <w:rFonts w:hint="eastAsia" w:ascii="宋体" w:hAnsi="宋体" w:eastAsia="宋体" w:cs="宋体"/>
          <w:bCs/>
          <w:sz w:val="24"/>
          <w:u w:val="single"/>
        </w:rPr>
        <w:t xml:space="preserve">  无  </w:t>
      </w:r>
      <w:r>
        <w:rPr>
          <w:rFonts w:hint="eastAsia" w:ascii="宋体" w:hAnsi="宋体" w:eastAsia="宋体" w:cs="宋体"/>
          <w:bCs/>
          <w:sz w:val="24"/>
        </w:rPr>
        <w:t>。</w:t>
      </w:r>
    </w:p>
    <w:p w14:paraId="7ACC55E9">
      <w:pPr>
        <w:spacing w:line="560" w:lineRule="exact"/>
        <w:ind w:left="274" w:leftChars="114" w:firstLine="360" w:firstLineChars="150"/>
        <w:jc w:val="left"/>
        <w:rPr>
          <w:rFonts w:hint="eastAsia" w:ascii="宋体" w:hAnsi="宋体" w:eastAsia="宋体" w:cs="宋体"/>
          <w:color w:val="000000"/>
          <w:sz w:val="24"/>
        </w:rPr>
      </w:pPr>
      <w:bookmarkStart w:id="219" w:name="_Hlk70609380"/>
      <w:r>
        <w:rPr>
          <w:rFonts w:hint="eastAsia" w:ascii="宋体" w:hAnsi="宋体" w:eastAsia="宋体" w:cs="宋体"/>
          <w:bCs/>
          <w:color w:val="000000"/>
          <w:sz w:val="24"/>
        </w:rPr>
        <w:t>3.2.2</w:t>
      </w:r>
      <w:r>
        <w:rPr>
          <w:rFonts w:hint="eastAsia" w:ascii="宋体" w:hAnsi="宋体" w:eastAsia="宋体" w:cs="宋体"/>
          <w:color w:val="000000"/>
          <w:sz w:val="24"/>
        </w:rPr>
        <w:t xml:space="preserve">咨询人必须严格遵守中价协（2002）第 015 号《工程造价咨询单位执业行为准则》和《造价工程师职业道德行为准则》，按照中价协（2002）第 016 号《工程造价咨询业务操作指导规程》中的相关内容实施造价咨询服务。 </w:t>
      </w:r>
    </w:p>
    <w:bookmarkEnd w:id="219"/>
    <w:p w14:paraId="236509CA">
      <w:pPr>
        <w:spacing w:line="560" w:lineRule="exact"/>
        <w:ind w:left="274" w:leftChars="114" w:firstLine="600" w:firstLineChars="250"/>
        <w:jc w:val="left"/>
        <w:rPr>
          <w:rFonts w:hint="eastAsia" w:ascii="宋体" w:hAnsi="宋体" w:eastAsia="宋体" w:cs="宋体"/>
          <w:bCs/>
          <w:color w:val="000000"/>
          <w:sz w:val="24"/>
        </w:rPr>
      </w:pPr>
      <w:r>
        <w:rPr>
          <w:rFonts w:hint="eastAsia" w:ascii="宋体" w:hAnsi="宋体" w:eastAsia="宋体" w:cs="宋体"/>
          <w:bCs/>
          <w:color w:val="000000"/>
          <w:sz w:val="24"/>
        </w:rPr>
        <w:t>3.2.3咨询人向委托人提供咨询成果文件的名称、组成、时间、份数及质量标准：建设工程造价咨询成果文件质量标准CECA/GC7-2012。详见附录B。质量上要求咨询人查阅相关合同文件、图纸、按照《建筑工程造价咨询规范》（GB/T51095-2015）、等有关规定应遵循客观、公正、“量准价实”的原则，</w:t>
      </w:r>
      <w:bookmarkStart w:id="220" w:name="_Hlk70594901"/>
      <w:r>
        <w:rPr>
          <w:rFonts w:hint="eastAsia" w:ascii="宋体" w:hAnsi="宋体" w:eastAsia="宋体" w:cs="宋体"/>
          <w:bCs/>
          <w:color w:val="000000"/>
          <w:sz w:val="24"/>
        </w:rPr>
        <w:t>工程造价咨询单位应确定项目负责人、技术负责人和造价咨询单位的负责人仔细审核、三级复核制度，保证最终交给委托人的成果文件质量的合理性和真实性。</w:t>
      </w:r>
    </w:p>
    <w:bookmarkEnd w:id="220"/>
    <w:p w14:paraId="29A89D3B">
      <w:pPr>
        <w:spacing w:line="560" w:lineRule="exact"/>
        <w:ind w:left="274" w:leftChars="114" w:firstLine="600" w:firstLineChars="250"/>
        <w:jc w:val="left"/>
        <w:rPr>
          <w:rFonts w:hint="eastAsia" w:ascii="宋体" w:hAnsi="宋体" w:eastAsia="宋体" w:cs="宋体"/>
          <w:bCs/>
          <w:color w:val="000000"/>
          <w:sz w:val="24"/>
        </w:rPr>
      </w:pPr>
      <w:r>
        <w:rPr>
          <w:rFonts w:hint="eastAsia" w:ascii="宋体" w:hAnsi="宋体" w:eastAsia="宋体" w:cs="宋体"/>
          <w:bCs/>
          <w:color w:val="000000"/>
          <w:sz w:val="24"/>
        </w:rPr>
        <w:t>3.2.4询价与核价工作：工程造价咨询单位接收委托，咨询人负责组织施工过程中发生的变更、签证、工程结算等需进行人工、材料、设备、机械、专业工程暂估价的市场询价和定价工作。询价需提供不少于三家的市场有效报价（若委托人有特殊要求，需按委托人要求完成市场询价核价工作）并整理汇总完成询价资料出具盖章签字齐全的定价咨询成果报告，出具定价咨询的成果报告必须经公司内部三级复核确保成果文件合理性和真实性，保证市场询价的真实性、准确性。针对图纸材料设计不合理、存在问题提出合理化建议，包括节约投资、降低成本（材料）等情况。</w:t>
      </w:r>
    </w:p>
    <w:p w14:paraId="7B41135E">
      <w:pPr>
        <w:spacing w:line="560" w:lineRule="exact"/>
        <w:ind w:left="274" w:leftChars="114" w:firstLine="600" w:firstLineChars="250"/>
        <w:jc w:val="left"/>
        <w:rPr>
          <w:rFonts w:hint="eastAsia" w:ascii="宋体" w:hAnsi="宋体" w:eastAsia="宋体" w:cs="宋体"/>
          <w:bCs/>
          <w:color w:val="000000"/>
          <w:sz w:val="24"/>
        </w:rPr>
      </w:pPr>
      <w:bookmarkStart w:id="221" w:name="_Hlk70609502"/>
      <w:bookmarkStart w:id="222" w:name="_Toc419045111"/>
      <w:bookmarkStart w:id="223" w:name="_Toc422322535"/>
      <w:r>
        <w:rPr>
          <w:rFonts w:hint="eastAsia" w:ascii="宋体" w:hAnsi="宋体" w:eastAsia="宋体" w:cs="宋体"/>
          <w:bCs/>
          <w:color w:val="000000"/>
          <w:sz w:val="24"/>
        </w:rPr>
        <w:t xml:space="preserve">3.2.5施工阶段的变更、签证，派驻本项目的负责人现场勘察拍照留影像资料，实事求是对变更、签证进行审核，对变更做经济测算比选方案，提出合理化建议，严禁出现实际施工内容、数量与成果文件不相符的情况，未经参建各单位签字盖章的资料不得作为变更、签证、工程结算依据。 </w:t>
      </w:r>
    </w:p>
    <w:p w14:paraId="381921CB">
      <w:pPr>
        <w:spacing w:line="560" w:lineRule="exact"/>
        <w:ind w:left="274" w:leftChars="114" w:firstLine="600" w:firstLineChars="250"/>
        <w:jc w:val="left"/>
        <w:rPr>
          <w:rFonts w:hint="eastAsia" w:ascii="宋体" w:hAnsi="宋体" w:eastAsia="宋体" w:cs="宋体"/>
          <w:bCs/>
          <w:color w:val="000000"/>
          <w:sz w:val="24"/>
        </w:rPr>
      </w:pPr>
      <w:r>
        <w:rPr>
          <w:rFonts w:hint="eastAsia" w:ascii="宋体" w:hAnsi="宋体" w:eastAsia="宋体" w:cs="宋体"/>
          <w:bCs/>
          <w:color w:val="000000"/>
          <w:sz w:val="24"/>
        </w:rPr>
        <w:t>3.2.6造价咨询单位在结算审核过程中必须核对施工资料、竣工图纸、现场勘察，必须根据施工资料、竣工图纸、现场勘察记录内容据实计算工程量的原则严格审核。严禁出现现场施工内容、数量与成果文件不相符的情况。造价咨询单位出具的建设工程造价咨询审核定案书与施工单位双方签字盖章后，报委托单位签字盖章。</w:t>
      </w:r>
    </w:p>
    <w:bookmarkEnd w:id="221"/>
    <w:p w14:paraId="0FDAD2AD">
      <w:pPr>
        <w:shd w:val="clear" w:color="auto" w:fill="auto"/>
        <w:spacing w:line="560" w:lineRule="exact"/>
        <w:ind w:left="274" w:leftChars="114" w:firstLine="600" w:firstLineChars="250"/>
        <w:rPr>
          <w:rFonts w:hint="eastAsia" w:ascii="宋体" w:hAnsi="宋体" w:eastAsia="宋体" w:cs="宋体"/>
          <w:bCs/>
          <w:color w:val="000000"/>
          <w:sz w:val="24"/>
        </w:rPr>
      </w:pPr>
      <w:bookmarkStart w:id="224" w:name="_Hlk70609790"/>
      <w:r>
        <w:rPr>
          <w:rFonts w:hint="eastAsia" w:ascii="宋体" w:hAnsi="宋体" w:eastAsia="宋体" w:cs="宋体"/>
          <w:bCs/>
          <w:color w:val="000000"/>
          <w:sz w:val="24"/>
        </w:rPr>
        <w:t>3.2.7施工单位结算资料上报后，咨询人应根据委托人要求进行复核，并按委托人的时间要求提供结算资料的问题清单，该清单须列明结算资料存在的全部问题，包括但不限于结算资料的错误、不完整以及互相矛盾等内容。严格按照委托人的计划要求进行相关工作，完成双方核对工作。在与施工单位核对过程中，须在每次核对开始和结束时间进行签认，双方对已核对完成的结论或者成果进行签字确认，如有争议事项，向委托人以书面形式列出争议事项及影响金额。</w:t>
      </w:r>
    </w:p>
    <w:p w14:paraId="4C31AFA2">
      <w:pPr>
        <w:shd w:val="clear" w:color="auto" w:fill="auto"/>
        <w:spacing w:line="560" w:lineRule="exact"/>
        <w:ind w:left="274" w:leftChars="114" w:firstLine="600" w:firstLineChars="250"/>
        <w:rPr>
          <w:rFonts w:hint="eastAsia" w:ascii="宋体" w:hAnsi="宋体" w:eastAsia="宋体" w:cs="宋体"/>
          <w:bCs/>
          <w:color w:val="000000"/>
          <w:sz w:val="24"/>
        </w:rPr>
      </w:pPr>
      <w:r>
        <w:rPr>
          <w:rFonts w:hint="eastAsia" w:ascii="宋体" w:hAnsi="宋体" w:eastAsia="宋体" w:cs="宋体"/>
          <w:bCs/>
          <w:color w:val="000000"/>
          <w:sz w:val="24"/>
        </w:rPr>
        <w:t>3.2.8咨询人为委托人提供咨询服务的过程文件必须无条件向委托人提供。咨询人所有的提交给委托人的资料除签字盖章的文字资料外，还必须有软件版、 Excel 或 Word 格式的电子文档（专业软件计算的表格，必须转换为 Excel 格式</w:t>
      </w:r>
      <w:r>
        <w:rPr>
          <w:rFonts w:hint="eastAsia" w:ascii="宋体" w:hAnsi="宋体" w:eastAsia="宋体" w:cs="宋体"/>
          <w:bCs/>
          <w:color w:val="000000"/>
          <w:sz w:val="24"/>
          <w:lang w:val="en-US" w:eastAsia="zh-CN"/>
        </w:rPr>
        <w:t>或PDF格式</w:t>
      </w:r>
      <w:r>
        <w:rPr>
          <w:rFonts w:hint="eastAsia" w:ascii="宋体" w:hAnsi="宋体" w:eastAsia="宋体" w:cs="宋体"/>
          <w:bCs/>
          <w:color w:val="000000"/>
          <w:sz w:val="24"/>
        </w:rPr>
        <w:t>）。</w:t>
      </w:r>
    </w:p>
    <w:p w14:paraId="67AFDE07">
      <w:pPr>
        <w:shd w:val="clear" w:color="auto" w:fill="auto"/>
        <w:spacing w:line="560" w:lineRule="exact"/>
        <w:ind w:left="274" w:leftChars="114" w:firstLine="600" w:firstLineChars="250"/>
        <w:rPr>
          <w:rFonts w:hint="eastAsia" w:ascii="宋体" w:hAnsi="宋体" w:eastAsia="宋体" w:cs="宋体"/>
          <w:bCs/>
          <w:color w:val="000000"/>
          <w:sz w:val="24"/>
        </w:rPr>
      </w:pPr>
      <w:r>
        <w:rPr>
          <w:rFonts w:hint="eastAsia" w:ascii="宋体" w:hAnsi="宋体" w:eastAsia="宋体" w:cs="宋体"/>
          <w:bCs/>
          <w:color w:val="000000"/>
          <w:sz w:val="24"/>
        </w:rPr>
        <w:t>3.2.9工程造价成果文件应有详细、真实的记录及完善的资料，要有清晰、准确的工程量、价格统计表和汇总表。量价计算过程、审计记录等文件、资料应具备完全的可复审性。咨询人在审核过程中，每一个工程都要有完整的由咨询人编制的工程量计算底稿（含钢筋），如为软件计算，要同时提供软件版和转换为 Excel 格式</w:t>
      </w:r>
      <w:r>
        <w:rPr>
          <w:rFonts w:hint="eastAsia" w:ascii="宋体" w:hAnsi="宋体" w:eastAsia="宋体" w:cs="宋体"/>
          <w:bCs/>
          <w:color w:val="000000"/>
          <w:sz w:val="24"/>
          <w:lang w:val="en-US" w:eastAsia="zh-CN"/>
        </w:rPr>
        <w:t>或PDF格式</w:t>
      </w:r>
      <w:r>
        <w:rPr>
          <w:rFonts w:hint="eastAsia" w:ascii="宋体" w:hAnsi="宋体" w:eastAsia="宋体" w:cs="宋体"/>
          <w:bCs/>
          <w:color w:val="000000"/>
          <w:sz w:val="24"/>
        </w:rPr>
        <w:t>的电子文档，本合同全部咨询服务结束后，咨询人须将本项目完整全套成果文件报送委托人，同时向委托人提供其完成的所有成果的电子版。咨询人须按照委托人要求配备相应的正版专业软件，其费用不另行计取。</w:t>
      </w:r>
    </w:p>
    <w:bookmarkEnd w:id="224"/>
    <w:p w14:paraId="1EAD76CF">
      <w:pPr>
        <w:shd w:val="clear" w:color="auto" w:fill="auto"/>
        <w:spacing w:line="560" w:lineRule="exact"/>
        <w:ind w:left="274" w:leftChars="114" w:firstLine="600" w:firstLineChars="250"/>
        <w:rPr>
          <w:rFonts w:hint="eastAsia" w:ascii="宋体" w:hAnsi="宋体" w:eastAsia="宋体" w:cs="宋体"/>
          <w:bCs/>
          <w:color w:val="000000"/>
          <w:sz w:val="24"/>
        </w:rPr>
      </w:pPr>
      <w:bookmarkStart w:id="225" w:name="_Hlk70609862"/>
      <w:r>
        <w:rPr>
          <w:rFonts w:hint="eastAsia" w:ascii="宋体" w:hAnsi="宋体" w:eastAsia="宋体" w:cs="宋体"/>
          <w:bCs/>
          <w:color w:val="000000"/>
          <w:sz w:val="24"/>
        </w:rPr>
        <w:t>3.2.11当各阶段咨询工作完成后，咨询人可根据工作经验向委托人提出有关造价管理方面的建设性意见，并根据委托人提供的表格对项目的技术经济指标进行统计分析，并按委托人格式提供相关造价指标分析表。</w:t>
      </w:r>
    </w:p>
    <w:p w14:paraId="1CC51C94">
      <w:pPr>
        <w:shd w:val="clear" w:color="auto" w:fill="auto"/>
        <w:spacing w:line="560" w:lineRule="exact"/>
        <w:ind w:left="274" w:leftChars="114" w:firstLine="600" w:firstLineChars="250"/>
        <w:rPr>
          <w:rFonts w:hint="eastAsia" w:ascii="宋体" w:hAnsi="宋体" w:eastAsia="宋体" w:cs="宋体"/>
          <w:bCs/>
          <w:color w:val="000000"/>
          <w:sz w:val="24"/>
        </w:rPr>
      </w:pPr>
      <w:r>
        <w:rPr>
          <w:rFonts w:hint="eastAsia" w:ascii="宋体" w:hAnsi="宋体" w:eastAsia="宋体" w:cs="宋体"/>
          <w:bCs/>
          <w:color w:val="000000"/>
          <w:sz w:val="24"/>
        </w:rPr>
        <w:t>3.2.13咨询人应在收到委托人以书面形式提出的建议或者异议后 3 日内给予书面答复,情况紧急时及时答复。</w:t>
      </w:r>
    </w:p>
    <w:p w14:paraId="2F933A0D">
      <w:pPr>
        <w:shd w:val="clear" w:color="auto" w:fill="auto"/>
        <w:spacing w:line="560" w:lineRule="exact"/>
        <w:ind w:left="274" w:leftChars="114" w:firstLine="600" w:firstLineChars="250"/>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3.2.14 对于政府审计提出的问题，咨询人必须根据委托人提出的时限配合完成整改工作，所需费用均包含在合同价中，不得以已出具竣工结算审核报告、财务决算审核或委托人已认可竣工结算审核报告、财务决算审核为由不配合整改工作。</w:t>
      </w:r>
    </w:p>
    <w:p w14:paraId="60D5DD62">
      <w:pPr>
        <w:shd w:val="clear" w:color="auto" w:fill="auto"/>
        <w:spacing w:line="560" w:lineRule="exact"/>
        <w:ind w:left="274" w:leftChars="114" w:firstLine="600" w:firstLineChars="250"/>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t>3.2.15 对于财政部门审核竣工决算审核报告提出的问题，咨询人必须配合必须根据委托人提出的时限完成整改工作，所需费用均包含在合同价中，不得以已出具财务决算审核报告或委托人已认可财务决算审核报告为由不配合整改工作。</w:t>
      </w:r>
    </w:p>
    <w:p w14:paraId="1E77DA97">
      <w:pPr>
        <w:shd w:val="clear" w:color="auto" w:fill="auto"/>
        <w:spacing w:line="560" w:lineRule="exact"/>
        <w:ind w:left="274" w:leftChars="114" w:firstLine="600" w:firstLineChars="250"/>
        <w:rPr>
          <w:rFonts w:hint="eastAsia" w:ascii="宋体" w:hAnsi="宋体" w:eastAsia="宋体" w:cs="宋体"/>
          <w:sz w:val="24"/>
          <w:szCs w:val="32"/>
          <w:lang w:val="en-US" w:eastAsia="zh-CN"/>
        </w:rPr>
      </w:pPr>
      <w:r>
        <w:rPr>
          <w:rFonts w:hint="eastAsia" w:ascii="宋体" w:hAnsi="宋体" w:eastAsia="宋体" w:cs="宋体"/>
          <w:bCs/>
          <w:color w:val="000000"/>
          <w:sz w:val="24"/>
          <w:lang w:val="en-US" w:eastAsia="zh-CN"/>
        </w:rPr>
        <w:t>3.2.16 由咨询人负责对接会计师事务所，完成财务决算审核工作以及财政部门、政府审计提出的问题整改工作。</w:t>
      </w:r>
    </w:p>
    <w:bookmarkEnd w:id="225"/>
    <w:p w14:paraId="14FC40C3">
      <w:pPr>
        <w:spacing w:before="60" w:after="60" w:line="560" w:lineRule="exact"/>
        <w:ind w:firstLine="480" w:firstLineChars="200"/>
        <w:outlineLvl w:val="1"/>
        <w:rPr>
          <w:rFonts w:hint="eastAsia" w:ascii="宋体" w:hAnsi="宋体" w:eastAsia="宋体" w:cs="宋体"/>
          <w:bCs/>
          <w:sz w:val="24"/>
        </w:rPr>
      </w:pPr>
      <w:bookmarkStart w:id="226" w:name="_Toc56530681"/>
      <w:r>
        <w:rPr>
          <w:rFonts w:hint="eastAsia" w:ascii="宋体" w:hAnsi="宋体" w:eastAsia="宋体" w:cs="宋体"/>
          <w:bCs/>
          <w:sz w:val="24"/>
        </w:rPr>
        <w:t>3.3咨询人的工作依据</w:t>
      </w:r>
      <w:bookmarkEnd w:id="222"/>
      <w:bookmarkEnd w:id="223"/>
      <w:bookmarkEnd w:id="226"/>
    </w:p>
    <w:p w14:paraId="6B649718">
      <w:pPr>
        <w:spacing w:line="560" w:lineRule="exact"/>
        <w:ind w:firstLine="480" w:firstLineChars="200"/>
        <w:rPr>
          <w:rFonts w:hint="eastAsia" w:ascii="宋体" w:hAnsi="宋体" w:eastAsia="宋体" w:cs="宋体"/>
          <w:bCs/>
          <w:sz w:val="24"/>
          <w:u w:val="single"/>
        </w:rPr>
      </w:pPr>
      <w:r>
        <w:rPr>
          <w:rFonts w:hint="eastAsia" w:ascii="宋体" w:hAnsi="宋体" w:eastAsia="宋体" w:cs="宋体"/>
          <w:bCs/>
          <w:sz w:val="24"/>
        </w:rPr>
        <w:t>乙方具有丰富实践经验且忠实勤勉尽责地履行本合同的能力，经双方协商,本合同约定的造价咨询服务适用的技术标准、规范、定额等工作依据为</w:t>
      </w:r>
      <w:r>
        <w:rPr>
          <w:rFonts w:hint="eastAsia" w:ascii="宋体" w:hAnsi="宋体" w:eastAsia="宋体" w:cs="宋体"/>
          <w:bCs/>
          <w:sz w:val="24"/>
          <w:u w:val="single"/>
        </w:rPr>
        <w:t>：现行的国家、地方定额、清单计价规范等相关行业标准。</w:t>
      </w:r>
    </w:p>
    <w:p w14:paraId="31DE72D6">
      <w:pPr>
        <w:spacing w:before="60" w:after="60" w:line="560" w:lineRule="exact"/>
        <w:ind w:firstLine="480" w:firstLineChars="200"/>
        <w:outlineLvl w:val="1"/>
        <w:rPr>
          <w:rFonts w:hint="eastAsia" w:ascii="宋体" w:hAnsi="宋体" w:eastAsia="宋体" w:cs="宋体"/>
          <w:bCs/>
          <w:sz w:val="24"/>
        </w:rPr>
      </w:pPr>
      <w:bookmarkStart w:id="227" w:name="_Toc419045112"/>
      <w:bookmarkStart w:id="228" w:name="_Toc56530682"/>
      <w:bookmarkStart w:id="229" w:name="_Toc422322536"/>
      <w:r>
        <w:rPr>
          <w:rFonts w:hint="eastAsia" w:ascii="宋体" w:hAnsi="宋体" w:eastAsia="宋体" w:cs="宋体"/>
          <w:bCs/>
          <w:sz w:val="24"/>
        </w:rPr>
        <w:t>3.4使用委托人房屋及设备的返还</w:t>
      </w:r>
      <w:bookmarkEnd w:id="227"/>
      <w:bookmarkEnd w:id="228"/>
      <w:bookmarkEnd w:id="229"/>
    </w:p>
    <w:p w14:paraId="3176CDD5">
      <w:pPr>
        <w:spacing w:line="560" w:lineRule="exact"/>
        <w:ind w:firstLine="480" w:firstLineChars="200"/>
        <w:rPr>
          <w:rFonts w:hint="eastAsia" w:ascii="宋体" w:hAnsi="宋体" w:eastAsia="宋体" w:cs="宋体"/>
          <w:bCs/>
          <w:sz w:val="24"/>
        </w:rPr>
      </w:pPr>
      <w:r>
        <w:rPr>
          <w:rFonts w:hint="eastAsia" w:ascii="宋体" w:hAnsi="宋体" w:eastAsia="宋体" w:cs="宋体"/>
          <w:bCs/>
          <w:sz w:val="24"/>
        </w:rPr>
        <w:t>咨询人应在本合同终止后</w:t>
      </w:r>
      <w:r>
        <w:rPr>
          <w:rFonts w:hint="eastAsia" w:ascii="宋体" w:hAnsi="宋体" w:eastAsia="宋体" w:cs="宋体"/>
          <w:bCs/>
          <w:sz w:val="24"/>
          <w:u w:val="single"/>
        </w:rPr>
        <w:t xml:space="preserve">  /  </w:t>
      </w:r>
      <w:r>
        <w:rPr>
          <w:rFonts w:hint="eastAsia" w:ascii="宋体" w:hAnsi="宋体" w:eastAsia="宋体" w:cs="宋体"/>
          <w:bCs/>
          <w:sz w:val="24"/>
        </w:rPr>
        <w:t>日内移交委托人提供的房屋及设备，移交的方式为</w:t>
      </w:r>
      <w:r>
        <w:rPr>
          <w:rFonts w:hint="eastAsia" w:ascii="宋体" w:hAnsi="宋体" w:eastAsia="宋体" w:cs="宋体"/>
          <w:bCs/>
          <w:sz w:val="24"/>
          <w:u w:val="single"/>
        </w:rPr>
        <w:t xml:space="preserve">  /  </w:t>
      </w:r>
      <w:r>
        <w:rPr>
          <w:rFonts w:hint="eastAsia" w:ascii="宋体" w:hAnsi="宋体" w:eastAsia="宋体" w:cs="宋体"/>
          <w:bCs/>
          <w:sz w:val="24"/>
        </w:rPr>
        <w:t>。</w:t>
      </w:r>
    </w:p>
    <w:p w14:paraId="496431CA">
      <w:pPr>
        <w:spacing w:line="560" w:lineRule="exact"/>
        <w:ind w:firstLine="480" w:firstLineChars="200"/>
        <w:outlineLvl w:val="0"/>
        <w:rPr>
          <w:rFonts w:hint="eastAsia" w:ascii="宋体" w:hAnsi="宋体" w:eastAsia="宋体" w:cs="宋体"/>
          <w:bCs/>
          <w:sz w:val="24"/>
        </w:rPr>
      </w:pPr>
      <w:bookmarkStart w:id="230" w:name="_Toc419045113"/>
      <w:bookmarkStart w:id="231" w:name="_Toc56530683"/>
      <w:bookmarkStart w:id="232" w:name="_Toc422322537"/>
      <w:r>
        <w:rPr>
          <w:rFonts w:hint="eastAsia" w:ascii="宋体" w:hAnsi="宋体" w:eastAsia="宋体" w:cs="宋体"/>
          <w:bCs/>
          <w:sz w:val="24"/>
        </w:rPr>
        <w:t>4. 违约责任</w:t>
      </w:r>
      <w:bookmarkEnd w:id="230"/>
      <w:bookmarkEnd w:id="231"/>
      <w:bookmarkEnd w:id="232"/>
    </w:p>
    <w:p w14:paraId="130A25B4">
      <w:pPr>
        <w:spacing w:before="60" w:after="60" w:line="560" w:lineRule="exact"/>
        <w:ind w:firstLine="480" w:firstLineChars="200"/>
        <w:outlineLvl w:val="1"/>
        <w:rPr>
          <w:rFonts w:hint="eastAsia" w:ascii="宋体" w:hAnsi="宋体" w:eastAsia="宋体" w:cs="宋体"/>
          <w:bCs/>
          <w:sz w:val="24"/>
        </w:rPr>
      </w:pPr>
      <w:bookmarkStart w:id="233" w:name="_Toc422322538"/>
      <w:bookmarkStart w:id="234" w:name="_Toc56530684"/>
      <w:r>
        <w:rPr>
          <w:rFonts w:hint="eastAsia" w:ascii="宋体" w:hAnsi="宋体" w:eastAsia="宋体" w:cs="宋体"/>
          <w:bCs/>
          <w:sz w:val="24"/>
        </w:rPr>
        <w:t>4.1委托人的违约责任</w:t>
      </w:r>
      <w:bookmarkEnd w:id="233"/>
      <w:bookmarkEnd w:id="234"/>
    </w:p>
    <w:p w14:paraId="4110ADE7">
      <w:pPr>
        <w:spacing w:line="560" w:lineRule="exact"/>
        <w:ind w:left="120" w:hanging="120"/>
        <w:rPr>
          <w:rFonts w:hint="eastAsia" w:ascii="宋体" w:hAnsi="宋体" w:eastAsia="宋体" w:cs="宋体"/>
          <w:bCs/>
          <w:sz w:val="24"/>
        </w:rPr>
      </w:pPr>
      <w:r>
        <w:rPr>
          <w:rFonts w:hint="eastAsia" w:ascii="宋体" w:hAnsi="宋体" w:eastAsia="宋体" w:cs="宋体"/>
          <w:bCs/>
          <w:sz w:val="24"/>
        </w:rPr>
        <w:t>4.1.1委托人违约金的计算及支付方法：</w:t>
      </w:r>
      <w:r>
        <w:rPr>
          <w:rFonts w:hint="eastAsia" w:ascii="宋体" w:hAnsi="宋体" w:eastAsia="宋体" w:cs="宋体"/>
          <w:bCs/>
          <w:sz w:val="24"/>
          <w:u w:val="single"/>
        </w:rPr>
        <w:t xml:space="preserve">  /  </w:t>
      </w:r>
      <w:r>
        <w:rPr>
          <w:rFonts w:hint="eastAsia" w:ascii="宋体" w:hAnsi="宋体" w:eastAsia="宋体" w:cs="宋体"/>
          <w:bCs/>
          <w:sz w:val="24"/>
        </w:rPr>
        <w:t>。</w:t>
      </w:r>
    </w:p>
    <w:p w14:paraId="435FE5E9">
      <w:pPr>
        <w:spacing w:line="560" w:lineRule="exact"/>
        <w:ind w:left="120" w:hanging="120"/>
        <w:rPr>
          <w:rFonts w:hint="eastAsia" w:ascii="宋体" w:hAnsi="宋体" w:eastAsia="宋体" w:cs="宋体"/>
          <w:bCs/>
          <w:sz w:val="24"/>
        </w:rPr>
      </w:pPr>
      <w:r>
        <w:rPr>
          <w:rFonts w:hint="eastAsia" w:ascii="宋体" w:hAnsi="宋体" w:eastAsia="宋体" w:cs="宋体"/>
          <w:bCs/>
          <w:sz w:val="24"/>
        </w:rPr>
        <w:t>4.1.2委托人赔偿金额按下列方法确定并支付：</w:t>
      </w:r>
      <w:r>
        <w:rPr>
          <w:rFonts w:hint="eastAsia" w:ascii="宋体" w:hAnsi="宋体" w:eastAsia="宋体" w:cs="宋体"/>
          <w:bCs/>
          <w:sz w:val="24"/>
          <w:u w:val="single"/>
        </w:rPr>
        <w:t xml:space="preserve">  /  </w:t>
      </w:r>
      <w:r>
        <w:rPr>
          <w:rFonts w:hint="eastAsia" w:ascii="宋体" w:hAnsi="宋体" w:eastAsia="宋体" w:cs="宋体"/>
          <w:bCs/>
          <w:sz w:val="24"/>
        </w:rPr>
        <w:t>。</w:t>
      </w:r>
    </w:p>
    <w:p w14:paraId="079234B6">
      <w:pPr>
        <w:spacing w:line="560" w:lineRule="exact"/>
        <w:ind w:firstLine="480" w:firstLineChars="200"/>
        <w:rPr>
          <w:rFonts w:hint="eastAsia" w:ascii="宋体" w:hAnsi="宋体" w:eastAsia="宋体" w:cs="宋体"/>
          <w:bCs/>
          <w:sz w:val="24"/>
        </w:rPr>
      </w:pPr>
      <w:r>
        <w:rPr>
          <w:rFonts w:hint="eastAsia" w:ascii="宋体" w:hAnsi="宋体" w:eastAsia="宋体" w:cs="宋体"/>
          <w:bCs/>
          <w:sz w:val="24"/>
        </w:rPr>
        <w:t>4.1.3 委托人逾期付款利息按下列方法计算并支付：</w:t>
      </w:r>
      <w:r>
        <w:rPr>
          <w:rFonts w:hint="eastAsia" w:ascii="宋体" w:hAnsi="宋体" w:eastAsia="宋体" w:cs="宋体"/>
          <w:bCs/>
          <w:sz w:val="24"/>
          <w:u w:val="single"/>
        </w:rPr>
        <w:t xml:space="preserve">  /  </w:t>
      </w:r>
      <w:r>
        <w:rPr>
          <w:rFonts w:hint="eastAsia" w:ascii="宋体" w:hAnsi="宋体" w:eastAsia="宋体" w:cs="宋体"/>
          <w:bCs/>
          <w:sz w:val="24"/>
        </w:rPr>
        <w:t>。</w:t>
      </w:r>
    </w:p>
    <w:p w14:paraId="55F3359F">
      <w:pPr>
        <w:spacing w:before="60" w:after="60" w:line="560" w:lineRule="exact"/>
        <w:ind w:firstLine="480" w:firstLineChars="200"/>
        <w:outlineLvl w:val="1"/>
        <w:rPr>
          <w:rFonts w:hint="eastAsia" w:ascii="宋体" w:hAnsi="宋体" w:eastAsia="宋体" w:cs="宋体"/>
          <w:bCs/>
          <w:sz w:val="24"/>
        </w:rPr>
      </w:pPr>
      <w:bookmarkStart w:id="235" w:name="_Toc422322539"/>
      <w:bookmarkStart w:id="236" w:name="_Toc56530685"/>
      <w:bookmarkStart w:id="237" w:name="_Toc419045114"/>
      <w:r>
        <w:rPr>
          <w:rFonts w:hint="eastAsia" w:ascii="宋体" w:hAnsi="宋体" w:eastAsia="宋体" w:cs="宋体"/>
          <w:bCs/>
          <w:sz w:val="24"/>
        </w:rPr>
        <w:t>4.2咨询人的违约责任</w:t>
      </w:r>
      <w:bookmarkEnd w:id="235"/>
      <w:bookmarkEnd w:id="236"/>
    </w:p>
    <w:bookmarkEnd w:id="237"/>
    <w:p w14:paraId="148D3F1B">
      <w:pPr>
        <w:spacing w:line="560" w:lineRule="exact"/>
        <w:ind w:firstLine="475" w:firstLineChars="198"/>
        <w:rPr>
          <w:rFonts w:hint="eastAsia" w:ascii="宋体" w:hAnsi="宋体" w:eastAsia="宋体" w:cs="宋体"/>
          <w:bCs/>
          <w:color w:val="000000"/>
          <w:sz w:val="24"/>
        </w:rPr>
      </w:pPr>
      <w:r>
        <w:rPr>
          <w:rFonts w:hint="eastAsia" w:ascii="宋体" w:hAnsi="宋体" w:eastAsia="宋体" w:cs="宋体"/>
          <w:bCs/>
          <w:color w:val="000000"/>
          <w:sz w:val="24"/>
        </w:rPr>
        <w:t>4.2.1咨询人在接到项目委托后，按项目要求进行现场踏勘，并做好记录，咨询人未配合此项工作的从造价咨询费用支付中扣除造价咨询合同价款人民币500元/次的违约金。</w:t>
      </w:r>
    </w:p>
    <w:p w14:paraId="6E2637BB">
      <w:pPr>
        <w:spacing w:line="560" w:lineRule="exact"/>
        <w:ind w:firstLine="475" w:firstLineChars="198"/>
        <w:rPr>
          <w:rFonts w:hint="eastAsia" w:ascii="宋体" w:hAnsi="宋体" w:eastAsia="宋体" w:cs="宋体"/>
          <w:bCs/>
          <w:color w:val="000000"/>
          <w:sz w:val="24"/>
        </w:rPr>
      </w:pPr>
      <w:r>
        <w:rPr>
          <w:rFonts w:hint="eastAsia" w:ascii="宋体" w:hAnsi="宋体" w:eastAsia="宋体" w:cs="宋体"/>
          <w:bCs/>
          <w:color w:val="000000"/>
          <w:sz w:val="24"/>
        </w:rPr>
        <w:t>4.2.2 咨询人在接到项目委托后按委托人规定时间节点要求完成</w:t>
      </w:r>
      <w:r>
        <w:rPr>
          <w:rFonts w:hint="eastAsia" w:ascii="宋体" w:hAnsi="宋体" w:eastAsia="宋体" w:cs="宋体"/>
          <w:color w:val="000000"/>
          <w:sz w:val="24"/>
        </w:rPr>
        <w:t>各阶段造价指标分析及各类设计方案阶段的成本测算、效果类方案测算、结构指标限额测算、</w:t>
      </w:r>
      <w:bookmarkStart w:id="238" w:name="_Hlk70610092"/>
      <w:r>
        <w:rPr>
          <w:rFonts w:hint="eastAsia" w:ascii="宋体" w:hAnsi="宋体" w:eastAsia="宋体" w:cs="宋体"/>
          <w:color w:val="000000"/>
          <w:sz w:val="24"/>
        </w:rPr>
        <w:t>施工过程工程进度计量、施工过程结算审核和支付</w:t>
      </w:r>
      <w:bookmarkEnd w:id="238"/>
      <w:r>
        <w:rPr>
          <w:rFonts w:hint="eastAsia" w:ascii="宋体" w:hAnsi="宋体" w:eastAsia="宋体" w:cs="宋体"/>
          <w:color w:val="000000"/>
          <w:sz w:val="24"/>
        </w:rPr>
        <w:t>、</w:t>
      </w:r>
      <w:bookmarkStart w:id="239" w:name="_Hlk70610120"/>
      <w:r>
        <w:rPr>
          <w:rFonts w:hint="eastAsia" w:ascii="宋体" w:hAnsi="宋体" w:eastAsia="宋体" w:cs="宋体"/>
          <w:color w:val="000000"/>
          <w:sz w:val="24"/>
        </w:rPr>
        <w:t>组织材料、机械、设备等市场的询价与核价</w:t>
      </w:r>
      <w:bookmarkEnd w:id="239"/>
      <w:r>
        <w:rPr>
          <w:rFonts w:hint="eastAsia" w:ascii="宋体" w:hAnsi="宋体" w:eastAsia="宋体" w:cs="宋体"/>
          <w:color w:val="000000"/>
          <w:sz w:val="24"/>
        </w:rPr>
        <w:t>、</w:t>
      </w:r>
      <w:bookmarkStart w:id="240" w:name="_Hlk70610183"/>
      <w:r>
        <w:rPr>
          <w:rFonts w:hint="eastAsia" w:ascii="宋体" w:hAnsi="宋体" w:eastAsia="宋体" w:cs="宋体"/>
          <w:color w:val="000000"/>
          <w:sz w:val="24"/>
        </w:rPr>
        <w:t>施工过程中的</w:t>
      </w:r>
      <w:bookmarkEnd w:id="240"/>
      <w:r>
        <w:rPr>
          <w:rFonts w:hint="eastAsia" w:ascii="宋体" w:hAnsi="宋体" w:eastAsia="宋体" w:cs="宋体"/>
          <w:color w:val="000000"/>
          <w:sz w:val="24"/>
        </w:rPr>
        <w:t>变更（签证）审核、</w:t>
      </w:r>
      <w:bookmarkStart w:id="241" w:name="_Hlk70610213"/>
      <w:r>
        <w:rPr>
          <w:rFonts w:hint="eastAsia" w:ascii="宋体" w:hAnsi="宋体" w:eastAsia="宋体" w:cs="宋体"/>
          <w:color w:val="000000"/>
          <w:sz w:val="24"/>
        </w:rPr>
        <w:t>工程竣工</w:t>
      </w:r>
      <w:bookmarkEnd w:id="241"/>
      <w:r>
        <w:rPr>
          <w:rFonts w:hint="eastAsia" w:ascii="宋体" w:hAnsi="宋体" w:eastAsia="宋体" w:cs="宋体"/>
          <w:color w:val="000000"/>
          <w:sz w:val="24"/>
        </w:rPr>
        <w:t>结算审核</w:t>
      </w:r>
      <w:r>
        <w:rPr>
          <w:rFonts w:hint="eastAsia" w:ascii="宋体" w:hAnsi="宋体" w:eastAsia="宋体" w:cs="宋体"/>
          <w:bCs/>
          <w:color w:val="000000"/>
          <w:sz w:val="24"/>
        </w:rPr>
        <w:t>等工作。</w:t>
      </w:r>
    </w:p>
    <w:p w14:paraId="605CCF31">
      <w:pPr>
        <w:spacing w:line="560" w:lineRule="exact"/>
        <w:ind w:firstLine="475" w:firstLineChars="198"/>
        <w:rPr>
          <w:rFonts w:hint="eastAsia" w:ascii="宋体" w:hAnsi="宋体" w:eastAsia="宋体" w:cs="宋体"/>
          <w:bCs/>
          <w:color w:val="000000"/>
          <w:sz w:val="24"/>
        </w:rPr>
      </w:pPr>
      <w:r>
        <w:rPr>
          <w:rFonts w:hint="eastAsia" w:ascii="宋体" w:hAnsi="宋体" w:eastAsia="宋体" w:cs="宋体"/>
          <w:bCs/>
          <w:color w:val="000000"/>
          <w:sz w:val="24"/>
        </w:rPr>
        <w:t>4.2.3咨询人依据《建设工程造价咨询成果文件质量标准》、《建设工程工程量清单计价规范》（GB50500）</w:t>
      </w:r>
      <w:r>
        <w:rPr>
          <w:rFonts w:hint="eastAsia" w:ascii="宋体" w:hAnsi="宋体" w:eastAsia="宋体" w:cs="宋体"/>
          <w:bCs/>
          <w:color w:val="000000"/>
          <w:sz w:val="24"/>
          <w:lang w:val="en-US" w:eastAsia="zh-CN"/>
        </w:rPr>
        <w:t>-2024</w:t>
      </w:r>
      <w:r>
        <w:rPr>
          <w:rFonts w:hint="eastAsia" w:ascii="宋体" w:hAnsi="宋体" w:eastAsia="宋体" w:cs="宋体"/>
          <w:bCs/>
          <w:color w:val="000000"/>
          <w:sz w:val="24"/>
        </w:rPr>
        <w:t>要求编制</w:t>
      </w:r>
      <w:bookmarkStart w:id="242" w:name="_Hlk70610286"/>
      <w:r>
        <w:rPr>
          <w:rFonts w:hint="eastAsia" w:ascii="宋体" w:hAnsi="宋体" w:eastAsia="宋体" w:cs="宋体"/>
          <w:bCs/>
          <w:color w:val="000000"/>
          <w:sz w:val="24"/>
        </w:rPr>
        <w:t>出具造价</w:t>
      </w:r>
      <w:bookmarkEnd w:id="242"/>
      <w:r>
        <w:rPr>
          <w:rFonts w:hint="eastAsia" w:ascii="宋体" w:hAnsi="宋体" w:eastAsia="宋体" w:cs="宋体"/>
          <w:bCs/>
          <w:color w:val="000000"/>
          <w:sz w:val="24"/>
        </w:rPr>
        <w:t>成果文件（含初稿），出具的成果文件必须达到《建设工程造价咨询成果文件质量标准》文件中各服务阶段的质量评定标准。若出具成果文件未达到上述文件规定的按如下进行处理：</w:t>
      </w:r>
    </w:p>
    <w:p w14:paraId="501FEF30">
      <w:pPr>
        <w:numPr>
          <w:ilvl w:val="0"/>
          <w:numId w:val="7"/>
        </w:numPr>
        <w:spacing w:line="560" w:lineRule="exact"/>
        <w:ind w:firstLine="477" w:firstLineChars="198"/>
        <w:rPr>
          <w:rFonts w:hint="eastAsia" w:ascii="宋体" w:hAnsi="宋体" w:eastAsia="宋体" w:cs="宋体"/>
          <w:bCs/>
          <w:color w:val="000000"/>
          <w:sz w:val="24"/>
        </w:rPr>
      </w:pPr>
      <w:r>
        <w:rPr>
          <w:rFonts w:hint="eastAsia" w:ascii="宋体" w:hAnsi="宋体" w:eastAsia="宋体" w:cs="宋体"/>
          <w:b/>
          <w:color w:val="000000"/>
          <w:sz w:val="24"/>
        </w:rPr>
        <w:t>咨询人变更签证审核、结算报告等咨询服务时没有组织材料市场实地询价工作，提供虚假材料询价资料或市场询价、定价材料价格的真实性、准确性与市场价格存在大的偏差，委托人有权从相应单项项目服务费中扣除3%/次违约金，</w:t>
      </w:r>
      <w:bookmarkStart w:id="243" w:name="_Hlk70610627"/>
      <w:r>
        <w:rPr>
          <w:rFonts w:hint="eastAsia" w:ascii="宋体" w:hAnsi="宋体" w:eastAsia="宋体" w:cs="宋体"/>
          <w:b/>
          <w:color w:val="000000"/>
          <w:sz w:val="24"/>
        </w:rPr>
        <w:t>造价咨询单位未及时组织材料询价，从相应单项项目服务费中按500元/次的违约金扣除。</w:t>
      </w:r>
      <w:bookmarkEnd w:id="243"/>
    </w:p>
    <w:p w14:paraId="610FEA74">
      <w:pPr>
        <w:spacing w:line="560" w:lineRule="exact"/>
        <w:ind w:firstLine="475" w:firstLineChars="198"/>
        <w:rPr>
          <w:rFonts w:hint="eastAsia" w:ascii="宋体" w:hAnsi="宋体" w:eastAsia="宋体" w:cs="宋体"/>
          <w:bCs/>
          <w:color w:val="000000"/>
          <w:sz w:val="24"/>
        </w:rPr>
      </w:pPr>
      <w:r>
        <w:rPr>
          <w:rFonts w:hint="eastAsia" w:ascii="宋体" w:hAnsi="宋体" w:eastAsia="宋体" w:cs="宋体"/>
          <w:bCs/>
          <w:color w:val="000000"/>
          <w:sz w:val="24"/>
        </w:rPr>
        <w:t>（2）咨询人收到工程进度、施工过程结算资料后，需踏勘现场后审核进度，在7个日历日内完成进度审核并出具审核意见，按照业主要求时间完成过程结算审核并出具过程结算审核报告。</w:t>
      </w:r>
    </w:p>
    <w:p w14:paraId="20E0C947">
      <w:pPr>
        <w:numPr>
          <w:ilvl w:val="0"/>
          <w:numId w:val="7"/>
        </w:numPr>
        <w:spacing w:line="560" w:lineRule="exact"/>
        <w:ind w:firstLine="477" w:firstLineChars="198"/>
        <w:rPr>
          <w:rFonts w:hint="eastAsia" w:ascii="宋体" w:hAnsi="宋体" w:eastAsia="宋体" w:cs="宋体"/>
          <w:b/>
          <w:color w:val="000000"/>
          <w:sz w:val="24"/>
        </w:rPr>
      </w:pPr>
      <w:r>
        <w:rPr>
          <w:rFonts w:hint="eastAsia" w:ascii="宋体" w:hAnsi="宋体" w:eastAsia="宋体" w:cs="宋体"/>
          <w:b/>
          <w:color w:val="000000"/>
          <w:sz w:val="24"/>
        </w:rPr>
        <w:t>咨询人在收到经委托人需进行核实的承包单位提交的变更、签证、施工过程结算、工程竣工结算时，未委派项目造价人员进行踏勘现场复核工程量并留存影像资料的，致使出具的工程结算审核报告与项目现场不符、计算工程量不准确等问题。</w:t>
      </w:r>
      <w:bookmarkStart w:id="244" w:name="_Hlk70610756"/>
      <w:r>
        <w:rPr>
          <w:rFonts w:hint="eastAsia" w:ascii="宋体" w:hAnsi="宋体" w:eastAsia="宋体" w:cs="宋体"/>
          <w:b/>
          <w:color w:val="000000"/>
          <w:sz w:val="24"/>
        </w:rPr>
        <w:t>如工程结算审定金额与政府造价审核部门或司法机关认定的结果存在误差</w:t>
      </w:r>
      <w:bookmarkEnd w:id="244"/>
      <w:r>
        <w:rPr>
          <w:rFonts w:hint="eastAsia" w:ascii="宋体" w:hAnsi="宋体" w:eastAsia="宋体" w:cs="宋体"/>
          <w:b/>
          <w:color w:val="000000"/>
          <w:sz w:val="24"/>
        </w:rPr>
        <w:t>，误差率3%以上、5%以下（不含3%，含5% ），咨询人承担相应单项项目10%服务费的违约金；误差率5%以上，咨询人承担相应单项项目20%服务费的违约金。误差率超过10%，咨询人承担相应单项项目30%服务费的违约金。</w:t>
      </w:r>
    </w:p>
    <w:p w14:paraId="0491F27F">
      <w:pPr>
        <w:spacing w:line="56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经咨询人审核后备案的招标工程量清单，如出现缺项、漏项、工程量计算错误、特征描述不清楚不准确导致的增加的工程造价超过施工合同金额5%以上10%以下（不含5%，含10%）的，委托人有权扣减相应项目10%的服务费；增加的工程造价超过施工合同金额10%的，委托人有权扣减相应项目服务费的20%的违约金。</w:t>
      </w:r>
    </w:p>
    <w:p w14:paraId="6971CDA2">
      <w:pPr>
        <w:spacing w:line="560" w:lineRule="exact"/>
        <w:ind w:firstLine="475" w:firstLineChars="198"/>
        <w:rPr>
          <w:rFonts w:hint="eastAsia" w:ascii="宋体" w:hAnsi="宋体" w:eastAsia="宋体" w:cs="宋体"/>
          <w:color w:val="000000"/>
          <w:sz w:val="24"/>
        </w:rPr>
      </w:pPr>
      <w:r>
        <w:rPr>
          <w:rFonts w:hint="eastAsia" w:ascii="宋体" w:hAnsi="宋体" w:eastAsia="宋体" w:cs="宋体"/>
          <w:color w:val="000000"/>
          <w:sz w:val="24"/>
        </w:rPr>
        <w:t>（4）咨询人应积极配合审计工作并参加相关会议。</w:t>
      </w:r>
    </w:p>
    <w:p w14:paraId="735F5751">
      <w:pPr>
        <w:spacing w:line="560" w:lineRule="exact"/>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4.2.6 依据合同约定的服务范围及工作内容，根据委托人的需求出具书面审核报告。</w:t>
      </w:r>
    </w:p>
    <w:p w14:paraId="44219384">
      <w:pPr>
        <w:spacing w:line="56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4.2.7对发现造价咨询单位的人员在工作中有利用职务之便和工作关系谋取私利、索贿，接受贿赂、回扣和礼品不良行为，因不良行为导致严重后果的委托人有权追究其法律责任，可单方终止合同，扣除所有造价咨询费，情节严重移交司法机关进行处罚。且因造价咨询单位原因给委托人造成损失的，造价咨询单位承担一切不利后果。</w:t>
      </w:r>
    </w:p>
    <w:p w14:paraId="083EAE80">
      <w:pPr>
        <w:spacing w:line="560" w:lineRule="exact"/>
        <w:ind w:firstLine="475" w:firstLineChars="198"/>
        <w:rPr>
          <w:rFonts w:hint="eastAsia" w:ascii="宋体" w:hAnsi="宋体" w:eastAsia="宋体" w:cs="宋体"/>
          <w:bCs/>
          <w:color w:val="000000"/>
          <w:sz w:val="24"/>
        </w:rPr>
      </w:pPr>
      <w:bookmarkStart w:id="245" w:name="_Hlk70611007"/>
      <w:r>
        <w:rPr>
          <w:rFonts w:hint="eastAsia" w:ascii="宋体" w:hAnsi="宋体" w:eastAsia="宋体" w:cs="宋体"/>
          <w:bCs/>
          <w:color w:val="000000"/>
          <w:sz w:val="24"/>
        </w:rPr>
        <w:t>4.2.8</w:t>
      </w:r>
      <w:r>
        <w:rPr>
          <w:rFonts w:hint="eastAsia" w:ascii="宋体" w:hAnsi="宋体" w:eastAsia="宋体" w:cs="宋体"/>
          <w:color w:val="000000"/>
          <w:sz w:val="24"/>
        </w:rPr>
        <w:t>咨询人不得私自与施工单位接触，进行任何有危害委托人利益的合作和经济活动，否则委托人有权解除本合同，不支付服务费，咨询人向委托人支付服务费总额10%的违约金，并须赔偿因此给委托人造成的直接、间接经济损失。</w:t>
      </w:r>
    </w:p>
    <w:bookmarkEnd w:id="245"/>
    <w:p w14:paraId="70E8FA4A">
      <w:pPr>
        <w:spacing w:line="560" w:lineRule="exact"/>
        <w:ind w:firstLine="475" w:firstLineChars="198"/>
        <w:rPr>
          <w:rFonts w:hint="eastAsia" w:ascii="宋体" w:hAnsi="宋体" w:eastAsia="宋体" w:cs="宋体"/>
          <w:bCs/>
          <w:color w:val="000000"/>
          <w:sz w:val="24"/>
        </w:rPr>
      </w:pPr>
      <w:r>
        <w:rPr>
          <w:rFonts w:hint="eastAsia" w:ascii="宋体" w:hAnsi="宋体" w:eastAsia="宋体" w:cs="宋体"/>
          <w:bCs/>
          <w:color w:val="000000"/>
          <w:sz w:val="24"/>
        </w:rPr>
        <w:t>4.2.9</w:t>
      </w:r>
      <w:r>
        <w:rPr>
          <w:rFonts w:hint="eastAsia" w:ascii="宋体" w:hAnsi="宋体" w:eastAsia="宋体" w:cs="宋体"/>
          <w:color w:val="000000"/>
          <w:sz w:val="24"/>
        </w:rPr>
        <w:t>咨询人向委托人提供的造价资料真实、准确、完整，且不存在任何虚假记载、误导性陈述或遗漏。</w:t>
      </w:r>
    </w:p>
    <w:p w14:paraId="78591C13">
      <w:pPr>
        <w:spacing w:before="60" w:after="60" w:line="560" w:lineRule="exact"/>
        <w:ind w:firstLine="480" w:firstLineChars="200"/>
        <w:outlineLvl w:val="1"/>
        <w:rPr>
          <w:rFonts w:hint="eastAsia" w:ascii="宋体" w:hAnsi="宋体" w:eastAsia="宋体" w:cs="宋体"/>
          <w:bCs/>
          <w:sz w:val="24"/>
        </w:rPr>
      </w:pPr>
      <w:bookmarkStart w:id="246" w:name="_Toc419045115"/>
      <w:bookmarkStart w:id="247" w:name="_Toc56530686"/>
      <w:bookmarkStart w:id="248" w:name="_Toc422322540"/>
      <w:r>
        <w:rPr>
          <w:rFonts w:hint="eastAsia" w:ascii="宋体" w:hAnsi="宋体" w:eastAsia="宋体" w:cs="宋体"/>
          <w:bCs/>
          <w:sz w:val="24"/>
        </w:rPr>
        <w:t>5. 支付</w:t>
      </w:r>
      <w:bookmarkEnd w:id="246"/>
      <w:bookmarkEnd w:id="247"/>
      <w:bookmarkEnd w:id="248"/>
    </w:p>
    <w:p w14:paraId="46E53B2E">
      <w:pPr>
        <w:spacing w:before="60" w:after="60" w:line="560" w:lineRule="exact"/>
        <w:ind w:firstLine="480" w:firstLineChars="200"/>
        <w:outlineLvl w:val="1"/>
        <w:rPr>
          <w:rFonts w:hint="eastAsia" w:ascii="宋体" w:hAnsi="宋体" w:eastAsia="宋体" w:cs="宋体"/>
          <w:bCs/>
          <w:sz w:val="24"/>
        </w:rPr>
      </w:pPr>
      <w:bookmarkStart w:id="249" w:name="_Toc422322541"/>
      <w:bookmarkStart w:id="250" w:name="_Toc56530687"/>
      <w:bookmarkStart w:id="251" w:name="_Toc419045116"/>
      <w:r>
        <w:rPr>
          <w:rFonts w:hint="eastAsia" w:ascii="宋体" w:hAnsi="宋体" w:eastAsia="宋体" w:cs="宋体"/>
          <w:bCs/>
          <w:sz w:val="24"/>
        </w:rPr>
        <w:t>5.1支付货币</w:t>
      </w:r>
      <w:bookmarkEnd w:id="249"/>
      <w:bookmarkEnd w:id="250"/>
      <w:bookmarkEnd w:id="251"/>
    </w:p>
    <w:p w14:paraId="052032B5">
      <w:pPr>
        <w:spacing w:line="560" w:lineRule="exact"/>
        <w:ind w:firstLine="480" w:firstLineChars="200"/>
        <w:rPr>
          <w:rFonts w:hint="eastAsia" w:ascii="宋体" w:hAnsi="宋体" w:eastAsia="宋体" w:cs="宋体"/>
          <w:bCs/>
          <w:sz w:val="24"/>
        </w:rPr>
      </w:pPr>
      <w:r>
        <w:rPr>
          <w:rFonts w:hint="eastAsia" w:ascii="宋体" w:hAnsi="宋体" w:eastAsia="宋体" w:cs="宋体"/>
          <w:bCs/>
          <w:sz w:val="24"/>
        </w:rPr>
        <w:t>币种为：人民币，汇率为：  /  ，其他约定：  /  。</w:t>
      </w:r>
    </w:p>
    <w:p w14:paraId="102A94FB">
      <w:pPr>
        <w:spacing w:before="60" w:after="60" w:line="560" w:lineRule="exact"/>
        <w:ind w:firstLine="480" w:firstLineChars="200"/>
        <w:outlineLvl w:val="1"/>
        <w:rPr>
          <w:rFonts w:hint="eastAsia" w:ascii="宋体" w:hAnsi="宋体" w:eastAsia="宋体" w:cs="宋体"/>
          <w:bCs/>
          <w:sz w:val="24"/>
        </w:rPr>
      </w:pPr>
      <w:bookmarkStart w:id="252" w:name="_Toc419045117"/>
      <w:bookmarkStart w:id="253" w:name="_Toc56530688"/>
      <w:bookmarkStart w:id="254" w:name="_Toc422322542"/>
      <w:r>
        <w:rPr>
          <w:rFonts w:hint="eastAsia" w:ascii="宋体" w:hAnsi="宋体" w:eastAsia="宋体" w:cs="宋体"/>
          <w:bCs/>
          <w:sz w:val="24"/>
        </w:rPr>
        <w:t>5.2 支付申请</w:t>
      </w:r>
      <w:bookmarkEnd w:id="252"/>
      <w:bookmarkEnd w:id="253"/>
      <w:bookmarkEnd w:id="254"/>
    </w:p>
    <w:p w14:paraId="29BA9E9F">
      <w:pPr>
        <w:spacing w:line="560" w:lineRule="exact"/>
        <w:ind w:firstLine="480" w:firstLineChars="200"/>
        <w:rPr>
          <w:rFonts w:hint="eastAsia" w:ascii="宋体" w:hAnsi="宋体" w:eastAsia="宋体" w:cs="宋体"/>
          <w:bCs/>
          <w:sz w:val="24"/>
        </w:rPr>
      </w:pPr>
      <w:r>
        <w:rPr>
          <w:rFonts w:hint="eastAsia" w:ascii="宋体" w:hAnsi="宋体" w:eastAsia="宋体" w:cs="宋体"/>
          <w:bCs/>
          <w:sz w:val="24"/>
        </w:rPr>
        <w:t>咨询人应在本合同约定的每次应付款日期20日前，向委托人提交支付申请书。</w:t>
      </w:r>
    </w:p>
    <w:p w14:paraId="2C528926">
      <w:pPr>
        <w:spacing w:before="60" w:after="60" w:line="560" w:lineRule="exact"/>
        <w:ind w:firstLine="480" w:firstLineChars="200"/>
        <w:outlineLvl w:val="1"/>
        <w:rPr>
          <w:rFonts w:hint="eastAsia" w:ascii="宋体" w:hAnsi="宋体" w:eastAsia="宋体" w:cs="宋体"/>
          <w:bCs/>
          <w:sz w:val="24"/>
        </w:rPr>
      </w:pPr>
      <w:bookmarkStart w:id="255" w:name="_Toc56530689"/>
      <w:bookmarkStart w:id="256" w:name="_Toc422322543"/>
      <w:bookmarkStart w:id="257" w:name="_Toc419045118"/>
      <w:r>
        <w:rPr>
          <w:rFonts w:hint="eastAsia" w:ascii="宋体" w:hAnsi="宋体" w:eastAsia="宋体" w:cs="宋体"/>
          <w:bCs/>
          <w:sz w:val="24"/>
        </w:rPr>
        <w:t>5.3支付酬金</w:t>
      </w:r>
      <w:bookmarkEnd w:id="255"/>
      <w:bookmarkEnd w:id="256"/>
      <w:bookmarkEnd w:id="257"/>
    </w:p>
    <w:p w14:paraId="10CA0DA0">
      <w:pPr>
        <w:pStyle w:val="18"/>
        <w:ind w:left="120" w:hanging="120"/>
        <w:jc w:val="left"/>
        <w:rPr>
          <w:rFonts w:hint="eastAsia" w:ascii="宋体" w:hAnsi="宋体" w:eastAsia="宋体" w:cs="宋体"/>
          <w:sz w:val="24"/>
        </w:rPr>
      </w:pPr>
      <w:r>
        <w:rPr>
          <w:rFonts w:hint="eastAsia" w:ascii="宋体" w:hAnsi="宋体" w:eastAsia="宋体" w:cs="宋体"/>
          <w:kern w:val="2"/>
        </w:rPr>
        <w:t>本项目分为12、13、14、15号宿舍楼和附属用房，采购人根据项目情况进行实施，按以下节点支付服务费：</w:t>
      </w:r>
    </w:p>
    <w:tbl>
      <w:tblPr>
        <w:tblStyle w:val="34"/>
        <w:tblW w:w="9539" w:type="dxa"/>
        <w:tblInd w:w="0" w:type="dxa"/>
        <w:tblLayout w:type="fixed"/>
        <w:tblCellMar>
          <w:top w:w="0" w:type="dxa"/>
          <w:left w:w="0" w:type="dxa"/>
          <w:bottom w:w="0" w:type="dxa"/>
          <w:right w:w="0" w:type="dxa"/>
        </w:tblCellMar>
      </w:tblPr>
      <w:tblGrid>
        <w:gridCol w:w="4334"/>
        <w:gridCol w:w="5205"/>
      </w:tblGrid>
      <w:tr w14:paraId="52983D45">
        <w:tblPrEx>
          <w:tblCellMar>
            <w:top w:w="0" w:type="dxa"/>
            <w:left w:w="0" w:type="dxa"/>
            <w:bottom w:w="0" w:type="dxa"/>
            <w:right w:w="0" w:type="dxa"/>
          </w:tblCellMar>
        </w:tblPrEx>
        <w:trPr>
          <w:trHeight w:val="554" w:hRule="atLeast"/>
        </w:trPr>
        <w:tc>
          <w:tcPr>
            <w:tcW w:w="4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CAA56">
            <w:pPr>
              <w:spacing w:line="240" w:lineRule="exact"/>
              <w:ind w:left="120" w:right="0" w:hanging="120"/>
              <w:jc w:val="center"/>
              <w:rPr>
                <w:rFonts w:hint="eastAsia" w:ascii="宋体" w:hAnsi="宋体" w:eastAsia="宋体" w:cs="宋体"/>
                <w:b/>
                <w:bCs/>
                <w:color w:val="000000"/>
                <w:sz w:val="24"/>
              </w:rPr>
            </w:pPr>
            <w:bookmarkStart w:id="258" w:name="_Toc419045119"/>
            <w:bookmarkStart w:id="259" w:name="_Toc422322544"/>
            <w:r>
              <w:rPr>
                <w:rFonts w:hint="eastAsia" w:ascii="宋体" w:hAnsi="宋体" w:eastAsia="宋体" w:cs="宋体"/>
                <w:b/>
                <w:bCs/>
                <w:color w:val="000000"/>
                <w:sz w:val="24"/>
              </w:rPr>
              <w:t>支付时间</w:t>
            </w:r>
          </w:p>
        </w:tc>
        <w:tc>
          <w:tcPr>
            <w:tcW w:w="5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10707">
            <w:pPr>
              <w:spacing w:line="240" w:lineRule="exact"/>
              <w:ind w:left="120" w:right="0" w:hanging="120"/>
              <w:jc w:val="center"/>
              <w:rPr>
                <w:rFonts w:hint="eastAsia" w:ascii="宋体" w:hAnsi="宋体" w:eastAsia="宋体" w:cs="宋体"/>
                <w:b/>
                <w:bCs/>
                <w:color w:val="000000"/>
                <w:sz w:val="24"/>
              </w:rPr>
            </w:pPr>
            <w:r>
              <w:rPr>
                <w:rFonts w:hint="eastAsia" w:ascii="宋体" w:hAnsi="宋体" w:eastAsia="宋体" w:cs="宋体"/>
                <w:b/>
                <w:bCs/>
                <w:color w:val="000000"/>
                <w:sz w:val="24"/>
              </w:rPr>
              <w:t>支付比例</w:t>
            </w:r>
          </w:p>
        </w:tc>
      </w:tr>
      <w:tr w14:paraId="73D721B3">
        <w:tblPrEx>
          <w:tblCellMar>
            <w:top w:w="0" w:type="dxa"/>
            <w:left w:w="0" w:type="dxa"/>
            <w:bottom w:w="0" w:type="dxa"/>
            <w:right w:w="0" w:type="dxa"/>
          </w:tblCellMar>
        </w:tblPrEx>
        <w:trPr>
          <w:trHeight w:val="740" w:hRule="atLeast"/>
        </w:trPr>
        <w:tc>
          <w:tcPr>
            <w:tcW w:w="4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5395E">
            <w:pPr>
              <w:pStyle w:val="15"/>
              <w:numPr>
                <w:ilvl w:val="0"/>
                <w:numId w:val="0"/>
              </w:numPr>
              <w:spacing w:line="240" w:lineRule="exact"/>
              <w:ind w:leftChars="0" w:right="62" w:rightChars="0"/>
              <w:jc w:val="both"/>
              <w:rPr>
                <w:rFonts w:hint="eastAsia" w:ascii="宋体" w:hAnsi="宋体" w:eastAsia="宋体" w:cs="宋体"/>
                <w:b/>
                <w:bCs/>
                <w:color w:val="000000"/>
                <w:sz w:val="24"/>
              </w:rPr>
            </w:pPr>
            <w:r>
              <w:rPr>
                <w:rFonts w:hint="eastAsia" w:ascii="宋体" w:hAnsi="宋体" w:eastAsia="宋体" w:cs="宋体"/>
                <w:szCs w:val="24"/>
                <w:lang w:val="en-US" w:eastAsia="zh-CN"/>
              </w:rPr>
              <w:t>1、项目基坑验槽合格后</w:t>
            </w:r>
          </w:p>
        </w:tc>
        <w:tc>
          <w:tcPr>
            <w:tcW w:w="52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4FA95">
            <w:pPr>
              <w:pStyle w:val="15"/>
              <w:numPr>
                <w:ilvl w:val="0"/>
                <w:numId w:val="0"/>
              </w:numPr>
              <w:spacing w:line="240" w:lineRule="exact"/>
              <w:ind w:leftChars="0" w:right="62" w:rightChars="0"/>
              <w:jc w:val="both"/>
              <w:rPr>
                <w:rFonts w:hint="eastAsia" w:ascii="宋体" w:hAnsi="宋体" w:eastAsia="宋体" w:cs="宋体"/>
                <w:b/>
                <w:bCs/>
                <w:color w:val="000000"/>
                <w:sz w:val="24"/>
              </w:rPr>
            </w:pPr>
            <w:r>
              <w:rPr>
                <w:rFonts w:hint="eastAsia" w:ascii="宋体" w:hAnsi="宋体" w:eastAsia="宋体" w:cs="宋体"/>
                <w:szCs w:val="24"/>
                <w:lang w:val="en-US" w:eastAsia="zh-CN"/>
              </w:rPr>
              <w:t>支付合同价的20%；</w:t>
            </w:r>
          </w:p>
        </w:tc>
      </w:tr>
      <w:tr w14:paraId="555ADCF5">
        <w:tblPrEx>
          <w:tblCellMar>
            <w:top w:w="0" w:type="dxa"/>
            <w:left w:w="0" w:type="dxa"/>
            <w:bottom w:w="0" w:type="dxa"/>
            <w:right w:w="0" w:type="dxa"/>
          </w:tblCellMar>
        </w:tblPrEx>
        <w:trPr>
          <w:trHeight w:val="575" w:hRule="atLeast"/>
        </w:trPr>
        <w:tc>
          <w:tcPr>
            <w:tcW w:w="433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91EABB8">
            <w:pPr>
              <w:pStyle w:val="15"/>
              <w:numPr>
                <w:ilvl w:val="0"/>
                <w:numId w:val="0"/>
              </w:numPr>
              <w:spacing w:line="240" w:lineRule="exact"/>
              <w:ind w:leftChars="0" w:right="62" w:rightChars="0"/>
              <w:jc w:val="both"/>
              <w:rPr>
                <w:rFonts w:hint="eastAsia" w:ascii="宋体" w:hAnsi="宋体" w:eastAsia="宋体" w:cs="宋体"/>
                <w:b/>
                <w:bCs/>
                <w:color w:val="000000"/>
                <w:sz w:val="24"/>
              </w:rPr>
            </w:pPr>
            <w:r>
              <w:rPr>
                <w:rFonts w:hint="eastAsia" w:ascii="宋体" w:hAnsi="宋体" w:eastAsia="宋体" w:cs="宋体"/>
                <w:szCs w:val="24"/>
                <w:lang w:val="en-US" w:eastAsia="zh-CN"/>
              </w:rPr>
              <w:t>2、主体工程验收合格后</w:t>
            </w:r>
          </w:p>
        </w:tc>
        <w:tc>
          <w:tcPr>
            <w:tcW w:w="520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8742B38">
            <w:pPr>
              <w:pStyle w:val="15"/>
              <w:numPr>
                <w:ilvl w:val="0"/>
                <w:numId w:val="0"/>
              </w:numPr>
              <w:spacing w:line="240" w:lineRule="exact"/>
              <w:ind w:leftChars="0" w:right="62" w:rightChars="0"/>
              <w:jc w:val="both"/>
              <w:rPr>
                <w:rFonts w:hint="eastAsia" w:ascii="宋体" w:hAnsi="宋体" w:eastAsia="宋体" w:cs="宋体"/>
                <w:b/>
                <w:bCs/>
                <w:color w:val="000000"/>
                <w:sz w:val="24"/>
              </w:rPr>
            </w:pPr>
            <w:r>
              <w:rPr>
                <w:rFonts w:hint="eastAsia" w:ascii="宋体" w:hAnsi="宋体" w:eastAsia="宋体" w:cs="宋体"/>
                <w:szCs w:val="24"/>
                <w:lang w:val="en-US" w:eastAsia="zh-CN"/>
              </w:rPr>
              <w:t>支付合同价的30%；</w:t>
            </w:r>
          </w:p>
        </w:tc>
      </w:tr>
      <w:tr w14:paraId="12BA3D99">
        <w:tblPrEx>
          <w:tblCellMar>
            <w:top w:w="0" w:type="dxa"/>
            <w:left w:w="0" w:type="dxa"/>
            <w:bottom w:w="0" w:type="dxa"/>
            <w:right w:w="0" w:type="dxa"/>
          </w:tblCellMar>
        </w:tblPrEx>
        <w:trPr>
          <w:trHeight w:val="880" w:hRule="atLeast"/>
        </w:trPr>
        <w:tc>
          <w:tcPr>
            <w:tcW w:w="433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00EC8D">
            <w:pPr>
              <w:pStyle w:val="15"/>
              <w:numPr>
                <w:ilvl w:val="0"/>
                <w:numId w:val="0"/>
              </w:numPr>
              <w:spacing w:line="240" w:lineRule="exact"/>
              <w:ind w:leftChars="0" w:right="62" w:rightChars="0"/>
              <w:jc w:val="both"/>
              <w:rPr>
                <w:rFonts w:hint="eastAsia" w:ascii="宋体" w:hAnsi="宋体" w:eastAsia="宋体" w:cs="宋体"/>
                <w:b/>
                <w:bCs/>
                <w:color w:val="000000"/>
                <w:sz w:val="24"/>
              </w:rPr>
            </w:pPr>
            <w:r>
              <w:rPr>
                <w:rFonts w:hint="eastAsia" w:ascii="宋体" w:hAnsi="宋体" w:eastAsia="宋体" w:cs="宋体"/>
                <w:szCs w:val="24"/>
                <w:lang w:val="en-US" w:eastAsia="zh-CN"/>
              </w:rPr>
              <w:t>3、“五方”质量验收合格后</w:t>
            </w:r>
          </w:p>
        </w:tc>
        <w:tc>
          <w:tcPr>
            <w:tcW w:w="52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D90FFC">
            <w:pPr>
              <w:pStyle w:val="15"/>
              <w:numPr>
                <w:ilvl w:val="0"/>
                <w:numId w:val="0"/>
              </w:numPr>
              <w:spacing w:line="240" w:lineRule="exact"/>
              <w:ind w:leftChars="0" w:right="62" w:rightChars="0"/>
              <w:jc w:val="both"/>
              <w:rPr>
                <w:rFonts w:hint="eastAsia" w:ascii="宋体" w:hAnsi="宋体" w:eastAsia="宋体" w:cs="宋体"/>
                <w:b/>
                <w:bCs/>
                <w:color w:val="000000"/>
                <w:sz w:val="24"/>
              </w:rPr>
            </w:pPr>
            <w:r>
              <w:rPr>
                <w:rFonts w:hint="eastAsia" w:ascii="宋体" w:hAnsi="宋体" w:eastAsia="宋体" w:cs="宋体"/>
                <w:szCs w:val="24"/>
                <w:lang w:val="en-US" w:eastAsia="zh-CN"/>
              </w:rPr>
              <w:t>支付合同价的20%；</w:t>
            </w:r>
          </w:p>
        </w:tc>
      </w:tr>
      <w:tr w14:paraId="12C0EAB5">
        <w:tblPrEx>
          <w:tblCellMar>
            <w:top w:w="0" w:type="dxa"/>
            <w:left w:w="0" w:type="dxa"/>
            <w:bottom w:w="0" w:type="dxa"/>
            <w:right w:w="0" w:type="dxa"/>
          </w:tblCellMar>
        </w:tblPrEx>
        <w:trPr>
          <w:trHeight w:val="642" w:hRule="atLeast"/>
        </w:trPr>
        <w:tc>
          <w:tcPr>
            <w:tcW w:w="4334" w:type="dxa"/>
            <w:tcBorders>
              <w:top w:val="single" w:color="auto" w:sz="4" w:space="0"/>
              <w:left w:val="single" w:color="000000" w:sz="4" w:space="0"/>
              <w:bottom w:val="single" w:color="auto" w:sz="4" w:space="0"/>
              <w:right w:val="nil"/>
            </w:tcBorders>
            <w:noWrap w:val="0"/>
            <w:tcMar>
              <w:top w:w="15" w:type="dxa"/>
              <w:left w:w="15" w:type="dxa"/>
              <w:right w:w="15" w:type="dxa"/>
            </w:tcMar>
            <w:vAlign w:val="center"/>
          </w:tcPr>
          <w:p w14:paraId="7BFDD1D9">
            <w:pPr>
              <w:pStyle w:val="15"/>
              <w:numPr>
                <w:ilvl w:val="0"/>
                <w:numId w:val="0"/>
              </w:numPr>
              <w:spacing w:line="240" w:lineRule="exact"/>
              <w:ind w:leftChars="0" w:right="62" w:rightChars="0"/>
              <w:jc w:val="both"/>
              <w:rPr>
                <w:rFonts w:hint="eastAsia" w:ascii="宋体" w:hAnsi="宋体" w:eastAsia="宋体" w:cs="宋体"/>
                <w:color w:val="000000"/>
                <w:sz w:val="24"/>
              </w:rPr>
            </w:pPr>
            <w:r>
              <w:rPr>
                <w:rFonts w:hint="eastAsia" w:ascii="宋体" w:hAnsi="宋体" w:eastAsia="宋体" w:cs="宋体"/>
                <w:szCs w:val="24"/>
                <w:lang w:val="en-US" w:eastAsia="zh-CN"/>
              </w:rPr>
              <w:t>4、提交竣工结算审核、财务决算审核报告后</w:t>
            </w:r>
          </w:p>
        </w:tc>
        <w:tc>
          <w:tcPr>
            <w:tcW w:w="520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D30C131">
            <w:pPr>
              <w:pStyle w:val="15"/>
              <w:numPr>
                <w:ilvl w:val="0"/>
                <w:numId w:val="0"/>
              </w:numPr>
              <w:spacing w:line="240" w:lineRule="exact"/>
              <w:ind w:leftChars="0" w:right="62" w:rightChars="0"/>
              <w:jc w:val="both"/>
              <w:rPr>
                <w:rFonts w:hint="eastAsia" w:ascii="宋体" w:hAnsi="宋体" w:eastAsia="宋体" w:cs="宋体"/>
                <w:color w:val="000000"/>
                <w:sz w:val="24"/>
              </w:rPr>
            </w:pPr>
            <w:r>
              <w:rPr>
                <w:rFonts w:hint="eastAsia" w:ascii="宋体" w:hAnsi="宋体" w:eastAsia="宋体" w:cs="宋体"/>
                <w:szCs w:val="24"/>
                <w:lang w:val="en-US" w:eastAsia="zh-CN"/>
              </w:rPr>
              <w:t>支付合同价的30%；</w:t>
            </w:r>
          </w:p>
        </w:tc>
      </w:tr>
      <w:tr w14:paraId="68F300AD">
        <w:tblPrEx>
          <w:tblCellMar>
            <w:top w:w="0" w:type="dxa"/>
            <w:left w:w="0" w:type="dxa"/>
            <w:bottom w:w="0" w:type="dxa"/>
            <w:right w:w="0" w:type="dxa"/>
          </w:tblCellMar>
        </w:tblPrEx>
        <w:trPr>
          <w:trHeight w:val="899" w:hRule="atLeast"/>
        </w:trPr>
        <w:tc>
          <w:tcPr>
            <w:tcW w:w="9539"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C5F8C">
            <w:pPr>
              <w:pStyle w:val="50"/>
              <w:spacing w:line="312" w:lineRule="auto"/>
              <w:ind w:left="0" w:right="0" w:firstLine="0" w:firstLineChars="0"/>
              <w:rPr>
                <w:rFonts w:hint="eastAsia" w:ascii="宋体" w:hAnsi="宋体" w:eastAsia="宋体" w:cs="宋体"/>
                <w:color w:val="000000"/>
                <w:sz w:val="24"/>
                <w:highlight w:val="yellow"/>
              </w:rPr>
            </w:pPr>
            <w:bookmarkStart w:id="260" w:name="_Toc56530690"/>
            <w:r>
              <w:rPr>
                <w:rFonts w:hint="eastAsia" w:ascii="宋体" w:hAnsi="宋体" w:eastAsia="宋体" w:cs="宋体"/>
                <w:b/>
                <w:bCs/>
                <w:sz w:val="24"/>
              </w:rPr>
              <w:t>委</w:t>
            </w:r>
            <w:r>
              <w:rPr>
                <w:rFonts w:hint="eastAsia" w:ascii="宋体" w:hAnsi="宋体" w:eastAsia="宋体" w:cs="宋体"/>
                <w:b/>
                <w:bCs/>
                <w:sz w:val="24"/>
                <w:lang w:val="en-US" w:bidi="ar-SA"/>
              </w:rPr>
              <w:t>托人在支付本约定书约定的任何一笔款项前，咨询人必须先行提供真实合法有效正规的等额税务发票并按约定的时间提交支付申请书并经过委托人财务部门审批。若咨询人不按要求提供发票及支付申请书或发票不符合委托人财务部门审核要求，委托人有权拒绝支付该笔款项且不承担任何违约责任。</w:t>
            </w:r>
          </w:p>
        </w:tc>
      </w:tr>
    </w:tbl>
    <w:p w14:paraId="50016ECD">
      <w:pPr>
        <w:spacing w:before="60" w:after="60" w:line="560" w:lineRule="exact"/>
        <w:ind w:left="120" w:hanging="120"/>
        <w:outlineLvl w:val="1"/>
        <w:rPr>
          <w:rFonts w:hint="eastAsia" w:ascii="宋体" w:hAnsi="宋体" w:eastAsia="宋体" w:cs="宋体"/>
          <w:bCs/>
          <w:sz w:val="24"/>
        </w:rPr>
      </w:pPr>
      <w:r>
        <w:rPr>
          <w:rFonts w:hint="eastAsia" w:ascii="宋体" w:hAnsi="宋体" w:eastAsia="宋体" w:cs="宋体"/>
          <w:bCs/>
          <w:sz w:val="24"/>
        </w:rPr>
        <w:t>6. 合同变更、解除与终止</w:t>
      </w:r>
      <w:bookmarkEnd w:id="258"/>
      <w:bookmarkEnd w:id="259"/>
      <w:bookmarkEnd w:id="260"/>
    </w:p>
    <w:p w14:paraId="75AA5ABB">
      <w:pPr>
        <w:spacing w:before="60" w:after="60" w:line="560" w:lineRule="exact"/>
        <w:ind w:firstLine="480" w:firstLineChars="200"/>
        <w:outlineLvl w:val="1"/>
        <w:rPr>
          <w:rFonts w:hint="eastAsia" w:ascii="宋体" w:hAnsi="宋体" w:eastAsia="宋体" w:cs="宋体"/>
          <w:bCs/>
          <w:sz w:val="24"/>
        </w:rPr>
      </w:pPr>
      <w:bookmarkStart w:id="261" w:name="_Toc419045120"/>
      <w:bookmarkStart w:id="262" w:name="_Toc422322545"/>
      <w:bookmarkStart w:id="263" w:name="_Toc56530691"/>
      <w:r>
        <w:rPr>
          <w:rFonts w:hint="eastAsia" w:ascii="宋体" w:hAnsi="宋体" w:eastAsia="宋体" w:cs="宋体"/>
          <w:bCs/>
          <w:sz w:val="24"/>
        </w:rPr>
        <w:t>6.1合同变更</w:t>
      </w:r>
      <w:bookmarkEnd w:id="261"/>
      <w:bookmarkEnd w:id="262"/>
      <w:bookmarkEnd w:id="263"/>
    </w:p>
    <w:p w14:paraId="6FBDE59F">
      <w:pPr>
        <w:spacing w:line="560" w:lineRule="exact"/>
        <w:ind w:firstLine="480" w:firstLineChars="200"/>
        <w:rPr>
          <w:rFonts w:hint="eastAsia" w:ascii="宋体" w:hAnsi="宋体" w:eastAsia="宋体" w:cs="宋体"/>
          <w:bCs/>
          <w:sz w:val="24"/>
        </w:rPr>
      </w:pPr>
      <w:r>
        <w:rPr>
          <w:rFonts w:hint="eastAsia" w:ascii="宋体" w:hAnsi="宋体" w:eastAsia="宋体" w:cs="宋体"/>
          <w:bCs/>
          <w:sz w:val="24"/>
        </w:rPr>
        <w:t>6.1.1 任何一方以书面形式提出变更请求时，双方经协商一致后可进行变更。</w:t>
      </w:r>
    </w:p>
    <w:p w14:paraId="38F2E106">
      <w:pPr>
        <w:spacing w:line="560" w:lineRule="exact"/>
        <w:ind w:firstLine="480" w:firstLineChars="200"/>
        <w:rPr>
          <w:rFonts w:hint="eastAsia" w:ascii="宋体" w:hAnsi="宋体" w:eastAsia="宋体" w:cs="宋体"/>
          <w:bCs/>
          <w:sz w:val="24"/>
        </w:rPr>
      </w:pPr>
      <w:r>
        <w:rPr>
          <w:rFonts w:hint="eastAsia" w:ascii="宋体" w:hAnsi="宋体" w:eastAsia="宋体" w:cs="宋体"/>
          <w:bCs/>
          <w:sz w:val="24"/>
        </w:rPr>
        <w:t>6.1.2 除不可抗力外，因非咨询人原因导致本合同履行期限延长、内容增加时，附加工作酬金按下列方法确定：</w:t>
      </w:r>
      <w:r>
        <w:rPr>
          <w:rFonts w:hint="eastAsia" w:ascii="宋体" w:hAnsi="宋体" w:eastAsia="宋体" w:cs="宋体"/>
          <w:bCs/>
          <w:sz w:val="24"/>
          <w:u w:val="single"/>
        </w:rPr>
        <w:t xml:space="preserve">  / </w:t>
      </w:r>
      <w:r>
        <w:rPr>
          <w:rFonts w:hint="eastAsia" w:ascii="宋体" w:hAnsi="宋体" w:eastAsia="宋体" w:cs="宋体"/>
          <w:bCs/>
          <w:sz w:val="24"/>
        </w:rPr>
        <w:t xml:space="preserve">。 </w:t>
      </w:r>
    </w:p>
    <w:p w14:paraId="18B65F37">
      <w:pPr>
        <w:pStyle w:val="18"/>
        <w:spacing w:line="560" w:lineRule="exact"/>
        <w:ind w:firstLine="482" w:firstLineChars="200"/>
        <w:jc w:val="left"/>
        <w:rPr>
          <w:rFonts w:hint="eastAsia" w:ascii="宋体" w:hAnsi="宋体" w:eastAsia="宋体" w:cs="宋体"/>
          <w:highlight w:val="none"/>
        </w:rPr>
      </w:pPr>
      <w:bookmarkStart w:id="264" w:name="_Toc422322546"/>
      <w:r>
        <w:rPr>
          <w:rFonts w:hint="eastAsia" w:ascii="宋体" w:hAnsi="宋体" w:eastAsia="宋体" w:cs="宋体"/>
          <w:color w:val="auto"/>
          <w:kern w:val="2"/>
          <w:highlight w:val="none"/>
        </w:rPr>
        <w:t>6.1.4因工程规模、服务范围及内容的变化等导致咨询人的工作量增减时，服务酬金的调整方法</w:t>
      </w:r>
      <w:bookmarkStart w:id="265" w:name="_bookmark74"/>
      <w:bookmarkEnd w:id="265"/>
      <w:r>
        <w:rPr>
          <w:rFonts w:hint="eastAsia" w:ascii="宋体" w:hAnsi="宋体" w:eastAsia="宋体" w:cs="宋体"/>
          <w:color w:val="auto"/>
          <w:kern w:val="2"/>
          <w:highlight w:val="none"/>
        </w:rPr>
        <w:t>：</w:t>
      </w:r>
      <w:r>
        <w:rPr>
          <w:rFonts w:hint="eastAsia" w:hAnsi="宋体" w:cs="宋体"/>
          <w:bCs w:val="0"/>
          <w:color w:val="auto"/>
          <w:kern w:val="2"/>
          <w:highlight w:val="none"/>
          <w:u w:val="single"/>
          <w:lang w:val="en-US" w:eastAsia="zh-CN"/>
        </w:rPr>
        <w:t>不</w:t>
      </w:r>
      <w:r>
        <w:rPr>
          <w:rFonts w:hint="eastAsia" w:ascii="宋体" w:hAnsi="宋体" w:eastAsia="宋体" w:cs="宋体"/>
          <w:bCs w:val="0"/>
          <w:color w:val="auto"/>
          <w:kern w:val="2"/>
          <w:highlight w:val="none"/>
          <w:u w:val="single"/>
        </w:rPr>
        <w:t>调整。</w:t>
      </w:r>
    </w:p>
    <w:p w14:paraId="7F82BEC8">
      <w:pPr>
        <w:spacing w:before="60" w:after="60" w:line="560" w:lineRule="exact"/>
        <w:ind w:firstLine="480" w:firstLineChars="200"/>
        <w:outlineLvl w:val="1"/>
        <w:rPr>
          <w:rFonts w:hint="eastAsia" w:ascii="宋体" w:hAnsi="宋体" w:eastAsia="宋体" w:cs="宋体"/>
          <w:bCs/>
          <w:sz w:val="24"/>
          <w:highlight w:val="none"/>
        </w:rPr>
      </w:pPr>
      <w:bookmarkStart w:id="266" w:name="_Toc56530692"/>
      <w:r>
        <w:rPr>
          <w:rFonts w:hint="eastAsia" w:ascii="宋体" w:hAnsi="宋体" w:eastAsia="宋体" w:cs="宋体"/>
          <w:bCs/>
          <w:sz w:val="24"/>
          <w:highlight w:val="none"/>
        </w:rPr>
        <w:t>6.2合同解除</w:t>
      </w:r>
      <w:bookmarkEnd w:id="264"/>
      <w:bookmarkEnd w:id="266"/>
    </w:p>
    <w:p w14:paraId="37ED0122">
      <w:pPr>
        <w:spacing w:line="560" w:lineRule="exact"/>
        <w:ind w:firstLine="480" w:firstLineChars="200"/>
        <w:rPr>
          <w:rFonts w:hint="eastAsia" w:ascii="宋体" w:hAnsi="宋体" w:eastAsia="宋体" w:cs="宋体"/>
          <w:bCs/>
          <w:sz w:val="24"/>
        </w:rPr>
      </w:pPr>
      <w:r>
        <w:rPr>
          <w:rFonts w:hint="eastAsia" w:ascii="宋体" w:hAnsi="宋体" w:eastAsia="宋体" w:cs="宋体"/>
          <w:bCs/>
          <w:sz w:val="24"/>
          <w:highlight w:val="none"/>
        </w:rPr>
        <w:t>6.2.2双方约定解除合同的条件还包</w:t>
      </w:r>
      <w:r>
        <w:rPr>
          <w:rFonts w:hint="eastAsia" w:ascii="宋体" w:hAnsi="宋体" w:eastAsia="宋体" w:cs="宋体"/>
          <w:bCs/>
          <w:sz w:val="24"/>
        </w:rPr>
        <w:t>括：</w:t>
      </w:r>
      <w:r>
        <w:rPr>
          <w:rFonts w:hint="eastAsia" w:ascii="宋体" w:hAnsi="宋体" w:eastAsia="宋体" w:cs="宋体"/>
          <w:bCs/>
          <w:sz w:val="24"/>
          <w:u w:val="single"/>
        </w:rPr>
        <w:t xml:space="preserve">  / </w:t>
      </w:r>
      <w:r>
        <w:rPr>
          <w:rFonts w:hint="eastAsia" w:ascii="宋体" w:hAnsi="宋体" w:eastAsia="宋体" w:cs="宋体"/>
          <w:bCs/>
          <w:sz w:val="24"/>
        </w:rPr>
        <w:t xml:space="preserve">。 </w:t>
      </w:r>
    </w:p>
    <w:p w14:paraId="180BD335">
      <w:pPr>
        <w:spacing w:line="560" w:lineRule="exact"/>
        <w:ind w:firstLine="480" w:firstLineChars="200"/>
        <w:rPr>
          <w:rFonts w:hint="eastAsia" w:ascii="宋体" w:hAnsi="宋体" w:eastAsia="宋体" w:cs="宋体"/>
          <w:bCs/>
          <w:sz w:val="24"/>
        </w:rPr>
      </w:pPr>
      <w:r>
        <w:rPr>
          <w:rFonts w:hint="eastAsia" w:ascii="宋体" w:hAnsi="宋体" w:eastAsia="宋体" w:cs="宋体"/>
          <w:bCs/>
          <w:sz w:val="24"/>
        </w:rPr>
        <w:t>6.2.4因不可抗力导致的合同解除，双方约定损失的分担如下：</w:t>
      </w:r>
      <w:r>
        <w:rPr>
          <w:rFonts w:hint="eastAsia" w:ascii="宋体" w:hAnsi="宋体" w:eastAsia="宋体" w:cs="宋体"/>
          <w:bCs/>
          <w:sz w:val="24"/>
          <w:u w:val="single"/>
        </w:rPr>
        <w:t xml:space="preserve">  / </w:t>
      </w:r>
      <w:r>
        <w:rPr>
          <w:rFonts w:hint="eastAsia" w:ascii="宋体" w:hAnsi="宋体" w:eastAsia="宋体" w:cs="宋体"/>
          <w:bCs/>
          <w:sz w:val="24"/>
        </w:rPr>
        <w:t xml:space="preserve">。   </w:t>
      </w:r>
    </w:p>
    <w:p w14:paraId="546CBDC7">
      <w:pPr>
        <w:spacing w:before="60" w:after="60" w:line="560" w:lineRule="exact"/>
        <w:ind w:firstLine="480" w:firstLineChars="200"/>
        <w:outlineLvl w:val="1"/>
        <w:rPr>
          <w:rFonts w:hint="eastAsia" w:ascii="宋体" w:hAnsi="宋体" w:eastAsia="宋体" w:cs="宋体"/>
          <w:bCs/>
          <w:sz w:val="24"/>
        </w:rPr>
      </w:pPr>
      <w:bookmarkStart w:id="267" w:name="_Toc419045121"/>
      <w:bookmarkStart w:id="268" w:name="_Toc422322547"/>
      <w:bookmarkStart w:id="269" w:name="_Toc56530693"/>
      <w:r>
        <w:rPr>
          <w:rFonts w:hint="eastAsia" w:ascii="宋体" w:hAnsi="宋体" w:eastAsia="宋体" w:cs="宋体"/>
          <w:bCs/>
          <w:sz w:val="24"/>
        </w:rPr>
        <w:t>7. 争议解决</w:t>
      </w:r>
      <w:bookmarkEnd w:id="267"/>
      <w:bookmarkEnd w:id="268"/>
      <w:bookmarkEnd w:id="269"/>
    </w:p>
    <w:p w14:paraId="7492A8E9">
      <w:pPr>
        <w:spacing w:before="60" w:after="60" w:line="560" w:lineRule="exact"/>
        <w:ind w:firstLine="480" w:firstLineChars="200"/>
        <w:outlineLvl w:val="1"/>
        <w:rPr>
          <w:rFonts w:hint="eastAsia" w:ascii="宋体" w:hAnsi="宋体" w:eastAsia="宋体" w:cs="宋体"/>
          <w:bCs/>
          <w:sz w:val="24"/>
        </w:rPr>
      </w:pPr>
      <w:bookmarkStart w:id="270" w:name="_Toc422322548"/>
      <w:bookmarkStart w:id="271" w:name="_Toc56530694"/>
      <w:bookmarkStart w:id="272" w:name="_Toc419045122"/>
      <w:r>
        <w:rPr>
          <w:rFonts w:hint="eastAsia" w:ascii="宋体" w:hAnsi="宋体" w:eastAsia="宋体" w:cs="宋体"/>
          <w:bCs/>
          <w:sz w:val="24"/>
        </w:rPr>
        <w:t>7.2调解</w:t>
      </w:r>
      <w:bookmarkEnd w:id="270"/>
      <w:bookmarkEnd w:id="271"/>
      <w:bookmarkEnd w:id="272"/>
    </w:p>
    <w:p w14:paraId="12B22ED5">
      <w:pPr>
        <w:spacing w:line="560" w:lineRule="exact"/>
        <w:ind w:firstLine="480" w:firstLineChars="200"/>
        <w:rPr>
          <w:rFonts w:hint="eastAsia" w:ascii="宋体" w:hAnsi="宋体" w:eastAsia="宋体" w:cs="宋体"/>
          <w:bCs/>
          <w:sz w:val="24"/>
        </w:rPr>
      </w:pPr>
      <w:r>
        <w:rPr>
          <w:rFonts w:hint="eastAsia" w:ascii="宋体" w:hAnsi="宋体" w:eastAsia="宋体" w:cs="宋体"/>
          <w:bCs/>
          <w:sz w:val="24"/>
        </w:rPr>
        <w:t>如果双方不能在  / 日内解决本合同争议，可以将其提交</w:t>
      </w:r>
      <w:r>
        <w:rPr>
          <w:rFonts w:hint="eastAsia" w:ascii="宋体" w:hAnsi="宋体" w:eastAsia="宋体" w:cs="宋体"/>
          <w:bCs/>
          <w:sz w:val="24"/>
          <w:u w:val="single"/>
        </w:rPr>
        <w:t xml:space="preserve">  / </w:t>
      </w:r>
      <w:r>
        <w:rPr>
          <w:rFonts w:hint="eastAsia" w:ascii="宋体" w:hAnsi="宋体" w:eastAsia="宋体" w:cs="宋体"/>
          <w:bCs/>
          <w:sz w:val="24"/>
        </w:rPr>
        <w:t>进行调解。</w:t>
      </w:r>
    </w:p>
    <w:p w14:paraId="4BCF9DD1">
      <w:pPr>
        <w:spacing w:before="60" w:after="60" w:line="560" w:lineRule="exact"/>
        <w:ind w:firstLine="480" w:firstLineChars="200"/>
        <w:outlineLvl w:val="1"/>
        <w:rPr>
          <w:rFonts w:hint="eastAsia" w:ascii="宋体" w:hAnsi="宋体" w:eastAsia="宋体" w:cs="宋体"/>
          <w:bCs/>
          <w:kern w:val="28"/>
          <w:sz w:val="24"/>
        </w:rPr>
      </w:pPr>
      <w:bookmarkStart w:id="273" w:name="_Toc56530695"/>
      <w:bookmarkStart w:id="274" w:name="_Toc422322549"/>
      <w:r>
        <w:rPr>
          <w:rFonts w:hint="eastAsia" w:ascii="宋体" w:hAnsi="宋体" w:eastAsia="宋体" w:cs="宋体"/>
          <w:bCs/>
          <w:kern w:val="28"/>
          <w:sz w:val="24"/>
        </w:rPr>
        <w:t>7.3仲裁或诉讼</w:t>
      </w:r>
      <w:bookmarkEnd w:id="273"/>
      <w:bookmarkEnd w:id="274"/>
    </w:p>
    <w:p w14:paraId="0E0F82E3">
      <w:pPr>
        <w:spacing w:line="560" w:lineRule="exact"/>
        <w:ind w:left="120" w:hanging="120"/>
        <w:rPr>
          <w:rFonts w:hint="eastAsia" w:ascii="宋体" w:hAnsi="宋体" w:eastAsia="宋体" w:cs="宋体"/>
          <w:bCs/>
          <w:sz w:val="24"/>
          <w:highlight w:val="none"/>
        </w:rPr>
      </w:pPr>
      <w:r>
        <w:rPr>
          <w:rFonts w:hint="eastAsia" w:ascii="宋体" w:hAnsi="宋体" w:eastAsia="宋体" w:cs="宋体"/>
          <w:bCs/>
          <w:sz w:val="24"/>
        </w:rPr>
        <w:t>合</w:t>
      </w:r>
      <w:r>
        <w:rPr>
          <w:rFonts w:hint="eastAsia" w:ascii="宋体" w:hAnsi="宋体" w:eastAsia="宋体" w:cs="宋体"/>
          <w:bCs/>
          <w:sz w:val="24"/>
          <w:highlight w:val="none"/>
        </w:rPr>
        <w:t>同争议的最终解决方式为下列第</w:t>
      </w:r>
      <w:r>
        <w:rPr>
          <w:rFonts w:hint="eastAsia" w:ascii="宋体" w:hAnsi="宋体" w:eastAsia="宋体" w:cs="宋体"/>
          <w:bCs/>
          <w:sz w:val="24"/>
          <w:highlight w:val="none"/>
          <w:u w:val="single"/>
        </w:rPr>
        <w:t xml:space="preserve">  2 </w:t>
      </w:r>
      <w:r>
        <w:rPr>
          <w:rFonts w:hint="eastAsia" w:ascii="宋体" w:hAnsi="宋体" w:eastAsia="宋体" w:cs="宋体"/>
          <w:bCs/>
          <w:sz w:val="24"/>
          <w:highlight w:val="none"/>
        </w:rPr>
        <w:t>种方式：</w:t>
      </w:r>
    </w:p>
    <w:p w14:paraId="05BD011D">
      <w:pPr>
        <w:spacing w:line="560" w:lineRule="exact"/>
        <w:ind w:left="120" w:hanging="120"/>
        <w:rPr>
          <w:rFonts w:hint="eastAsia" w:ascii="宋体" w:hAnsi="宋体" w:eastAsia="宋体" w:cs="宋体"/>
          <w:bCs/>
          <w:sz w:val="24"/>
          <w:highlight w:val="none"/>
        </w:rPr>
      </w:pPr>
      <w:r>
        <w:rPr>
          <w:rFonts w:hint="eastAsia" w:ascii="宋体" w:hAnsi="宋体" w:eastAsia="宋体" w:cs="宋体"/>
          <w:bCs/>
          <w:sz w:val="24"/>
          <w:highlight w:val="none"/>
        </w:rPr>
        <w:t xml:space="preserve">   （1）提请</w:t>
      </w:r>
      <w:r>
        <w:rPr>
          <w:rFonts w:hint="eastAsia" w:ascii="宋体" w:hAnsi="宋体" w:eastAsia="宋体" w:cs="宋体"/>
          <w:bCs/>
          <w:sz w:val="24"/>
          <w:highlight w:val="none"/>
          <w:u w:val="single"/>
        </w:rPr>
        <w:t xml:space="preserve">  / </w:t>
      </w:r>
      <w:r>
        <w:rPr>
          <w:rFonts w:hint="eastAsia" w:ascii="宋体" w:hAnsi="宋体" w:eastAsia="宋体" w:cs="宋体"/>
          <w:bCs/>
          <w:sz w:val="24"/>
          <w:highlight w:val="none"/>
        </w:rPr>
        <w:t>。仲裁委员会进行仲裁。</w:t>
      </w:r>
    </w:p>
    <w:p w14:paraId="4812EC9E">
      <w:pPr>
        <w:spacing w:line="560" w:lineRule="exact"/>
        <w:ind w:left="120" w:hanging="120"/>
        <w:rPr>
          <w:rFonts w:hint="eastAsia" w:ascii="宋体" w:hAnsi="宋体" w:eastAsia="宋体" w:cs="宋体"/>
          <w:bCs/>
          <w:sz w:val="24"/>
          <w:highlight w:val="none"/>
        </w:rPr>
      </w:pPr>
      <w:r>
        <w:rPr>
          <w:rFonts w:hint="eastAsia" w:ascii="宋体" w:hAnsi="宋体" w:eastAsia="宋体" w:cs="宋体"/>
          <w:bCs/>
          <w:sz w:val="24"/>
          <w:highlight w:val="none"/>
        </w:rPr>
        <w:t xml:space="preserve">   （2）向</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 xml:space="preserve">项目所在地 </w:t>
      </w:r>
      <w:r>
        <w:rPr>
          <w:rFonts w:hint="eastAsia" w:ascii="宋体" w:hAnsi="宋体" w:eastAsia="宋体" w:cs="宋体"/>
          <w:bCs/>
          <w:sz w:val="24"/>
          <w:highlight w:val="none"/>
        </w:rPr>
        <w:t>人民法院提起诉讼。</w:t>
      </w:r>
    </w:p>
    <w:p w14:paraId="387C147F">
      <w:pPr>
        <w:spacing w:before="60" w:after="60" w:line="560" w:lineRule="exact"/>
        <w:ind w:firstLine="480" w:firstLineChars="200"/>
        <w:outlineLvl w:val="1"/>
        <w:rPr>
          <w:rFonts w:hint="eastAsia" w:ascii="宋体" w:hAnsi="宋体" w:eastAsia="宋体" w:cs="宋体"/>
          <w:bCs/>
          <w:sz w:val="24"/>
          <w:highlight w:val="none"/>
        </w:rPr>
      </w:pPr>
      <w:bookmarkStart w:id="275" w:name="_Toc419045123"/>
      <w:bookmarkStart w:id="276" w:name="_Toc56530696"/>
      <w:bookmarkStart w:id="277" w:name="_Toc422322550"/>
      <w:r>
        <w:rPr>
          <w:rFonts w:hint="eastAsia" w:ascii="宋体" w:hAnsi="宋体" w:eastAsia="宋体" w:cs="宋体"/>
          <w:bCs/>
          <w:sz w:val="24"/>
          <w:highlight w:val="none"/>
        </w:rPr>
        <w:t>8. 其他</w:t>
      </w:r>
      <w:bookmarkEnd w:id="275"/>
      <w:bookmarkEnd w:id="276"/>
      <w:bookmarkEnd w:id="277"/>
    </w:p>
    <w:p w14:paraId="674EF63F">
      <w:pPr>
        <w:spacing w:before="60" w:after="60" w:line="560" w:lineRule="exact"/>
        <w:ind w:firstLine="480" w:firstLineChars="200"/>
        <w:outlineLvl w:val="1"/>
        <w:rPr>
          <w:rFonts w:hint="eastAsia" w:ascii="宋体" w:hAnsi="宋体" w:eastAsia="宋体" w:cs="宋体"/>
          <w:bCs/>
          <w:sz w:val="24"/>
        </w:rPr>
      </w:pPr>
      <w:bookmarkStart w:id="278" w:name="_Toc422322551"/>
      <w:bookmarkStart w:id="279" w:name="_Toc56530697"/>
      <w:r>
        <w:rPr>
          <w:rFonts w:hint="eastAsia" w:ascii="宋体" w:hAnsi="宋体" w:eastAsia="宋体" w:cs="宋体"/>
          <w:bCs/>
          <w:sz w:val="24"/>
        </w:rPr>
        <w:t>8.1考察及相关费用</w:t>
      </w:r>
      <w:bookmarkEnd w:id="278"/>
      <w:bookmarkEnd w:id="279"/>
    </w:p>
    <w:p w14:paraId="225F00E6">
      <w:pPr>
        <w:spacing w:line="560" w:lineRule="exact"/>
        <w:ind w:firstLine="480" w:firstLineChars="200"/>
        <w:rPr>
          <w:rFonts w:hint="eastAsia" w:ascii="宋体" w:hAnsi="宋体" w:eastAsia="宋体" w:cs="宋体"/>
          <w:bCs/>
          <w:sz w:val="24"/>
        </w:rPr>
      </w:pPr>
      <w:r>
        <w:rPr>
          <w:rFonts w:hint="eastAsia" w:ascii="宋体" w:hAnsi="宋体" w:eastAsia="宋体" w:cs="宋体"/>
          <w:bCs/>
          <w:sz w:val="24"/>
        </w:rPr>
        <w:t>咨询人经委托人同意进行考察发生的费用由</w:t>
      </w:r>
      <w:r>
        <w:rPr>
          <w:rFonts w:hint="eastAsia" w:ascii="宋体" w:hAnsi="宋体" w:eastAsia="宋体" w:cs="宋体"/>
          <w:bCs/>
          <w:sz w:val="24"/>
          <w:u w:val="single"/>
        </w:rPr>
        <w:t>咨询人</w:t>
      </w:r>
      <w:r>
        <w:rPr>
          <w:rFonts w:hint="eastAsia" w:ascii="宋体" w:hAnsi="宋体" w:eastAsia="宋体" w:cs="宋体"/>
          <w:bCs/>
          <w:sz w:val="24"/>
        </w:rPr>
        <w:t>支付。</w:t>
      </w:r>
    </w:p>
    <w:p w14:paraId="5E856EC9">
      <w:pPr>
        <w:spacing w:line="560" w:lineRule="exact"/>
        <w:ind w:firstLine="480" w:firstLineChars="200"/>
        <w:rPr>
          <w:rFonts w:hint="eastAsia" w:ascii="宋体" w:hAnsi="宋体" w:eastAsia="宋体" w:cs="宋体"/>
          <w:bCs/>
          <w:kern w:val="28"/>
          <w:sz w:val="24"/>
        </w:rPr>
      </w:pPr>
      <w:r>
        <w:rPr>
          <w:rFonts w:hint="eastAsia" w:ascii="宋体" w:hAnsi="宋体" w:eastAsia="宋体" w:cs="宋体"/>
          <w:bCs/>
          <w:sz w:val="24"/>
        </w:rPr>
        <w:t>差旅费及相关费用的支付：</w:t>
      </w:r>
      <w:r>
        <w:rPr>
          <w:rFonts w:hint="eastAsia" w:ascii="宋体" w:hAnsi="宋体" w:eastAsia="宋体" w:cs="宋体"/>
          <w:bCs/>
          <w:sz w:val="24"/>
          <w:u w:val="single"/>
        </w:rPr>
        <w:t xml:space="preserve">  / </w:t>
      </w:r>
      <w:r>
        <w:rPr>
          <w:rFonts w:hint="eastAsia" w:ascii="宋体" w:hAnsi="宋体" w:eastAsia="宋体" w:cs="宋体"/>
          <w:bCs/>
          <w:sz w:val="24"/>
        </w:rPr>
        <w:t xml:space="preserve">。         </w:t>
      </w:r>
    </w:p>
    <w:p w14:paraId="753D17E6">
      <w:pPr>
        <w:spacing w:before="60" w:after="60" w:line="560" w:lineRule="exact"/>
        <w:ind w:firstLine="480" w:firstLineChars="200"/>
        <w:outlineLvl w:val="1"/>
        <w:rPr>
          <w:rFonts w:hint="eastAsia" w:ascii="宋体" w:hAnsi="宋体" w:eastAsia="宋体" w:cs="宋体"/>
          <w:bCs/>
          <w:kern w:val="28"/>
          <w:sz w:val="24"/>
        </w:rPr>
      </w:pPr>
      <w:bookmarkStart w:id="280" w:name="_Toc422322552"/>
      <w:bookmarkStart w:id="281" w:name="_Toc56530698"/>
      <w:r>
        <w:rPr>
          <w:rFonts w:hint="eastAsia" w:ascii="宋体" w:hAnsi="宋体" w:eastAsia="宋体" w:cs="宋体"/>
          <w:bCs/>
          <w:kern w:val="28"/>
          <w:sz w:val="24"/>
        </w:rPr>
        <w:t>8.2奖励</w:t>
      </w:r>
      <w:bookmarkEnd w:id="280"/>
      <w:bookmarkEnd w:id="281"/>
    </w:p>
    <w:p w14:paraId="6CFC4D2C">
      <w:pPr>
        <w:spacing w:before="60" w:after="60" w:line="560" w:lineRule="exact"/>
        <w:ind w:firstLine="480" w:firstLineChars="200"/>
        <w:outlineLvl w:val="1"/>
        <w:rPr>
          <w:rFonts w:hint="eastAsia" w:ascii="宋体" w:hAnsi="宋体" w:eastAsia="宋体" w:cs="宋体"/>
          <w:bCs/>
          <w:kern w:val="28"/>
          <w:sz w:val="24"/>
        </w:rPr>
      </w:pPr>
      <w:r>
        <w:rPr>
          <w:rFonts w:hint="eastAsia" w:ascii="宋体" w:hAnsi="宋体" w:eastAsia="宋体" w:cs="宋体"/>
          <w:bCs/>
          <w:sz w:val="24"/>
        </w:rPr>
        <w:t>合理化建议的奖励金额按下列方法确定：</w:t>
      </w:r>
      <w:r>
        <w:rPr>
          <w:rFonts w:hint="eastAsia" w:ascii="宋体" w:hAnsi="宋体" w:eastAsia="宋体" w:cs="宋体"/>
          <w:bCs/>
          <w:sz w:val="24"/>
          <w:u w:val="single"/>
        </w:rPr>
        <w:t xml:space="preserve">  / </w:t>
      </w:r>
      <w:r>
        <w:rPr>
          <w:rFonts w:hint="eastAsia" w:ascii="宋体" w:hAnsi="宋体" w:eastAsia="宋体" w:cs="宋体"/>
          <w:bCs/>
          <w:sz w:val="24"/>
        </w:rPr>
        <w:t>。</w:t>
      </w:r>
    </w:p>
    <w:p w14:paraId="0AD374A9">
      <w:pPr>
        <w:spacing w:before="60" w:after="60" w:line="560" w:lineRule="exact"/>
        <w:ind w:firstLine="480" w:firstLineChars="200"/>
        <w:outlineLvl w:val="1"/>
        <w:rPr>
          <w:rFonts w:hint="eastAsia" w:ascii="宋体" w:hAnsi="宋体" w:eastAsia="宋体" w:cs="宋体"/>
          <w:bCs/>
          <w:kern w:val="28"/>
          <w:sz w:val="24"/>
        </w:rPr>
      </w:pPr>
      <w:bookmarkStart w:id="282" w:name="_Toc56530699"/>
      <w:bookmarkStart w:id="283" w:name="_Toc422322553"/>
      <w:r>
        <w:rPr>
          <w:rFonts w:hint="eastAsia" w:ascii="宋体" w:hAnsi="宋体" w:eastAsia="宋体" w:cs="宋体"/>
          <w:bCs/>
          <w:kern w:val="28"/>
          <w:sz w:val="24"/>
        </w:rPr>
        <w:t>8.3保密</w:t>
      </w:r>
      <w:bookmarkEnd w:id="282"/>
      <w:bookmarkEnd w:id="283"/>
    </w:p>
    <w:p w14:paraId="67581E70">
      <w:pPr>
        <w:spacing w:line="560" w:lineRule="exact"/>
        <w:ind w:firstLine="480" w:firstLineChars="200"/>
        <w:rPr>
          <w:rFonts w:hint="eastAsia" w:ascii="宋体" w:hAnsi="宋体" w:eastAsia="宋体" w:cs="宋体"/>
          <w:bCs/>
          <w:sz w:val="24"/>
          <w:highlight w:val="yellow"/>
        </w:rPr>
      </w:pPr>
      <w:r>
        <w:rPr>
          <w:rFonts w:hint="eastAsia" w:ascii="宋体" w:hAnsi="宋体" w:eastAsia="宋体" w:cs="宋体"/>
          <w:bCs/>
          <w:sz w:val="24"/>
        </w:rPr>
        <w:t xml:space="preserve"> 委托人申明的保密事项和期限：</w:t>
      </w:r>
      <w:r>
        <w:rPr>
          <w:rFonts w:hint="eastAsia" w:ascii="宋体" w:hAnsi="宋体" w:eastAsia="宋体" w:cs="宋体"/>
          <w:bCs/>
          <w:sz w:val="24"/>
          <w:u w:val="single"/>
        </w:rPr>
        <w:t>图纸、造价成果文件与工程项目建设相关全部资料电子版、纸质版。委托人拥有图纸、咨询成果文件等相关文件全部知识产权，未经委托人书面同意不得向任何单位、任何人提供咨询成果文件。因咨询单位泄露咨询成果文件，若经相关部门核准查实，委托单位有权解除本合同并对造价咨询单位追究违约责任、移送有关部门处理；涉嫌犯罪的，移送司法机关追究刑事责任。</w:t>
      </w:r>
      <w:r>
        <w:rPr>
          <w:rFonts w:hint="eastAsia" w:ascii="宋体" w:hAnsi="宋体" w:eastAsia="宋体" w:cs="宋体"/>
          <w:bCs/>
          <w:sz w:val="24"/>
        </w:rPr>
        <w:t xml:space="preserve"> </w:t>
      </w:r>
    </w:p>
    <w:p w14:paraId="303D6C20">
      <w:pPr>
        <w:spacing w:line="56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    咨询人申明的保密事项和期限：</w:t>
      </w:r>
      <w:r>
        <w:rPr>
          <w:rFonts w:hint="eastAsia" w:ascii="宋体" w:hAnsi="宋体" w:eastAsia="宋体" w:cs="宋体"/>
          <w:bCs/>
          <w:sz w:val="24"/>
          <w:u w:val="single"/>
        </w:rPr>
        <w:t xml:space="preserve">  / </w:t>
      </w:r>
      <w:r>
        <w:rPr>
          <w:rFonts w:hint="eastAsia" w:ascii="宋体" w:hAnsi="宋体" w:eastAsia="宋体" w:cs="宋体"/>
          <w:bCs/>
          <w:sz w:val="24"/>
        </w:rPr>
        <w:t xml:space="preserve">。             </w:t>
      </w:r>
    </w:p>
    <w:p w14:paraId="723519A2">
      <w:pPr>
        <w:spacing w:line="56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    第三人申明的保密事项和期限：</w:t>
      </w:r>
      <w:bookmarkStart w:id="284" w:name="_Toc422322554"/>
      <w:r>
        <w:rPr>
          <w:rFonts w:hint="eastAsia" w:ascii="宋体" w:hAnsi="宋体" w:eastAsia="宋体" w:cs="宋体"/>
          <w:bCs/>
          <w:sz w:val="24"/>
          <w:u w:val="single"/>
        </w:rPr>
        <w:t xml:space="preserve">  / </w:t>
      </w:r>
      <w:r>
        <w:rPr>
          <w:rFonts w:hint="eastAsia" w:ascii="宋体" w:hAnsi="宋体" w:eastAsia="宋体" w:cs="宋体"/>
          <w:bCs/>
          <w:sz w:val="24"/>
        </w:rPr>
        <w:t>。</w:t>
      </w:r>
    </w:p>
    <w:p w14:paraId="22C1FC08">
      <w:pPr>
        <w:spacing w:before="60" w:after="60" w:line="560" w:lineRule="exact"/>
        <w:ind w:firstLine="480" w:firstLineChars="200"/>
        <w:outlineLvl w:val="1"/>
        <w:rPr>
          <w:rFonts w:hint="eastAsia" w:ascii="宋体" w:hAnsi="宋体" w:eastAsia="宋体" w:cs="宋体"/>
          <w:bCs/>
          <w:sz w:val="24"/>
        </w:rPr>
      </w:pPr>
      <w:bookmarkStart w:id="285" w:name="_Toc56530700"/>
      <w:r>
        <w:rPr>
          <w:rFonts w:hint="eastAsia" w:ascii="宋体" w:hAnsi="宋体" w:eastAsia="宋体" w:cs="宋体"/>
          <w:bCs/>
          <w:sz w:val="24"/>
        </w:rPr>
        <w:t>8.4联络</w:t>
      </w:r>
      <w:bookmarkEnd w:id="284"/>
      <w:bookmarkEnd w:id="285"/>
    </w:p>
    <w:p w14:paraId="67CA136B">
      <w:pPr>
        <w:spacing w:line="56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8.4.1任何一方与合同有关的通知、指示、要求、决定等，均应在 </w:t>
      </w:r>
      <w:r>
        <w:rPr>
          <w:rFonts w:hint="eastAsia" w:ascii="宋体" w:hAnsi="宋体" w:eastAsia="宋体" w:cs="宋体"/>
          <w:bCs/>
          <w:sz w:val="24"/>
          <w:u w:val="single"/>
        </w:rPr>
        <w:t>3</w:t>
      </w:r>
      <w:r>
        <w:rPr>
          <w:rFonts w:hint="eastAsia" w:ascii="宋体" w:hAnsi="宋体" w:eastAsia="宋体" w:cs="宋体"/>
          <w:bCs/>
          <w:sz w:val="24"/>
        </w:rPr>
        <w:t>日内送达对方指定的接收人和送达地点。</w:t>
      </w:r>
    </w:p>
    <w:p w14:paraId="54AA5B65">
      <w:pPr>
        <w:spacing w:line="560" w:lineRule="exact"/>
        <w:ind w:firstLine="480" w:firstLineChars="200"/>
        <w:rPr>
          <w:rFonts w:hint="eastAsia" w:ascii="宋体" w:hAnsi="宋体" w:eastAsia="宋体" w:cs="宋体"/>
          <w:sz w:val="24"/>
        </w:rPr>
      </w:pPr>
      <w:bookmarkStart w:id="286" w:name="_Toc419045124"/>
      <w:bookmarkStart w:id="287" w:name="_Toc422322555"/>
      <w:r>
        <w:rPr>
          <w:rFonts w:hint="eastAsia" w:ascii="宋体" w:hAnsi="宋体" w:eastAsia="宋体" w:cs="宋体"/>
          <w:sz w:val="24"/>
        </w:rPr>
        <w:t>8.4.2委托人指定的送达接收人：</w:t>
      </w:r>
      <w:r>
        <w:rPr>
          <w:rFonts w:hint="eastAsia" w:ascii="宋体" w:hAnsi="宋体" w:eastAsia="宋体" w:cs="宋体"/>
          <w:sz w:val="24"/>
          <w:u w:val="single"/>
        </w:rPr>
        <w:t xml:space="preserve">        </w:t>
      </w:r>
      <w:r>
        <w:rPr>
          <w:rFonts w:hint="eastAsia" w:ascii="宋体" w:hAnsi="宋体" w:eastAsia="宋体" w:cs="宋体"/>
          <w:sz w:val="24"/>
        </w:rPr>
        <w:t>，送达地点：</w:t>
      </w:r>
      <w:r>
        <w:rPr>
          <w:rFonts w:hint="eastAsia" w:ascii="宋体" w:hAnsi="宋体" w:eastAsia="宋体" w:cs="宋体"/>
          <w:sz w:val="24"/>
          <w:u w:val="single"/>
        </w:rPr>
        <w:t>委托人办公室</w:t>
      </w:r>
      <w:r>
        <w:rPr>
          <w:rFonts w:hint="eastAsia" w:ascii="宋体" w:hAnsi="宋体" w:eastAsia="宋体" w:cs="宋体"/>
          <w:sz w:val="24"/>
        </w:rPr>
        <w:t>，电子邮箱：</w:t>
      </w:r>
      <w:r>
        <w:rPr>
          <w:rFonts w:hint="eastAsia" w:ascii="宋体" w:hAnsi="宋体" w:eastAsia="宋体" w:cs="宋体"/>
          <w:sz w:val="24"/>
          <w:u w:val="single"/>
        </w:rPr>
        <w:t xml:space="preserve">              </w:t>
      </w:r>
    </w:p>
    <w:p w14:paraId="4167469D">
      <w:pPr>
        <w:spacing w:line="560" w:lineRule="exact"/>
        <w:ind w:firstLine="480" w:firstLineChars="200"/>
        <w:rPr>
          <w:rFonts w:hint="eastAsia" w:ascii="宋体" w:hAnsi="宋体" w:eastAsia="宋体" w:cs="宋体"/>
          <w:sz w:val="24"/>
        </w:rPr>
      </w:pPr>
      <w:r>
        <w:rPr>
          <w:rFonts w:hint="eastAsia" w:ascii="宋体" w:hAnsi="宋体" w:eastAsia="宋体" w:cs="宋体"/>
          <w:sz w:val="24"/>
        </w:rPr>
        <w:t xml:space="preserve">咨询人指定的送达接收人：  </w:t>
      </w:r>
      <w:r>
        <w:rPr>
          <w:rFonts w:hint="eastAsia" w:ascii="宋体" w:hAnsi="宋体" w:eastAsia="宋体" w:cs="宋体"/>
          <w:sz w:val="24"/>
          <w:u w:val="single"/>
        </w:rPr>
        <w:t xml:space="preserve">     </w:t>
      </w:r>
      <w:r>
        <w:rPr>
          <w:rFonts w:hint="eastAsia" w:ascii="宋体" w:hAnsi="宋体" w:eastAsia="宋体" w:cs="宋体"/>
          <w:sz w:val="24"/>
        </w:rPr>
        <w:t xml:space="preserve"> ，送达地点：</w:t>
      </w:r>
      <w:r>
        <w:rPr>
          <w:rFonts w:hint="eastAsia" w:ascii="宋体" w:hAnsi="宋体" w:eastAsia="宋体" w:cs="宋体"/>
          <w:color w:val="000000"/>
          <w:sz w:val="24"/>
          <w:u w:val="single"/>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r>
        <w:rPr>
          <w:rFonts w:hint="eastAsia" w:ascii="宋体" w:hAnsi="宋体" w:eastAsia="宋体" w:cs="宋体"/>
          <w:sz w:val="24"/>
        </w:rPr>
        <w:t xml:space="preserve">电子邮箱： </w:t>
      </w:r>
      <w:r>
        <w:rPr>
          <w:rFonts w:hint="eastAsia" w:ascii="宋体" w:hAnsi="宋体" w:eastAsia="宋体" w:cs="宋体"/>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sz w:val="24"/>
        </w:rPr>
        <w:t>。</w:t>
      </w:r>
    </w:p>
    <w:p w14:paraId="0F2E9D86">
      <w:pPr>
        <w:spacing w:before="60" w:after="60" w:line="560" w:lineRule="exact"/>
        <w:ind w:firstLine="480" w:firstLineChars="200"/>
        <w:outlineLvl w:val="1"/>
        <w:rPr>
          <w:rFonts w:hint="eastAsia" w:ascii="宋体" w:hAnsi="宋体" w:eastAsia="宋体" w:cs="宋体"/>
          <w:bCs/>
          <w:sz w:val="24"/>
        </w:rPr>
      </w:pPr>
      <w:bookmarkStart w:id="288" w:name="_Toc56530701"/>
      <w:r>
        <w:rPr>
          <w:rFonts w:hint="eastAsia" w:ascii="宋体" w:hAnsi="宋体" w:eastAsia="宋体" w:cs="宋体"/>
          <w:bCs/>
          <w:sz w:val="24"/>
        </w:rPr>
        <w:t>8.5知识产权</w:t>
      </w:r>
      <w:bookmarkEnd w:id="286"/>
      <w:bookmarkEnd w:id="287"/>
      <w:bookmarkEnd w:id="288"/>
    </w:p>
    <w:p w14:paraId="21C3588D">
      <w:pPr>
        <w:spacing w:line="560" w:lineRule="exact"/>
        <w:ind w:firstLine="480" w:firstLineChars="200"/>
        <w:rPr>
          <w:rFonts w:hint="eastAsia" w:ascii="宋体" w:hAnsi="宋体" w:eastAsia="宋体" w:cs="宋体"/>
          <w:bCs/>
          <w:sz w:val="24"/>
        </w:rPr>
      </w:pPr>
      <w:r>
        <w:rPr>
          <w:rFonts w:hint="eastAsia" w:ascii="宋体" w:hAnsi="宋体" w:eastAsia="宋体" w:cs="宋体"/>
          <w:bCs/>
          <w:sz w:val="24"/>
        </w:rPr>
        <w:t>委托人提供给咨询人的图纸、委托人为实施工程自行编制或委托编制的技术规范以及反映委托人要求的或其他类似性质文件的著作权属于</w:t>
      </w:r>
      <w:r>
        <w:rPr>
          <w:rFonts w:hint="eastAsia" w:ascii="宋体" w:hAnsi="宋体" w:eastAsia="宋体" w:cs="宋体"/>
          <w:bCs/>
          <w:sz w:val="24"/>
          <w:u w:val="single"/>
        </w:rPr>
        <w:t xml:space="preserve">  委托人 。</w:t>
      </w:r>
    </w:p>
    <w:p w14:paraId="6AFC5FA0">
      <w:pPr>
        <w:spacing w:line="560" w:lineRule="exact"/>
        <w:ind w:firstLine="480" w:firstLineChars="200"/>
        <w:rPr>
          <w:rFonts w:hint="eastAsia" w:ascii="宋体" w:hAnsi="宋体" w:eastAsia="宋体" w:cs="宋体"/>
          <w:bCs/>
          <w:sz w:val="24"/>
        </w:rPr>
      </w:pPr>
      <w:r>
        <w:rPr>
          <w:rFonts w:hint="eastAsia" w:ascii="宋体" w:hAnsi="宋体" w:eastAsia="宋体" w:cs="宋体"/>
          <w:bCs/>
          <w:sz w:val="24"/>
        </w:rPr>
        <w:t>咨询人为履行本合同约定而编制的成果文件，其著作权属于</w:t>
      </w:r>
      <w:r>
        <w:rPr>
          <w:rFonts w:hint="eastAsia" w:ascii="宋体" w:hAnsi="宋体" w:eastAsia="宋体" w:cs="宋体"/>
          <w:bCs/>
          <w:sz w:val="24"/>
          <w:u w:val="single"/>
        </w:rPr>
        <w:t xml:space="preserve">  委托人 。</w:t>
      </w:r>
    </w:p>
    <w:p w14:paraId="19D85C85">
      <w:pPr>
        <w:spacing w:line="560" w:lineRule="exact"/>
        <w:ind w:left="120" w:hanging="120"/>
        <w:rPr>
          <w:rFonts w:hint="eastAsia" w:ascii="宋体" w:hAnsi="宋体" w:eastAsia="宋体" w:cs="宋体"/>
          <w:bCs/>
          <w:sz w:val="24"/>
        </w:rPr>
      </w:pPr>
      <w:r>
        <w:rPr>
          <w:rFonts w:hint="eastAsia" w:ascii="宋体" w:hAnsi="宋体" w:eastAsia="宋体" w:cs="宋体"/>
          <w:bCs/>
          <w:sz w:val="24"/>
        </w:rPr>
        <w:t>双方将履行本合同形成的有关成果文件用于企业宣传、申报奖项以及接受上级主管部门的检查须遵守以下约定：</w:t>
      </w:r>
      <w:bookmarkStart w:id="289" w:name="_Toc422322556"/>
      <w:bookmarkStart w:id="290" w:name="_Toc419045125"/>
      <w:r>
        <w:rPr>
          <w:rFonts w:hint="eastAsia" w:ascii="宋体" w:hAnsi="宋体" w:eastAsia="宋体" w:cs="宋体"/>
          <w:bCs/>
          <w:sz w:val="24"/>
          <w:u w:val="single"/>
        </w:rPr>
        <w:t xml:space="preserve"> 使用人应取得著作权（委托人）书面同意后方可使用</w:t>
      </w:r>
      <w:r>
        <w:rPr>
          <w:rFonts w:hint="eastAsia" w:ascii="宋体" w:hAnsi="宋体" w:eastAsia="宋体" w:cs="宋体"/>
          <w:bCs/>
          <w:sz w:val="24"/>
        </w:rPr>
        <w:t>。</w:t>
      </w:r>
    </w:p>
    <w:p w14:paraId="35675084">
      <w:pPr>
        <w:spacing w:before="60" w:after="60" w:line="560" w:lineRule="exact"/>
        <w:ind w:firstLine="480" w:firstLineChars="200"/>
        <w:outlineLvl w:val="1"/>
        <w:rPr>
          <w:rFonts w:hint="eastAsia" w:ascii="宋体" w:hAnsi="宋体" w:eastAsia="宋体" w:cs="宋体"/>
          <w:bCs/>
          <w:sz w:val="24"/>
        </w:rPr>
      </w:pPr>
      <w:bookmarkStart w:id="291" w:name="_Toc56530702"/>
      <w:r>
        <w:rPr>
          <w:rFonts w:hint="eastAsia" w:ascii="宋体" w:hAnsi="宋体" w:eastAsia="宋体" w:cs="宋体"/>
          <w:bCs/>
          <w:sz w:val="24"/>
        </w:rPr>
        <w:t>9.补充条款</w:t>
      </w:r>
      <w:bookmarkEnd w:id="289"/>
      <w:bookmarkEnd w:id="290"/>
      <w:bookmarkEnd w:id="291"/>
    </w:p>
    <w:p w14:paraId="0207E656">
      <w:pPr>
        <w:pStyle w:val="10"/>
        <w:ind w:firstLine="482" w:firstLineChars="200"/>
        <w:rPr>
          <w:rFonts w:hint="eastAsia" w:ascii="宋体" w:hAnsi="宋体" w:eastAsia="宋体" w:cs="宋体"/>
          <w:b/>
          <w:bCs/>
          <w:kern w:val="0"/>
          <w:szCs w:val="24"/>
        </w:rPr>
      </w:pPr>
      <w:r>
        <w:rPr>
          <w:rFonts w:hint="eastAsia" w:ascii="宋体" w:hAnsi="宋体" w:eastAsia="宋体" w:cs="宋体"/>
          <w:b/>
          <w:bCs/>
          <w:kern w:val="0"/>
          <w:szCs w:val="24"/>
        </w:rPr>
        <w:t>无</w:t>
      </w:r>
    </w:p>
    <w:p w14:paraId="2DF7F265">
      <w:pPr>
        <w:ind w:left="120" w:hanging="120"/>
        <w:rPr>
          <w:rFonts w:hint="eastAsia" w:ascii="宋体" w:hAnsi="宋体" w:eastAsia="宋体" w:cs="宋体"/>
          <w:sz w:val="24"/>
          <w:u w:val="single"/>
        </w:rPr>
      </w:pPr>
    </w:p>
    <w:p w14:paraId="38E0C29B">
      <w:pPr>
        <w:ind w:left="120" w:hanging="120"/>
        <w:rPr>
          <w:rFonts w:hint="eastAsia" w:ascii="宋体" w:hAnsi="宋体" w:eastAsia="宋体" w:cs="宋体"/>
          <w:sz w:val="24"/>
          <w:u w:val="single"/>
        </w:rPr>
      </w:pPr>
    </w:p>
    <w:p w14:paraId="7756CF42">
      <w:pPr>
        <w:pStyle w:val="18"/>
        <w:ind w:left="120" w:hanging="120"/>
        <w:rPr>
          <w:rFonts w:hint="eastAsia" w:ascii="宋体" w:hAnsi="宋体" w:eastAsia="宋体" w:cs="宋体"/>
        </w:rPr>
      </w:pPr>
    </w:p>
    <w:p w14:paraId="4735EC49">
      <w:pPr>
        <w:ind w:left="120" w:hanging="120"/>
        <w:rPr>
          <w:rFonts w:hint="eastAsia" w:ascii="宋体" w:hAnsi="宋体" w:eastAsia="宋体" w:cs="宋体"/>
          <w:sz w:val="24"/>
        </w:rPr>
      </w:pPr>
    </w:p>
    <w:p w14:paraId="7C7C6DE5">
      <w:pPr>
        <w:pStyle w:val="26"/>
        <w:rPr>
          <w:rFonts w:hint="eastAsia"/>
        </w:rPr>
      </w:pPr>
    </w:p>
    <w:p w14:paraId="06384974">
      <w:pPr>
        <w:pStyle w:val="18"/>
        <w:jc w:val="both"/>
        <w:rPr>
          <w:rFonts w:hint="eastAsia" w:ascii="宋体" w:hAnsi="宋体" w:eastAsia="宋体" w:cs="宋体"/>
        </w:rPr>
      </w:pPr>
    </w:p>
    <w:p w14:paraId="74A4C9D8">
      <w:pPr>
        <w:ind w:left="120" w:hanging="120"/>
        <w:rPr>
          <w:rFonts w:hint="eastAsia" w:ascii="宋体" w:hAnsi="宋体" w:eastAsia="宋体" w:cs="宋体"/>
          <w:sz w:val="24"/>
        </w:rPr>
      </w:pPr>
    </w:p>
    <w:p w14:paraId="5BFABAFB">
      <w:pPr>
        <w:ind w:left="120" w:hanging="120"/>
        <w:jc w:val="center"/>
        <w:rPr>
          <w:rFonts w:hint="eastAsia" w:ascii="宋体" w:hAnsi="宋体" w:eastAsia="宋体" w:cs="宋体"/>
          <w:b/>
          <w:bCs/>
          <w:kern w:val="44"/>
          <w:sz w:val="24"/>
        </w:rPr>
      </w:pPr>
      <w:r>
        <w:rPr>
          <w:rFonts w:hint="eastAsia" w:ascii="宋体" w:hAnsi="宋体" w:eastAsia="宋体" w:cs="宋体"/>
          <w:b/>
          <w:bCs/>
          <w:kern w:val="44"/>
          <w:sz w:val="24"/>
        </w:rPr>
        <w:t>附录A 服务范围及工作内容、酬金一览表</w:t>
      </w:r>
      <w:bookmarkEnd w:id="182"/>
      <w:bookmarkEnd w:id="183"/>
      <w:bookmarkEnd w:id="184"/>
    </w:p>
    <w:tbl>
      <w:tblPr>
        <w:tblStyle w:val="34"/>
        <w:tblW w:w="0" w:type="auto"/>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614"/>
        <w:gridCol w:w="2757"/>
        <w:gridCol w:w="1007"/>
        <w:gridCol w:w="1202"/>
        <w:gridCol w:w="1218"/>
        <w:gridCol w:w="846"/>
      </w:tblGrid>
      <w:tr w14:paraId="0532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noWrap w:val="0"/>
            <w:vAlign w:val="center"/>
          </w:tcPr>
          <w:p w14:paraId="6A8D0571">
            <w:pPr>
              <w:spacing w:before="100" w:beforeAutospacing="1" w:after="100" w:afterAutospacing="1"/>
              <w:ind w:left="120" w:hanging="120"/>
              <w:jc w:val="center"/>
              <w:rPr>
                <w:rFonts w:hint="eastAsia" w:ascii="宋体" w:hAnsi="宋体" w:eastAsia="宋体" w:cs="宋体"/>
                <w:kern w:val="0"/>
                <w:sz w:val="24"/>
              </w:rPr>
            </w:pPr>
            <w:r>
              <w:rPr>
                <w:rFonts w:hint="eastAsia" w:ascii="宋体" w:hAnsi="宋体" w:eastAsia="宋体" w:cs="宋体"/>
                <w:kern w:val="0"/>
                <w:sz w:val="24"/>
              </w:rPr>
              <w:t>服务阶段</w:t>
            </w:r>
          </w:p>
        </w:tc>
        <w:tc>
          <w:tcPr>
            <w:tcW w:w="4371" w:type="dxa"/>
            <w:gridSpan w:val="2"/>
            <w:noWrap w:val="0"/>
            <w:vAlign w:val="center"/>
          </w:tcPr>
          <w:p w14:paraId="6CC67742">
            <w:pPr>
              <w:spacing w:before="100" w:beforeAutospacing="1" w:after="100" w:afterAutospacing="1"/>
              <w:ind w:left="120" w:hanging="120"/>
              <w:jc w:val="center"/>
              <w:rPr>
                <w:rFonts w:hint="eastAsia" w:ascii="宋体" w:hAnsi="宋体" w:eastAsia="宋体" w:cs="宋体"/>
                <w:kern w:val="0"/>
                <w:sz w:val="24"/>
              </w:rPr>
            </w:pPr>
            <w:r>
              <w:rPr>
                <w:rFonts w:hint="eastAsia" w:ascii="宋体" w:hAnsi="宋体" w:eastAsia="宋体" w:cs="宋体"/>
                <w:kern w:val="0"/>
                <w:sz w:val="24"/>
              </w:rPr>
              <w:t>服务范围及工作内容</w:t>
            </w:r>
          </w:p>
        </w:tc>
        <w:tc>
          <w:tcPr>
            <w:tcW w:w="3427" w:type="dxa"/>
            <w:gridSpan w:val="3"/>
            <w:noWrap w:val="0"/>
            <w:vAlign w:val="center"/>
          </w:tcPr>
          <w:p w14:paraId="4B36FA2F">
            <w:pPr>
              <w:spacing w:before="100" w:beforeAutospacing="1" w:after="100" w:afterAutospacing="1"/>
              <w:ind w:left="120" w:hanging="120"/>
              <w:jc w:val="center"/>
              <w:rPr>
                <w:rFonts w:hint="eastAsia" w:ascii="宋体" w:hAnsi="宋体" w:eastAsia="宋体" w:cs="宋体"/>
                <w:kern w:val="0"/>
                <w:sz w:val="24"/>
              </w:rPr>
            </w:pPr>
            <w:r>
              <w:rPr>
                <w:rFonts w:hint="eastAsia" w:ascii="宋体" w:hAnsi="宋体" w:eastAsia="宋体" w:cs="宋体"/>
                <w:kern w:val="0"/>
                <w:sz w:val="24"/>
              </w:rPr>
              <w:t>酬金</w:t>
            </w:r>
          </w:p>
        </w:tc>
        <w:tc>
          <w:tcPr>
            <w:tcW w:w="846" w:type="dxa"/>
            <w:noWrap w:val="0"/>
            <w:vAlign w:val="center"/>
          </w:tcPr>
          <w:p w14:paraId="2AC0822A">
            <w:pPr>
              <w:spacing w:before="100" w:beforeAutospacing="1" w:after="100" w:afterAutospacing="1"/>
              <w:ind w:left="120" w:hanging="120"/>
              <w:jc w:val="center"/>
              <w:rPr>
                <w:rFonts w:hint="eastAsia" w:ascii="宋体" w:hAnsi="宋体" w:eastAsia="宋体" w:cs="宋体"/>
                <w:kern w:val="0"/>
                <w:sz w:val="24"/>
              </w:rPr>
            </w:pPr>
            <w:r>
              <w:rPr>
                <w:rFonts w:hint="eastAsia" w:ascii="宋体" w:hAnsi="宋体" w:eastAsia="宋体" w:cs="宋体"/>
                <w:kern w:val="0"/>
                <w:sz w:val="24"/>
              </w:rPr>
              <w:t>备注</w:t>
            </w:r>
          </w:p>
        </w:tc>
      </w:tr>
      <w:tr w14:paraId="1440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noWrap w:val="0"/>
            <w:vAlign w:val="center"/>
          </w:tcPr>
          <w:p w14:paraId="3518F839">
            <w:pPr>
              <w:spacing w:before="100" w:beforeAutospacing="1" w:after="100" w:afterAutospacing="1"/>
              <w:ind w:left="120" w:hanging="120"/>
              <w:jc w:val="center"/>
              <w:rPr>
                <w:rFonts w:hint="eastAsia" w:ascii="宋体" w:hAnsi="宋体" w:eastAsia="宋体" w:cs="宋体"/>
                <w:kern w:val="0"/>
                <w:sz w:val="24"/>
              </w:rPr>
            </w:pPr>
          </w:p>
        </w:tc>
        <w:tc>
          <w:tcPr>
            <w:tcW w:w="1614" w:type="dxa"/>
            <w:noWrap w:val="0"/>
            <w:vAlign w:val="center"/>
          </w:tcPr>
          <w:p w14:paraId="671A4D24">
            <w:pPr>
              <w:spacing w:before="100" w:beforeAutospacing="1" w:after="100" w:afterAutospacing="1"/>
              <w:ind w:left="120" w:hanging="120"/>
              <w:jc w:val="center"/>
              <w:rPr>
                <w:rFonts w:hint="eastAsia" w:ascii="宋体" w:hAnsi="宋体" w:eastAsia="宋体" w:cs="宋体"/>
                <w:kern w:val="0"/>
                <w:sz w:val="24"/>
              </w:rPr>
            </w:pPr>
            <w:r>
              <w:rPr>
                <w:rFonts w:hint="eastAsia" w:ascii="宋体" w:hAnsi="宋体" w:eastAsia="宋体" w:cs="宋体"/>
                <w:kern w:val="0"/>
                <w:sz w:val="24"/>
              </w:rPr>
              <w:t>服务范围</w:t>
            </w:r>
          </w:p>
        </w:tc>
        <w:tc>
          <w:tcPr>
            <w:tcW w:w="2757" w:type="dxa"/>
            <w:noWrap w:val="0"/>
            <w:vAlign w:val="center"/>
          </w:tcPr>
          <w:p w14:paraId="7D8B0620">
            <w:pPr>
              <w:spacing w:before="100" w:beforeAutospacing="1" w:after="100" w:afterAutospacing="1"/>
              <w:ind w:left="120" w:hanging="120"/>
              <w:jc w:val="center"/>
              <w:rPr>
                <w:rFonts w:hint="eastAsia" w:ascii="宋体" w:hAnsi="宋体" w:eastAsia="宋体" w:cs="宋体"/>
                <w:kern w:val="0"/>
                <w:sz w:val="24"/>
              </w:rPr>
            </w:pPr>
            <w:r>
              <w:rPr>
                <w:rFonts w:hint="eastAsia" w:ascii="宋体" w:hAnsi="宋体" w:eastAsia="宋体" w:cs="宋体"/>
                <w:kern w:val="0"/>
                <w:sz w:val="24"/>
              </w:rPr>
              <w:t>工作内容</w:t>
            </w:r>
          </w:p>
        </w:tc>
        <w:tc>
          <w:tcPr>
            <w:tcW w:w="1007" w:type="dxa"/>
            <w:noWrap w:val="0"/>
            <w:vAlign w:val="center"/>
          </w:tcPr>
          <w:p w14:paraId="24BFD27D">
            <w:pPr>
              <w:spacing w:before="100" w:beforeAutospacing="1" w:after="100" w:afterAutospacing="1" w:line="320" w:lineRule="atLeast"/>
              <w:ind w:left="120" w:hanging="120"/>
              <w:jc w:val="center"/>
              <w:rPr>
                <w:rFonts w:hint="eastAsia" w:ascii="宋体" w:hAnsi="宋体" w:eastAsia="宋体" w:cs="宋体"/>
                <w:kern w:val="0"/>
                <w:sz w:val="24"/>
              </w:rPr>
            </w:pPr>
            <w:r>
              <w:rPr>
                <w:rFonts w:hint="eastAsia" w:ascii="宋体" w:hAnsi="宋体" w:eastAsia="宋体" w:cs="宋体"/>
                <w:kern w:val="0"/>
                <w:sz w:val="24"/>
              </w:rPr>
              <w:t>收费</w:t>
            </w:r>
          </w:p>
          <w:p w14:paraId="54FB8607">
            <w:pPr>
              <w:spacing w:before="100" w:beforeAutospacing="1" w:after="100" w:afterAutospacing="1" w:line="320" w:lineRule="atLeast"/>
              <w:ind w:left="120" w:hanging="120"/>
              <w:jc w:val="center"/>
              <w:rPr>
                <w:rFonts w:hint="eastAsia" w:ascii="宋体" w:hAnsi="宋体" w:eastAsia="宋体" w:cs="宋体"/>
                <w:kern w:val="0"/>
                <w:sz w:val="24"/>
              </w:rPr>
            </w:pPr>
            <w:r>
              <w:rPr>
                <w:rFonts w:hint="eastAsia" w:ascii="宋体" w:hAnsi="宋体" w:eastAsia="宋体" w:cs="宋体"/>
                <w:kern w:val="0"/>
                <w:sz w:val="24"/>
              </w:rPr>
              <w:t>基数</w:t>
            </w:r>
          </w:p>
        </w:tc>
        <w:tc>
          <w:tcPr>
            <w:tcW w:w="1202" w:type="dxa"/>
            <w:noWrap w:val="0"/>
            <w:vAlign w:val="center"/>
          </w:tcPr>
          <w:p w14:paraId="105822DB">
            <w:pPr>
              <w:spacing w:before="100" w:beforeAutospacing="1" w:after="100" w:afterAutospacing="1" w:line="320" w:lineRule="atLeast"/>
              <w:ind w:left="120" w:hanging="120"/>
              <w:jc w:val="center"/>
              <w:rPr>
                <w:rFonts w:hint="eastAsia" w:ascii="宋体" w:hAnsi="宋体" w:eastAsia="宋体" w:cs="宋体"/>
                <w:kern w:val="0"/>
                <w:sz w:val="24"/>
              </w:rPr>
            </w:pPr>
            <w:r>
              <w:rPr>
                <w:rFonts w:hint="eastAsia" w:ascii="宋体" w:hAnsi="宋体" w:eastAsia="宋体" w:cs="宋体"/>
                <w:kern w:val="0"/>
                <w:sz w:val="24"/>
              </w:rPr>
              <w:t>收费</w:t>
            </w:r>
          </w:p>
          <w:p w14:paraId="34CEDFE8">
            <w:pPr>
              <w:spacing w:before="100" w:beforeAutospacing="1" w:after="100" w:afterAutospacing="1" w:line="320" w:lineRule="atLeast"/>
              <w:ind w:left="120" w:hanging="120"/>
              <w:jc w:val="center"/>
              <w:rPr>
                <w:rFonts w:hint="eastAsia" w:ascii="宋体" w:hAnsi="宋体" w:eastAsia="宋体" w:cs="宋体"/>
                <w:kern w:val="0"/>
                <w:sz w:val="24"/>
              </w:rPr>
            </w:pPr>
            <w:r>
              <w:rPr>
                <w:rFonts w:hint="eastAsia" w:ascii="宋体" w:hAnsi="宋体" w:eastAsia="宋体" w:cs="宋体"/>
                <w:kern w:val="0"/>
                <w:sz w:val="24"/>
              </w:rPr>
              <w:t>标准</w:t>
            </w:r>
          </w:p>
          <w:p w14:paraId="5272E922">
            <w:pPr>
              <w:spacing w:before="100" w:beforeAutospacing="1" w:after="100" w:afterAutospacing="1" w:line="320" w:lineRule="atLeast"/>
              <w:ind w:left="120" w:hanging="120"/>
              <w:jc w:val="center"/>
              <w:rPr>
                <w:rFonts w:hint="eastAsia" w:ascii="宋体" w:hAnsi="宋体" w:eastAsia="宋体" w:cs="宋体"/>
                <w:kern w:val="0"/>
                <w:sz w:val="24"/>
              </w:rPr>
            </w:pPr>
            <w:r>
              <w:rPr>
                <w:rFonts w:hint="eastAsia" w:ascii="宋体" w:hAnsi="宋体" w:eastAsia="宋体" w:cs="宋体"/>
                <w:kern w:val="0"/>
                <w:sz w:val="24"/>
              </w:rPr>
              <w:t>（比例）</w:t>
            </w:r>
          </w:p>
        </w:tc>
        <w:tc>
          <w:tcPr>
            <w:tcW w:w="1218" w:type="dxa"/>
            <w:noWrap w:val="0"/>
            <w:vAlign w:val="center"/>
          </w:tcPr>
          <w:p w14:paraId="036664F1">
            <w:pPr>
              <w:spacing w:before="100" w:beforeAutospacing="1" w:after="100" w:afterAutospacing="1" w:line="320" w:lineRule="atLeast"/>
              <w:ind w:left="120" w:hanging="120"/>
              <w:jc w:val="center"/>
              <w:rPr>
                <w:rFonts w:hint="eastAsia" w:ascii="宋体" w:hAnsi="宋体" w:eastAsia="宋体" w:cs="宋体"/>
                <w:kern w:val="0"/>
                <w:sz w:val="24"/>
              </w:rPr>
            </w:pPr>
            <w:r>
              <w:rPr>
                <w:rFonts w:hint="eastAsia" w:ascii="宋体" w:hAnsi="宋体" w:eastAsia="宋体" w:cs="宋体"/>
                <w:kern w:val="0"/>
                <w:sz w:val="24"/>
              </w:rPr>
              <w:t>酬金</w:t>
            </w:r>
          </w:p>
          <w:p w14:paraId="684DD7AB">
            <w:pPr>
              <w:spacing w:before="100" w:beforeAutospacing="1" w:after="100" w:afterAutospacing="1" w:line="320" w:lineRule="atLeast"/>
              <w:ind w:left="120" w:hanging="120"/>
              <w:jc w:val="center"/>
              <w:rPr>
                <w:rFonts w:hint="eastAsia" w:ascii="宋体" w:hAnsi="宋体" w:eastAsia="宋体" w:cs="宋体"/>
                <w:kern w:val="0"/>
                <w:sz w:val="24"/>
              </w:rPr>
            </w:pPr>
            <w:r>
              <w:rPr>
                <w:rFonts w:hint="eastAsia" w:ascii="宋体" w:hAnsi="宋体" w:eastAsia="宋体" w:cs="宋体"/>
                <w:kern w:val="0"/>
                <w:sz w:val="24"/>
              </w:rPr>
              <w:t>数额</w:t>
            </w:r>
          </w:p>
          <w:p w14:paraId="5A49EDEF">
            <w:pPr>
              <w:spacing w:before="100" w:beforeAutospacing="1" w:after="100" w:afterAutospacing="1" w:line="320" w:lineRule="atLeast"/>
              <w:ind w:left="120" w:hanging="120"/>
              <w:jc w:val="center"/>
              <w:rPr>
                <w:rFonts w:hint="eastAsia" w:ascii="宋体" w:hAnsi="宋体" w:eastAsia="宋体" w:cs="宋体"/>
                <w:kern w:val="0"/>
                <w:sz w:val="24"/>
              </w:rPr>
            </w:pPr>
            <w:r>
              <w:rPr>
                <w:rFonts w:hint="eastAsia" w:ascii="宋体" w:hAnsi="宋体" w:eastAsia="宋体" w:cs="宋体"/>
                <w:kern w:val="0"/>
                <w:sz w:val="24"/>
              </w:rPr>
              <w:t>（万元）</w:t>
            </w:r>
          </w:p>
        </w:tc>
        <w:tc>
          <w:tcPr>
            <w:tcW w:w="846" w:type="dxa"/>
            <w:noWrap w:val="0"/>
            <w:vAlign w:val="center"/>
          </w:tcPr>
          <w:p w14:paraId="267A8ED3">
            <w:pPr>
              <w:spacing w:before="100" w:beforeAutospacing="1" w:after="100" w:afterAutospacing="1"/>
              <w:ind w:left="120" w:hanging="120"/>
              <w:jc w:val="center"/>
              <w:rPr>
                <w:rFonts w:hint="eastAsia" w:ascii="宋体" w:hAnsi="宋体" w:eastAsia="宋体" w:cs="宋体"/>
                <w:kern w:val="0"/>
                <w:sz w:val="24"/>
              </w:rPr>
            </w:pPr>
          </w:p>
        </w:tc>
      </w:tr>
      <w:tr w14:paraId="2ABE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noWrap w:val="0"/>
            <w:vAlign w:val="center"/>
          </w:tcPr>
          <w:p w14:paraId="096B164B">
            <w:pPr>
              <w:spacing w:before="100" w:beforeAutospacing="1" w:after="100" w:afterAutospacing="1"/>
              <w:ind w:left="120" w:hanging="120"/>
              <w:jc w:val="center"/>
              <w:rPr>
                <w:rFonts w:hint="eastAsia" w:ascii="宋体" w:hAnsi="宋体" w:eastAsia="宋体" w:cs="宋体"/>
                <w:kern w:val="0"/>
                <w:sz w:val="24"/>
              </w:rPr>
            </w:pPr>
            <w:r>
              <w:rPr>
                <w:rFonts w:hint="eastAsia" w:ascii="宋体" w:hAnsi="宋体" w:eastAsia="宋体" w:cs="宋体"/>
                <w:kern w:val="0"/>
                <w:sz w:val="24"/>
              </w:rPr>
              <w:t>决策阶段</w:t>
            </w:r>
          </w:p>
        </w:tc>
        <w:tc>
          <w:tcPr>
            <w:tcW w:w="1614" w:type="dxa"/>
            <w:noWrap w:val="0"/>
            <w:vAlign w:val="center"/>
          </w:tcPr>
          <w:p w14:paraId="7E08F30B">
            <w:pPr>
              <w:ind w:left="120" w:hanging="120"/>
              <w:jc w:val="center"/>
              <w:rPr>
                <w:rFonts w:hint="eastAsia" w:ascii="宋体" w:hAnsi="宋体" w:eastAsia="宋体" w:cs="宋体"/>
                <w:sz w:val="24"/>
              </w:rPr>
            </w:pPr>
            <w:r>
              <w:rPr>
                <w:rFonts w:hint="eastAsia" w:ascii="宋体" w:hAnsi="宋体" w:eastAsia="宋体" w:cs="宋体"/>
                <w:sz w:val="24"/>
              </w:rPr>
              <w:t>投资估算</w:t>
            </w:r>
          </w:p>
        </w:tc>
        <w:tc>
          <w:tcPr>
            <w:tcW w:w="2757" w:type="dxa"/>
            <w:noWrap w:val="0"/>
            <w:vAlign w:val="center"/>
          </w:tcPr>
          <w:p w14:paraId="746B3290">
            <w:pPr>
              <w:ind w:left="120" w:hanging="120"/>
              <w:jc w:val="center"/>
              <w:rPr>
                <w:rFonts w:hint="eastAsia" w:ascii="宋体" w:hAnsi="宋体" w:eastAsia="宋体" w:cs="宋体"/>
                <w:sz w:val="24"/>
              </w:rPr>
            </w:pPr>
            <w:r>
              <w:rPr>
                <w:rFonts w:hint="eastAsia" w:ascii="宋体" w:hAnsi="宋体" w:eastAsia="宋体" w:cs="宋体"/>
                <w:sz w:val="24"/>
              </w:rPr>
              <w:t>□编制□审核□调整</w:t>
            </w:r>
          </w:p>
        </w:tc>
        <w:tc>
          <w:tcPr>
            <w:tcW w:w="1007" w:type="dxa"/>
            <w:noWrap w:val="0"/>
            <w:vAlign w:val="center"/>
          </w:tcPr>
          <w:p w14:paraId="595B7531">
            <w:pPr>
              <w:ind w:left="120" w:hanging="120"/>
              <w:jc w:val="center"/>
              <w:rPr>
                <w:rFonts w:hint="eastAsia" w:ascii="宋体" w:hAnsi="宋体" w:eastAsia="宋体" w:cs="宋体"/>
                <w:sz w:val="24"/>
              </w:rPr>
            </w:pPr>
            <w:r>
              <w:rPr>
                <w:rFonts w:hint="eastAsia" w:ascii="宋体" w:hAnsi="宋体" w:eastAsia="宋体" w:cs="宋体"/>
                <w:sz w:val="24"/>
              </w:rPr>
              <w:t>/</w:t>
            </w:r>
          </w:p>
        </w:tc>
        <w:tc>
          <w:tcPr>
            <w:tcW w:w="1202" w:type="dxa"/>
            <w:noWrap w:val="0"/>
            <w:vAlign w:val="center"/>
          </w:tcPr>
          <w:p w14:paraId="084F5143">
            <w:pPr>
              <w:ind w:left="120" w:hanging="120"/>
              <w:jc w:val="center"/>
              <w:rPr>
                <w:rFonts w:hint="eastAsia" w:ascii="宋体" w:hAnsi="宋体" w:eastAsia="宋体" w:cs="宋体"/>
                <w:sz w:val="24"/>
              </w:rPr>
            </w:pPr>
            <w:r>
              <w:rPr>
                <w:rFonts w:hint="eastAsia" w:ascii="宋体" w:hAnsi="宋体" w:eastAsia="宋体" w:cs="宋体"/>
                <w:sz w:val="24"/>
              </w:rPr>
              <w:t>/</w:t>
            </w:r>
          </w:p>
        </w:tc>
        <w:tc>
          <w:tcPr>
            <w:tcW w:w="1218" w:type="dxa"/>
            <w:noWrap w:val="0"/>
            <w:vAlign w:val="center"/>
          </w:tcPr>
          <w:p w14:paraId="17789549">
            <w:pPr>
              <w:ind w:left="120" w:hanging="120"/>
              <w:jc w:val="center"/>
              <w:rPr>
                <w:rFonts w:hint="eastAsia" w:ascii="宋体" w:hAnsi="宋体" w:eastAsia="宋体" w:cs="宋体"/>
                <w:sz w:val="24"/>
              </w:rPr>
            </w:pPr>
            <w:r>
              <w:rPr>
                <w:rFonts w:hint="eastAsia" w:ascii="宋体" w:hAnsi="宋体" w:eastAsia="宋体" w:cs="宋体"/>
                <w:sz w:val="24"/>
              </w:rPr>
              <w:t>/</w:t>
            </w:r>
          </w:p>
        </w:tc>
        <w:tc>
          <w:tcPr>
            <w:tcW w:w="846" w:type="dxa"/>
            <w:noWrap w:val="0"/>
            <w:vAlign w:val="center"/>
          </w:tcPr>
          <w:p w14:paraId="7F440C6B">
            <w:pPr>
              <w:ind w:left="120" w:hanging="120"/>
              <w:jc w:val="center"/>
              <w:rPr>
                <w:rFonts w:hint="eastAsia" w:ascii="宋体" w:hAnsi="宋体" w:eastAsia="宋体" w:cs="宋体"/>
                <w:sz w:val="24"/>
              </w:rPr>
            </w:pPr>
          </w:p>
        </w:tc>
      </w:tr>
      <w:tr w14:paraId="3D2B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noWrap w:val="0"/>
            <w:vAlign w:val="center"/>
          </w:tcPr>
          <w:p w14:paraId="42B568BA">
            <w:pPr>
              <w:spacing w:before="100" w:beforeAutospacing="1" w:after="100" w:afterAutospacing="1"/>
              <w:ind w:left="120" w:hanging="120"/>
              <w:jc w:val="center"/>
              <w:rPr>
                <w:rFonts w:hint="eastAsia" w:ascii="宋体" w:hAnsi="宋体" w:eastAsia="宋体" w:cs="宋体"/>
                <w:kern w:val="0"/>
                <w:sz w:val="24"/>
              </w:rPr>
            </w:pPr>
          </w:p>
        </w:tc>
        <w:tc>
          <w:tcPr>
            <w:tcW w:w="1614" w:type="dxa"/>
            <w:noWrap w:val="0"/>
            <w:vAlign w:val="center"/>
          </w:tcPr>
          <w:p w14:paraId="1EE65D9E">
            <w:pPr>
              <w:ind w:left="120" w:hanging="120"/>
              <w:jc w:val="center"/>
              <w:rPr>
                <w:rFonts w:hint="eastAsia" w:ascii="宋体" w:hAnsi="宋体" w:eastAsia="宋体" w:cs="宋体"/>
                <w:sz w:val="24"/>
              </w:rPr>
            </w:pPr>
            <w:r>
              <w:rPr>
                <w:rFonts w:hint="eastAsia" w:ascii="宋体" w:hAnsi="宋体" w:eastAsia="宋体" w:cs="宋体"/>
                <w:sz w:val="24"/>
              </w:rPr>
              <w:t>经济评价</w:t>
            </w:r>
          </w:p>
        </w:tc>
        <w:tc>
          <w:tcPr>
            <w:tcW w:w="2757" w:type="dxa"/>
            <w:noWrap w:val="0"/>
            <w:vAlign w:val="center"/>
          </w:tcPr>
          <w:p w14:paraId="5A79AD6C">
            <w:pPr>
              <w:ind w:left="120" w:hanging="120"/>
              <w:jc w:val="center"/>
              <w:rPr>
                <w:rFonts w:hint="eastAsia" w:ascii="宋体" w:hAnsi="宋体" w:eastAsia="宋体" w:cs="宋体"/>
                <w:sz w:val="24"/>
              </w:rPr>
            </w:pPr>
            <w:r>
              <w:rPr>
                <w:rFonts w:hint="eastAsia" w:ascii="宋体" w:hAnsi="宋体" w:eastAsia="宋体" w:cs="宋体"/>
                <w:sz w:val="24"/>
              </w:rPr>
              <w:t>□编制□审核□调整</w:t>
            </w:r>
          </w:p>
        </w:tc>
        <w:tc>
          <w:tcPr>
            <w:tcW w:w="1007" w:type="dxa"/>
            <w:noWrap w:val="0"/>
            <w:vAlign w:val="center"/>
          </w:tcPr>
          <w:p w14:paraId="2C181D19">
            <w:pPr>
              <w:ind w:left="120" w:hanging="120"/>
              <w:jc w:val="center"/>
              <w:rPr>
                <w:rFonts w:hint="eastAsia" w:ascii="宋体" w:hAnsi="宋体" w:eastAsia="宋体" w:cs="宋体"/>
                <w:sz w:val="24"/>
              </w:rPr>
            </w:pPr>
            <w:r>
              <w:rPr>
                <w:rFonts w:hint="eastAsia" w:ascii="宋体" w:hAnsi="宋体" w:eastAsia="宋体" w:cs="宋体"/>
                <w:sz w:val="24"/>
              </w:rPr>
              <w:t>/</w:t>
            </w:r>
          </w:p>
        </w:tc>
        <w:tc>
          <w:tcPr>
            <w:tcW w:w="1202" w:type="dxa"/>
            <w:noWrap w:val="0"/>
            <w:vAlign w:val="center"/>
          </w:tcPr>
          <w:p w14:paraId="415479F5">
            <w:pPr>
              <w:ind w:left="120" w:hanging="120"/>
              <w:jc w:val="center"/>
              <w:rPr>
                <w:rFonts w:hint="eastAsia" w:ascii="宋体" w:hAnsi="宋体" w:eastAsia="宋体" w:cs="宋体"/>
                <w:sz w:val="24"/>
              </w:rPr>
            </w:pPr>
            <w:r>
              <w:rPr>
                <w:rFonts w:hint="eastAsia" w:ascii="宋体" w:hAnsi="宋体" w:eastAsia="宋体" w:cs="宋体"/>
                <w:sz w:val="24"/>
              </w:rPr>
              <w:t>/</w:t>
            </w:r>
          </w:p>
        </w:tc>
        <w:tc>
          <w:tcPr>
            <w:tcW w:w="1218" w:type="dxa"/>
            <w:noWrap w:val="0"/>
            <w:vAlign w:val="center"/>
          </w:tcPr>
          <w:p w14:paraId="3A0D3481">
            <w:pPr>
              <w:ind w:left="120" w:hanging="120"/>
              <w:jc w:val="center"/>
              <w:rPr>
                <w:rFonts w:hint="eastAsia" w:ascii="宋体" w:hAnsi="宋体" w:eastAsia="宋体" w:cs="宋体"/>
                <w:sz w:val="24"/>
              </w:rPr>
            </w:pPr>
            <w:r>
              <w:rPr>
                <w:rFonts w:hint="eastAsia" w:ascii="宋体" w:hAnsi="宋体" w:eastAsia="宋体" w:cs="宋体"/>
                <w:sz w:val="24"/>
              </w:rPr>
              <w:t>/</w:t>
            </w:r>
          </w:p>
        </w:tc>
        <w:tc>
          <w:tcPr>
            <w:tcW w:w="846" w:type="dxa"/>
            <w:noWrap w:val="0"/>
            <w:vAlign w:val="center"/>
          </w:tcPr>
          <w:p w14:paraId="1FFB697B">
            <w:pPr>
              <w:ind w:left="120" w:hanging="120"/>
              <w:jc w:val="center"/>
              <w:rPr>
                <w:rFonts w:hint="eastAsia" w:ascii="宋体" w:hAnsi="宋体" w:eastAsia="宋体" w:cs="宋体"/>
                <w:sz w:val="24"/>
              </w:rPr>
            </w:pPr>
          </w:p>
        </w:tc>
      </w:tr>
      <w:tr w14:paraId="4236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noWrap w:val="0"/>
            <w:vAlign w:val="center"/>
          </w:tcPr>
          <w:p w14:paraId="15E30E6B">
            <w:pPr>
              <w:spacing w:before="100" w:beforeAutospacing="1" w:after="100" w:afterAutospacing="1"/>
              <w:ind w:left="120" w:hanging="120"/>
              <w:jc w:val="center"/>
              <w:rPr>
                <w:rFonts w:hint="eastAsia" w:ascii="宋体" w:hAnsi="宋体" w:eastAsia="宋体" w:cs="宋体"/>
                <w:kern w:val="0"/>
                <w:sz w:val="24"/>
              </w:rPr>
            </w:pPr>
          </w:p>
        </w:tc>
        <w:tc>
          <w:tcPr>
            <w:tcW w:w="1614" w:type="dxa"/>
            <w:noWrap w:val="0"/>
            <w:vAlign w:val="center"/>
          </w:tcPr>
          <w:p w14:paraId="477A03CE">
            <w:pPr>
              <w:ind w:left="120" w:hanging="120"/>
              <w:jc w:val="center"/>
              <w:rPr>
                <w:rFonts w:hint="eastAsia" w:ascii="宋体" w:hAnsi="宋体" w:eastAsia="宋体" w:cs="宋体"/>
                <w:sz w:val="24"/>
              </w:rPr>
            </w:pPr>
            <w:r>
              <w:rPr>
                <w:rFonts w:hint="eastAsia" w:ascii="宋体" w:hAnsi="宋体" w:eastAsia="宋体" w:cs="宋体"/>
                <w:sz w:val="24"/>
              </w:rPr>
              <w:t>其他：</w:t>
            </w:r>
          </w:p>
        </w:tc>
        <w:tc>
          <w:tcPr>
            <w:tcW w:w="2757" w:type="dxa"/>
            <w:noWrap w:val="0"/>
            <w:vAlign w:val="center"/>
          </w:tcPr>
          <w:p w14:paraId="0E95F00D">
            <w:pPr>
              <w:ind w:left="120" w:hanging="120"/>
              <w:jc w:val="center"/>
              <w:rPr>
                <w:rFonts w:hint="eastAsia" w:ascii="宋体" w:hAnsi="宋体" w:eastAsia="宋体" w:cs="宋体"/>
                <w:sz w:val="24"/>
              </w:rPr>
            </w:pPr>
          </w:p>
        </w:tc>
        <w:tc>
          <w:tcPr>
            <w:tcW w:w="1007" w:type="dxa"/>
            <w:noWrap w:val="0"/>
            <w:vAlign w:val="center"/>
          </w:tcPr>
          <w:p w14:paraId="01CEB31F">
            <w:pPr>
              <w:ind w:left="120" w:hanging="120"/>
              <w:jc w:val="center"/>
              <w:rPr>
                <w:rFonts w:hint="eastAsia" w:ascii="宋体" w:hAnsi="宋体" w:eastAsia="宋体" w:cs="宋体"/>
                <w:sz w:val="24"/>
              </w:rPr>
            </w:pPr>
            <w:r>
              <w:rPr>
                <w:rFonts w:hint="eastAsia" w:ascii="宋体" w:hAnsi="宋体" w:eastAsia="宋体" w:cs="宋体"/>
                <w:sz w:val="24"/>
              </w:rPr>
              <w:t>/</w:t>
            </w:r>
          </w:p>
        </w:tc>
        <w:tc>
          <w:tcPr>
            <w:tcW w:w="1202" w:type="dxa"/>
            <w:noWrap w:val="0"/>
            <w:vAlign w:val="center"/>
          </w:tcPr>
          <w:p w14:paraId="56B18EAE">
            <w:pPr>
              <w:ind w:left="120" w:hanging="120"/>
              <w:jc w:val="center"/>
              <w:rPr>
                <w:rFonts w:hint="eastAsia" w:ascii="宋体" w:hAnsi="宋体" w:eastAsia="宋体" w:cs="宋体"/>
                <w:sz w:val="24"/>
              </w:rPr>
            </w:pPr>
            <w:r>
              <w:rPr>
                <w:rFonts w:hint="eastAsia" w:ascii="宋体" w:hAnsi="宋体" w:eastAsia="宋体" w:cs="宋体"/>
                <w:sz w:val="24"/>
              </w:rPr>
              <w:t>/</w:t>
            </w:r>
          </w:p>
        </w:tc>
        <w:tc>
          <w:tcPr>
            <w:tcW w:w="1218" w:type="dxa"/>
            <w:noWrap w:val="0"/>
            <w:vAlign w:val="center"/>
          </w:tcPr>
          <w:p w14:paraId="35174DC3">
            <w:pPr>
              <w:ind w:left="120" w:hanging="120"/>
              <w:jc w:val="center"/>
              <w:rPr>
                <w:rFonts w:hint="eastAsia" w:ascii="宋体" w:hAnsi="宋体" w:eastAsia="宋体" w:cs="宋体"/>
                <w:sz w:val="24"/>
              </w:rPr>
            </w:pPr>
            <w:r>
              <w:rPr>
                <w:rFonts w:hint="eastAsia" w:ascii="宋体" w:hAnsi="宋体" w:eastAsia="宋体" w:cs="宋体"/>
                <w:sz w:val="24"/>
              </w:rPr>
              <w:t>/</w:t>
            </w:r>
          </w:p>
        </w:tc>
        <w:tc>
          <w:tcPr>
            <w:tcW w:w="846" w:type="dxa"/>
            <w:noWrap w:val="0"/>
            <w:vAlign w:val="center"/>
          </w:tcPr>
          <w:p w14:paraId="36F6C647">
            <w:pPr>
              <w:ind w:left="120" w:hanging="120"/>
              <w:jc w:val="center"/>
              <w:rPr>
                <w:rFonts w:hint="eastAsia" w:ascii="宋体" w:hAnsi="宋体" w:eastAsia="宋体" w:cs="宋体"/>
                <w:sz w:val="24"/>
              </w:rPr>
            </w:pPr>
          </w:p>
        </w:tc>
      </w:tr>
      <w:tr w14:paraId="3703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noWrap w:val="0"/>
            <w:vAlign w:val="center"/>
          </w:tcPr>
          <w:p w14:paraId="4846F927">
            <w:pPr>
              <w:spacing w:before="100" w:beforeAutospacing="1" w:after="100" w:afterAutospacing="1"/>
              <w:ind w:left="120" w:hanging="120"/>
              <w:jc w:val="center"/>
              <w:rPr>
                <w:rFonts w:hint="eastAsia" w:ascii="宋体" w:hAnsi="宋体" w:eastAsia="宋体" w:cs="宋体"/>
                <w:kern w:val="0"/>
                <w:sz w:val="24"/>
              </w:rPr>
            </w:pPr>
            <w:r>
              <w:rPr>
                <w:rFonts w:hint="eastAsia" w:ascii="宋体" w:hAnsi="宋体" w:eastAsia="宋体" w:cs="宋体"/>
                <w:kern w:val="0"/>
                <w:sz w:val="24"/>
              </w:rPr>
              <w:t>设计阶段</w:t>
            </w:r>
          </w:p>
        </w:tc>
        <w:tc>
          <w:tcPr>
            <w:tcW w:w="1614" w:type="dxa"/>
            <w:noWrap w:val="0"/>
            <w:vAlign w:val="center"/>
          </w:tcPr>
          <w:p w14:paraId="19438D0E">
            <w:pPr>
              <w:ind w:left="120" w:hanging="120"/>
              <w:jc w:val="center"/>
              <w:rPr>
                <w:rFonts w:hint="eastAsia" w:ascii="宋体" w:hAnsi="宋体" w:eastAsia="宋体" w:cs="宋体"/>
                <w:sz w:val="24"/>
              </w:rPr>
            </w:pPr>
            <w:r>
              <w:rPr>
                <w:rFonts w:hint="eastAsia" w:ascii="宋体" w:hAnsi="宋体" w:eastAsia="宋体" w:cs="宋体"/>
                <w:sz w:val="24"/>
              </w:rPr>
              <w:t>设计概算</w:t>
            </w:r>
          </w:p>
        </w:tc>
        <w:tc>
          <w:tcPr>
            <w:tcW w:w="2757" w:type="dxa"/>
            <w:noWrap w:val="0"/>
            <w:vAlign w:val="center"/>
          </w:tcPr>
          <w:p w14:paraId="3937A7B7">
            <w:pPr>
              <w:ind w:left="120" w:hanging="120"/>
              <w:jc w:val="center"/>
              <w:rPr>
                <w:rFonts w:hint="eastAsia" w:ascii="宋体" w:hAnsi="宋体" w:eastAsia="宋体" w:cs="宋体"/>
                <w:sz w:val="24"/>
              </w:rPr>
            </w:pPr>
            <w:r>
              <w:rPr>
                <w:rFonts w:hint="eastAsia" w:ascii="宋体" w:hAnsi="宋体" w:eastAsia="宋体" w:cs="宋体"/>
                <w:sz w:val="24"/>
              </w:rPr>
              <w:t>□编制□审核□调整</w:t>
            </w:r>
          </w:p>
        </w:tc>
        <w:tc>
          <w:tcPr>
            <w:tcW w:w="1007" w:type="dxa"/>
            <w:noWrap w:val="0"/>
            <w:vAlign w:val="center"/>
          </w:tcPr>
          <w:p w14:paraId="56AFD204">
            <w:pPr>
              <w:ind w:left="120" w:hanging="120"/>
              <w:jc w:val="center"/>
              <w:rPr>
                <w:rFonts w:hint="eastAsia" w:ascii="宋体" w:hAnsi="宋体" w:eastAsia="宋体" w:cs="宋体"/>
                <w:sz w:val="24"/>
              </w:rPr>
            </w:pPr>
            <w:r>
              <w:rPr>
                <w:rFonts w:hint="eastAsia" w:ascii="宋体" w:hAnsi="宋体" w:eastAsia="宋体" w:cs="宋体"/>
                <w:sz w:val="24"/>
              </w:rPr>
              <w:t>/</w:t>
            </w:r>
          </w:p>
        </w:tc>
        <w:tc>
          <w:tcPr>
            <w:tcW w:w="1202" w:type="dxa"/>
            <w:noWrap w:val="0"/>
            <w:vAlign w:val="center"/>
          </w:tcPr>
          <w:p w14:paraId="31A4840B">
            <w:pPr>
              <w:ind w:left="120" w:hanging="120"/>
              <w:jc w:val="center"/>
              <w:rPr>
                <w:rFonts w:hint="eastAsia" w:ascii="宋体" w:hAnsi="宋体" w:eastAsia="宋体" w:cs="宋体"/>
                <w:sz w:val="24"/>
              </w:rPr>
            </w:pPr>
            <w:r>
              <w:rPr>
                <w:rFonts w:hint="eastAsia" w:ascii="宋体" w:hAnsi="宋体" w:eastAsia="宋体" w:cs="宋体"/>
                <w:sz w:val="24"/>
              </w:rPr>
              <w:t>/</w:t>
            </w:r>
          </w:p>
        </w:tc>
        <w:tc>
          <w:tcPr>
            <w:tcW w:w="1218" w:type="dxa"/>
            <w:noWrap w:val="0"/>
            <w:vAlign w:val="center"/>
          </w:tcPr>
          <w:p w14:paraId="76C9452D">
            <w:pPr>
              <w:ind w:left="120" w:hanging="120"/>
              <w:jc w:val="center"/>
              <w:rPr>
                <w:rFonts w:hint="eastAsia" w:ascii="宋体" w:hAnsi="宋体" w:eastAsia="宋体" w:cs="宋体"/>
                <w:sz w:val="24"/>
              </w:rPr>
            </w:pPr>
            <w:r>
              <w:rPr>
                <w:rFonts w:hint="eastAsia" w:ascii="宋体" w:hAnsi="宋体" w:eastAsia="宋体" w:cs="宋体"/>
                <w:sz w:val="24"/>
              </w:rPr>
              <w:t>/</w:t>
            </w:r>
          </w:p>
        </w:tc>
        <w:tc>
          <w:tcPr>
            <w:tcW w:w="846" w:type="dxa"/>
            <w:noWrap w:val="0"/>
            <w:vAlign w:val="center"/>
          </w:tcPr>
          <w:p w14:paraId="490C7925">
            <w:pPr>
              <w:ind w:left="120" w:hanging="120"/>
              <w:jc w:val="center"/>
              <w:rPr>
                <w:rFonts w:hint="eastAsia" w:ascii="宋体" w:hAnsi="宋体" w:eastAsia="宋体" w:cs="宋体"/>
                <w:sz w:val="24"/>
              </w:rPr>
            </w:pPr>
          </w:p>
        </w:tc>
      </w:tr>
      <w:tr w14:paraId="4CC6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noWrap w:val="0"/>
            <w:vAlign w:val="center"/>
          </w:tcPr>
          <w:p w14:paraId="4EAB45C1">
            <w:pPr>
              <w:spacing w:before="100" w:beforeAutospacing="1" w:after="100" w:afterAutospacing="1"/>
              <w:ind w:left="120" w:hanging="120"/>
              <w:jc w:val="center"/>
              <w:rPr>
                <w:rFonts w:hint="eastAsia" w:ascii="宋体" w:hAnsi="宋体" w:eastAsia="宋体" w:cs="宋体"/>
                <w:kern w:val="0"/>
                <w:sz w:val="24"/>
              </w:rPr>
            </w:pPr>
          </w:p>
        </w:tc>
        <w:tc>
          <w:tcPr>
            <w:tcW w:w="1614" w:type="dxa"/>
            <w:noWrap w:val="0"/>
            <w:vAlign w:val="center"/>
          </w:tcPr>
          <w:p w14:paraId="1DEC71A2">
            <w:pPr>
              <w:ind w:left="120" w:hanging="120"/>
              <w:jc w:val="center"/>
              <w:rPr>
                <w:rFonts w:hint="eastAsia" w:ascii="宋体" w:hAnsi="宋体" w:eastAsia="宋体" w:cs="宋体"/>
                <w:sz w:val="24"/>
              </w:rPr>
            </w:pPr>
            <w:r>
              <w:rPr>
                <w:rFonts w:hint="eastAsia" w:ascii="宋体" w:hAnsi="宋体" w:eastAsia="宋体" w:cs="宋体"/>
                <w:sz w:val="24"/>
              </w:rPr>
              <w:t>施工图预算</w:t>
            </w:r>
          </w:p>
        </w:tc>
        <w:tc>
          <w:tcPr>
            <w:tcW w:w="2757" w:type="dxa"/>
            <w:noWrap w:val="0"/>
            <w:vAlign w:val="center"/>
          </w:tcPr>
          <w:p w14:paraId="49586FFC">
            <w:pPr>
              <w:ind w:left="120" w:hanging="120"/>
              <w:jc w:val="center"/>
              <w:rPr>
                <w:rFonts w:hint="eastAsia" w:ascii="宋体" w:hAnsi="宋体" w:eastAsia="宋体" w:cs="宋体"/>
                <w:sz w:val="24"/>
              </w:rPr>
            </w:pPr>
            <w:r>
              <w:rPr>
                <w:rFonts w:hint="eastAsia" w:ascii="宋体" w:hAnsi="宋体" w:eastAsia="宋体" w:cs="宋体"/>
                <w:sz w:val="24"/>
              </w:rPr>
              <w:t>□编制□审核□调整</w:t>
            </w:r>
          </w:p>
        </w:tc>
        <w:tc>
          <w:tcPr>
            <w:tcW w:w="1007" w:type="dxa"/>
            <w:noWrap w:val="0"/>
            <w:vAlign w:val="center"/>
          </w:tcPr>
          <w:p w14:paraId="642E1D9C">
            <w:pPr>
              <w:ind w:left="120" w:hanging="120"/>
              <w:jc w:val="center"/>
              <w:rPr>
                <w:rFonts w:hint="eastAsia" w:ascii="宋体" w:hAnsi="宋体" w:eastAsia="宋体" w:cs="宋体"/>
                <w:sz w:val="24"/>
              </w:rPr>
            </w:pPr>
            <w:r>
              <w:rPr>
                <w:rFonts w:hint="eastAsia" w:ascii="宋体" w:hAnsi="宋体" w:eastAsia="宋体" w:cs="宋体"/>
                <w:sz w:val="24"/>
              </w:rPr>
              <w:t>/</w:t>
            </w:r>
          </w:p>
        </w:tc>
        <w:tc>
          <w:tcPr>
            <w:tcW w:w="1202" w:type="dxa"/>
            <w:noWrap w:val="0"/>
            <w:vAlign w:val="center"/>
          </w:tcPr>
          <w:p w14:paraId="10FA164D">
            <w:pPr>
              <w:ind w:left="120" w:hanging="120"/>
              <w:jc w:val="center"/>
              <w:rPr>
                <w:rFonts w:hint="eastAsia" w:ascii="宋体" w:hAnsi="宋体" w:eastAsia="宋体" w:cs="宋体"/>
                <w:sz w:val="24"/>
              </w:rPr>
            </w:pPr>
            <w:r>
              <w:rPr>
                <w:rFonts w:hint="eastAsia" w:ascii="宋体" w:hAnsi="宋体" w:eastAsia="宋体" w:cs="宋体"/>
                <w:sz w:val="24"/>
              </w:rPr>
              <w:t>/</w:t>
            </w:r>
          </w:p>
        </w:tc>
        <w:tc>
          <w:tcPr>
            <w:tcW w:w="1218" w:type="dxa"/>
            <w:noWrap w:val="0"/>
            <w:vAlign w:val="center"/>
          </w:tcPr>
          <w:p w14:paraId="5BCDF44C">
            <w:pPr>
              <w:ind w:left="120" w:hanging="120"/>
              <w:jc w:val="center"/>
              <w:rPr>
                <w:rFonts w:hint="eastAsia" w:ascii="宋体" w:hAnsi="宋体" w:eastAsia="宋体" w:cs="宋体"/>
                <w:sz w:val="24"/>
              </w:rPr>
            </w:pPr>
            <w:r>
              <w:rPr>
                <w:rFonts w:hint="eastAsia" w:ascii="宋体" w:hAnsi="宋体" w:eastAsia="宋体" w:cs="宋体"/>
                <w:sz w:val="24"/>
              </w:rPr>
              <w:t>/</w:t>
            </w:r>
          </w:p>
        </w:tc>
        <w:tc>
          <w:tcPr>
            <w:tcW w:w="846" w:type="dxa"/>
            <w:noWrap w:val="0"/>
            <w:vAlign w:val="center"/>
          </w:tcPr>
          <w:p w14:paraId="5E3E2FD5">
            <w:pPr>
              <w:ind w:left="120" w:hanging="120"/>
              <w:jc w:val="center"/>
              <w:rPr>
                <w:rFonts w:hint="eastAsia" w:ascii="宋体" w:hAnsi="宋体" w:eastAsia="宋体" w:cs="宋体"/>
                <w:sz w:val="24"/>
              </w:rPr>
            </w:pPr>
          </w:p>
        </w:tc>
      </w:tr>
      <w:tr w14:paraId="3827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noWrap w:val="0"/>
            <w:vAlign w:val="center"/>
          </w:tcPr>
          <w:p w14:paraId="51EB7F03">
            <w:pPr>
              <w:spacing w:before="100" w:beforeAutospacing="1" w:after="100" w:afterAutospacing="1"/>
              <w:ind w:left="120" w:hanging="120"/>
              <w:jc w:val="center"/>
              <w:rPr>
                <w:rFonts w:hint="eastAsia" w:ascii="宋体" w:hAnsi="宋体" w:eastAsia="宋体" w:cs="宋体"/>
                <w:kern w:val="0"/>
                <w:sz w:val="24"/>
              </w:rPr>
            </w:pPr>
          </w:p>
        </w:tc>
        <w:tc>
          <w:tcPr>
            <w:tcW w:w="1614" w:type="dxa"/>
            <w:noWrap w:val="0"/>
            <w:vAlign w:val="center"/>
          </w:tcPr>
          <w:p w14:paraId="65DEFF1A">
            <w:pPr>
              <w:ind w:left="120" w:hanging="120"/>
              <w:jc w:val="center"/>
              <w:rPr>
                <w:rFonts w:hint="eastAsia" w:ascii="宋体" w:hAnsi="宋体" w:eastAsia="宋体" w:cs="宋体"/>
                <w:sz w:val="24"/>
              </w:rPr>
            </w:pPr>
            <w:r>
              <w:rPr>
                <w:rFonts w:hint="eastAsia" w:ascii="宋体" w:hAnsi="宋体" w:eastAsia="宋体" w:cs="宋体"/>
                <w:sz w:val="24"/>
              </w:rPr>
              <w:t>其他：</w:t>
            </w:r>
          </w:p>
        </w:tc>
        <w:tc>
          <w:tcPr>
            <w:tcW w:w="2757" w:type="dxa"/>
            <w:noWrap w:val="0"/>
            <w:vAlign w:val="center"/>
          </w:tcPr>
          <w:p w14:paraId="5D35D7E0">
            <w:pPr>
              <w:ind w:left="120" w:hanging="120"/>
              <w:jc w:val="center"/>
              <w:rPr>
                <w:rFonts w:hint="eastAsia" w:ascii="宋体" w:hAnsi="宋体" w:eastAsia="宋体" w:cs="宋体"/>
                <w:sz w:val="24"/>
              </w:rPr>
            </w:pPr>
          </w:p>
        </w:tc>
        <w:tc>
          <w:tcPr>
            <w:tcW w:w="1007" w:type="dxa"/>
            <w:noWrap w:val="0"/>
            <w:vAlign w:val="center"/>
          </w:tcPr>
          <w:p w14:paraId="1EACF673">
            <w:pPr>
              <w:ind w:left="120" w:hanging="120"/>
              <w:jc w:val="center"/>
              <w:rPr>
                <w:rFonts w:hint="eastAsia" w:ascii="宋体" w:hAnsi="宋体" w:eastAsia="宋体" w:cs="宋体"/>
                <w:sz w:val="24"/>
              </w:rPr>
            </w:pPr>
            <w:r>
              <w:rPr>
                <w:rFonts w:hint="eastAsia" w:ascii="宋体" w:hAnsi="宋体" w:eastAsia="宋体" w:cs="宋体"/>
                <w:sz w:val="24"/>
              </w:rPr>
              <w:t>/</w:t>
            </w:r>
          </w:p>
        </w:tc>
        <w:tc>
          <w:tcPr>
            <w:tcW w:w="1202" w:type="dxa"/>
            <w:noWrap w:val="0"/>
            <w:vAlign w:val="center"/>
          </w:tcPr>
          <w:p w14:paraId="7629FD01">
            <w:pPr>
              <w:ind w:left="120" w:hanging="120"/>
              <w:jc w:val="center"/>
              <w:rPr>
                <w:rFonts w:hint="eastAsia" w:ascii="宋体" w:hAnsi="宋体" w:eastAsia="宋体" w:cs="宋体"/>
                <w:sz w:val="24"/>
              </w:rPr>
            </w:pPr>
            <w:r>
              <w:rPr>
                <w:rFonts w:hint="eastAsia" w:ascii="宋体" w:hAnsi="宋体" w:eastAsia="宋体" w:cs="宋体"/>
                <w:sz w:val="24"/>
              </w:rPr>
              <w:t>/</w:t>
            </w:r>
          </w:p>
        </w:tc>
        <w:tc>
          <w:tcPr>
            <w:tcW w:w="1218" w:type="dxa"/>
            <w:noWrap w:val="0"/>
            <w:vAlign w:val="center"/>
          </w:tcPr>
          <w:p w14:paraId="300CD695">
            <w:pPr>
              <w:ind w:left="120" w:hanging="120"/>
              <w:jc w:val="center"/>
              <w:rPr>
                <w:rFonts w:hint="eastAsia" w:ascii="宋体" w:hAnsi="宋体" w:eastAsia="宋体" w:cs="宋体"/>
                <w:sz w:val="24"/>
              </w:rPr>
            </w:pPr>
            <w:r>
              <w:rPr>
                <w:rFonts w:hint="eastAsia" w:ascii="宋体" w:hAnsi="宋体" w:eastAsia="宋体" w:cs="宋体"/>
                <w:sz w:val="24"/>
              </w:rPr>
              <w:t>/</w:t>
            </w:r>
          </w:p>
        </w:tc>
        <w:tc>
          <w:tcPr>
            <w:tcW w:w="846" w:type="dxa"/>
            <w:noWrap w:val="0"/>
            <w:vAlign w:val="center"/>
          </w:tcPr>
          <w:p w14:paraId="00D78A16">
            <w:pPr>
              <w:ind w:left="120" w:hanging="120"/>
              <w:jc w:val="center"/>
              <w:rPr>
                <w:rFonts w:hint="eastAsia" w:ascii="宋体" w:hAnsi="宋体" w:eastAsia="宋体" w:cs="宋体"/>
                <w:sz w:val="24"/>
              </w:rPr>
            </w:pPr>
          </w:p>
        </w:tc>
      </w:tr>
      <w:tr w14:paraId="0B1F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noWrap w:val="0"/>
            <w:vAlign w:val="center"/>
          </w:tcPr>
          <w:p w14:paraId="5A68A590">
            <w:pPr>
              <w:ind w:left="120" w:hanging="120"/>
              <w:jc w:val="center"/>
              <w:rPr>
                <w:rFonts w:hint="eastAsia" w:ascii="宋体" w:hAnsi="宋体" w:eastAsia="宋体" w:cs="宋体"/>
                <w:sz w:val="24"/>
              </w:rPr>
            </w:pPr>
            <w:r>
              <w:rPr>
                <w:rFonts w:hint="eastAsia" w:ascii="宋体" w:hAnsi="宋体" w:eastAsia="宋体" w:cs="宋体"/>
                <w:sz w:val="24"/>
              </w:rPr>
              <w:t>发承包</w:t>
            </w:r>
          </w:p>
          <w:p w14:paraId="20475E3E">
            <w:pPr>
              <w:ind w:left="120" w:hanging="120"/>
              <w:jc w:val="center"/>
              <w:rPr>
                <w:rFonts w:hint="eastAsia" w:ascii="宋体" w:hAnsi="宋体" w:eastAsia="宋体" w:cs="宋体"/>
                <w:sz w:val="24"/>
              </w:rPr>
            </w:pPr>
            <w:r>
              <w:rPr>
                <w:rFonts w:hint="eastAsia" w:ascii="宋体" w:hAnsi="宋体" w:eastAsia="宋体" w:cs="宋体"/>
                <w:sz w:val="24"/>
              </w:rPr>
              <w:t>阶段</w:t>
            </w:r>
          </w:p>
        </w:tc>
        <w:tc>
          <w:tcPr>
            <w:tcW w:w="1614" w:type="dxa"/>
            <w:noWrap w:val="0"/>
            <w:vAlign w:val="center"/>
          </w:tcPr>
          <w:p w14:paraId="5C4FB4A7">
            <w:pPr>
              <w:ind w:left="120" w:hanging="120"/>
              <w:jc w:val="center"/>
              <w:rPr>
                <w:rFonts w:hint="eastAsia" w:ascii="宋体" w:hAnsi="宋体" w:eastAsia="宋体" w:cs="宋体"/>
                <w:sz w:val="24"/>
              </w:rPr>
            </w:pPr>
            <w:r>
              <w:rPr>
                <w:rFonts w:hint="eastAsia" w:ascii="宋体" w:hAnsi="宋体" w:eastAsia="宋体" w:cs="宋体"/>
                <w:sz w:val="24"/>
              </w:rPr>
              <w:t>工程量清单</w:t>
            </w:r>
          </w:p>
        </w:tc>
        <w:tc>
          <w:tcPr>
            <w:tcW w:w="2757" w:type="dxa"/>
            <w:noWrap w:val="0"/>
            <w:vAlign w:val="center"/>
          </w:tcPr>
          <w:p w14:paraId="32C9292F">
            <w:pPr>
              <w:ind w:left="120" w:hanging="120"/>
              <w:jc w:val="center"/>
              <w:rPr>
                <w:rFonts w:hint="eastAsia" w:ascii="宋体" w:hAnsi="宋体" w:eastAsia="宋体" w:cs="宋体"/>
                <w:sz w:val="24"/>
              </w:rPr>
            </w:pPr>
            <w:r>
              <w:rPr>
                <w:rFonts w:hint="eastAsia" w:ascii="宋体" w:hAnsi="宋体" w:eastAsia="宋体" w:cs="宋体"/>
                <w:sz w:val="24"/>
              </w:rPr>
              <w:t>□编制☑审核□调整</w:t>
            </w:r>
          </w:p>
        </w:tc>
        <w:tc>
          <w:tcPr>
            <w:tcW w:w="1007" w:type="dxa"/>
            <w:noWrap w:val="0"/>
            <w:vAlign w:val="center"/>
          </w:tcPr>
          <w:p w14:paraId="130F0331">
            <w:pPr>
              <w:ind w:left="120" w:hanging="120"/>
              <w:jc w:val="center"/>
              <w:rPr>
                <w:rFonts w:hint="eastAsia" w:ascii="宋体" w:hAnsi="宋体" w:eastAsia="宋体" w:cs="宋体"/>
                <w:sz w:val="24"/>
              </w:rPr>
            </w:pPr>
            <w:r>
              <w:rPr>
                <w:rFonts w:hint="eastAsia" w:ascii="宋体" w:hAnsi="宋体" w:eastAsia="宋体" w:cs="宋体"/>
                <w:sz w:val="24"/>
              </w:rPr>
              <w:t>/</w:t>
            </w:r>
          </w:p>
        </w:tc>
        <w:tc>
          <w:tcPr>
            <w:tcW w:w="1202" w:type="dxa"/>
            <w:noWrap w:val="0"/>
            <w:vAlign w:val="center"/>
          </w:tcPr>
          <w:p w14:paraId="5AFAFEFC">
            <w:pPr>
              <w:ind w:left="120" w:hanging="120"/>
              <w:jc w:val="center"/>
              <w:rPr>
                <w:rFonts w:hint="eastAsia" w:ascii="宋体" w:hAnsi="宋体" w:eastAsia="宋体" w:cs="宋体"/>
                <w:sz w:val="24"/>
              </w:rPr>
            </w:pPr>
            <w:r>
              <w:rPr>
                <w:rFonts w:hint="eastAsia" w:ascii="宋体" w:hAnsi="宋体" w:eastAsia="宋体" w:cs="宋体"/>
                <w:sz w:val="24"/>
              </w:rPr>
              <w:t>/</w:t>
            </w:r>
          </w:p>
        </w:tc>
        <w:tc>
          <w:tcPr>
            <w:tcW w:w="1218" w:type="dxa"/>
            <w:noWrap w:val="0"/>
            <w:vAlign w:val="center"/>
          </w:tcPr>
          <w:p w14:paraId="7C7C4708">
            <w:pPr>
              <w:ind w:left="120" w:hanging="120"/>
              <w:jc w:val="center"/>
              <w:rPr>
                <w:rFonts w:hint="eastAsia" w:ascii="宋体" w:hAnsi="宋体" w:eastAsia="宋体" w:cs="宋体"/>
                <w:sz w:val="24"/>
              </w:rPr>
            </w:pPr>
            <w:r>
              <w:rPr>
                <w:rFonts w:hint="eastAsia" w:ascii="宋体" w:hAnsi="宋体" w:eastAsia="宋体" w:cs="宋体"/>
                <w:sz w:val="24"/>
              </w:rPr>
              <w:t>/</w:t>
            </w:r>
          </w:p>
        </w:tc>
        <w:tc>
          <w:tcPr>
            <w:tcW w:w="846" w:type="dxa"/>
            <w:noWrap w:val="0"/>
            <w:vAlign w:val="center"/>
          </w:tcPr>
          <w:p w14:paraId="38795BCE">
            <w:pPr>
              <w:ind w:left="120" w:hanging="120"/>
              <w:jc w:val="center"/>
              <w:rPr>
                <w:rFonts w:hint="eastAsia" w:ascii="宋体" w:hAnsi="宋体" w:eastAsia="宋体" w:cs="宋体"/>
                <w:sz w:val="24"/>
              </w:rPr>
            </w:pPr>
          </w:p>
        </w:tc>
      </w:tr>
      <w:tr w14:paraId="6E5F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noWrap w:val="0"/>
            <w:vAlign w:val="top"/>
          </w:tcPr>
          <w:p w14:paraId="61ACD37E">
            <w:pPr>
              <w:ind w:left="120" w:hanging="120"/>
              <w:jc w:val="center"/>
              <w:rPr>
                <w:rFonts w:hint="eastAsia" w:ascii="宋体" w:hAnsi="宋体" w:eastAsia="宋体" w:cs="宋体"/>
                <w:sz w:val="24"/>
              </w:rPr>
            </w:pPr>
          </w:p>
        </w:tc>
        <w:tc>
          <w:tcPr>
            <w:tcW w:w="1614" w:type="dxa"/>
            <w:noWrap w:val="0"/>
            <w:vAlign w:val="center"/>
          </w:tcPr>
          <w:p w14:paraId="30DDC0E0">
            <w:pPr>
              <w:ind w:left="120" w:hanging="120"/>
              <w:jc w:val="center"/>
              <w:rPr>
                <w:rFonts w:hint="eastAsia" w:ascii="宋体" w:hAnsi="宋体" w:eastAsia="宋体" w:cs="宋体"/>
                <w:sz w:val="24"/>
              </w:rPr>
            </w:pPr>
            <w:r>
              <w:rPr>
                <w:rFonts w:hint="eastAsia" w:ascii="宋体" w:hAnsi="宋体" w:eastAsia="宋体" w:cs="宋体"/>
                <w:sz w:val="24"/>
              </w:rPr>
              <w:t>最高投标</w:t>
            </w:r>
          </w:p>
          <w:p w14:paraId="6F627D0A">
            <w:pPr>
              <w:ind w:left="120" w:hanging="120"/>
              <w:jc w:val="center"/>
              <w:rPr>
                <w:rFonts w:hint="eastAsia" w:ascii="宋体" w:hAnsi="宋体" w:eastAsia="宋体" w:cs="宋体"/>
                <w:sz w:val="24"/>
              </w:rPr>
            </w:pPr>
            <w:r>
              <w:rPr>
                <w:rFonts w:hint="eastAsia" w:ascii="宋体" w:hAnsi="宋体" w:eastAsia="宋体" w:cs="宋体"/>
                <w:sz w:val="24"/>
              </w:rPr>
              <w:t>限价</w:t>
            </w:r>
          </w:p>
        </w:tc>
        <w:tc>
          <w:tcPr>
            <w:tcW w:w="2757" w:type="dxa"/>
            <w:noWrap w:val="0"/>
            <w:vAlign w:val="center"/>
          </w:tcPr>
          <w:p w14:paraId="0BBCE1BB">
            <w:pPr>
              <w:ind w:left="120" w:hanging="120"/>
              <w:jc w:val="center"/>
              <w:rPr>
                <w:rFonts w:hint="eastAsia" w:ascii="宋体" w:hAnsi="宋体" w:eastAsia="宋体" w:cs="宋体"/>
                <w:sz w:val="24"/>
              </w:rPr>
            </w:pPr>
            <w:r>
              <w:rPr>
                <w:rFonts w:hint="eastAsia" w:ascii="宋体" w:hAnsi="宋体" w:eastAsia="宋体" w:cs="宋体"/>
                <w:sz w:val="24"/>
              </w:rPr>
              <w:t>□编制☑审核□调整</w:t>
            </w:r>
          </w:p>
        </w:tc>
        <w:tc>
          <w:tcPr>
            <w:tcW w:w="1007" w:type="dxa"/>
            <w:noWrap w:val="0"/>
            <w:vAlign w:val="center"/>
          </w:tcPr>
          <w:p w14:paraId="2617D660">
            <w:pPr>
              <w:ind w:left="120" w:hanging="120"/>
              <w:jc w:val="center"/>
              <w:rPr>
                <w:rFonts w:hint="eastAsia" w:ascii="宋体" w:hAnsi="宋体" w:eastAsia="宋体" w:cs="宋体"/>
                <w:sz w:val="24"/>
              </w:rPr>
            </w:pPr>
            <w:r>
              <w:rPr>
                <w:rFonts w:hint="eastAsia" w:ascii="宋体" w:hAnsi="宋体" w:eastAsia="宋体" w:cs="宋体"/>
                <w:sz w:val="24"/>
              </w:rPr>
              <w:t>/</w:t>
            </w:r>
          </w:p>
        </w:tc>
        <w:tc>
          <w:tcPr>
            <w:tcW w:w="1202" w:type="dxa"/>
            <w:noWrap w:val="0"/>
            <w:vAlign w:val="center"/>
          </w:tcPr>
          <w:p w14:paraId="5172C0E2">
            <w:pPr>
              <w:ind w:left="120" w:hanging="120"/>
              <w:jc w:val="center"/>
              <w:rPr>
                <w:rFonts w:hint="eastAsia" w:ascii="宋体" w:hAnsi="宋体" w:eastAsia="宋体" w:cs="宋体"/>
                <w:sz w:val="24"/>
              </w:rPr>
            </w:pPr>
            <w:r>
              <w:rPr>
                <w:rFonts w:hint="eastAsia" w:ascii="宋体" w:hAnsi="宋体" w:eastAsia="宋体" w:cs="宋体"/>
                <w:sz w:val="24"/>
              </w:rPr>
              <w:t>/</w:t>
            </w:r>
          </w:p>
        </w:tc>
        <w:tc>
          <w:tcPr>
            <w:tcW w:w="1218" w:type="dxa"/>
            <w:noWrap w:val="0"/>
            <w:vAlign w:val="center"/>
          </w:tcPr>
          <w:p w14:paraId="18180D0C">
            <w:pPr>
              <w:ind w:left="120" w:hanging="120"/>
              <w:jc w:val="center"/>
              <w:rPr>
                <w:rFonts w:hint="eastAsia" w:ascii="宋体" w:hAnsi="宋体" w:eastAsia="宋体" w:cs="宋体"/>
                <w:sz w:val="24"/>
              </w:rPr>
            </w:pPr>
            <w:r>
              <w:rPr>
                <w:rFonts w:hint="eastAsia" w:ascii="宋体" w:hAnsi="宋体" w:eastAsia="宋体" w:cs="宋体"/>
                <w:sz w:val="24"/>
              </w:rPr>
              <w:t>/</w:t>
            </w:r>
          </w:p>
        </w:tc>
        <w:tc>
          <w:tcPr>
            <w:tcW w:w="846" w:type="dxa"/>
            <w:noWrap w:val="0"/>
            <w:vAlign w:val="center"/>
          </w:tcPr>
          <w:p w14:paraId="17BE17A6">
            <w:pPr>
              <w:ind w:left="120" w:hanging="120"/>
              <w:jc w:val="center"/>
              <w:rPr>
                <w:rFonts w:hint="eastAsia" w:ascii="宋体" w:hAnsi="宋体" w:eastAsia="宋体" w:cs="宋体"/>
                <w:sz w:val="24"/>
              </w:rPr>
            </w:pPr>
          </w:p>
        </w:tc>
      </w:tr>
      <w:tr w14:paraId="37AC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noWrap w:val="0"/>
            <w:vAlign w:val="top"/>
          </w:tcPr>
          <w:p w14:paraId="1078D20D">
            <w:pPr>
              <w:ind w:left="120" w:hanging="120"/>
              <w:jc w:val="center"/>
              <w:rPr>
                <w:rFonts w:hint="eastAsia" w:ascii="宋体" w:hAnsi="宋体" w:eastAsia="宋体" w:cs="宋体"/>
                <w:sz w:val="24"/>
              </w:rPr>
            </w:pPr>
          </w:p>
        </w:tc>
        <w:tc>
          <w:tcPr>
            <w:tcW w:w="1614" w:type="dxa"/>
            <w:noWrap w:val="0"/>
            <w:vAlign w:val="center"/>
          </w:tcPr>
          <w:p w14:paraId="124ABD50">
            <w:pPr>
              <w:ind w:left="120" w:hanging="120"/>
              <w:jc w:val="center"/>
              <w:rPr>
                <w:rFonts w:hint="eastAsia" w:ascii="宋体" w:hAnsi="宋体" w:eastAsia="宋体" w:cs="宋体"/>
                <w:sz w:val="24"/>
              </w:rPr>
            </w:pPr>
            <w:r>
              <w:rPr>
                <w:rFonts w:hint="eastAsia" w:ascii="宋体" w:hAnsi="宋体" w:eastAsia="宋体" w:cs="宋体"/>
                <w:sz w:val="24"/>
              </w:rPr>
              <w:t>投标报价</w:t>
            </w:r>
          </w:p>
          <w:p w14:paraId="24BBAEA9">
            <w:pPr>
              <w:ind w:left="120" w:hanging="120"/>
              <w:jc w:val="center"/>
              <w:rPr>
                <w:rFonts w:hint="eastAsia" w:ascii="宋体" w:hAnsi="宋体" w:eastAsia="宋体" w:cs="宋体"/>
                <w:sz w:val="24"/>
              </w:rPr>
            </w:pPr>
            <w:r>
              <w:rPr>
                <w:rFonts w:hint="eastAsia" w:ascii="宋体" w:hAnsi="宋体" w:eastAsia="宋体" w:cs="宋体"/>
                <w:sz w:val="24"/>
              </w:rPr>
              <w:t>分析</w:t>
            </w:r>
          </w:p>
        </w:tc>
        <w:tc>
          <w:tcPr>
            <w:tcW w:w="2757" w:type="dxa"/>
            <w:noWrap w:val="0"/>
            <w:vAlign w:val="center"/>
          </w:tcPr>
          <w:p w14:paraId="76B5E753">
            <w:pPr>
              <w:ind w:left="120" w:hanging="120"/>
              <w:jc w:val="center"/>
              <w:rPr>
                <w:rFonts w:hint="eastAsia" w:ascii="宋体" w:hAnsi="宋体" w:eastAsia="宋体" w:cs="宋体"/>
                <w:sz w:val="24"/>
              </w:rPr>
            </w:pPr>
            <w:r>
              <w:rPr>
                <w:rFonts w:hint="eastAsia" w:ascii="宋体" w:hAnsi="宋体" w:eastAsia="宋体" w:cs="宋体"/>
                <w:sz w:val="24"/>
              </w:rPr>
              <w:t>□编制□审核□调整</w:t>
            </w:r>
          </w:p>
        </w:tc>
        <w:tc>
          <w:tcPr>
            <w:tcW w:w="1007" w:type="dxa"/>
            <w:noWrap w:val="0"/>
            <w:vAlign w:val="center"/>
          </w:tcPr>
          <w:p w14:paraId="58A9FA2D">
            <w:pPr>
              <w:ind w:left="120" w:hanging="120"/>
              <w:jc w:val="center"/>
              <w:rPr>
                <w:rFonts w:hint="eastAsia" w:ascii="宋体" w:hAnsi="宋体" w:eastAsia="宋体" w:cs="宋体"/>
                <w:sz w:val="24"/>
              </w:rPr>
            </w:pPr>
            <w:r>
              <w:rPr>
                <w:rFonts w:hint="eastAsia" w:ascii="宋体" w:hAnsi="宋体" w:eastAsia="宋体" w:cs="宋体"/>
                <w:sz w:val="24"/>
              </w:rPr>
              <w:t>/</w:t>
            </w:r>
          </w:p>
        </w:tc>
        <w:tc>
          <w:tcPr>
            <w:tcW w:w="1202" w:type="dxa"/>
            <w:noWrap w:val="0"/>
            <w:vAlign w:val="center"/>
          </w:tcPr>
          <w:p w14:paraId="7277AB9B">
            <w:pPr>
              <w:ind w:left="120" w:hanging="120"/>
              <w:jc w:val="center"/>
              <w:rPr>
                <w:rFonts w:hint="eastAsia" w:ascii="宋体" w:hAnsi="宋体" w:eastAsia="宋体" w:cs="宋体"/>
                <w:sz w:val="24"/>
              </w:rPr>
            </w:pPr>
            <w:r>
              <w:rPr>
                <w:rFonts w:hint="eastAsia" w:ascii="宋体" w:hAnsi="宋体" w:eastAsia="宋体" w:cs="宋体"/>
                <w:sz w:val="24"/>
              </w:rPr>
              <w:t>/</w:t>
            </w:r>
          </w:p>
        </w:tc>
        <w:tc>
          <w:tcPr>
            <w:tcW w:w="1218" w:type="dxa"/>
            <w:noWrap w:val="0"/>
            <w:vAlign w:val="center"/>
          </w:tcPr>
          <w:p w14:paraId="75F9D714">
            <w:pPr>
              <w:ind w:left="120" w:hanging="120"/>
              <w:jc w:val="center"/>
              <w:rPr>
                <w:rFonts w:hint="eastAsia" w:ascii="宋体" w:hAnsi="宋体" w:eastAsia="宋体" w:cs="宋体"/>
                <w:sz w:val="24"/>
              </w:rPr>
            </w:pPr>
            <w:r>
              <w:rPr>
                <w:rFonts w:hint="eastAsia" w:ascii="宋体" w:hAnsi="宋体" w:eastAsia="宋体" w:cs="宋体"/>
                <w:sz w:val="24"/>
              </w:rPr>
              <w:t>/</w:t>
            </w:r>
          </w:p>
        </w:tc>
        <w:tc>
          <w:tcPr>
            <w:tcW w:w="846" w:type="dxa"/>
            <w:noWrap w:val="0"/>
            <w:vAlign w:val="center"/>
          </w:tcPr>
          <w:p w14:paraId="74CFD4F4">
            <w:pPr>
              <w:ind w:left="120" w:hanging="120"/>
              <w:jc w:val="center"/>
              <w:rPr>
                <w:rFonts w:hint="eastAsia" w:ascii="宋体" w:hAnsi="宋体" w:eastAsia="宋体" w:cs="宋体"/>
                <w:sz w:val="24"/>
              </w:rPr>
            </w:pPr>
          </w:p>
        </w:tc>
      </w:tr>
      <w:tr w14:paraId="5002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75" w:type="dxa"/>
            <w:vMerge w:val="continue"/>
            <w:noWrap w:val="0"/>
            <w:vAlign w:val="top"/>
          </w:tcPr>
          <w:p w14:paraId="57D852E2">
            <w:pPr>
              <w:ind w:left="120" w:hanging="120"/>
              <w:jc w:val="center"/>
              <w:rPr>
                <w:rFonts w:hint="eastAsia" w:ascii="宋体" w:hAnsi="宋体" w:eastAsia="宋体" w:cs="宋体"/>
                <w:sz w:val="24"/>
              </w:rPr>
            </w:pPr>
          </w:p>
        </w:tc>
        <w:tc>
          <w:tcPr>
            <w:tcW w:w="1614" w:type="dxa"/>
            <w:noWrap w:val="0"/>
            <w:vAlign w:val="center"/>
          </w:tcPr>
          <w:p w14:paraId="4A43A469">
            <w:pPr>
              <w:ind w:left="120" w:hanging="120"/>
              <w:jc w:val="center"/>
              <w:rPr>
                <w:rFonts w:hint="eastAsia" w:ascii="宋体" w:hAnsi="宋体" w:eastAsia="宋体" w:cs="宋体"/>
                <w:sz w:val="24"/>
              </w:rPr>
            </w:pPr>
            <w:r>
              <w:rPr>
                <w:rFonts w:hint="eastAsia" w:ascii="宋体" w:hAnsi="宋体" w:eastAsia="宋体" w:cs="宋体"/>
                <w:sz w:val="24"/>
              </w:rPr>
              <w:t>清标报告</w:t>
            </w:r>
          </w:p>
        </w:tc>
        <w:tc>
          <w:tcPr>
            <w:tcW w:w="2757" w:type="dxa"/>
            <w:noWrap w:val="0"/>
            <w:vAlign w:val="center"/>
          </w:tcPr>
          <w:p w14:paraId="4C045C08">
            <w:pPr>
              <w:ind w:left="120" w:hanging="120"/>
              <w:jc w:val="center"/>
              <w:rPr>
                <w:rFonts w:hint="eastAsia" w:ascii="宋体" w:hAnsi="宋体" w:eastAsia="宋体" w:cs="宋体"/>
                <w:sz w:val="24"/>
              </w:rPr>
            </w:pPr>
            <w:r>
              <w:rPr>
                <w:rFonts w:hint="eastAsia" w:ascii="宋体" w:hAnsi="宋体" w:eastAsia="宋体" w:cs="宋体"/>
                <w:sz w:val="24"/>
              </w:rPr>
              <w:t>□编制□审核□调整</w:t>
            </w:r>
          </w:p>
        </w:tc>
        <w:tc>
          <w:tcPr>
            <w:tcW w:w="1007" w:type="dxa"/>
            <w:noWrap w:val="0"/>
            <w:vAlign w:val="center"/>
          </w:tcPr>
          <w:p w14:paraId="6D942B21">
            <w:pPr>
              <w:ind w:left="120" w:hanging="120"/>
              <w:jc w:val="center"/>
              <w:rPr>
                <w:rFonts w:hint="eastAsia" w:ascii="宋体" w:hAnsi="宋体" w:eastAsia="宋体" w:cs="宋体"/>
                <w:sz w:val="24"/>
              </w:rPr>
            </w:pPr>
            <w:r>
              <w:rPr>
                <w:rFonts w:hint="eastAsia" w:ascii="宋体" w:hAnsi="宋体" w:eastAsia="宋体" w:cs="宋体"/>
                <w:sz w:val="24"/>
              </w:rPr>
              <w:t>/</w:t>
            </w:r>
          </w:p>
        </w:tc>
        <w:tc>
          <w:tcPr>
            <w:tcW w:w="1202" w:type="dxa"/>
            <w:noWrap w:val="0"/>
            <w:vAlign w:val="center"/>
          </w:tcPr>
          <w:p w14:paraId="21AD7B89">
            <w:pPr>
              <w:ind w:left="120" w:hanging="120"/>
              <w:jc w:val="center"/>
              <w:rPr>
                <w:rFonts w:hint="eastAsia" w:ascii="宋体" w:hAnsi="宋体" w:eastAsia="宋体" w:cs="宋体"/>
                <w:sz w:val="24"/>
              </w:rPr>
            </w:pPr>
            <w:r>
              <w:rPr>
                <w:rFonts w:hint="eastAsia" w:ascii="宋体" w:hAnsi="宋体" w:eastAsia="宋体" w:cs="宋体"/>
                <w:sz w:val="24"/>
              </w:rPr>
              <w:t>/</w:t>
            </w:r>
          </w:p>
        </w:tc>
        <w:tc>
          <w:tcPr>
            <w:tcW w:w="1218" w:type="dxa"/>
            <w:noWrap w:val="0"/>
            <w:vAlign w:val="center"/>
          </w:tcPr>
          <w:p w14:paraId="374CC0EF">
            <w:pPr>
              <w:ind w:left="120" w:hanging="120"/>
              <w:jc w:val="center"/>
              <w:rPr>
                <w:rFonts w:hint="eastAsia" w:ascii="宋体" w:hAnsi="宋体" w:eastAsia="宋体" w:cs="宋体"/>
                <w:sz w:val="24"/>
              </w:rPr>
            </w:pPr>
            <w:r>
              <w:rPr>
                <w:rFonts w:hint="eastAsia" w:ascii="宋体" w:hAnsi="宋体" w:eastAsia="宋体" w:cs="宋体"/>
                <w:sz w:val="24"/>
              </w:rPr>
              <w:t>/</w:t>
            </w:r>
          </w:p>
        </w:tc>
        <w:tc>
          <w:tcPr>
            <w:tcW w:w="846" w:type="dxa"/>
            <w:noWrap w:val="0"/>
            <w:vAlign w:val="center"/>
          </w:tcPr>
          <w:p w14:paraId="277C5A16">
            <w:pPr>
              <w:ind w:left="120" w:hanging="120"/>
              <w:jc w:val="center"/>
              <w:rPr>
                <w:rFonts w:hint="eastAsia" w:ascii="宋体" w:hAnsi="宋体" w:eastAsia="宋体" w:cs="宋体"/>
                <w:sz w:val="24"/>
              </w:rPr>
            </w:pPr>
          </w:p>
        </w:tc>
      </w:tr>
      <w:tr w14:paraId="7154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75" w:type="dxa"/>
            <w:vMerge w:val="continue"/>
            <w:noWrap w:val="0"/>
            <w:vAlign w:val="top"/>
          </w:tcPr>
          <w:p w14:paraId="5A9A9F50">
            <w:pPr>
              <w:ind w:left="120" w:hanging="120"/>
              <w:jc w:val="center"/>
              <w:rPr>
                <w:rFonts w:hint="eastAsia" w:ascii="宋体" w:hAnsi="宋体" w:eastAsia="宋体" w:cs="宋体"/>
                <w:sz w:val="24"/>
              </w:rPr>
            </w:pPr>
          </w:p>
        </w:tc>
        <w:tc>
          <w:tcPr>
            <w:tcW w:w="1614" w:type="dxa"/>
            <w:noWrap w:val="0"/>
            <w:vAlign w:val="center"/>
          </w:tcPr>
          <w:p w14:paraId="772100DA">
            <w:pPr>
              <w:ind w:left="120" w:hanging="120"/>
              <w:jc w:val="center"/>
              <w:rPr>
                <w:rFonts w:hint="eastAsia" w:ascii="宋体" w:hAnsi="宋体" w:eastAsia="宋体" w:cs="宋体"/>
                <w:sz w:val="24"/>
              </w:rPr>
            </w:pPr>
            <w:r>
              <w:rPr>
                <w:rFonts w:hint="eastAsia" w:ascii="宋体" w:hAnsi="宋体" w:eastAsia="宋体" w:cs="宋体"/>
                <w:sz w:val="24"/>
              </w:rPr>
              <w:t>其他：</w:t>
            </w:r>
          </w:p>
        </w:tc>
        <w:tc>
          <w:tcPr>
            <w:tcW w:w="2757" w:type="dxa"/>
            <w:noWrap w:val="0"/>
            <w:vAlign w:val="center"/>
          </w:tcPr>
          <w:p w14:paraId="3CC9B48D">
            <w:pPr>
              <w:ind w:left="120" w:hanging="120"/>
              <w:jc w:val="center"/>
              <w:rPr>
                <w:rFonts w:hint="eastAsia" w:ascii="宋体" w:hAnsi="宋体" w:eastAsia="宋体" w:cs="宋体"/>
                <w:sz w:val="24"/>
              </w:rPr>
            </w:pPr>
          </w:p>
        </w:tc>
        <w:tc>
          <w:tcPr>
            <w:tcW w:w="1007" w:type="dxa"/>
            <w:noWrap w:val="0"/>
            <w:vAlign w:val="center"/>
          </w:tcPr>
          <w:p w14:paraId="1270C3C7">
            <w:pPr>
              <w:ind w:left="120" w:hanging="120"/>
              <w:jc w:val="center"/>
              <w:rPr>
                <w:rFonts w:hint="eastAsia" w:ascii="宋体" w:hAnsi="宋体" w:eastAsia="宋体" w:cs="宋体"/>
                <w:sz w:val="24"/>
              </w:rPr>
            </w:pPr>
            <w:r>
              <w:rPr>
                <w:rFonts w:hint="eastAsia" w:ascii="宋体" w:hAnsi="宋体" w:eastAsia="宋体" w:cs="宋体"/>
                <w:sz w:val="24"/>
              </w:rPr>
              <w:t>/</w:t>
            </w:r>
          </w:p>
        </w:tc>
        <w:tc>
          <w:tcPr>
            <w:tcW w:w="1202" w:type="dxa"/>
            <w:noWrap w:val="0"/>
            <w:vAlign w:val="center"/>
          </w:tcPr>
          <w:p w14:paraId="40B4464A">
            <w:pPr>
              <w:ind w:left="120" w:hanging="120"/>
              <w:jc w:val="center"/>
              <w:rPr>
                <w:rFonts w:hint="eastAsia" w:ascii="宋体" w:hAnsi="宋体" w:eastAsia="宋体" w:cs="宋体"/>
                <w:sz w:val="24"/>
              </w:rPr>
            </w:pPr>
            <w:r>
              <w:rPr>
                <w:rFonts w:hint="eastAsia" w:ascii="宋体" w:hAnsi="宋体" w:eastAsia="宋体" w:cs="宋体"/>
                <w:sz w:val="24"/>
              </w:rPr>
              <w:t>/</w:t>
            </w:r>
          </w:p>
        </w:tc>
        <w:tc>
          <w:tcPr>
            <w:tcW w:w="1218" w:type="dxa"/>
            <w:noWrap w:val="0"/>
            <w:vAlign w:val="center"/>
          </w:tcPr>
          <w:p w14:paraId="472FFF90">
            <w:pPr>
              <w:ind w:left="120" w:hanging="120"/>
              <w:jc w:val="center"/>
              <w:rPr>
                <w:rFonts w:hint="eastAsia" w:ascii="宋体" w:hAnsi="宋体" w:eastAsia="宋体" w:cs="宋体"/>
                <w:sz w:val="24"/>
              </w:rPr>
            </w:pPr>
            <w:r>
              <w:rPr>
                <w:rFonts w:hint="eastAsia" w:ascii="宋体" w:hAnsi="宋体" w:eastAsia="宋体" w:cs="宋体"/>
                <w:sz w:val="24"/>
              </w:rPr>
              <w:t>/</w:t>
            </w:r>
          </w:p>
        </w:tc>
        <w:tc>
          <w:tcPr>
            <w:tcW w:w="846" w:type="dxa"/>
            <w:noWrap w:val="0"/>
            <w:vAlign w:val="center"/>
          </w:tcPr>
          <w:p w14:paraId="38B32EC3">
            <w:pPr>
              <w:ind w:left="120" w:hanging="120"/>
              <w:jc w:val="center"/>
              <w:rPr>
                <w:rFonts w:hint="eastAsia" w:ascii="宋体" w:hAnsi="宋体" w:eastAsia="宋体" w:cs="宋体"/>
                <w:sz w:val="24"/>
              </w:rPr>
            </w:pPr>
          </w:p>
        </w:tc>
      </w:tr>
      <w:tr w14:paraId="2166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75" w:type="dxa"/>
            <w:vMerge w:val="restart"/>
            <w:noWrap w:val="0"/>
            <w:vAlign w:val="top"/>
          </w:tcPr>
          <w:p w14:paraId="4BCF6F3C">
            <w:pPr>
              <w:ind w:left="120" w:hanging="120"/>
              <w:jc w:val="center"/>
              <w:rPr>
                <w:rFonts w:hint="eastAsia" w:ascii="宋体" w:hAnsi="宋体" w:eastAsia="宋体" w:cs="宋体"/>
                <w:sz w:val="24"/>
              </w:rPr>
            </w:pPr>
          </w:p>
          <w:p w14:paraId="3A2C131D">
            <w:pPr>
              <w:ind w:left="120" w:hanging="120"/>
              <w:jc w:val="center"/>
              <w:rPr>
                <w:rFonts w:hint="eastAsia" w:ascii="宋体" w:hAnsi="宋体" w:eastAsia="宋体" w:cs="宋体"/>
                <w:sz w:val="24"/>
              </w:rPr>
            </w:pPr>
            <w:r>
              <w:rPr>
                <w:rFonts w:hint="eastAsia" w:ascii="宋体" w:hAnsi="宋体" w:eastAsia="宋体" w:cs="宋体"/>
                <w:sz w:val="24"/>
              </w:rPr>
              <w:t>实施阶段</w:t>
            </w:r>
          </w:p>
        </w:tc>
        <w:tc>
          <w:tcPr>
            <w:tcW w:w="1614" w:type="dxa"/>
            <w:noWrap w:val="0"/>
            <w:vAlign w:val="center"/>
          </w:tcPr>
          <w:p w14:paraId="57C0106B">
            <w:pPr>
              <w:ind w:left="120" w:hanging="120"/>
              <w:jc w:val="center"/>
              <w:rPr>
                <w:rFonts w:hint="eastAsia" w:ascii="宋体" w:hAnsi="宋体" w:eastAsia="宋体" w:cs="宋体"/>
                <w:sz w:val="24"/>
              </w:rPr>
            </w:pPr>
            <w:r>
              <w:rPr>
                <w:rFonts w:hint="eastAsia" w:ascii="宋体" w:hAnsi="宋体" w:eastAsia="宋体" w:cs="宋体"/>
                <w:sz w:val="24"/>
              </w:rPr>
              <w:t>资金使用</w:t>
            </w:r>
          </w:p>
          <w:p w14:paraId="4D897BF1">
            <w:pPr>
              <w:ind w:left="120" w:hanging="120"/>
              <w:jc w:val="center"/>
              <w:rPr>
                <w:rFonts w:hint="eastAsia" w:ascii="宋体" w:hAnsi="宋体" w:eastAsia="宋体" w:cs="宋体"/>
                <w:sz w:val="24"/>
              </w:rPr>
            </w:pPr>
            <w:r>
              <w:rPr>
                <w:rFonts w:hint="eastAsia" w:ascii="宋体" w:hAnsi="宋体" w:eastAsia="宋体" w:cs="宋体"/>
                <w:sz w:val="24"/>
              </w:rPr>
              <w:t>计划</w:t>
            </w:r>
          </w:p>
        </w:tc>
        <w:tc>
          <w:tcPr>
            <w:tcW w:w="2757" w:type="dxa"/>
            <w:noWrap w:val="0"/>
            <w:vAlign w:val="center"/>
          </w:tcPr>
          <w:p w14:paraId="6ECFF53C">
            <w:pPr>
              <w:ind w:left="120" w:hanging="120"/>
              <w:jc w:val="center"/>
              <w:rPr>
                <w:rFonts w:hint="eastAsia" w:ascii="宋体" w:hAnsi="宋体" w:eastAsia="宋体" w:cs="宋体"/>
                <w:sz w:val="24"/>
              </w:rPr>
            </w:pPr>
            <w:r>
              <w:rPr>
                <w:rFonts w:hint="eastAsia" w:ascii="宋体" w:hAnsi="宋体" w:eastAsia="宋体" w:cs="宋体"/>
                <w:sz w:val="24"/>
              </w:rPr>
              <w:t>□编制</w:t>
            </w:r>
          </w:p>
        </w:tc>
        <w:tc>
          <w:tcPr>
            <w:tcW w:w="1007" w:type="dxa"/>
            <w:noWrap w:val="0"/>
            <w:vAlign w:val="center"/>
          </w:tcPr>
          <w:p w14:paraId="5030399F">
            <w:pPr>
              <w:ind w:left="120" w:hanging="120"/>
              <w:jc w:val="center"/>
              <w:rPr>
                <w:rFonts w:hint="eastAsia" w:ascii="宋体" w:hAnsi="宋体" w:eastAsia="宋体" w:cs="宋体"/>
                <w:sz w:val="24"/>
              </w:rPr>
            </w:pPr>
            <w:r>
              <w:rPr>
                <w:rFonts w:hint="eastAsia" w:ascii="宋体" w:hAnsi="宋体" w:eastAsia="宋体" w:cs="宋体"/>
                <w:sz w:val="24"/>
              </w:rPr>
              <w:t>/</w:t>
            </w:r>
          </w:p>
        </w:tc>
        <w:tc>
          <w:tcPr>
            <w:tcW w:w="1202" w:type="dxa"/>
            <w:noWrap w:val="0"/>
            <w:vAlign w:val="center"/>
          </w:tcPr>
          <w:p w14:paraId="3FEFD8BD">
            <w:pPr>
              <w:ind w:left="120" w:hanging="120"/>
              <w:jc w:val="center"/>
              <w:rPr>
                <w:rFonts w:hint="eastAsia" w:ascii="宋体" w:hAnsi="宋体" w:eastAsia="宋体" w:cs="宋体"/>
                <w:sz w:val="24"/>
              </w:rPr>
            </w:pPr>
            <w:r>
              <w:rPr>
                <w:rFonts w:hint="eastAsia" w:ascii="宋体" w:hAnsi="宋体" w:eastAsia="宋体" w:cs="宋体"/>
                <w:sz w:val="24"/>
              </w:rPr>
              <w:t>/</w:t>
            </w:r>
          </w:p>
        </w:tc>
        <w:tc>
          <w:tcPr>
            <w:tcW w:w="1218" w:type="dxa"/>
            <w:noWrap w:val="0"/>
            <w:vAlign w:val="center"/>
          </w:tcPr>
          <w:p w14:paraId="790BF167">
            <w:pPr>
              <w:ind w:left="120" w:hanging="120"/>
              <w:jc w:val="center"/>
              <w:rPr>
                <w:rFonts w:hint="eastAsia" w:ascii="宋体" w:hAnsi="宋体" w:eastAsia="宋体" w:cs="宋体"/>
                <w:sz w:val="24"/>
              </w:rPr>
            </w:pPr>
            <w:r>
              <w:rPr>
                <w:rFonts w:hint="eastAsia" w:ascii="宋体" w:hAnsi="宋体" w:eastAsia="宋体" w:cs="宋体"/>
                <w:sz w:val="24"/>
              </w:rPr>
              <w:t>/</w:t>
            </w:r>
          </w:p>
        </w:tc>
        <w:tc>
          <w:tcPr>
            <w:tcW w:w="846" w:type="dxa"/>
            <w:noWrap w:val="0"/>
            <w:vAlign w:val="center"/>
          </w:tcPr>
          <w:p w14:paraId="505D6F15">
            <w:pPr>
              <w:ind w:left="120" w:hanging="120"/>
              <w:jc w:val="center"/>
              <w:rPr>
                <w:rFonts w:hint="eastAsia" w:ascii="宋体" w:hAnsi="宋体" w:eastAsia="宋体" w:cs="宋体"/>
                <w:sz w:val="24"/>
              </w:rPr>
            </w:pPr>
          </w:p>
        </w:tc>
      </w:tr>
      <w:tr w14:paraId="281E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noWrap w:val="0"/>
            <w:vAlign w:val="top"/>
          </w:tcPr>
          <w:p w14:paraId="768F6D28">
            <w:pPr>
              <w:ind w:left="120" w:hanging="120"/>
              <w:jc w:val="center"/>
              <w:rPr>
                <w:rFonts w:hint="eastAsia" w:ascii="宋体" w:hAnsi="宋体" w:eastAsia="宋体" w:cs="宋体"/>
                <w:sz w:val="24"/>
              </w:rPr>
            </w:pPr>
          </w:p>
        </w:tc>
        <w:tc>
          <w:tcPr>
            <w:tcW w:w="1614" w:type="dxa"/>
            <w:noWrap w:val="0"/>
            <w:vAlign w:val="center"/>
          </w:tcPr>
          <w:p w14:paraId="16919A0A">
            <w:pPr>
              <w:ind w:left="120" w:hanging="120"/>
              <w:jc w:val="center"/>
              <w:rPr>
                <w:rFonts w:hint="eastAsia" w:ascii="宋体" w:hAnsi="宋体" w:eastAsia="宋体" w:cs="宋体"/>
                <w:sz w:val="24"/>
              </w:rPr>
            </w:pPr>
            <w:r>
              <w:rPr>
                <w:rFonts w:hint="eastAsia" w:ascii="宋体" w:hAnsi="宋体" w:eastAsia="宋体" w:cs="宋体"/>
                <w:sz w:val="24"/>
              </w:rPr>
              <w:t>工程计量与工程款审核</w:t>
            </w:r>
          </w:p>
        </w:tc>
        <w:tc>
          <w:tcPr>
            <w:tcW w:w="2757" w:type="dxa"/>
            <w:noWrap w:val="0"/>
            <w:vAlign w:val="center"/>
          </w:tcPr>
          <w:p w14:paraId="227946FA">
            <w:pPr>
              <w:ind w:left="120" w:hanging="120"/>
              <w:jc w:val="center"/>
              <w:rPr>
                <w:rFonts w:hint="eastAsia" w:ascii="宋体" w:hAnsi="宋体" w:eastAsia="宋体" w:cs="宋体"/>
                <w:sz w:val="24"/>
              </w:rPr>
            </w:pPr>
            <w:r>
              <w:rPr>
                <w:rFonts w:hint="eastAsia" w:ascii="宋体" w:hAnsi="宋体" w:eastAsia="宋体" w:cs="宋体"/>
                <w:sz w:val="24"/>
              </w:rPr>
              <w:t>□编制☑审核□调整</w:t>
            </w:r>
          </w:p>
        </w:tc>
        <w:tc>
          <w:tcPr>
            <w:tcW w:w="1007" w:type="dxa"/>
            <w:noWrap w:val="0"/>
            <w:vAlign w:val="center"/>
          </w:tcPr>
          <w:p w14:paraId="1D2D6E21">
            <w:pPr>
              <w:ind w:left="120" w:hanging="120"/>
              <w:jc w:val="center"/>
              <w:rPr>
                <w:rFonts w:hint="eastAsia" w:ascii="宋体" w:hAnsi="宋体" w:eastAsia="宋体" w:cs="宋体"/>
                <w:sz w:val="24"/>
              </w:rPr>
            </w:pPr>
            <w:r>
              <w:rPr>
                <w:rFonts w:hint="eastAsia" w:ascii="宋体" w:hAnsi="宋体" w:eastAsia="宋体" w:cs="宋体"/>
                <w:sz w:val="24"/>
              </w:rPr>
              <w:t>/</w:t>
            </w:r>
          </w:p>
        </w:tc>
        <w:tc>
          <w:tcPr>
            <w:tcW w:w="1202" w:type="dxa"/>
            <w:noWrap w:val="0"/>
            <w:vAlign w:val="center"/>
          </w:tcPr>
          <w:p w14:paraId="7D0AB9A4">
            <w:pPr>
              <w:ind w:left="120" w:hanging="120"/>
              <w:jc w:val="center"/>
              <w:rPr>
                <w:rFonts w:hint="eastAsia" w:ascii="宋体" w:hAnsi="宋体" w:eastAsia="宋体" w:cs="宋体"/>
                <w:sz w:val="24"/>
              </w:rPr>
            </w:pPr>
            <w:r>
              <w:rPr>
                <w:rFonts w:hint="eastAsia" w:ascii="宋体" w:hAnsi="宋体" w:eastAsia="宋体" w:cs="宋体"/>
                <w:sz w:val="24"/>
              </w:rPr>
              <w:t>/</w:t>
            </w:r>
          </w:p>
        </w:tc>
        <w:tc>
          <w:tcPr>
            <w:tcW w:w="1218" w:type="dxa"/>
            <w:noWrap w:val="0"/>
            <w:vAlign w:val="center"/>
          </w:tcPr>
          <w:p w14:paraId="2A257BEE">
            <w:pPr>
              <w:ind w:left="120" w:hanging="120"/>
              <w:jc w:val="center"/>
              <w:rPr>
                <w:rFonts w:hint="eastAsia" w:ascii="宋体" w:hAnsi="宋体" w:eastAsia="宋体" w:cs="宋体"/>
                <w:sz w:val="24"/>
              </w:rPr>
            </w:pPr>
            <w:r>
              <w:rPr>
                <w:rFonts w:hint="eastAsia" w:ascii="宋体" w:hAnsi="宋体" w:eastAsia="宋体" w:cs="宋体"/>
                <w:sz w:val="24"/>
              </w:rPr>
              <w:t>/</w:t>
            </w:r>
          </w:p>
        </w:tc>
        <w:tc>
          <w:tcPr>
            <w:tcW w:w="846" w:type="dxa"/>
            <w:noWrap w:val="0"/>
            <w:vAlign w:val="center"/>
          </w:tcPr>
          <w:p w14:paraId="7C8F0729">
            <w:pPr>
              <w:ind w:left="120" w:hanging="120"/>
              <w:jc w:val="center"/>
              <w:rPr>
                <w:rFonts w:hint="eastAsia" w:ascii="宋体" w:hAnsi="宋体" w:eastAsia="宋体" w:cs="宋体"/>
                <w:sz w:val="24"/>
              </w:rPr>
            </w:pPr>
          </w:p>
        </w:tc>
      </w:tr>
      <w:tr w14:paraId="70E2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5" w:type="dxa"/>
            <w:vMerge w:val="continue"/>
            <w:noWrap w:val="0"/>
            <w:vAlign w:val="top"/>
          </w:tcPr>
          <w:p w14:paraId="00E856D9">
            <w:pPr>
              <w:ind w:left="120" w:hanging="120"/>
              <w:jc w:val="center"/>
              <w:rPr>
                <w:rFonts w:hint="eastAsia" w:ascii="宋体" w:hAnsi="宋体" w:eastAsia="宋体" w:cs="宋体"/>
                <w:sz w:val="24"/>
              </w:rPr>
            </w:pPr>
          </w:p>
        </w:tc>
        <w:tc>
          <w:tcPr>
            <w:tcW w:w="1614" w:type="dxa"/>
            <w:noWrap w:val="0"/>
            <w:vAlign w:val="center"/>
          </w:tcPr>
          <w:p w14:paraId="13E52A2D">
            <w:pPr>
              <w:ind w:left="120" w:hanging="120"/>
              <w:jc w:val="center"/>
              <w:rPr>
                <w:rFonts w:hint="eastAsia" w:ascii="宋体" w:hAnsi="宋体" w:eastAsia="宋体" w:cs="宋体"/>
                <w:sz w:val="24"/>
              </w:rPr>
            </w:pPr>
            <w:r>
              <w:rPr>
                <w:rFonts w:hint="eastAsia" w:ascii="宋体" w:hAnsi="宋体" w:eastAsia="宋体" w:cs="宋体"/>
                <w:sz w:val="24"/>
              </w:rPr>
              <w:t>合同价款</w:t>
            </w:r>
          </w:p>
          <w:p w14:paraId="158C089A">
            <w:pPr>
              <w:ind w:left="120" w:hanging="120"/>
              <w:jc w:val="center"/>
              <w:rPr>
                <w:rFonts w:hint="eastAsia" w:ascii="宋体" w:hAnsi="宋体" w:eastAsia="宋体" w:cs="宋体"/>
                <w:sz w:val="24"/>
              </w:rPr>
            </w:pPr>
            <w:r>
              <w:rPr>
                <w:rFonts w:hint="eastAsia" w:ascii="宋体" w:hAnsi="宋体" w:eastAsia="宋体" w:cs="宋体"/>
                <w:sz w:val="24"/>
              </w:rPr>
              <w:t>调整</w:t>
            </w:r>
          </w:p>
        </w:tc>
        <w:tc>
          <w:tcPr>
            <w:tcW w:w="2757" w:type="dxa"/>
            <w:noWrap w:val="0"/>
            <w:vAlign w:val="center"/>
          </w:tcPr>
          <w:p w14:paraId="116B3C75">
            <w:pPr>
              <w:ind w:left="120" w:hanging="120"/>
              <w:jc w:val="center"/>
              <w:rPr>
                <w:rFonts w:hint="eastAsia" w:ascii="宋体" w:hAnsi="宋体" w:eastAsia="宋体" w:cs="宋体"/>
                <w:sz w:val="24"/>
              </w:rPr>
            </w:pPr>
            <w:r>
              <w:rPr>
                <w:rFonts w:hint="eastAsia" w:ascii="宋体" w:hAnsi="宋体" w:eastAsia="宋体" w:cs="宋体"/>
                <w:sz w:val="24"/>
              </w:rPr>
              <w:t>□编制☑审核□调整</w:t>
            </w:r>
          </w:p>
        </w:tc>
        <w:tc>
          <w:tcPr>
            <w:tcW w:w="1007" w:type="dxa"/>
            <w:noWrap w:val="0"/>
            <w:vAlign w:val="center"/>
          </w:tcPr>
          <w:p w14:paraId="4955C58C">
            <w:pPr>
              <w:ind w:left="120" w:hanging="120"/>
              <w:jc w:val="center"/>
              <w:rPr>
                <w:rFonts w:hint="eastAsia" w:ascii="宋体" w:hAnsi="宋体" w:eastAsia="宋体" w:cs="宋体"/>
                <w:sz w:val="24"/>
              </w:rPr>
            </w:pPr>
            <w:r>
              <w:rPr>
                <w:rFonts w:hint="eastAsia" w:ascii="宋体" w:hAnsi="宋体" w:eastAsia="宋体" w:cs="宋体"/>
                <w:sz w:val="24"/>
              </w:rPr>
              <w:t>/</w:t>
            </w:r>
          </w:p>
        </w:tc>
        <w:tc>
          <w:tcPr>
            <w:tcW w:w="1202" w:type="dxa"/>
            <w:noWrap w:val="0"/>
            <w:vAlign w:val="center"/>
          </w:tcPr>
          <w:p w14:paraId="43C859E7">
            <w:pPr>
              <w:ind w:left="120" w:hanging="120"/>
              <w:jc w:val="center"/>
              <w:rPr>
                <w:rFonts w:hint="eastAsia" w:ascii="宋体" w:hAnsi="宋体" w:eastAsia="宋体" w:cs="宋体"/>
                <w:sz w:val="24"/>
              </w:rPr>
            </w:pPr>
            <w:r>
              <w:rPr>
                <w:rFonts w:hint="eastAsia" w:ascii="宋体" w:hAnsi="宋体" w:eastAsia="宋体" w:cs="宋体"/>
                <w:sz w:val="24"/>
              </w:rPr>
              <w:t>/</w:t>
            </w:r>
          </w:p>
        </w:tc>
        <w:tc>
          <w:tcPr>
            <w:tcW w:w="1218" w:type="dxa"/>
            <w:noWrap w:val="0"/>
            <w:vAlign w:val="center"/>
          </w:tcPr>
          <w:p w14:paraId="0FAC6024">
            <w:pPr>
              <w:ind w:left="120" w:hanging="120"/>
              <w:jc w:val="center"/>
              <w:rPr>
                <w:rFonts w:hint="eastAsia" w:ascii="宋体" w:hAnsi="宋体" w:eastAsia="宋体" w:cs="宋体"/>
                <w:sz w:val="24"/>
              </w:rPr>
            </w:pPr>
            <w:r>
              <w:rPr>
                <w:rFonts w:hint="eastAsia" w:ascii="宋体" w:hAnsi="宋体" w:eastAsia="宋体" w:cs="宋体"/>
                <w:sz w:val="24"/>
              </w:rPr>
              <w:t>/</w:t>
            </w:r>
          </w:p>
        </w:tc>
        <w:tc>
          <w:tcPr>
            <w:tcW w:w="846" w:type="dxa"/>
            <w:noWrap w:val="0"/>
            <w:vAlign w:val="center"/>
          </w:tcPr>
          <w:p w14:paraId="5D30220D">
            <w:pPr>
              <w:ind w:left="120" w:hanging="120"/>
              <w:jc w:val="center"/>
              <w:rPr>
                <w:rFonts w:hint="eastAsia" w:ascii="宋体" w:hAnsi="宋体" w:eastAsia="宋体" w:cs="宋体"/>
                <w:sz w:val="24"/>
              </w:rPr>
            </w:pPr>
          </w:p>
        </w:tc>
      </w:tr>
      <w:tr w14:paraId="5624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noWrap w:val="0"/>
            <w:vAlign w:val="top"/>
          </w:tcPr>
          <w:p w14:paraId="7DCD3181">
            <w:pPr>
              <w:ind w:left="120" w:hanging="120"/>
              <w:jc w:val="center"/>
              <w:rPr>
                <w:rFonts w:hint="eastAsia" w:ascii="宋体" w:hAnsi="宋体" w:eastAsia="宋体" w:cs="宋体"/>
                <w:sz w:val="24"/>
              </w:rPr>
            </w:pPr>
          </w:p>
        </w:tc>
        <w:tc>
          <w:tcPr>
            <w:tcW w:w="1614" w:type="dxa"/>
            <w:noWrap w:val="0"/>
            <w:vAlign w:val="center"/>
          </w:tcPr>
          <w:p w14:paraId="3FC91D92">
            <w:pPr>
              <w:ind w:left="120" w:hanging="120"/>
              <w:jc w:val="center"/>
              <w:rPr>
                <w:rFonts w:hint="eastAsia" w:ascii="宋体" w:hAnsi="宋体" w:eastAsia="宋体" w:cs="宋体"/>
                <w:sz w:val="24"/>
              </w:rPr>
            </w:pPr>
            <w:r>
              <w:rPr>
                <w:rFonts w:hint="eastAsia" w:ascii="宋体" w:hAnsi="宋体" w:eastAsia="宋体" w:cs="宋体"/>
                <w:sz w:val="24"/>
              </w:rPr>
              <w:t>工程变更、</w:t>
            </w:r>
          </w:p>
          <w:p w14:paraId="086B88B9">
            <w:pPr>
              <w:ind w:left="120" w:hanging="120"/>
              <w:jc w:val="center"/>
              <w:rPr>
                <w:rFonts w:hint="eastAsia" w:ascii="宋体" w:hAnsi="宋体" w:eastAsia="宋体" w:cs="宋体"/>
                <w:sz w:val="24"/>
              </w:rPr>
            </w:pPr>
            <w:r>
              <w:rPr>
                <w:rFonts w:hint="eastAsia" w:ascii="宋体" w:hAnsi="宋体" w:eastAsia="宋体" w:cs="宋体"/>
                <w:sz w:val="24"/>
              </w:rPr>
              <w:t>索赔、签证</w:t>
            </w:r>
          </w:p>
        </w:tc>
        <w:tc>
          <w:tcPr>
            <w:tcW w:w="2757" w:type="dxa"/>
            <w:noWrap w:val="0"/>
            <w:vAlign w:val="center"/>
          </w:tcPr>
          <w:p w14:paraId="5912E401">
            <w:pPr>
              <w:ind w:left="120" w:hanging="120"/>
              <w:jc w:val="center"/>
              <w:rPr>
                <w:rFonts w:hint="eastAsia" w:ascii="宋体" w:hAnsi="宋体" w:eastAsia="宋体" w:cs="宋体"/>
                <w:sz w:val="24"/>
              </w:rPr>
            </w:pPr>
            <w:r>
              <w:rPr>
                <w:rFonts w:hint="eastAsia" w:ascii="宋体" w:hAnsi="宋体" w:eastAsia="宋体" w:cs="宋体"/>
                <w:sz w:val="24"/>
              </w:rPr>
              <w:t>☑审核</w:t>
            </w:r>
          </w:p>
        </w:tc>
        <w:tc>
          <w:tcPr>
            <w:tcW w:w="1007" w:type="dxa"/>
            <w:noWrap w:val="0"/>
            <w:vAlign w:val="center"/>
          </w:tcPr>
          <w:p w14:paraId="616BA26E">
            <w:pPr>
              <w:ind w:left="120" w:hanging="120"/>
              <w:jc w:val="center"/>
              <w:rPr>
                <w:rFonts w:hint="eastAsia" w:ascii="宋体" w:hAnsi="宋体" w:eastAsia="宋体" w:cs="宋体"/>
                <w:sz w:val="24"/>
              </w:rPr>
            </w:pPr>
            <w:r>
              <w:rPr>
                <w:rFonts w:hint="eastAsia" w:ascii="宋体" w:hAnsi="宋体" w:eastAsia="宋体" w:cs="宋体"/>
                <w:sz w:val="24"/>
              </w:rPr>
              <w:t>/</w:t>
            </w:r>
          </w:p>
        </w:tc>
        <w:tc>
          <w:tcPr>
            <w:tcW w:w="1202" w:type="dxa"/>
            <w:noWrap w:val="0"/>
            <w:vAlign w:val="center"/>
          </w:tcPr>
          <w:p w14:paraId="0687FA43">
            <w:pPr>
              <w:ind w:left="120" w:hanging="120"/>
              <w:jc w:val="center"/>
              <w:rPr>
                <w:rFonts w:hint="eastAsia" w:ascii="宋体" w:hAnsi="宋体" w:eastAsia="宋体" w:cs="宋体"/>
                <w:sz w:val="24"/>
              </w:rPr>
            </w:pPr>
            <w:r>
              <w:rPr>
                <w:rFonts w:hint="eastAsia" w:ascii="宋体" w:hAnsi="宋体" w:eastAsia="宋体" w:cs="宋体"/>
                <w:sz w:val="24"/>
              </w:rPr>
              <w:t>/</w:t>
            </w:r>
          </w:p>
        </w:tc>
        <w:tc>
          <w:tcPr>
            <w:tcW w:w="1218" w:type="dxa"/>
            <w:noWrap w:val="0"/>
            <w:vAlign w:val="center"/>
          </w:tcPr>
          <w:p w14:paraId="57059D99">
            <w:pPr>
              <w:ind w:left="120" w:hanging="120"/>
              <w:jc w:val="center"/>
              <w:rPr>
                <w:rFonts w:hint="eastAsia" w:ascii="宋体" w:hAnsi="宋体" w:eastAsia="宋体" w:cs="宋体"/>
                <w:sz w:val="24"/>
              </w:rPr>
            </w:pPr>
            <w:r>
              <w:rPr>
                <w:rFonts w:hint="eastAsia" w:ascii="宋体" w:hAnsi="宋体" w:eastAsia="宋体" w:cs="宋体"/>
                <w:sz w:val="24"/>
              </w:rPr>
              <w:t>/</w:t>
            </w:r>
          </w:p>
        </w:tc>
        <w:tc>
          <w:tcPr>
            <w:tcW w:w="846" w:type="dxa"/>
            <w:noWrap w:val="0"/>
            <w:vAlign w:val="center"/>
          </w:tcPr>
          <w:p w14:paraId="044B0660">
            <w:pPr>
              <w:ind w:left="120" w:hanging="120"/>
              <w:jc w:val="center"/>
              <w:rPr>
                <w:rFonts w:hint="eastAsia" w:ascii="宋体" w:hAnsi="宋体" w:eastAsia="宋体" w:cs="宋体"/>
                <w:sz w:val="24"/>
              </w:rPr>
            </w:pPr>
          </w:p>
        </w:tc>
      </w:tr>
      <w:tr w14:paraId="6AB1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noWrap w:val="0"/>
            <w:vAlign w:val="top"/>
          </w:tcPr>
          <w:p w14:paraId="698EF35A">
            <w:pPr>
              <w:ind w:left="120" w:hanging="120"/>
              <w:jc w:val="center"/>
              <w:rPr>
                <w:rFonts w:hint="eastAsia" w:ascii="宋体" w:hAnsi="宋体" w:eastAsia="宋体" w:cs="宋体"/>
                <w:sz w:val="24"/>
              </w:rPr>
            </w:pPr>
          </w:p>
        </w:tc>
        <w:tc>
          <w:tcPr>
            <w:tcW w:w="1614" w:type="dxa"/>
            <w:noWrap w:val="0"/>
            <w:vAlign w:val="center"/>
          </w:tcPr>
          <w:p w14:paraId="75285733">
            <w:pPr>
              <w:ind w:left="120" w:hanging="120"/>
              <w:jc w:val="center"/>
              <w:rPr>
                <w:rFonts w:hint="eastAsia" w:ascii="宋体" w:hAnsi="宋体" w:eastAsia="宋体" w:cs="宋体"/>
                <w:sz w:val="24"/>
              </w:rPr>
            </w:pPr>
            <w:r>
              <w:rPr>
                <w:rFonts w:hint="eastAsia" w:ascii="宋体" w:hAnsi="宋体" w:eastAsia="宋体" w:cs="宋体"/>
                <w:sz w:val="24"/>
              </w:rPr>
              <w:t>工程实施</w:t>
            </w:r>
          </w:p>
          <w:p w14:paraId="6F7BBBE8">
            <w:pPr>
              <w:ind w:left="120" w:hanging="120"/>
              <w:jc w:val="center"/>
              <w:rPr>
                <w:rFonts w:hint="eastAsia" w:ascii="宋体" w:hAnsi="宋体" w:eastAsia="宋体" w:cs="宋体"/>
                <w:sz w:val="24"/>
              </w:rPr>
            </w:pPr>
            <w:r>
              <w:rPr>
                <w:rFonts w:hint="eastAsia" w:ascii="宋体" w:hAnsi="宋体" w:eastAsia="宋体" w:cs="宋体"/>
                <w:sz w:val="24"/>
              </w:rPr>
              <w:t>阶段造价</w:t>
            </w:r>
          </w:p>
          <w:p w14:paraId="1A7632FA">
            <w:pPr>
              <w:ind w:left="120" w:hanging="120"/>
              <w:jc w:val="center"/>
              <w:rPr>
                <w:rFonts w:hint="eastAsia" w:ascii="宋体" w:hAnsi="宋体" w:eastAsia="宋体" w:cs="宋体"/>
                <w:sz w:val="24"/>
              </w:rPr>
            </w:pPr>
            <w:r>
              <w:rPr>
                <w:rFonts w:hint="eastAsia" w:ascii="宋体" w:hAnsi="宋体" w:eastAsia="宋体" w:cs="宋体"/>
                <w:sz w:val="24"/>
              </w:rPr>
              <w:t>控制</w:t>
            </w:r>
          </w:p>
        </w:tc>
        <w:tc>
          <w:tcPr>
            <w:tcW w:w="2757" w:type="dxa"/>
            <w:noWrap w:val="0"/>
            <w:vAlign w:val="center"/>
          </w:tcPr>
          <w:p w14:paraId="554C5EFC">
            <w:pPr>
              <w:ind w:left="120" w:hanging="120"/>
              <w:jc w:val="center"/>
              <w:rPr>
                <w:rFonts w:hint="eastAsia" w:ascii="宋体" w:hAnsi="宋体" w:eastAsia="宋体" w:cs="宋体"/>
                <w:sz w:val="24"/>
              </w:rPr>
            </w:pPr>
          </w:p>
        </w:tc>
        <w:tc>
          <w:tcPr>
            <w:tcW w:w="1007" w:type="dxa"/>
            <w:noWrap w:val="0"/>
            <w:vAlign w:val="center"/>
          </w:tcPr>
          <w:p w14:paraId="3B4979EE">
            <w:pPr>
              <w:ind w:left="120" w:hanging="120"/>
              <w:jc w:val="center"/>
              <w:rPr>
                <w:rFonts w:hint="eastAsia" w:ascii="宋体" w:hAnsi="宋体" w:eastAsia="宋体" w:cs="宋体"/>
                <w:sz w:val="24"/>
              </w:rPr>
            </w:pPr>
            <w:r>
              <w:rPr>
                <w:rFonts w:hint="eastAsia" w:ascii="宋体" w:hAnsi="宋体" w:eastAsia="宋体" w:cs="宋体"/>
                <w:sz w:val="24"/>
              </w:rPr>
              <w:t>/</w:t>
            </w:r>
          </w:p>
        </w:tc>
        <w:tc>
          <w:tcPr>
            <w:tcW w:w="1202" w:type="dxa"/>
            <w:noWrap w:val="0"/>
            <w:vAlign w:val="center"/>
          </w:tcPr>
          <w:p w14:paraId="239378FC">
            <w:pPr>
              <w:ind w:left="120" w:hanging="120"/>
              <w:jc w:val="center"/>
              <w:rPr>
                <w:rFonts w:hint="eastAsia" w:ascii="宋体" w:hAnsi="宋体" w:eastAsia="宋体" w:cs="宋体"/>
                <w:sz w:val="24"/>
              </w:rPr>
            </w:pPr>
            <w:r>
              <w:rPr>
                <w:rFonts w:hint="eastAsia" w:ascii="宋体" w:hAnsi="宋体" w:eastAsia="宋体" w:cs="宋体"/>
                <w:sz w:val="24"/>
              </w:rPr>
              <w:t>/</w:t>
            </w:r>
          </w:p>
        </w:tc>
        <w:tc>
          <w:tcPr>
            <w:tcW w:w="1218" w:type="dxa"/>
            <w:noWrap w:val="0"/>
            <w:vAlign w:val="center"/>
          </w:tcPr>
          <w:p w14:paraId="27BB5D7C">
            <w:pPr>
              <w:ind w:left="120" w:hanging="120"/>
              <w:jc w:val="center"/>
              <w:rPr>
                <w:rFonts w:hint="eastAsia" w:ascii="宋体" w:hAnsi="宋体" w:eastAsia="宋体" w:cs="宋体"/>
                <w:sz w:val="24"/>
              </w:rPr>
            </w:pPr>
            <w:r>
              <w:rPr>
                <w:rFonts w:hint="eastAsia" w:ascii="宋体" w:hAnsi="宋体" w:eastAsia="宋体" w:cs="宋体"/>
                <w:sz w:val="24"/>
              </w:rPr>
              <w:t>/</w:t>
            </w:r>
          </w:p>
        </w:tc>
        <w:tc>
          <w:tcPr>
            <w:tcW w:w="846" w:type="dxa"/>
            <w:noWrap w:val="0"/>
            <w:vAlign w:val="center"/>
          </w:tcPr>
          <w:p w14:paraId="0E6219A8">
            <w:pPr>
              <w:ind w:left="120" w:hanging="120"/>
              <w:jc w:val="center"/>
              <w:rPr>
                <w:rFonts w:hint="eastAsia" w:ascii="宋体" w:hAnsi="宋体" w:eastAsia="宋体" w:cs="宋体"/>
                <w:sz w:val="24"/>
              </w:rPr>
            </w:pPr>
          </w:p>
        </w:tc>
      </w:tr>
      <w:tr w14:paraId="760B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noWrap w:val="0"/>
            <w:vAlign w:val="top"/>
          </w:tcPr>
          <w:p w14:paraId="5FB32101">
            <w:pPr>
              <w:ind w:left="120" w:hanging="120"/>
              <w:jc w:val="center"/>
              <w:rPr>
                <w:rFonts w:hint="eastAsia" w:ascii="宋体" w:hAnsi="宋体" w:eastAsia="宋体" w:cs="宋体"/>
                <w:sz w:val="24"/>
              </w:rPr>
            </w:pPr>
          </w:p>
        </w:tc>
        <w:tc>
          <w:tcPr>
            <w:tcW w:w="1614" w:type="dxa"/>
            <w:noWrap w:val="0"/>
            <w:vAlign w:val="center"/>
          </w:tcPr>
          <w:p w14:paraId="4B56903A">
            <w:pPr>
              <w:ind w:left="120" w:hanging="120"/>
              <w:jc w:val="center"/>
              <w:rPr>
                <w:rFonts w:hint="eastAsia" w:ascii="宋体" w:hAnsi="宋体" w:eastAsia="宋体" w:cs="宋体"/>
                <w:sz w:val="24"/>
              </w:rPr>
            </w:pPr>
            <w:r>
              <w:rPr>
                <w:rFonts w:hint="eastAsia" w:ascii="宋体" w:hAnsi="宋体" w:eastAsia="宋体" w:cs="宋体"/>
                <w:sz w:val="24"/>
              </w:rPr>
              <w:t>其他：</w:t>
            </w:r>
          </w:p>
        </w:tc>
        <w:tc>
          <w:tcPr>
            <w:tcW w:w="2757" w:type="dxa"/>
            <w:noWrap w:val="0"/>
            <w:vAlign w:val="center"/>
          </w:tcPr>
          <w:p w14:paraId="56ADDCF0">
            <w:pPr>
              <w:ind w:left="120" w:hanging="120"/>
              <w:jc w:val="center"/>
              <w:rPr>
                <w:rFonts w:hint="eastAsia" w:ascii="宋体" w:hAnsi="宋体" w:eastAsia="宋体" w:cs="宋体"/>
                <w:sz w:val="24"/>
              </w:rPr>
            </w:pPr>
          </w:p>
        </w:tc>
        <w:tc>
          <w:tcPr>
            <w:tcW w:w="1007" w:type="dxa"/>
            <w:noWrap w:val="0"/>
            <w:vAlign w:val="center"/>
          </w:tcPr>
          <w:p w14:paraId="4DE14BBF">
            <w:pPr>
              <w:ind w:left="120" w:hanging="120"/>
              <w:jc w:val="center"/>
              <w:rPr>
                <w:rFonts w:hint="eastAsia" w:ascii="宋体" w:hAnsi="宋体" w:eastAsia="宋体" w:cs="宋体"/>
                <w:sz w:val="24"/>
              </w:rPr>
            </w:pPr>
            <w:r>
              <w:rPr>
                <w:rFonts w:hint="eastAsia" w:ascii="宋体" w:hAnsi="宋体" w:eastAsia="宋体" w:cs="宋体"/>
                <w:sz w:val="24"/>
              </w:rPr>
              <w:t>/</w:t>
            </w:r>
          </w:p>
        </w:tc>
        <w:tc>
          <w:tcPr>
            <w:tcW w:w="1202" w:type="dxa"/>
            <w:noWrap w:val="0"/>
            <w:vAlign w:val="center"/>
          </w:tcPr>
          <w:p w14:paraId="6C83603A">
            <w:pPr>
              <w:ind w:left="120" w:hanging="120"/>
              <w:jc w:val="center"/>
              <w:rPr>
                <w:rFonts w:hint="eastAsia" w:ascii="宋体" w:hAnsi="宋体" w:eastAsia="宋体" w:cs="宋体"/>
                <w:sz w:val="24"/>
              </w:rPr>
            </w:pPr>
            <w:r>
              <w:rPr>
                <w:rFonts w:hint="eastAsia" w:ascii="宋体" w:hAnsi="宋体" w:eastAsia="宋体" w:cs="宋体"/>
                <w:sz w:val="24"/>
              </w:rPr>
              <w:t>/</w:t>
            </w:r>
          </w:p>
        </w:tc>
        <w:tc>
          <w:tcPr>
            <w:tcW w:w="1218" w:type="dxa"/>
            <w:noWrap w:val="0"/>
            <w:vAlign w:val="center"/>
          </w:tcPr>
          <w:p w14:paraId="19263C6D">
            <w:pPr>
              <w:ind w:left="120" w:hanging="120"/>
              <w:jc w:val="center"/>
              <w:rPr>
                <w:rFonts w:hint="eastAsia" w:ascii="宋体" w:hAnsi="宋体" w:eastAsia="宋体" w:cs="宋体"/>
                <w:sz w:val="24"/>
              </w:rPr>
            </w:pPr>
            <w:r>
              <w:rPr>
                <w:rFonts w:hint="eastAsia" w:ascii="宋体" w:hAnsi="宋体" w:eastAsia="宋体" w:cs="宋体"/>
                <w:sz w:val="24"/>
              </w:rPr>
              <w:t>/</w:t>
            </w:r>
          </w:p>
        </w:tc>
        <w:tc>
          <w:tcPr>
            <w:tcW w:w="846" w:type="dxa"/>
            <w:noWrap w:val="0"/>
            <w:vAlign w:val="center"/>
          </w:tcPr>
          <w:p w14:paraId="5A9EBA5E">
            <w:pPr>
              <w:ind w:left="120" w:hanging="120"/>
              <w:jc w:val="center"/>
              <w:rPr>
                <w:rFonts w:hint="eastAsia" w:ascii="宋体" w:hAnsi="宋体" w:eastAsia="宋体" w:cs="宋体"/>
                <w:sz w:val="24"/>
              </w:rPr>
            </w:pPr>
          </w:p>
        </w:tc>
      </w:tr>
      <w:tr w14:paraId="6BB6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noWrap w:val="0"/>
            <w:vAlign w:val="center"/>
          </w:tcPr>
          <w:p w14:paraId="315C41BD">
            <w:pPr>
              <w:ind w:left="120" w:hanging="120"/>
              <w:jc w:val="center"/>
              <w:rPr>
                <w:rFonts w:hint="eastAsia" w:ascii="宋体" w:hAnsi="宋体" w:eastAsia="宋体" w:cs="宋体"/>
                <w:sz w:val="24"/>
              </w:rPr>
            </w:pPr>
            <w:r>
              <w:rPr>
                <w:rFonts w:hint="eastAsia" w:ascii="宋体" w:hAnsi="宋体" w:eastAsia="宋体" w:cs="宋体"/>
                <w:sz w:val="24"/>
              </w:rPr>
              <w:t>竣工阶段</w:t>
            </w:r>
          </w:p>
        </w:tc>
        <w:tc>
          <w:tcPr>
            <w:tcW w:w="1614" w:type="dxa"/>
            <w:noWrap w:val="0"/>
            <w:vAlign w:val="center"/>
          </w:tcPr>
          <w:p w14:paraId="5136C25F">
            <w:pPr>
              <w:ind w:left="120" w:hanging="120"/>
              <w:jc w:val="center"/>
              <w:rPr>
                <w:rFonts w:hint="eastAsia" w:ascii="宋体" w:hAnsi="宋体" w:eastAsia="宋体" w:cs="宋体"/>
                <w:sz w:val="24"/>
              </w:rPr>
            </w:pPr>
            <w:r>
              <w:rPr>
                <w:rFonts w:hint="eastAsia" w:ascii="宋体" w:hAnsi="宋体" w:eastAsia="宋体" w:cs="宋体"/>
                <w:sz w:val="24"/>
              </w:rPr>
              <w:t>竣工结算</w:t>
            </w:r>
          </w:p>
        </w:tc>
        <w:tc>
          <w:tcPr>
            <w:tcW w:w="2757" w:type="dxa"/>
            <w:noWrap w:val="0"/>
            <w:vAlign w:val="center"/>
          </w:tcPr>
          <w:p w14:paraId="09FCB6CB">
            <w:pPr>
              <w:ind w:left="120" w:hanging="120"/>
              <w:jc w:val="center"/>
              <w:rPr>
                <w:rFonts w:hint="eastAsia" w:ascii="宋体" w:hAnsi="宋体" w:eastAsia="宋体" w:cs="宋体"/>
                <w:sz w:val="24"/>
              </w:rPr>
            </w:pPr>
            <w:r>
              <w:rPr>
                <w:rFonts w:hint="eastAsia" w:ascii="宋体" w:hAnsi="宋体" w:eastAsia="宋体" w:cs="宋体"/>
                <w:sz w:val="24"/>
              </w:rPr>
              <w:t>□编制☑审核□调整</w:t>
            </w:r>
          </w:p>
        </w:tc>
        <w:tc>
          <w:tcPr>
            <w:tcW w:w="1007" w:type="dxa"/>
            <w:noWrap w:val="0"/>
            <w:vAlign w:val="center"/>
          </w:tcPr>
          <w:p w14:paraId="1F8E0446">
            <w:pPr>
              <w:ind w:left="120" w:hanging="120"/>
              <w:jc w:val="center"/>
              <w:rPr>
                <w:rFonts w:hint="eastAsia" w:ascii="宋体" w:hAnsi="宋体" w:eastAsia="宋体" w:cs="宋体"/>
                <w:sz w:val="24"/>
              </w:rPr>
            </w:pPr>
            <w:r>
              <w:rPr>
                <w:rFonts w:hint="eastAsia" w:ascii="宋体" w:hAnsi="宋体" w:eastAsia="宋体" w:cs="宋体"/>
                <w:sz w:val="24"/>
              </w:rPr>
              <w:t>/</w:t>
            </w:r>
          </w:p>
        </w:tc>
        <w:tc>
          <w:tcPr>
            <w:tcW w:w="1202" w:type="dxa"/>
            <w:noWrap w:val="0"/>
            <w:vAlign w:val="center"/>
          </w:tcPr>
          <w:p w14:paraId="50BC73FB">
            <w:pPr>
              <w:ind w:left="120" w:hanging="120"/>
              <w:jc w:val="center"/>
              <w:rPr>
                <w:rFonts w:hint="eastAsia" w:ascii="宋体" w:hAnsi="宋体" w:eastAsia="宋体" w:cs="宋体"/>
                <w:sz w:val="24"/>
              </w:rPr>
            </w:pPr>
            <w:r>
              <w:rPr>
                <w:rFonts w:hint="eastAsia" w:ascii="宋体" w:hAnsi="宋体" w:eastAsia="宋体" w:cs="宋体"/>
                <w:sz w:val="24"/>
              </w:rPr>
              <w:t>/</w:t>
            </w:r>
          </w:p>
        </w:tc>
        <w:tc>
          <w:tcPr>
            <w:tcW w:w="1218" w:type="dxa"/>
            <w:noWrap w:val="0"/>
            <w:vAlign w:val="center"/>
          </w:tcPr>
          <w:p w14:paraId="3A7E8073">
            <w:pPr>
              <w:ind w:left="120" w:hanging="120"/>
              <w:jc w:val="center"/>
              <w:rPr>
                <w:rFonts w:hint="eastAsia" w:ascii="宋体" w:hAnsi="宋体" w:eastAsia="宋体" w:cs="宋体"/>
                <w:sz w:val="24"/>
              </w:rPr>
            </w:pPr>
            <w:r>
              <w:rPr>
                <w:rFonts w:hint="eastAsia" w:ascii="宋体" w:hAnsi="宋体" w:eastAsia="宋体" w:cs="宋体"/>
                <w:sz w:val="24"/>
              </w:rPr>
              <w:t>/</w:t>
            </w:r>
          </w:p>
        </w:tc>
        <w:tc>
          <w:tcPr>
            <w:tcW w:w="846" w:type="dxa"/>
            <w:noWrap w:val="0"/>
            <w:vAlign w:val="center"/>
          </w:tcPr>
          <w:p w14:paraId="021E02D5">
            <w:pPr>
              <w:ind w:left="120" w:hanging="120"/>
              <w:jc w:val="center"/>
              <w:rPr>
                <w:rFonts w:hint="eastAsia" w:ascii="宋体" w:hAnsi="宋体" w:eastAsia="宋体" w:cs="宋体"/>
                <w:sz w:val="24"/>
              </w:rPr>
            </w:pPr>
          </w:p>
        </w:tc>
      </w:tr>
      <w:tr w14:paraId="04FE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noWrap w:val="0"/>
            <w:vAlign w:val="center"/>
          </w:tcPr>
          <w:p w14:paraId="0069979E">
            <w:pPr>
              <w:ind w:left="120" w:hanging="120"/>
              <w:jc w:val="center"/>
              <w:rPr>
                <w:rFonts w:hint="eastAsia" w:ascii="宋体" w:hAnsi="宋体" w:eastAsia="宋体" w:cs="宋体"/>
                <w:sz w:val="24"/>
              </w:rPr>
            </w:pPr>
          </w:p>
        </w:tc>
        <w:tc>
          <w:tcPr>
            <w:tcW w:w="1614" w:type="dxa"/>
            <w:noWrap w:val="0"/>
            <w:vAlign w:val="center"/>
          </w:tcPr>
          <w:p w14:paraId="4EBE875F">
            <w:pPr>
              <w:ind w:left="120" w:hanging="120"/>
              <w:jc w:val="center"/>
              <w:rPr>
                <w:rFonts w:hint="eastAsia" w:ascii="宋体" w:hAnsi="宋体" w:eastAsia="宋体" w:cs="宋体"/>
                <w:sz w:val="24"/>
              </w:rPr>
            </w:pPr>
            <w:r>
              <w:rPr>
                <w:rFonts w:hint="eastAsia" w:ascii="宋体" w:hAnsi="宋体" w:eastAsia="宋体" w:cs="宋体"/>
                <w:sz w:val="24"/>
              </w:rPr>
              <w:t>竣工决算</w:t>
            </w:r>
          </w:p>
        </w:tc>
        <w:tc>
          <w:tcPr>
            <w:tcW w:w="2757" w:type="dxa"/>
            <w:noWrap w:val="0"/>
            <w:vAlign w:val="center"/>
          </w:tcPr>
          <w:p w14:paraId="7A26EB41">
            <w:pPr>
              <w:ind w:left="120" w:hanging="120"/>
              <w:jc w:val="center"/>
              <w:rPr>
                <w:rFonts w:hint="eastAsia" w:ascii="宋体" w:hAnsi="宋体" w:eastAsia="宋体" w:cs="宋体"/>
                <w:sz w:val="24"/>
              </w:rPr>
            </w:pPr>
            <w:r>
              <w:rPr>
                <w:rFonts w:hint="eastAsia" w:ascii="宋体" w:hAnsi="宋体" w:eastAsia="宋体" w:cs="宋体"/>
                <w:sz w:val="24"/>
              </w:rPr>
              <w:t>□编制☑审核□调整</w:t>
            </w:r>
          </w:p>
        </w:tc>
        <w:tc>
          <w:tcPr>
            <w:tcW w:w="1007" w:type="dxa"/>
            <w:noWrap w:val="0"/>
            <w:vAlign w:val="center"/>
          </w:tcPr>
          <w:p w14:paraId="56F116EC">
            <w:pPr>
              <w:ind w:left="120" w:hanging="120"/>
              <w:jc w:val="center"/>
              <w:rPr>
                <w:rFonts w:hint="eastAsia" w:ascii="宋体" w:hAnsi="宋体" w:eastAsia="宋体" w:cs="宋体"/>
                <w:sz w:val="24"/>
              </w:rPr>
            </w:pPr>
            <w:r>
              <w:rPr>
                <w:rFonts w:hint="eastAsia" w:ascii="宋体" w:hAnsi="宋体" w:eastAsia="宋体" w:cs="宋体"/>
                <w:sz w:val="24"/>
              </w:rPr>
              <w:t>/</w:t>
            </w:r>
          </w:p>
        </w:tc>
        <w:tc>
          <w:tcPr>
            <w:tcW w:w="1202" w:type="dxa"/>
            <w:noWrap w:val="0"/>
            <w:vAlign w:val="center"/>
          </w:tcPr>
          <w:p w14:paraId="749BC202">
            <w:pPr>
              <w:ind w:left="120" w:hanging="120"/>
              <w:jc w:val="center"/>
              <w:rPr>
                <w:rFonts w:hint="eastAsia" w:ascii="宋体" w:hAnsi="宋体" w:eastAsia="宋体" w:cs="宋体"/>
                <w:sz w:val="24"/>
              </w:rPr>
            </w:pPr>
            <w:r>
              <w:rPr>
                <w:rFonts w:hint="eastAsia" w:ascii="宋体" w:hAnsi="宋体" w:eastAsia="宋体" w:cs="宋体"/>
                <w:sz w:val="24"/>
              </w:rPr>
              <w:t>/</w:t>
            </w:r>
          </w:p>
        </w:tc>
        <w:tc>
          <w:tcPr>
            <w:tcW w:w="1218" w:type="dxa"/>
            <w:noWrap w:val="0"/>
            <w:vAlign w:val="center"/>
          </w:tcPr>
          <w:p w14:paraId="413EAE28">
            <w:pPr>
              <w:ind w:left="120" w:hanging="120"/>
              <w:jc w:val="center"/>
              <w:rPr>
                <w:rFonts w:hint="eastAsia" w:ascii="宋体" w:hAnsi="宋体" w:eastAsia="宋体" w:cs="宋体"/>
                <w:sz w:val="24"/>
              </w:rPr>
            </w:pPr>
            <w:r>
              <w:rPr>
                <w:rFonts w:hint="eastAsia" w:ascii="宋体" w:hAnsi="宋体" w:eastAsia="宋体" w:cs="宋体"/>
                <w:sz w:val="24"/>
              </w:rPr>
              <w:t>/</w:t>
            </w:r>
          </w:p>
        </w:tc>
        <w:tc>
          <w:tcPr>
            <w:tcW w:w="846" w:type="dxa"/>
            <w:noWrap w:val="0"/>
            <w:vAlign w:val="center"/>
          </w:tcPr>
          <w:p w14:paraId="46D1D51B">
            <w:pPr>
              <w:ind w:left="120" w:hanging="120"/>
              <w:jc w:val="center"/>
              <w:rPr>
                <w:rFonts w:hint="eastAsia" w:ascii="宋体" w:hAnsi="宋体" w:eastAsia="宋体" w:cs="宋体"/>
                <w:sz w:val="24"/>
              </w:rPr>
            </w:pPr>
          </w:p>
        </w:tc>
      </w:tr>
      <w:tr w14:paraId="3841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noWrap w:val="0"/>
            <w:vAlign w:val="center"/>
          </w:tcPr>
          <w:p w14:paraId="38D799DF">
            <w:pPr>
              <w:ind w:left="120" w:hanging="120"/>
              <w:jc w:val="center"/>
              <w:rPr>
                <w:rFonts w:hint="eastAsia" w:ascii="宋体" w:hAnsi="宋体" w:eastAsia="宋体" w:cs="宋体"/>
                <w:sz w:val="24"/>
              </w:rPr>
            </w:pPr>
          </w:p>
        </w:tc>
        <w:tc>
          <w:tcPr>
            <w:tcW w:w="1614" w:type="dxa"/>
            <w:noWrap w:val="0"/>
            <w:vAlign w:val="center"/>
          </w:tcPr>
          <w:p w14:paraId="35841005">
            <w:pPr>
              <w:ind w:left="120" w:hanging="120"/>
              <w:jc w:val="center"/>
              <w:rPr>
                <w:rFonts w:hint="eastAsia" w:ascii="宋体" w:hAnsi="宋体" w:eastAsia="宋体" w:cs="宋体"/>
                <w:sz w:val="24"/>
              </w:rPr>
            </w:pPr>
            <w:r>
              <w:rPr>
                <w:rFonts w:hint="eastAsia" w:ascii="宋体" w:hAnsi="宋体" w:eastAsia="宋体" w:cs="宋体"/>
                <w:sz w:val="24"/>
              </w:rPr>
              <w:t>其他：</w:t>
            </w:r>
          </w:p>
        </w:tc>
        <w:tc>
          <w:tcPr>
            <w:tcW w:w="2757" w:type="dxa"/>
            <w:noWrap w:val="0"/>
            <w:vAlign w:val="center"/>
          </w:tcPr>
          <w:p w14:paraId="0F9BC4C3">
            <w:pPr>
              <w:ind w:left="120" w:hanging="120"/>
              <w:jc w:val="center"/>
              <w:rPr>
                <w:rFonts w:hint="eastAsia" w:ascii="宋体" w:hAnsi="宋体" w:eastAsia="宋体" w:cs="宋体"/>
                <w:sz w:val="24"/>
              </w:rPr>
            </w:pPr>
          </w:p>
        </w:tc>
        <w:tc>
          <w:tcPr>
            <w:tcW w:w="1007" w:type="dxa"/>
            <w:noWrap w:val="0"/>
            <w:vAlign w:val="center"/>
          </w:tcPr>
          <w:p w14:paraId="731B4216">
            <w:pPr>
              <w:ind w:left="120" w:hanging="120"/>
              <w:jc w:val="center"/>
              <w:rPr>
                <w:rFonts w:hint="eastAsia" w:ascii="宋体" w:hAnsi="宋体" w:eastAsia="宋体" w:cs="宋体"/>
                <w:sz w:val="24"/>
              </w:rPr>
            </w:pPr>
            <w:r>
              <w:rPr>
                <w:rFonts w:hint="eastAsia" w:ascii="宋体" w:hAnsi="宋体" w:eastAsia="宋体" w:cs="宋体"/>
                <w:sz w:val="24"/>
              </w:rPr>
              <w:t>/</w:t>
            </w:r>
          </w:p>
        </w:tc>
        <w:tc>
          <w:tcPr>
            <w:tcW w:w="1202" w:type="dxa"/>
            <w:noWrap w:val="0"/>
            <w:vAlign w:val="center"/>
          </w:tcPr>
          <w:p w14:paraId="521174BF">
            <w:pPr>
              <w:ind w:left="120" w:hanging="120"/>
              <w:jc w:val="center"/>
              <w:rPr>
                <w:rFonts w:hint="eastAsia" w:ascii="宋体" w:hAnsi="宋体" w:eastAsia="宋体" w:cs="宋体"/>
                <w:sz w:val="24"/>
              </w:rPr>
            </w:pPr>
            <w:r>
              <w:rPr>
                <w:rFonts w:hint="eastAsia" w:ascii="宋体" w:hAnsi="宋体" w:eastAsia="宋体" w:cs="宋体"/>
                <w:sz w:val="24"/>
              </w:rPr>
              <w:t>/</w:t>
            </w:r>
          </w:p>
        </w:tc>
        <w:tc>
          <w:tcPr>
            <w:tcW w:w="1218" w:type="dxa"/>
            <w:noWrap w:val="0"/>
            <w:vAlign w:val="center"/>
          </w:tcPr>
          <w:p w14:paraId="2F92AE74">
            <w:pPr>
              <w:ind w:left="120" w:hanging="120"/>
              <w:jc w:val="center"/>
              <w:rPr>
                <w:rFonts w:hint="eastAsia" w:ascii="宋体" w:hAnsi="宋体" w:eastAsia="宋体" w:cs="宋体"/>
                <w:sz w:val="24"/>
              </w:rPr>
            </w:pPr>
            <w:r>
              <w:rPr>
                <w:rFonts w:hint="eastAsia" w:ascii="宋体" w:hAnsi="宋体" w:eastAsia="宋体" w:cs="宋体"/>
                <w:sz w:val="24"/>
              </w:rPr>
              <w:t>/</w:t>
            </w:r>
          </w:p>
        </w:tc>
        <w:tc>
          <w:tcPr>
            <w:tcW w:w="846" w:type="dxa"/>
            <w:noWrap w:val="0"/>
            <w:vAlign w:val="center"/>
          </w:tcPr>
          <w:p w14:paraId="78FFB263">
            <w:pPr>
              <w:ind w:left="120" w:hanging="120"/>
              <w:jc w:val="center"/>
              <w:rPr>
                <w:rFonts w:hint="eastAsia" w:ascii="宋体" w:hAnsi="宋体" w:eastAsia="宋体" w:cs="宋体"/>
                <w:sz w:val="24"/>
              </w:rPr>
            </w:pPr>
          </w:p>
        </w:tc>
      </w:tr>
      <w:tr w14:paraId="0478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noWrap w:val="0"/>
            <w:vAlign w:val="center"/>
          </w:tcPr>
          <w:p w14:paraId="3359D1EF">
            <w:pPr>
              <w:ind w:left="120" w:hanging="120"/>
              <w:jc w:val="center"/>
              <w:rPr>
                <w:rFonts w:hint="eastAsia" w:ascii="宋体" w:hAnsi="宋体" w:eastAsia="宋体" w:cs="宋体"/>
                <w:sz w:val="24"/>
              </w:rPr>
            </w:pPr>
            <w:r>
              <w:rPr>
                <w:rFonts w:hint="eastAsia" w:ascii="宋体" w:hAnsi="宋体" w:eastAsia="宋体" w:cs="宋体"/>
                <w:sz w:val="24"/>
              </w:rPr>
              <w:t>其他服务</w:t>
            </w:r>
          </w:p>
        </w:tc>
        <w:tc>
          <w:tcPr>
            <w:tcW w:w="1614" w:type="dxa"/>
            <w:noWrap w:val="0"/>
            <w:vAlign w:val="center"/>
          </w:tcPr>
          <w:p w14:paraId="6C6DBC4B">
            <w:pPr>
              <w:ind w:left="120" w:hanging="120"/>
              <w:jc w:val="center"/>
              <w:rPr>
                <w:rFonts w:hint="eastAsia" w:ascii="宋体" w:hAnsi="宋体" w:eastAsia="宋体" w:cs="宋体"/>
                <w:sz w:val="24"/>
              </w:rPr>
            </w:pPr>
            <w:r>
              <w:rPr>
                <w:rFonts w:hint="eastAsia" w:ascii="宋体" w:hAnsi="宋体" w:eastAsia="宋体" w:cs="宋体"/>
                <w:sz w:val="24"/>
              </w:rPr>
              <w:t>工程造价</w:t>
            </w:r>
          </w:p>
          <w:p w14:paraId="07F644A2">
            <w:pPr>
              <w:ind w:left="120" w:hanging="120"/>
              <w:jc w:val="center"/>
              <w:rPr>
                <w:rFonts w:hint="eastAsia" w:ascii="宋体" w:hAnsi="宋体" w:eastAsia="宋体" w:cs="宋体"/>
                <w:sz w:val="24"/>
              </w:rPr>
            </w:pPr>
            <w:r>
              <w:rPr>
                <w:rFonts w:hint="eastAsia" w:ascii="宋体" w:hAnsi="宋体" w:eastAsia="宋体" w:cs="宋体"/>
                <w:sz w:val="24"/>
              </w:rPr>
              <w:t>鉴定</w:t>
            </w:r>
          </w:p>
        </w:tc>
        <w:tc>
          <w:tcPr>
            <w:tcW w:w="2757" w:type="dxa"/>
            <w:noWrap w:val="0"/>
            <w:vAlign w:val="center"/>
          </w:tcPr>
          <w:p w14:paraId="130C5998">
            <w:pPr>
              <w:ind w:left="120" w:hanging="120"/>
              <w:jc w:val="center"/>
              <w:rPr>
                <w:rFonts w:hint="eastAsia" w:ascii="宋体" w:hAnsi="宋体" w:eastAsia="宋体" w:cs="宋体"/>
                <w:sz w:val="24"/>
              </w:rPr>
            </w:pPr>
            <w:r>
              <w:rPr>
                <w:rFonts w:hint="eastAsia" w:ascii="宋体" w:hAnsi="宋体" w:eastAsia="宋体" w:cs="宋体"/>
                <w:sz w:val="24"/>
              </w:rPr>
              <w:t>□编制</w:t>
            </w:r>
          </w:p>
        </w:tc>
        <w:tc>
          <w:tcPr>
            <w:tcW w:w="1007" w:type="dxa"/>
            <w:noWrap w:val="0"/>
            <w:vAlign w:val="center"/>
          </w:tcPr>
          <w:p w14:paraId="373C54BC">
            <w:pPr>
              <w:ind w:left="120" w:hanging="120"/>
              <w:jc w:val="center"/>
              <w:rPr>
                <w:rFonts w:hint="eastAsia" w:ascii="宋体" w:hAnsi="宋体" w:eastAsia="宋体" w:cs="宋体"/>
                <w:sz w:val="24"/>
              </w:rPr>
            </w:pPr>
            <w:r>
              <w:rPr>
                <w:rFonts w:hint="eastAsia" w:ascii="宋体" w:hAnsi="宋体" w:eastAsia="宋体" w:cs="宋体"/>
                <w:sz w:val="24"/>
              </w:rPr>
              <w:t>/</w:t>
            </w:r>
          </w:p>
        </w:tc>
        <w:tc>
          <w:tcPr>
            <w:tcW w:w="1202" w:type="dxa"/>
            <w:noWrap w:val="0"/>
            <w:vAlign w:val="center"/>
          </w:tcPr>
          <w:p w14:paraId="5BF15535">
            <w:pPr>
              <w:ind w:left="120" w:hanging="120"/>
              <w:jc w:val="center"/>
              <w:rPr>
                <w:rFonts w:hint="eastAsia" w:ascii="宋体" w:hAnsi="宋体" w:eastAsia="宋体" w:cs="宋体"/>
                <w:sz w:val="24"/>
              </w:rPr>
            </w:pPr>
            <w:r>
              <w:rPr>
                <w:rFonts w:hint="eastAsia" w:ascii="宋体" w:hAnsi="宋体" w:eastAsia="宋体" w:cs="宋体"/>
                <w:sz w:val="24"/>
              </w:rPr>
              <w:t>/</w:t>
            </w:r>
          </w:p>
        </w:tc>
        <w:tc>
          <w:tcPr>
            <w:tcW w:w="1218" w:type="dxa"/>
            <w:noWrap w:val="0"/>
            <w:vAlign w:val="center"/>
          </w:tcPr>
          <w:p w14:paraId="5AC29722">
            <w:pPr>
              <w:ind w:left="120" w:hanging="120"/>
              <w:jc w:val="center"/>
              <w:rPr>
                <w:rFonts w:hint="eastAsia" w:ascii="宋体" w:hAnsi="宋体" w:eastAsia="宋体" w:cs="宋体"/>
                <w:sz w:val="24"/>
              </w:rPr>
            </w:pPr>
            <w:r>
              <w:rPr>
                <w:rFonts w:hint="eastAsia" w:ascii="宋体" w:hAnsi="宋体" w:eastAsia="宋体" w:cs="宋体"/>
                <w:sz w:val="24"/>
              </w:rPr>
              <w:t>/</w:t>
            </w:r>
          </w:p>
        </w:tc>
        <w:tc>
          <w:tcPr>
            <w:tcW w:w="846" w:type="dxa"/>
            <w:noWrap w:val="0"/>
            <w:vAlign w:val="center"/>
          </w:tcPr>
          <w:p w14:paraId="55A1C2C8">
            <w:pPr>
              <w:ind w:left="120" w:hanging="120"/>
              <w:jc w:val="center"/>
              <w:rPr>
                <w:rFonts w:hint="eastAsia" w:ascii="宋体" w:hAnsi="宋体" w:eastAsia="宋体" w:cs="宋体"/>
                <w:sz w:val="24"/>
              </w:rPr>
            </w:pPr>
          </w:p>
        </w:tc>
      </w:tr>
    </w:tbl>
    <w:p w14:paraId="2FD08752">
      <w:pPr>
        <w:ind w:left="120" w:hanging="120"/>
        <w:rPr>
          <w:rFonts w:hint="eastAsia" w:ascii="宋体" w:hAnsi="宋体" w:eastAsia="宋体" w:cs="宋体"/>
          <w:sz w:val="24"/>
        </w:rPr>
      </w:pPr>
      <w:r>
        <w:rPr>
          <w:rFonts w:hint="eastAsia" w:ascii="宋体" w:hAnsi="宋体" w:eastAsia="宋体" w:cs="宋体"/>
          <w:b/>
          <w:sz w:val="24"/>
        </w:rPr>
        <w:t xml:space="preserve">  注：</w:t>
      </w:r>
      <w:r>
        <w:rPr>
          <w:rFonts w:hint="eastAsia" w:ascii="宋体" w:hAnsi="宋体" w:eastAsia="宋体" w:cs="宋体"/>
          <w:sz w:val="24"/>
        </w:rPr>
        <w:t xml:space="preserve"> 1.附录A中服务范围及工作内容未涉及的可在“其他”项中列明。</w:t>
      </w:r>
    </w:p>
    <w:p w14:paraId="229096F8">
      <w:pPr>
        <w:numPr>
          <w:ilvl w:val="0"/>
          <w:numId w:val="8"/>
        </w:numPr>
        <w:ind w:firstLine="840" w:firstLineChars="350"/>
        <w:rPr>
          <w:rFonts w:hint="eastAsia" w:ascii="宋体" w:hAnsi="宋体" w:eastAsia="宋体" w:cs="宋体"/>
          <w:b/>
          <w:bCs/>
          <w:kern w:val="44"/>
          <w:sz w:val="24"/>
        </w:rPr>
      </w:pPr>
      <w:r>
        <w:rPr>
          <w:rFonts w:hint="eastAsia" w:ascii="宋体" w:hAnsi="宋体" w:eastAsia="宋体" w:cs="宋体"/>
          <w:bCs/>
          <w:sz w:val="24"/>
        </w:rPr>
        <w:t>实行招标控制价编制的工程，服务范围及工作内容按上表，酬金及计取方式为：</w:t>
      </w:r>
      <w:bookmarkStart w:id="292" w:name="_Toc256000083"/>
      <w:bookmarkStart w:id="293" w:name="_Toc419045127"/>
      <w:bookmarkStart w:id="294" w:name="_Toc256000191"/>
    </w:p>
    <w:p w14:paraId="45ECC3C7">
      <w:pPr>
        <w:ind w:left="0" w:firstLine="0" w:firstLineChars="0"/>
        <w:jc w:val="center"/>
        <w:rPr>
          <w:rFonts w:hint="eastAsia" w:ascii="宋体" w:hAnsi="宋体" w:eastAsia="宋体" w:cs="宋体"/>
          <w:b/>
          <w:bCs/>
          <w:kern w:val="44"/>
          <w:sz w:val="24"/>
        </w:rPr>
      </w:pPr>
    </w:p>
    <w:p w14:paraId="6C00C10C">
      <w:pPr>
        <w:ind w:left="0" w:firstLine="0" w:firstLineChars="0"/>
        <w:jc w:val="center"/>
        <w:rPr>
          <w:rFonts w:hint="eastAsia" w:ascii="宋体" w:hAnsi="宋体" w:eastAsia="宋体" w:cs="宋体"/>
          <w:b/>
          <w:bCs/>
          <w:kern w:val="44"/>
          <w:sz w:val="24"/>
        </w:rPr>
      </w:pPr>
    </w:p>
    <w:p w14:paraId="1020E043">
      <w:pPr>
        <w:ind w:left="0" w:firstLine="0" w:firstLineChars="0"/>
        <w:jc w:val="center"/>
        <w:rPr>
          <w:rFonts w:hint="eastAsia" w:ascii="宋体" w:hAnsi="宋体" w:eastAsia="宋体" w:cs="宋体"/>
          <w:b/>
          <w:bCs/>
          <w:kern w:val="44"/>
          <w:sz w:val="24"/>
        </w:rPr>
      </w:pPr>
    </w:p>
    <w:p w14:paraId="3230FCC7">
      <w:pPr>
        <w:ind w:left="0" w:firstLine="0" w:firstLineChars="0"/>
        <w:jc w:val="center"/>
        <w:rPr>
          <w:rFonts w:hint="eastAsia" w:ascii="宋体" w:hAnsi="宋体" w:eastAsia="宋体" w:cs="宋体"/>
          <w:b/>
          <w:bCs/>
          <w:kern w:val="44"/>
          <w:sz w:val="24"/>
        </w:rPr>
      </w:pPr>
      <w:r>
        <w:rPr>
          <w:rFonts w:hint="eastAsia" w:ascii="宋体" w:hAnsi="宋体" w:eastAsia="宋体" w:cs="宋体"/>
          <w:b/>
          <w:bCs/>
          <w:kern w:val="44"/>
          <w:sz w:val="24"/>
        </w:rPr>
        <w:t>附录B 咨询人提交成果文件一览表</w:t>
      </w:r>
      <w:bookmarkEnd w:id="292"/>
      <w:bookmarkEnd w:id="293"/>
      <w:bookmarkEnd w:id="294"/>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617"/>
        <w:gridCol w:w="1519"/>
        <w:gridCol w:w="1649"/>
        <w:gridCol w:w="1455"/>
        <w:gridCol w:w="1560"/>
      </w:tblGrid>
      <w:tr w14:paraId="770B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jc w:val="center"/>
        </w:trPr>
        <w:tc>
          <w:tcPr>
            <w:tcW w:w="1184" w:type="dxa"/>
            <w:noWrap w:val="0"/>
            <w:vAlign w:val="center"/>
          </w:tcPr>
          <w:p w14:paraId="5BFA0ECA">
            <w:pPr>
              <w:ind w:left="120" w:hanging="120"/>
              <w:jc w:val="center"/>
              <w:rPr>
                <w:rFonts w:hint="eastAsia" w:ascii="宋体" w:hAnsi="宋体" w:eastAsia="宋体" w:cs="宋体"/>
                <w:bCs/>
                <w:sz w:val="24"/>
              </w:rPr>
            </w:pPr>
            <w:r>
              <w:rPr>
                <w:rFonts w:hint="eastAsia" w:ascii="宋体" w:hAnsi="宋体" w:eastAsia="宋体" w:cs="宋体"/>
                <w:bCs/>
                <w:sz w:val="24"/>
              </w:rPr>
              <w:t>服务阶段</w:t>
            </w:r>
          </w:p>
        </w:tc>
        <w:tc>
          <w:tcPr>
            <w:tcW w:w="1617" w:type="dxa"/>
            <w:noWrap w:val="0"/>
            <w:vAlign w:val="center"/>
          </w:tcPr>
          <w:p w14:paraId="153746D9">
            <w:pPr>
              <w:ind w:left="120" w:hanging="120"/>
              <w:jc w:val="center"/>
              <w:rPr>
                <w:rFonts w:hint="eastAsia" w:ascii="宋体" w:hAnsi="宋体" w:eastAsia="宋体" w:cs="宋体"/>
                <w:bCs/>
                <w:sz w:val="24"/>
              </w:rPr>
            </w:pPr>
            <w:r>
              <w:rPr>
                <w:rFonts w:hint="eastAsia" w:ascii="宋体" w:hAnsi="宋体" w:eastAsia="宋体" w:cs="宋体"/>
                <w:bCs/>
                <w:sz w:val="24"/>
              </w:rPr>
              <w:t>成果文件名称</w:t>
            </w:r>
          </w:p>
        </w:tc>
        <w:tc>
          <w:tcPr>
            <w:tcW w:w="1519" w:type="dxa"/>
            <w:noWrap w:val="0"/>
            <w:vAlign w:val="center"/>
          </w:tcPr>
          <w:p w14:paraId="709989D4">
            <w:pPr>
              <w:ind w:left="120" w:hanging="120"/>
              <w:jc w:val="center"/>
              <w:rPr>
                <w:rFonts w:hint="eastAsia" w:ascii="宋体" w:hAnsi="宋体" w:eastAsia="宋体" w:cs="宋体"/>
                <w:bCs/>
                <w:sz w:val="24"/>
              </w:rPr>
            </w:pPr>
            <w:r>
              <w:rPr>
                <w:rFonts w:hint="eastAsia" w:ascii="宋体" w:hAnsi="宋体" w:eastAsia="宋体" w:cs="宋体"/>
                <w:bCs/>
                <w:sz w:val="24"/>
              </w:rPr>
              <w:t>成果文件组成</w:t>
            </w:r>
          </w:p>
        </w:tc>
        <w:tc>
          <w:tcPr>
            <w:tcW w:w="1649" w:type="dxa"/>
            <w:noWrap w:val="0"/>
            <w:vAlign w:val="center"/>
          </w:tcPr>
          <w:p w14:paraId="559D012E">
            <w:pPr>
              <w:ind w:left="120" w:hanging="120"/>
              <w:jc w:val="center"/>
              <w:rPr>
                <w:rFonts w:hint="eastAsia" w:ascii="宋体" w:hAnsi="宋体" w:eastAsia="宋体" w:cs="宋体"/>
                <w:bCs/>
                <w:sz w:val="24"/>
              </w:rPr>
            </w:pPr>
            <w:r>
              <w:rPr>
                <w:rFonts w:hint="eastAsia" w:ascii="宋体" w:hAnsi="宋体" w:eastAsia="宋体" w:cs="宋体"/>
                <w:bCs/>
                <w:sz w:val="24"/>
              </w:rPr>
              <w:t>提交时间</w:t>
            </w:r>
          </w:p>
        </w:tc>
        <w:tc>
          <w:tcPr>
            <w:tcW w:w="1455" w:type="dxa"/>
            <w:noWrap w:val="0"/>
            <w:vAlign w:val="center"/>
          </w:tcPr>
          <w:p w14:paraId="74F57728">
            <w:pPr>
              <w:ind w:left="120" w:hanging="120"/>
              <w:jc w:val="center"/>
              <w:rPr>
                <w:rFonts w:hint="eastAsia" w:ascii="宋体" w:hAnsi="宋体" w:eastAsia="宋体" w:cs="宋体"/>
                <w:bCs/>
                <w:sz w:val="24"/>
              </w:rPr>
            </w:pPr>
            <w:r>
              <w:rPr>
                <w:rFonts w:hint="eastAsia" w:ascii="宋体" w:hAnsi="宋体" w:eastAsia="宋体" w:cs="宋体"/>
                <w:bCs/>
                <w:sz w:val="24"/>
              </w:rPr>
              <w:t>份数</w:t>
            </w:r>
          </w:p>
        </w:tc>
        <w:tc>
          <w:tcPr>
            <w:tcW w:w="1560" w:type="dxa"/>
            <w:noWrap w:val="0"/>
            <w:vAlign w:val="center"/>
          </w:tcPr>
          <w:p w14:paraId="232B7211">
            <w:pPr>
              <w:ind w:left="120" w:hanging="120"/>
              <w:jc w:val="center"/>
              <w:rPr>
                <w:rFonts w:hint="eastAsia" w:ascii="宋体" w:hAnsi="宋体" w:eastAsia="宋体" w:cs="宋体"/>
                <w:bCs/>
                <w:sz w:val="24"/>
              </w:rPr>
            </w:pPr>
            <w:r>
              <w:rPr>
                <w:rFonts w:hint="eastAsia" w:ascii="宋体" w:hAnsi="宋体" w:eastAsia="宋体" w:cs="宋体"/>
                <w:bCs/>
                <w:sz w:val="24"/>
              </w:rPr>
              <w:t>质量标准</w:t>
            </w:r>
          </w:p>
        </w:tc>
      </w:tr>
      <w:tr w14:paraId="1536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restart"/>
            <w:noWrap w:val="0"/>
            <w:vAlign w:val="center"/>
          </w:tcPr>
          <w:p w14:paraId="0F5A23C6">
            <w:pPr>
              <w:spacing w:before="100" w:beforeAutospacing="1" w:after="100" w:afterAutospacing="1"/>
              <w:ind w:left="120" w:hanging="120"/>
              <w:jc w:val="center"/>
              <w:rPr>
                <w:rFonts w:hint="eastAsia" w:ascii="宋体" w:hAnsi="宋体" w:eastAsia="宋体" w:cs="宋体"/>
                <w:bCs/>
                <w:kern w:val="0"/>
                <w:sz w:val="24"/>
              </w:rPr>
            </w:pPr>
            <w:r>
              <w:rPr>
                <w:rFonts w:hint="eastAsia" w:ascii="宋体" w:hAnsi="宋体" w:eastAsia="宋体" w:cs="宋体"/>
                <w:bCs/>
                <w:kern w:val="0"/>
                <w:sz w:val="24"/>
              </w:rPr>
              <w:t>决策</w:t>
            </w:r>
          </w:p>
          <w:p w14:paraId="0D1EABF1">
            <w:pPr>
              <w:spacing w:before="100" w:beforeAutospacing="1" w:after="100" w:afterAutospacing="1"/>
              <w:ind w:left="120" w:hanging="120"/>
              <w:jc w:val="center"/>
              <w:rPr>
                <w:rFonts w:hint="eastAsia" w:ascii="宋体" w:hAnsi="宋体" w:eastAsia="宋体" w:cs="宋体"/>
                <w:bCs/>
                <w:kern w:val="0"/>
                <w:sz w:val="24"/>
              </w:rPr>
            </w:pPr>
            <w:r>
              <w:rPr>
                <w:rFonts w:hint="eastAsia" w:ascii="宋体" w:hAnsi="宋体" w:eastAsia="宋体" w:cs="宋体"/>
                <w:bCs/>
                <w:kern w:val="0"/>
                <w:sz w:val="24"/>
              </w:rPr>
              <w:t>阶段</w:t>
            </w:r>
          </w:p>
        </w:tc>
        <w:tc>
          <w:tcPr>
            <w:tcW w:w="1617" w:type="dxa"/>
            <w:noWrap w:val="0"/>
            <w:vAlign w:val="center"/>
          </w:tcPr>
          <w:p w14:paraId="75264DFF">
            <w:pPr>
              <w:ind w:left="120" w:hanging="120"/>
              <w:jc w:val="center"/>
              <w:rPr>
                <w:rFonts w:hint="eastAsia" w:ascii="宋体" w:hAnsi="宋体" w:eastAsia="宋体" w:cs="宋体"/>
                <w:bCs/>
                <w:sz w:val="24"/>
              </w:rPr>
            </w:pPr>
          </w:p>
        </w:tc>
        <w:tc>
          <w:tcPr>
            <w:tcW w:w="1519" w:type="dxa"/>
            <w:noWrap w:val="0"/>
            <w:vAlign w:val="center"/>
          </w:tcPr>
          <w:p w14:paraId="73A69A0A">
            <w:pPr>
              <w:ind w:left="120" w:hanging="120"/>
              <w:jc w:val="center"/>
              <w:rPr>
                <w:rFonts w:hint="eastAsia" w:ascii="宋体" w:hAnsi="宋体" w:eastAsia="宋体" w:cs="宋体"/>
                <w:bCs/>
                <w:sz w:val="24"/>
              </w:rPr>
            </w:pPr>
          </w:p>
        </w:tc>
        <w:tc>
          <w:tcPr>
            <w:tcW w:w="1649" w:type="dxa"/>
            <w:noWrap w:val="0"/>
            <w:vAlign w:val="center"/>
          </w:tcPr>
          <w:p w14:paraId="714DA251">
            <w:pPr>
              <w:ind w:left="120" w:hanging="120"/>
              <w:jc w:val="center"/>
              <w:rPr>
                <w:rFonts w:hint="eastAsia" w:ascii="宋体" w:hAnsi="宋体" w:eastAsia="宋体" w:cs="宋体"/>
                <w:bCs/>
                <w:sz w:val="24"/>
              </w:rPr>
            </w:pPr>
          </w:p>
        </w:tc>
        <w:tc>
          <w:tcPr>
            <w:tcW w:w="1455" w:type="dxa"/>
            <w:noWrap w:val="0"/>
            <w:vAlign w:val="center"/>
          </w:tcPr>
          <w:p w14:paraId="06117120">
            <w:pPr>
              <w:ind w:left="120" w:hanging="120"/>
              <w:jc w:val="center"/>
              <w:rPr>
                <w:rFonts w:hint="eastAsia" w:ascii="宋体" w:hAnsi="宋体" w:eastAsia="宋体" w:cs="宋体"/>
                <w:bCs/>
                <w:sz w:val="24"/>
              </w:rPr>
            </w:pPr>
          </w:p>
        </w:tc>
        <w:tc>
          <w:tcPr>
            <w:tcW w:w="1560" w:type="dxa"/>
            <w:noWrap w:val="0"/>
            <w:vAlign w:val="center"/>
          </w:tcPr>
          <w:p w14:paraId="44B6AC34">
            <w:pPr>
              <w:ind w:left="120" w:hanging="120"/>
              <w:jc w:val="center"/>
              <w:rPr>
                <w:rFonts w:hint="eastAsia" w:ascii="宋体" w:hAnsi="宋体" w:eastAsia="宋体" w:cs="宋体"/>
                <w:bCs/>
                <w:sz w:val="24"/>
              </w:rPr>
            </w:pPr>
          </w:p>
        </w:tc>
      </w:tr>
      <w:tr w14:paraId="72A0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continue"/>
            <w:noWrap w:val="0"/>
            <w:vAlign w:val="center"/>
          </w:tcPr>
          <w:p w14:paraId="0597C8EC">
            <w:pPr>
              <w:ind w:left="120" w:hanging="120"/>
              <w:jc w:val="center"/>
              <w:rPr>
                <w:rFonts w:hint="eastAsia" w:ascii="宋体" w:hAnsi="宋体" w:eastAsia="宋体" w:cs="宋体"/>
                <w:bCs/>
                <w:sz w:val="24"/>
              </w:rPr>
            </w:pPr>
          </w:p>
        </w:tc>
        <w:tc>
          <w:tcPr>
            <w:tcW w:w="1617" w:type="dxa"/>
            <w:noWrap w:val="0"/>
            <w:vAlign w:val="center"/>
          </w:tcPr>
          <w:p w14:paraId="4A0C0E33">
            <w:pPr>
              <w:ind w:left="120" w:hanging="120"/>
              <w:jc w:val="center"/>
              <w:rPr>
                <w:rFonts w:hint="eastAsia" w:ascii="宋体" w:hAnsi="宋体" w:eastAsia="宋体" w:cs="宋体"/>
                <w:bCs/>
                <w:sz w:val="24"/>
              </w:rPr>
            </w:pPr>
          </w:p>
        </w:tc>
        <w:tc>
          <w:tcPr>
            <w:tcW w:w="1519" w:type="dxa"/>
            <w:noWrap w:val="0"/>
            <w:vAlign w:val="center"/>
          </w:tcPr>
          <w:p w14:paraId="71DD4D39">
            <w:pPr>
              <w:ind w:left="120" w:hanging="120"/>
              <w:jc w:val="center"/>
              <w:rPr>
                <w:rFonts w:hint="eastAsia" w:ascii="宋体" w:hAnsi="宋体" w:eastAsia="宋体" w:cs="宋体"/>
                <w:bCs/>
                <w:sz w:val="24"/>
              </w:rPr>
            </w:pPr>
          </w:p>
        </w:tc>
        <w:tc>
          <w:tcPr>
            <w:tcW w:w="1649" w:type="dxa"/>
            <w:noWrap w:val="0"/>
            <w:vAlign w:val="center"/>
          </w:tcPr>
          <w:p w14:paraId="79E8AB66">
            <w:pPr>
              <w:ind w:left="120" w:hanging="120"/>
              <w:jc w:val="center"/>
              <w:rPr>
                <w:rFonts w:hint="eastAsia" w:ascii="宋体" w:hAnsi="宋体" w:eastAsia="宋体" w:cs="宋体"/>
                <w:bCs/>
                <w:sz w:val="24"/>
              </w:rPr>
            </w:pPr>
          </w:p>
        </w:tc>
        <w:tc>
          <w:tcPr>
            <w:tcW w:w="1455" w:type="dxa"/>
            <w:noWrap w:val="0"/>
            <w:vAlign w:val="center"/>
          </w:tcPr>
          <w:p w14:paraId="4E34AFF5">
            <w:pPr>
              <w:ind w:left="120" w:hanging="120"/>
              <w:jc w:val="center"/>
              <w:rPr>
                <w:rFonts w:hint="eastAsia" w:ascii="宋体" w:hAnsi="宋体" w:eastAsia="宋体" w:cs="宋体"/>
                <w:bCs/>
                <w:sz w:val="24"/>
              </w:rPr>
            </w:pPr>
          </w:p>
        </w:tc>
        <w:tc>
          <w:tcPr>
            <w:tcW w:w="1560" w:type="dxa"/>
            <w:noWrap w:val="0"/>
            <w:vAlign w:val="center"/>
          </w:tcPr>
          <w:p w14:paraId="27A15A6F">
            <w:pPr>
              <w:ind w:left="120" w:hanging="120"/>
              <w:jc w:val="center"/>
              <w:rPr>
                <w:rFonts w:hint="eastAsia" w:ascii="宋体" w:hAnsi="宋体" w:eastAsia="宋体" w:cs="宋体"/>
                <w:bCs/>
                <w:sz w:val="24"/>
              </w:rPr>
            </w:pPr>
          </w:p>
        </w:tc>
      </w:tr>
      <w:tr w14:paraId="5E00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continue"/>
            <w:noWrap w:val="0"/>
            <w:vAlign w:val="center"/>
          </w:tcPr>
          <w:p w14:paraId="3F50147F">
            <w:pPr>
              <w:ind w:left="120" w:hanging="120"/>
              <w:jc w:val="center"/>
              <w:rPr>
                <w:rFonts w:hint="eastAsia" w:ascii="宋体" w:hAnsi="宋体" w:eastAsia="宋体" w:cs="宋体"/>
                <w:bCs/>
                <w:sz w:val="24"/>
              </w:rPr>
            </w:pPr>
          </w:p>
        </w:tc>
        <w:tc>
          <w:tcPr>
            <w:tcW w:w="1617" w:type="dxa"/>
            <w:noWrap w:val="0"/>
            <w:vAlign w:val="center"/>
          </w:tcPr>
          <w:p w14:paraId="525A4D05">
            <w:pPr>
              <w:ind w:left="120" w:hanging="120"/>
              <w:jc w:val="center"/>
              <w:rPr>
                <w:rFonts w:hint="eastAsia" w:ascii="宋体" w:hAnsi="宋体" w:eastAsia="宋体" w:cs="宋体"/>
                <w:bCs/>
                <w:sz w:val="24"/>
              </w:rPr>
            </w:pPr>
          </w:p>
        </w:tc>
        <w:tc>
          <w:tcPr>
            <w:tcW w:w="1519" w:type="dxa"/>
            <w:noWrap w:val="0"/>
            <w:vAlign w:val="center"/>
          </w:tcPr>
          <w:p w14:paraId="1F8D837E">
            <w:pPr>
              <w:ind w:left="120" w:hanging="120"/>
              <w:jc w:val="center"/>
              <w:rPr>
                <w:rFonts w:hint="eastAsia" w:ascii="宋体" w:hAnsi="宋体" w:eastAsia="宋体" w:cs="宋体"/>
                <w:bCs/>
                <w:sz w:val="24"/>
              </w:rPr>
            </w:pPr>
          </w:p>
        </w:tc>
        <w:tc>
          <w:tcPr>
            <w:tcW w:w="1649" w:type="dxa"/>
            <w:noWrap w:val="0"/>
            <w:vAlign w:val="center"/>
          </w:tcPr>
          <w:p w14:paraId="304E1104">
            <w:pPr>
              <w:ind w:left="120" w:hanging="120"/>
              <w:jc w:val="center"/>
              <w:rPr>
                <w:rFonts w:hint="eastAsia" w:ascii="宋体" w:hAnsi="宋体" w:eastAsia="宋体" w:cs="宋体"/>
                <w:bCs/>
                <w:sz w:val="24"/>
              </w:rPr>
            </w:pPr>
          </w:p>
        </w:tc>
        <w:tc>
          <w:tcPr>
            <w:tcW w:w="1455" w:type="dxa"/>
            <w:noWrap w:val="0"/>
            <w:vAlign w:val="center"/>
          </w:tcPr>
          <w:p w14:paraId="242DB385">
            <w:pPr>
              <w:ind w:left="120" w:hanging="120"/>
              <w:jc w:val="center"/>
              <w:rPr>
                <w:rFonts w:hint="eastAsia" w:ascii="宋体" w:hAnsi="宋体" w:eastAsia="宋体" w:cs="宋体"/>
                <w:bCs/>
                <w:sz w:val="24"/>
              </w:rPr>
            </w:pPr>
          </w:p>
        </w:tc>
        <w:tc>
          <w:tcPr>
            <w:tcW w:w="1560" w:type="dxa"/>
            <w:noWrap w:val="0"/>
            <w:vAlign w:val="center"/>
          </w:tcPr>
          <w:p w14:paraId="5F539C69">
            <w:pPr>
              <w:ind w:left="120" w:hanging="120"/>
              <w:jc w:val="center"/>
              <w:rPr>
                <w:rFonts w:hint="eastAsia" w:ascii="宋体" w:hAnsi="宋体" w:eastAsia="宋体" w:cs="宋体"/>
                <w:bCs/>
                <w:sz w:val="24"/>
              </w:rPr>
            </w:pPr>
          </w:p>
        </w:tc>
      </w:tr>
      <w:tr w14:paraId="1C34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restart"/>
            <w:noWrap w:val="0"/>
            <w:vAlign w:val="center"/>
          </w:tcPr>
          <w:p w14:paraId="0E3D7188">
            <w:pPr>
              <w:spacing w:before="100" w:beforeAutospacing="1" w:after="100" w:afterAutospacing="1"/>
              <w:ind w:left="120" w:hanging="120"/>
              <w:jc w:val="center"/>
              <w:rPr>
                <w:rFonts w:hint="eastAsia" w:ascii="宋体" w:hAnsi="宋体" w:eastAsia="宋体" w:cs="宋体"/>
                <w:bCs/>
                <w:kern w:val="0"/>
                <w:sz w:val="24"/>
              </w:rPr>
            </w:pPr>
            <w:r>
              <w:rPr>
                <w:rFonts w:hint="eastAsia" w:ascii="宋体" w:hAnsi="宋体" w:eastAsia="宋体" w:cs="宋体"/>
                <w:bCs/>
                <w:kern w:val="0"/>
                <w:sz w:val="24"/>
              </w:rPr>
              <w:t>设计</w:t>
            </w:r>
          </w:p>
          <w:p w14:paraId="44698E73">
            <w:pPr>
              <w:spacing w:before="100" w:beforeAutospacing="1" w:after="100" w:afterAutospacing="1"/>
              <w:ind w:left="120" w:hanging="120"/>
              <w:jc w:val="center"/>
              <w:rPr>
                <w:rFonts w:hint="eastAsia" w:ascii="宋体" w:hAnsi="宋体" w:eastAsia="宋体" w:cs="宋体"/>
                <w:bCs/>
                <w:kern w:val="0"/>
                <w:sz w:val="24"/>
              </w:rPr>
            </w:pPr>
            <w:r>
              <w:rPr>
                <w:rFonts w:hint="eastAsia" w:ascii="宋体" w:hAnsi="宋体" w:eastAsia="宋体" w:cs="宋体"/>
                <w:bCs/>
                <w:kern w:val="0"/>
                <w:sz w:val="24"/>
              </w:rPr>
              <w:t>阶段</w:t>
            </w:r>
          </w:p>
        </w:tc>
        <w:tc>
          <w:tcPr>
            <w:tcW w:w="1617" w:type="dxa"/>
            <w:noWrap w:val="0"/>
            <w:vAlign w:val="center"/>
          </w:tcPr>
          <w:p w14:paraId="5B82DE94">
            <w:pPr>
              <w:ind w:left="120" w:hanging="120"/>
              <w:jc w:val="center"/>
              <w:rPr>
                <w:rFonts w:hint="eastAsia" w:ascii="宋体" w:hAnsi="宋体" w:eastAsia="宋体" w:cs="宋体"/>
                <w:bCs/>
                <w:sz w:val="24"/>
              </w:rPr>
            </w:pPr>
          </w:p>
        </w:tc>
        <w:tc>
          <w:tcPr>
            <w:tcW w:w="1519" w:type="dxa"/>
            <w:noWrap w:val="0"/>
            <w:vAlign w:val="center"/>
          </w:tcPr>
          <w:p w14:paraId="02F21FE8">
            <w:pPr>
              <w:ind w:left="120" w:hanging="120"/>
              <w:jc w:val="center"/>
              <w:rPr>
                <w:rFonts w:hint="eastAsia" w:ascii="宋体" w:hAnsi="宋体" w:eastAsia="宋体" w:cs="宋体"/>
                <w:bCs/>
                <w:sz w:val="24"/>
              </w:rPr>
            </w:pPr>
          </w:p>
        </w:tc>
        <w:tc>
          <w:tcPr>
            <w:tcW w:w="1649" w:type="dxa"/>
            <w:noWrap w:val="0"/>
            <w:vAlign w:val="center"/>
          </w:tcPr>
          <w:p w14:paraId="2D7C9791">
            <w:pPr>
              <w:ind w:left="120" w:hanging="120"/>
              <w:jc w:val="center"/>
              <w:rPr>
                <w:rFonts w:hint="eastAsia" w:ascii="宋体" w:hAnsi="宋体" w:eastAsia="宋体" w:cs="宋体"/>
                <w:bCs/>
                <w:sz w:val="24"/>
              </w:rPr>
            </w:pPr>
          </w:p>
        </w:tc>
        <w:tc>
          <w:tcPr>
            <w:tcW w:w="1455" w:type="dxa"/>
            <w:noWrap w:val="0"/>
            <w:vAlign w:val="center"/>
          </w:tcPr>
          <w:p w14:paraId="7DDD10F8">
            <w:pPr>
              <w:ind w:left="120" w:hanging="120"/>
              <w:jc w:val="center"/>
              <w:rPr>
                <w:rFonts w:hint="eastAsia" w:ascii="宋体" w:hAnsi="宋体" w:eastAsia="宋体" w:cs="宋体"/>
                <w:bCs/>
                <w:sz w:val="24"/>
              </w:rPr>
            </w:pPr>
          </w:p>
        </w:tc>
        <w:tc>
          <w:tcPr>
            <w:tcW w:w="1560" w:type="dxa"/>
            <w:noWrap w:val="0"/>
            <w:vAlign w:val="center"/>
          </w:tcPr>
          <w:p w14:paraId="50E8BEE4">
            <w:pPr>
              <w:ind w:left="120" w:hanging="120"/>
              <w:jc w:val="center"/>
              <w:rPr>
                <w:rFonts w:hint="eastAsia" w:ascii="宋体" w:hAnsi="宋体" w:eastAsia="宋体" w:cs="宋体"/>
                <w:bCs/>
                <w:sz w:val="24"/>
              </w:rPr>
            </w:pPr>
          </w:p>
        </w:tc>
      </w:tr>
      <w:tr w14:paraId="0671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continue"/>
            <w:noWrap w:val="0"/>
            <w:vAlign w:val="center"/>
          </w:tcPr>
          <w:p w14:paraId="177455C3">
            <w:pPr>
              <w:spacing w:before="100" w:beforeAutospacing="1" w:after="100" w:afterAutospacing="1"/>
              <w:ind w:left="120" w:hanging="120"/>
              <w:jc w:val="center"/>
              <w:rPr>
                <w:rFonts w:hint="eastAsia" w:ascii="宋体" w:hAnsi="宋体" w:eastAsia="宋体" w:cs="宋体"/>
                <w:bCs/>
                <w:kern w:val="0"/>
                <w:sz w:val="24"/>
              </w:rPr>
            </w:pPr>
          </w:p>
        </w:tc>
        <w:tc>
          <w:tcPr>
            <w:tcW w:w="1617" w:type="dxa"/>
            <w:noWrap w:val="0"/>
            <w:vAlign w:val="center"/>
          </w:tcPr>
          <w:p w14:paraId="23862CBF">
            <w:pPr>
              <w:ind w:left="120" w:hanging="120"/>
              <w:jc w:val="center"/>
              <w:rPr>
                <w:rFonts w:hint="eastAsia" w:ascii="宋体" w:hAnsi="宋体" w:eastAsia="宋体" w:cs="宋体"/>
                <w:bCs/>
                <w:sz w:val="24"/>
              </w:rPr>
            </w:pPr>
          </w:p>
        </w:tc>
        <w:tc>
          <w:tcPr>
            <w:tcW w:w="1519" w:type="dxa"/>
            <w:noWrap w:val="0"/>
            <w:vAlign w:val="center"/>
          </w:tcPr>
          <w:p w14:paraId="6D95EA98">
            <w:pPr>
              <w:ind w:left="120" w:hanging="120"/>
              <w:jc w:val="center"/>
              <w:rPr>
                <w:rFonts w:hint="eastAsia" w:ascii="宋体" w:hAnsi="宋体" w:eastAsia="宋体" w:cs="宋体"/>
                <w:bCs/>
                <w:sz w:val="24"/>
              </w:rPr>
            </w:pPr>
          </w:p>
        </w:tc>
        <w:tc>
          <w:tcPr>
            <w:tcW w:w="1649" w:type="dxa"/>
            <w:noWrap w:val="0"/>
            <w:vAlign w:val="center"/>
          </w:tcPr>
          <w:p w14:paraId="737D0F65">
            <w:pPr>
              <w:ind w:left="120" w:hanging="120"/>
              <w:jc w:val="center"/>
              <w:rPr>
                <w:rFonts w:hint="eastAsia" w:ascii="宋体" w:hAnsi="宋体" w:eastAsia="宋体" w:cs="宋体"/>
                <w:bCs/>
                <w:sz w:val="24"/>
              </w:rPr>
            </w:pPr>
          </w:p>
        </w:tc>
        <w:tc>
          <w:tcPr>
            <w:tcW w:w="1455" w:type="dxa"/>
            <w:noWrap w:val="0"/>
            <w:vAlign w:val="center"/>
          </w:tcPr>
          <w:p w14:paraId="0133CE9F">
            <w:pPr>
              <w:ind w:left="120" w:hanging="120"/>
              <w:jc w:val="center"/>
              <w:rPr>
                <w:rFonts w:hint="eastAsia" w:ascii="宋体" w:hAnsi="宋体" w:eastAsia="宋体" w:cs="宋体"/>
                <w:bCs/>
                <w:sz w:val="24"/>
              </w:rPr>
            </w:pPr>
          </w:p>
        </w:tc>
        <w:tc>
          <w:tcPr>
            <w:tcW w:w="1560" w:type="dxa"/>
            <w:noWrap w:val="0"/>
            <w:vAlign w:val="center"/>
          </w:tcPr>
          <w:p w14:paraId="506E8450">
            <w:pPr>
              <w:ind w:left="120" w:hanging="120"/>
              <w:jc w:val="center"/>
              <w:rPr>
                <w:rFonts w:hint="eastAsia" w:ascii="宋体" w:hAnsi="宋体" w:eastAsia="宋体" w:cs="宋体"/>
                <w:bCs/>
                <w:sz w:val="24"/>
              </w:rPr>
            </w:pPr>
          </w:p>
        </w:tc>
      </w:tr>
      <w:tr w14:paraId="5781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continue"/>
            <w:noWrap w:val="0"/>
            <w:vAlign w:val="center"/>
          </w:tcPr>
          <w:p w14:paraId="221309CF">
            <w:pPr>
              <w:ind w:left="120" w:hanging="120"/>
              <w:jc w:val="center"/>
              <w:rPr>
                <w:rFonts w:hint="eastAsia" w:ascii="宋体" w:hAnsi="宋体" w:eastAsia="宋体" w:cs="宋体"/>
                <w:bCs/>
                <w:sz w:val="24"/>
              </w:rPr>
            </w:pPr>
          </w:p>
        </w:tc>
        <w:tc>
          <w:tcPr>
            <w:tcW w:w="1617" w:type="dxa"/>
            <w:noWrap w:val="0"/>
            <w:vAlign w:val="center"/>
          </w:tcPr>
          <w:p w14:paraId="29DF121E">
            <w:pPr>
              <w:ind w:left="120" w:hanging="120"/>
              <w:jc w:val="center"/>
              <w:rPr>
                <w:rFonts w:hint="eastAsia" w:ascii="宋体" w:hAnsi="宋体" w:eastAsia="宋体" w:cs="宋体"/>
                <w:bCs/>
                <w:sz w:val="24"/>
              </w:rPr>
            </w:pPr>
          </w:p>
        </w:tc>
        <w:tc>
          <w:tcPr>
            <w:tcW w:w="1519" w:type="dxa"/>
            <w:noWrap w:val="0"/>
            <w:vAlign w:val="center"/>
          </w:tcPr>
          <w:p w14:paraId="502AC19B">
            <w:pPr>
              <w:ind w:left="120" w:hanging="120"/>
              <w:jc w:val="center"/>
              <w:rPr>
                <w:rFonts w:hint="eastAsia" w:ascii="宋体" w:hAnsi="宋体" w:eastAsia="宋体" w:cs="宋体"/>
                <w:bCs/>
                <w:sz w:val="24"/>
              </w:rPr>
            </w:pPr>
          </w:p>
        </w:tc>
        <w:tc>
          <w:tcPr>
            <w:tcW w:w="1649" w:type="dxa"/>
            <w:noWrap w:val="0"/>
            <w:vAlign w:val="center"/>
          </w:tcPr>
          <w:p w14:paraId="59C80BD4">
            <w:pPr>
              <w:ind w:left="120" w:hanging="120"/>
              <w:jc w:val="center"/>
              <w:rPr>
                <w:rFonts w:hint="eastAsia" w:ascii="宋体" w:hAnsi="宋体" w:eastAsia="宋体" w:cs="宋体"/>
                <w:bCs/>
                <w:sz w:val="24"/>
              </w:rPr>
            </w:pPr>
          </w:p>
        </w:tc>
        <w:tc>
          <w:tcPr>
            <w:tcW w:w="1455" w:type="dxa"/>
            <w:noWrap w:val="0"/>
            <w:vAlign w:val="center"/>
          </w:tcPr>
          <w:p w14:paraId="5679BC62">
            <w:pPr>
              <w:ind w:left="120" w:hanging="120"/>
              <w:jc w:val="center"/>
              <w:rPr>
                <w:rFonts w:hint="eastAsia" w:ascii="宋体" w:hAnsi="宋体" w:eastAsia="宋体" w:cs="宋体"/>
                <w:bCs/>
                <w:sz w:val="24"/>
              </w:rPr>
            </w:pPr>
          </w:p>
        </w:tc>
        <w:tc>
          <w:tcPr>
            <w:tcW w:w="1560" w:type="dxa"/>
            <w:noWrap w:val="0"/>
            <w:vAlign w:val="center"/>
          </w:tcPr>
          <w:p w14:paraId="27A98F6C">
            <w:pPr>
              <w:ind w:left="120" w:hanging="120"/>
              <w:jc w:val="center"/>
              <w:rPr>
                <w:rFonts w:hint="eastAsia" w:ascii="宋体" w:hAnsi="宋体" w:eastAsia="宋体" w:cs="宋体"/>
                <w:bCs/>
                <w:sz w:val="24"/>
              </w:rPr>
            </w:pPr>
          </w:p>
        </w:tc>
      </w:tr>
      <w:tr w14:paraId="0D79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restart"/>
            <w:noWrap w:val="0"/>
            <w:vAlign w:val="center"/>
          </w:tcPr>
          <w:p w14:paraId="6431052C">
            <w:pPr>
              <w:spacing w:before="100" w:beforeAutospacing="1" w:after="100" w:afterAutospacing="1"/>
              <w:ind w:left="120" w:hanging="120"/>
              <w:jc w:val="center"/>
              <w:rPr>
                <w:rFonts w:hint="eastAsia" w:ascii="宋体" w:hAnsi="宋体" w:eastAsia="宋体" w:cs="宋体"/>
                <w:bCs/>
                <w:kern w:val="0"/>
                <w:sz w:val="24"/>
              </w:rPr>
            </w:pPr>
            <w:r>
              <w:rPr>
                <w:rFonts w:hint="eastAsia" w:ascii="宋体" w:hAnsi="宋体" w:eastAsia="宋体" w:cs="宋体"/>
                <w:bCs/>
                <w:kern w:val="0"/>
                <w:sz w:val="24"/>
              </w:rPr>
              <w:t>发承包阶段</w:t>
            </w:r>
          </w:p>
        </w:tc>
        <w:tc>
          <w:tcPr>
            <w:tcW w:w="1617" w:type="dxa"/>
            <w:noWrap w:val="0"/>
            <w:vAlign w:val="center"/>
          </w:tcPr>
          <w:p w14:paraId="2E9706BF">
            <w:pPr>
              <w:ind w:left="120" w:hanging="120"/>
              <w:jc w:val="center"/>
              <w:rPr>
                <w:rFonts w:hint="eastAsia" w:ascii="宋体" w:hAnsi="宋体" w:eastAsia="宋体" w:cs="宋体"/>
                <w:bCs/>
                <w:sz w:val="24"/>
              </w:rPr>
            </w:pPr>
          </w:p>
        </w:tc>
        <w:tc>
          <w:tcPr>
            <w:tcW w:w="1519" w:type="dxa"/>
            <w:noWrap w:val="0"/>
            <w:vAlign w:val="center"/>
          </w:tcPr>
          <w:p w14:paraId="3A4409C6">
            <w:pPr>
              <w:ind w:left="120" w:hanging="120"/>
              <w:jc w:val="center"/>
              <w:rPr>
                <w:rFonts w:hint="eastAsia" w:ascii="宋体" w:hAnsi="宋体" w:eastAsia="宋体" w:cs="宋体"/>
                <w:bCs/>
                <w:sz w:val="24"/>
              </w:rPr>
            </w:pPr>
          </w:p>
        </w:tc>
        <w:tc>
          <w:tcPr>
            <w:tcW w:w="1649" w:type="dxa"/>
            <w:noWrap w:val="0"/>
            <w:vAlign w:val="center"/>
          </w:tcPr>
          <w:p w14:paraId="2DAFC690">
            <w:pPr>
              <w:ind w:left="120" w:hanging="120"/>
              <w:jc w:val="center"/>
              <w:rPr>
                <w:rFonts w:hint="eastAsia" w:ascii="宋体" w:hAnsi="宋体" w:eastAsia="宋体" w:cs="宋体"/>
                <w:bCs/>
                <w:sz w:val="24"/>
              </w:rPr>
            </w:pPr>
          </w:p>
        </w:tc>
        <w:tc>
          <w:tcPr>
            <w:tcW w:w="1455" w:type="dxa"/>
            <w:noWrap w:val="0"/>
            <w:vAlign w:val="center"/>
          </w:tcPr>
          <w:p w14:paraId="51AB42ED">
            <w:pPr>
              <w:ind w:left="120" w:hanging="120"/>
              <w:jc w:val="center"/>
              <w:rPr>
                <w:rFonts w:hint="eastAsia" w:ascii="宋体" w:hAnsi="宋体" w:eastAsia="宋体" w:cs="宋体"/>
                <w:bCs/>
                <w:sz w:val="24"/>
              </w:rPr>
            </w:pPr>
          </w:p>
        </w:tc>
        <w:tc>
          <w:tcPr>
            <w:tcW w:w="1560" w:type="dxa"/>
            <w:noWrap w:val="0"/>
            <w:vAlign w:val="center"/>
          </w:tcPr>
          <w:p w14:paraId="66A10377">
            <w:pPr>
              <w:ind w:left="120" w:hanging="120"/>
              <w:jc w:val="center"/>
              <w:rPr>
                <w:rFonts w:hint="eastAsia" w:ascii="宋体" w:hAnsi="宋体" w:eastAsia="宋体" w:cs="宋体"/>
                <w:bCs/>
                <w:sz w:val="24"/>
              </w:rPr>
            </w:pPr>
          </w:p>
        </w:tc>
      </w:tr>
      <w:tr w14:paraId="50B2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continue"/>
            <w:noWrap w:val="0"/>
            <w:vAlign w:val="center"/>
          </w:tcPr>
          <w:p w14:paraId="3738147E">
            <w:pPr>
              <w:spacing w:before="100" w:beforeAutospacing="1" w:after="100" w:afterAutospacing="1"/>
              <w:ind w:left="120" w:hanging="120"/>
              <w:jc w:val="center"/>
              <w:rPr>
                <w:rFonts w:hint="eastAsia" w:ascii="宋体" w:hAnsi="宋体" w:eastAsia="宋体" w:cs="宋体"/>
                <w:bCs/>
                <w:kern w:val="0"/>
                <w:sz w:val="24"/>
              </w:rPr>
            </w:pPr>
          </w:p>
        </w:tc>
        <w:tc>
          <w:tcPr>
            <w:tcW w:w="1617" w:type="dxa"/>
            <w:noWrap w:val="0"/>
            <w:vAlign w:val="center"/>
          </w:tcPr>
          <w:p w14:paraId="0F5B96BC">
            <w:pPr>
              <w:ind w:left="120" w:hanging="120"/>
              <w:jc w:val="center"/>
              <w:rPr>
                <w:rFonts w:hint="eastAsia" w:ascii="宋体" w:hAnsi="宋体" w:eastAsia="宋体" w:cs="宋体"/>
                <w:bCs/>
                <w:sz w:val="24"/>
              </w:rPr>
            </w:pPr>
          </w:p>
        </w:tc>
        <w:tc>
          <w:tcPr>
            <w:tcW w:w="1519" w:type="dxa"/>
            <w:noWrap w:val="0"/>
            <w:vAlign w:val="center"/>
          </w:tcPr>
          <w:p w14:paraId="314FD4C5">
            <w:pPr>
              <w:ind w:left="120" w:hanging="120"/>
              <w:jc w:val="center"/>
              <w:rPr>
                <w:rFonts w:hint="eastAsia" w:ascii="宋体" w:hAnsi="宋体" w:eastAsia="宋体" w:cs="宋体"/>
                <w:bCs/>
                <w:sz w:val="24"/>
              </w:rPr>
            </w:pPr>
          </w:p>
        </w:tc>
        <w:tc>
          <w:tcPr>
            <w:tcW w:w="1649" w:type="dxa"/>
            <w:noWrap w:val="0"/>
            <w:vAlign w:val="center"/>
          </w:tcPr>
          <w:p w14:paraId="35506C1A">
            <w:pPr>
              <w:ind w:left="120" w:hanging="120"/>
              <w:jc w:val="center"/>
              <w:rPr>
                <w:rFonts w:hint="eastAsia" w:ascii="宋体" w:hAnsi="宋体" w:eastAsia="宋体" w:cs="宋体"/>
                <w:bCs/>
                <w:sz w:val="24"/>
              </w:rPr>
            </w:pPr>
          </w:p>
        </w:tc>
        <w:tc>
          <w:tcPr>
            <w:tcW w:w="1455" w:type="dxa"/>
            <w:noWrap w:val="0"/>
            <w:vAlign w:val="center"/>
          </w:tcPr>
          <w:p w14:paraId="690E3472">
            <w:pPr>
              <w:ind w:left="120" w:hanging="120"/>
              <w:jc w:val="center"/>
              <w:rPr>
                <w:rFonts w:hint="eastAsia" w:ascii="宋体" w:hAnsi="宋体" w:eastAsia="宋体" w:cs="宋体"/>
                <w:bCs/>
                <w:sz w:val="24"/>
              </w:rPr>
            </w:pPr>
          </w:p>
        </w:tc>
        <w:tc>
          <w:tcPr>
            <w:tcW w:w="1560" w:type="dxa"/>
            <w:noWrap w:val="0"/>
            <w:vAlign w:val="center"/>
          </w:tcPr>
          <w:p w14:paraId="638CEB50">
            <w:pPr>
              <w:ind w:left="120" w:hanging="120"/>
              <w:jc w:val="center"/>
              <w:rPr>
                <w:rFonts w:hint="eastAsia" w:ascii="宋体" w:hAnsi="宋体" w:eastAsia="宋体" w:cs="宋体"/>
                <w:bCs/>
                <w:sz w:val="24"/>
              </w:rPr>
            </w:pPr>
          </w:p>
        </w:tc>
      </w:tr>
      <w:tr w14:paraId="4A0A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continue"/>
            <w:noWrap w:val="0"/>
            <w:vAlign w:val="center"/>
          </w:tcPr>
          <w:p w14:paraId="538BC3E7">
            <w:pPr>
              <w:ind w:left="120" w:hanging="120"/>
              <w:jc w:val="center"/>
              <w:rPr>
                <w:rFonts w:hint="eastAsia" w:ascii="宋体" w:hAnsi="宋体" w:eastAsia="宋体" w:cs="宋体"/>
                <w:bCs/>
                <w:sz w:val="24"/>
              </w:rPr>
            </w:pPr>
          </w:p>
        </w:tc>
        <w:tc>
          <w:tcPr>
            <w:tcW w:w="1617" w:type="dxa"/>
            <w:noWrap w:val="0"/>
            <w:vAlign w:val="center"/>
          </w:tcPr>
          <w:p w14:paraId="7E67D729">
            <w:pPr>
              <w:ind w:left="120" w:hanging="120"/>
              <w:jc w:val="center"/>
              <w:rPr>
                <w:rFonts w:hint="eastAsia" w:ascii="宋体" w:hAnsi="宋体" w:eastAsia="宋体" w:cs="宋体"/>
                <w:bCs/>
                <w:sz w:val="24"/>
              </w:rPr>
            </w:pPr>
          </w:p>
        </w:tc>
        <w:tc>
          <w:tcPr>
            <w:tcW w:w="1519" w:type="dxa"/>
            <w:noWrap w:val="0"/>
            <w:vAlign w:val="center"/>
          </w:tcPr>
          <w:p w14:paraId="7F462D80">
            <w:pPr>
              <w:ind w:left="120" w:hanging="120"/>
              <w:jc w:val="center"/>
              <w:rPr>
                <w:rFonts w:hint="eastAsia" w:ascii="宋体" w:hAnsi="宋体" w:eastAsia="宋体" w:cs="宋体"/>
                <w:bCs/>
                <w:sz w:val="24"/>
              </w:rPr>
            </w:pPr>
          </w:p>
        </w:tc>
        <w:tc>
          <w:tcPr>
            <w:tcW w:w="1649" w:type="dxa"/>
            <w:noWrap w:val="0"/>
            <w:vAlign w:val="center"/>
          </w:tcPr>
          <w:p w14:paraId="79D91100">
            <w:pPr>
              <w:ind w:left="120" w:hanging="120"/>
              <w:jc w:val="center"/>
              <w:rPr>
                <w:rFonts w:hint="eastAsia" w:ascii="宋体" w:hAnsi="宋体" w:eastAsia="宋体" w:cs="宋体"/>
                <w:bCs/>
                <w:sz w:val="24"/>
              </w:rPr>
            </w:pPr>
          </w:p>
        </w:tc>
        <w:tc>
          <w:tcPr>
            <w:tcW w:w="1455" w:type="dxa"/>
            <w:noWrap w:val="0"/>
            <w:vAlign w:val="center"/>
          </w:tcPr>
          <w:p w14:paraId="346D0AF5">
            <w:pPr>
              <w:ind w:left="120" w:hanging="120"/>
              <w:jc w:val="center"/>
              <w:rPr>
                <w:rFonts w:hint="eastAsia" w:ascii="宋体" w:hAnsi="宋体" w:eastAsia="宋体" w:cs="宋体"/>
                <w:bCs/>
                <w:sz w:val="24"/>
              </w:rPr>
            </w:pPr>
          </w:p>
        </w:tc>
        <w:tc>
          <w:tcPr>
            <w:tcW w:w="1560" w:type="dxa"/>
            <w:noWrap w:val="0"/>
            <w:vAlign w:val="center"/>
          </w:tcPr>
          <w:p w14:paraId="6467FCBE">
            <w:pPr>
              <w:ind w:left="120" w:hanging="120"/>
              <w:jc w:val="center"/>
              <w:rPr>
                <w:rFonts w:hint="eastAsia" w:ascii="宋体" w:hAnsi="宋体" w:eastAsia="宋体" w:cs="宋体"/>
                <w:bCs/>
                <w:sz w:val="24"/>
              </w:rPr>
            </w:pPr>
          </w:p>
        </w:tc>
      </w:tr>
      <w:tr w14:paraId="1F51F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restart"/>
            <w:noWrap w:val="0"/>
            <w:vAlign w:val="center"/>
          </w:tcPr>
          <w:p w14:paraId="2DED0BB5">
            <w:pPr>
              <w:spacing w:before="100" w:beforeAutospacing="1" w:after="100" w:afterAutospacing="1"/>
              <w:ind w:left="120" w:hanging="120"/>
              <w:jc w:val="center"/>
              <w:rPr>
                <w:rFonts w:hint="eastAsia" w:ascii="宋体" w:hAnsi="宋体" w:eastAsia="宋体" w:cs="宋体"/>
                <w:bCs/>
                <w:kern w:val="0"/>
                <w:sz w:val="24"/>
              </w:rPr>
            </w:pPr>
            <w:r>
              <w:rPr>
                <w:rFonts w:hint="eastAsia" w:ascii="宋体" w:hAnsi="宋体" w:eastAsia="宋体" w:cs="宋体"/>
                <w:bCs/>
                <w:kern w:val="0"/>
                <w:sz w:val="24"/>
              </w:rPr>
              <w:t>实施</w:t>
            </w:r>
          </w:p>
          <w:p w14:paraId="7D253FB9">
            <w:pPr>
              <w:spacing w:before="100" w:beforeAutospacing="1" w:after="100" w:afterAutospacing="1"/>
              <w:ind w:left="120" w:hanging="120"/>
              <w:jc w:val="center"/>
              <w:rPr>
                <w:rFonts w:hint="eastAsia" w:ascii="宋体" w:hAnsi="宋体" w:eastAsia="宋体" w:cs="宋体"/>
                <w:bCs/>
                <w:kern w:val="0"/>
                <w:sz w:val="24"/>
              </w:rPr>
            </w:pPr>
            <w:r>
              <w:rPr>
                <w:rFonts w:hint="eastAsia" w:ascii="宋体" w:hAnsi="宋体" w:eastAsia="宋体" w:cs="宋体"/>
                <w:bCs/>
                <w:kern w:val="0"/>
                <w:sz w:val="24"/>
              </w:rPr>
              <w:t>阶段</w:t>
            </w:r>
          </w:p>
        </w:tc>
        <w:tc>
          <w:tcPr>
            <w:tcW w:w="1617" w:type="dxa"/>
            <w:noWrap w:val="0"/>
            <w:vAlign w:val="center"/>
          </w:tcPr>
          <w:p w14:paraId="010A722B">
            <w:pPr>
              <w:ind w:left="120" w:hanging="120"/>
              <w:jc w:val="center"/>
              <w:rPr>
                <w:rFonts w:hint="eastAsia" w:ascii="宋体" w:hAnsi="宋体" w:eastAsia="宋体" w:cs="宋体"/>
                <w:bCs/>
                <w:sz w:val="24"/>
              </w:rPr>
            </w:pPr>
          </w:p>
        </w:tc>
        <w:tc>
          <w:tcPr>
            <w:tcW w:w="1519" w:type="dxa"/>
            <w:noWrap w:val="0"/>
            <w:vAlign w:val="center"/>
          </w:tcPr>
          <w:p w14:paraId="1B4821F1">
            <w:pPr>
              <w:ind w:left="120" w:hanging="120"/>
              <w:jc w:val="center"/>
              <w:rPr>
                <w:rFonts w:hint="eastAsia" w:ascii="宋体" w:hAnsi="宋体" w:eastAsia="宋体" w:cs="宋体"/>
                <w:bCs/>
                <w:sz w:val="24"/>
              </w:rPr>
            </w:pPr>
          </w:p>
        </w:tc>
        <w:tc>
          <w:tcPr>
            <w:tcW w:w="1649" w:type="dxa"/>
            <w:noWrap w:val="0"/>
            <w:vAlign w:val="center"/>
          </w:tcPr>
          <w:p w14:paraId="1D9A6AAE">
            <w:pPr>
              <w:ind w:left="120" w:hanging="120"/>
              <w:jc w:val="center"/>
              <w:rPr>
                <w:rFonts w:hint="eastAsia" w:ascii="宋体" w:hAnsi="宋体" w:eastAsia="宋体" w:cs="宋体"/>
                <w:bCs/>
                <w:sz w:val="24"/>
              </w:rPr>
            </w:pPr>
          </w:p>
        </w:tc>
        <w:tc>
          <w:tcPr>
            <w:tcW w:w="1455" w:type="dxa"/>
            <w:noWrap w:val="0"/>
            <w:vAlign w:val="center"/>
          </w:tcPr>
          <w:p w14:paraId="04487C7E">
            <w:pPr>
              <w:ind w:left="120" w:hanging="120"/>
              <w:jc w:val="center"/>
              <w:rPr>
                <w:rFonts w:hint="eastAsia" w:ascii="宋体" w:hAnsi="宋体" w:eastAsia="宋体" w:cs="宋体"/>
                <w:bCs/>
                <w:sz w:val="24"/>
              </w:rPr>
            </w:pPr>
          </w:p>
        </w:tc>
        <w:tc>
          <w:tcPr>
            <w:tcW w:w="1560" w:type="dxa"/>
            <w:noWrap w:val="0"/>
            <w:vAlign w:val="center"/>
          </w:tcPr>
          <w:p w14:paraId="6FCCA350">
            <w:pPr>
              <w:ind w:left="120" w:hanging="120"/>
              <w:rPr>
                <w:rFonts w:hint="eastAsia" w:ascii="宋体" w:hAnsi="宋体" w:eastAsia="宋体" w:cs="宋体"/>
                <w:bCs/>
                <w:sz w:val="24"/>
              </w:rPr>
            </w:pPr>
          </w:p>
        </w:tc>
      </w:tr>
      <w:tr w14:paraId="15E6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continue"/>
            <w:noWrap w:val="0"/>
            <w:vAlign w:val="center"/>
          </w:tcPr>
          <w:p w14:paraId="4A5C485C">
            <w:pPr>
              <w:spacing w:before="100" w:beforeAutospacing="1" w:after="100" w:afterAutospacing="1"/>
              <w:ind w:left="120" w:hanging="120"/>
              <w:jc w:val="center"/>
              <w:rPr>
                <w:rFonts w:hint="eastAsia" w:ascii="宋体" w:hAnsi="宋体" w:eastAsia="宋体" w:cs="宋体"/>
                <w:bCs/>
                <w:kern w:val="0"/>
                <w:sz w:val="24"/>
              </w:rPr>
            </w:pPr>
          </w:p>
        </w:tc>
        <w:tc>
          <w:tcPr>
            <w:tcW w:w="1617" w:type="dxa"/>
            <w:noWrap w:val="0"/>
            <w:vAlign w:val="center"/>
          </w:tcPr>
          <w:p w14:paraId="5748DF53">
            <w:pPr>
              <w:ind w:left="120" w:hanging="120"/>
              <w:jc w:val="center"/>
              <w:rPr>
                <w:rFonts w:hint="eastAsia" w:ascii="宋体" w:hAnsi="宋体" w:eastAsia="宋体" w:cs="宋体"/>
                <w:bCs/>
                <w:sz w:val="24"/>
              </w:rPr>
            </w:pPr>
          </w:p>
        </w:tc>
        <w:tc>
          <w:tcPr>
            <w:tcW w:w="1519" w:type="dxa"/>
            <w:noWrap w:val="0"/>
            <w:vAlign w:val="center"/>
          </w:tcPr>
          <w:p w14:paraId="2E2F91E3">
            <w:pPr>
              <w:ind w:left="120" w:hanging="120"/>
              <w:jc w:val="center"/>
              <w:rPr>
                <w:rFonts w:hint="eastAsia" w:ascii="宋体" w:hAnsi="宋体" w:eastAsia="宋体" w:cs="宋体"/>
                <w:bCs/>
                <w:sz w:val="24"/>
              </w:rPr>
            </w:pPr>
          </w:p>
        </w:tc>
        <w:tc>
          <w:tcPr>
            <w:tcW w:w="1649" w:type="dxa"/>
            <w:noWrap w:val="0"/>
            <w:vAlign w:val="center"/>
          </w:tcPr>
          <w:p w14:paraId="337178D9">
            <w:pPr>
              <w:ind w:left="120" w:hanging="120"/>
              <w:jc w:val="center"/>
              <w:rPr>
                <w:rFonts w:hint="eastAsia" w:ascii="宋体" w:hAnsi="宋体" w:eastAsia="宋体" w:cs="宋体"/>
                <w:bCs/>
                <w:sz w:val="24"/>
              </w:rPr>
            </w:pPr>
          </w:p>
        </w:tc>
        <w:tc>
          <w:tcPr>
            <w:tcW w:w="1455" w:type="dxa"/>
            <w:noWrap w:val="0"/>
            <w:vAlign w:val="center"/>
          </w:tcPr>
          <w:p w14:paraId="20A22209">
            <w:pPr>
              <w:ind w:left="120" w:hanging="120"/>
              <w:jc w:val="center"/>
              <w:rPr>
                <w:rFonts w:hint="eastAsia" w:ascii="宋体" w:hAnsi="宋体" w:eastAsia="宋体" w:cs="宋体"/>
                <w:bCs/>
                <w:sz w:val="24"/>
              </w:rPr>
            </w:pPr>
          </w:p>
        </w:tc>
        <w:tc>
          <w:tcPr>
            <w:tcW w:w="1560" w:type="dxa"/>
            <w:noWrap w:val="0"/>
            <w:vAlign w:val="center"/>
          </w:tcPr>
          <w:p w14:paraId="5A2198D9">
            <w:pPr>
              <w:ind w:left="120" w:hanging="120"/>
              <w:jc w:val="center"/>
              <w:rPr>
                <w:rFonts w:hint="eastAsia" w:ascii="宋体" w:hAnsi="宋体" w:eastAsia="宋体" w:cs="宋体"/>
                <w:bCs/>
                <w:sz w:val="24"/>
              </w:rPr>
            </w:pPr>
          </w:p>
        </w:tc>
      </w:tr>
      <w:tr w14:paraId="1F20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84" w:type="dxa"/>
            <w:vMerge w:val="continue"/>
            <w:noWrap w:val="0"/>
            <w:vAlign w:val="center"/>
          </w:tcPr>
          <w:p w14:paraId="28C8BD96">
            <w:pPr>
              <w:spacing w:before="100" w:beforeAutospacing="1" w:after="100" w:afterAutospacing="1"/>
              <w:ind w:left="120" w:hanging="120"/>
              <w:jc w:val="center"/>
              <w:rPr>
                <w:rFonts w:hint="eastAsia" w:ascii="宋体" w:hAnsi="宋体" w:eastAsia="宋体" w:cs="宋体"/>
                <w:bCs/>
                <w:kern w:val="0"/>
                <w:sz w:val="24"/>
              </w:rPr>
            </w:pPr>
          </w:p>
        </w:tc>
        <w:tc>
          <w:tcPr>
            <w:tcW w:w="1617" w:type="dxa"/>
            <w:noWrap w:val="0"/>
            <w:vAlign w:val="center"/>
          </w:tcPr>
          <w:p w14:paraId="7165FDE8">
            <w:pPr>
              <w:ind w:left="120" w:hanging="120"/>
              <w:jc w:val="center"/>
              <w:rPr>
                <w:rFonts w:hint="eastAsia" w:ascii="宋体" w:hAnsi="宋体" w:eastAsia="宋体" w:cs="宋体"/>
                <w:bCs/>
                <w:sz w:val="24"/>
              </w:rPr>
            </w:pPr>
          </w:p>
        </w:tc>
        <w:tc>
          <w:tcPr>
            <w:tcW w:w="1519" w:type="dxa"/>
            <w:noWrap w:val="0"/>
            <w:vAlign w:val="center"/>
          </w:tcPr>
          <w:p w14:paraId="51558D62">
            <w:pPr>
              <w:ind w:left="120" w:hanging="120"/>
              <w:jc w:val="center"/>
              <w:rPr>
                <w:rFonts w:hint="eastAsia" w:ascii="宋体" w:hAnsi="宋体" w:eastAsia="宋体" w:cs="宋体"/>
                <w:bCs/>
                <w:sz w:val="24"/>
              </w:rPr>
            </w:pPr>
          </w:p>
        </w:tc>
        <w:tc>
          <w:tcPr>
            <w:tcW w:w="1649" w:type="dxa"/>
            <w:noWrap w:val="0"/>
            <w:vAlign w:val="center"/>
          </w:tcPr>
          <w:p w14:paraId="705517B6">
            <w:pPr>
              <w:ind w:left="120" w:hanging="120"/>
              <w:jc w:val="center"/>
              <w:rPr>
                <w:rFonts w:hint="eastAsia" w:ascii="宋体" w:hAnsi="宋体" w:eastAsia="宋体" w:cs="宋体"/>
                <w:bCs/>
                <w:sz w:val="24"/>
              </w:rPr>
            </w:pPr>
          </w:p>
        </w:tc>
        <w:tc>
          <w:tcPr>
            <w:tcW w:w="1455" w:type="dxa"/>
            <w:noWrap w:val="0"/>
            <w:vAlign w:val="center"/>
          </w:tcPr>
          <w:p w14:paraId="1966948B">
            <w:pPr>
              <w:ind w:left="120" w:hanging="120"/>
              <w:jc w:val="center"/>
              <w:rPr>
                <w:rFonts w:hint="eastAsia" w:ascii="宋体" w:hAnsi="宋体" w:eastAsia="宋体" w:cs="宋体"/>
                <w:bCs/>
                <w:sz w:val="24"/>
              </w:rPr>
            </w:pPr>
          </w:p>
        </w:tc>
        <w:tc>
          <w:tcPr>
            <w:tcW w:w="1560" w:type="dxa"/>
            <w:noWrap w:val="0"/>
            <w:vAlign w:val="center"/>
          </w:tcPr>
          <w:p w14:paraId="050C70D6">
            <w:pPr>
              <w:ind w:left="120" w:hanging="120"/>
              <w:jc w:val="center"/>
              <w:rPr>
                <w:rFonts w:hint="eastAsia" w:ascii="宋体" w:hAnsi="宋体" w:eastAsia="宋体" w:cs="宋体"/>
                <w:bCs/>
                <w:sz w:val="24"/>
              </w:rPr>
            </w:pPr>
          </w:p>
        </w:tc>
      </w:tr>
      <w:tr w14:paraId="7BAA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84" w:type="dxa"/>
            <w:vMerge w:val="restart"/>
            <w:noWrap w:val="0"/>
            <w:vAlign w:val="center"/>
          </w:tcPr>
          <w:p w14:paraId="46AEDE48">
            <w:pPr>
              <w:spacing w:before="100" w:beforeAutospacing="1" w:after="100" w:afterAutospacing="1"/>
              <w:ind w:left="120" w:hanging="120"/>
              <w:jc w:val="center"/>
              <w:rPr>
                <w:rFonts w:hint="eastAsia" w:ascii="宋体" w:hAnsi="宋体" w:eastAsia="宋体" w:cs="宋体"/>
                <w:bCs/>
                <w:kern w:val="0"/>
                <w:sz w:val="24"/>
              </w:rPr>
            </w:pPr>
            <w:r>
              <w:rPr>
                <w:rFonts w:hint="eastAsia" w:ascii="宋体" w:hAnsi="宋体" w:eastAsia="宋体" w:cs="宋体"/>
                <w:bCs/>
                <w:kern w:val="0"/>
                <w:sz w:val="24"/>
              </w:rPr>
              <w:t>竣工</w:t>
            </w:r>
          </w:p>
          <w:p w14:paraId="4E717378">
            <w:pPr>
              <w:spacing w:before="100" w:beforeAutospacing="1" w:after="100" w:afterAutospacing="1"/>
              <w:ind w:left="120" w:hanging="120"/>
              <w:jc w:val="center"/>
              <w:rPr>
                <w:rFonts w:hint="eastAsia" w:ascii="宋体" w:hAnsi="宋体" w:eastAsia="宋体" w:cs="宋体"/>
                <w:bCs/>
                <w:kern w:val="0"/>
                <w:sz w:val="24"/>
              </w:rPr>
            </w:pPr>
            <w:r>
              <w:rPr>
                <w:rFonts w:hint="eastAsia" w:ascii="宋体" w:hAnsi="宋体" w:eastAsia="宋体" w:cs="宋体"/>
                <w:bCs/>
                <w:kern w:val="0"/>
                <w:sz w:val="24"/>
              </w:rPr>
              <w:t>阶段</w:t>
            </w:r>
          </w:p>
        </w:tc>
        <w:tc>
          <w:tcPr>
            <w:tcW w:w="1617" w:type="dxa"/>
            <w:noWrap w:val="0"/>
            <w:vAlign w:val="center"/>
          </w:tcPr>
          <w:p w14:paraId="3CD1A7DD">
            <w:pPr>
              <w:ind w:left="120" w:hanging="120"/>
              <w:jc w:val="center"/>
              <w:rPr>
                <w:rFonts w:hint="eastAsia" w:ascii="宋体" w:hAnsi="宋体" w:eastAsia="宋体" w:cs="宋体"/>
                <w:bCs/>
                <w:sz w:val="24"/>
              </w:rPr>
            </w:pPr>
          </w:p>
        </w:tc>
        <w:tc>
          <w:tcPr>
            <w:tcW w:w="1519" w:type="dxa"/>
            <w:noWrap w:val="0"/>
            <w:vAlign w:val="center"/>
          </w:tcPr>
          <w:p w14:paraId="59C4369D">
            <w:pPr>
              <w:spacing w:line="240" w:lineRule="atLeast"/>
              <w:ind w:left="120" w:hanging="120"/>
              <w:jc w:val="center"/>
              <w:rPr>
                <w:rFonts w:hint="eastAsia" w:ascii="宋体" w:hAnsi="宋体" w:eastAsia="宋体" w:cs="宋体"/>
                <w:bCs/>
                <w:sz w:val="24"/>
              </w:rPr>
            </w:pPr>
          </w:p>
        </w:tc>
        <w:tc>
          <w:tcPr>
            <w:tcW w:w="1649" w:type="dxa"/>
            <w:noWrap w:val="0"/>
            <w:vAlign w:val="center"/>
          </w:tcPr>
          <w:p w14:paraId="467885BB">
            <w:pPr>
              <w:ind w:left="120" w:hanging="120"/>
              <w:jc w:val="center"/>
              <w:rPr>
                <w:rFonts w:hint="eastAsia" w:ascii="宋体" w:hAnsi="宋体" w:eastAsia="宋体" w:cs="宋体"/>
                <w:bCs/>
                <w:sz w:val="24"/>
              </w:rPr>
            </w:pPr>
          </w:p>
        </w:tc>
        <w:tc>
          <w:tcPr>
            <w:tcW w:w="1455" w:type="dxa"/>
            <w:noWrap w:val="0"/>
            <w:vAlign w:val="center"/>
          </w:tcPr>
          <w:p w14:paraId="67054DE6">
            <w:pPr>
              <w:ind w:left="120" w:hanging="120"/>
              <w:jc w:val="center"/>
              <w:rPr>
                <w:rFonts w:hint="eastAsia" w:ascii="宋体" w:hAnsi="宋体" w:eastAsia="宋体" w:cs="宋体"/>
                <w:bCs/>
                <w:sz w:val="24"/>
              </w:rPr>
            </w:pPr>
          </w:p>
        </w:tc>
        <w:tc>
          <w:tcPr>
            <w:tcW w:w="1560" w:type="dxa"/>
            <w:noWrap w:val="0"/>
            <w:vAlign w:val="center"/>
          </w:tcPr>
          <w:p w14:paraId="75F859C2">
            <w:pPr>
              <w:ind w:left="120" w:hanging="120"/>
              <w:jc w:val="center"/>
              <w:rPr>
                <w:rFonts w:hint="eastAsia" w:ascii="宋体" w:hAnsi="宋体" w:eastAsia="宋体" w:cs="宋体"/>
                <w:bCs/>
                <w:sz w:val="24"/>
              </w:rPr>
            </w:pPr>
          </w:p>
        </w:tc>
      </w:tr>
      <w:tr w14:paraId="5B84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184" w:type="dxa"/>
            <w:vMerge w:val="continue"/>
            <w:noWrap w:val="0"/>
            <w:vAlign w:val="center"/>
          </w:tcPr>
          <w:p w14:paraId="17EDFC20">
            <w:pPr>
              <w:spacing w:before="100" w:beforeAutospacing="1" w:after="100" w:afterAutospacing="1"/>
              <w:ind w:left="120" w:hanging="120"/>
              <w:jc w:val="center"/>
              <w:rPr>
                <w:rFonts w:hint="eastAsia" w:ascii="宋体" w:hAnsi="宋体" w:eastAsia="宋体" w:cs="宋体"/>
                <w:bCs/>
                <w:kern w:val="0"/>
                <w:sz w:val="24"/>
              </w:rPr>
            </w:pPr>
          </w:p>
        </w:tc>
        <w:tc>
          <w:tcPr>
            <w:tcW w:w="1617" w:type="dxa"/>
            <w:noWrap w:val="0"/>
            <w:vAlign w:val="center"/>
          </w:tcPr>
          <w:p w14:paraId="6207A1C3">
            <w:pPr>
              <w:ind w:left="120" w:hanging="120"/>
              <w:jc w:val="center"/>
              <w:rPr>
                <w:rFonts w:hint="eastAsia" w:ascii="宋体" w:hAnsi="宋体" w:eastAsia="宋体" w:cs="宋体"/>
                <w:bCs/>
                <w:sz w:val="24"/>
              </w:rPr>
            </w:pPr>
          </w:p>
        </w:tc>
        <w:tc>
          <w:tcPr>
            <w:tcW w:w="1519" w:type="dxa"/>
            <w:noWrap w:val="0"/>
            <w:vAlign w:val="center"/>
          </w:tcPr>
          <w:p w14:paraId="34A012DC">
            <w:pPr>
              <w:ind w:left="120" w:hanging="120"/>
              <w:jc w:val="center"/>
              <w:rPr>
                <w:rFonts w:hint="eastAsia" w:ascii="宋体" w:hAnsi="宋体" w:eastAsia="宋体" w:cs="宋体"/>
                <w:bCs/>
                <w:sz w:val="24"/>
              </w:rPr>
            </w:pPr>
          </w:p>
        </w:tc>
        <w:tc>
          <w:tcPr>
            <w:tcW w:w="1649" w:type="dxa"/>
            <w:noWrap w:val="0"/>
            <w:vAlign w:val="center"/>
          </w:tcPr>
          <w:p w14:paraId="4257B185">
            <w:pPr>
              <w:ind w:left="120" w:hanging="120"/>
              <w:jc w:val="center"/>
              <w:rPr>
                <w:rFonts w:hint="eastAsia" w:ascii="宋体" w:hAnsi="宋体" w:eastAsia="宋体" w:cs="宋体"/>
                <w:bCs/>
                <w:sz w:val="24"/>
              </w:rPr>
            </w:pPr>
          </w:p>
        </w:tc>
        <w:tc>
          <w:tcPr>
            <w:tcW w:w="1455" w:type="dxa"/>
            <w:noWrap w:val="0"/>
            <w:vAlign w:val="center"/>
          </w:tcPr>
          <w:p w14:paraId="4ADF8A83">
            <w:pPr>
              <w:ind w:left="120" w:hanging="120"/>
              <w:jc w:val="center"/>
              <w:rPr>
                <w:rFonts w:hint="eastAsia" w:ascii="宋体" w:hAnsi="宋体" w:eastAsia="宋体" w:cs="宋体"/>
                <w:bCs/>
                <w:sz w:val="24"/>
              </w:rPr>
            </w:pPr>
          </w:p>
        </w:tc>
        <w:tc>
          <w:tcPr>
            <w:tcW w:w="1560" w:type="dxa"/>
            <w:noWrap w:val="0"/>
            <w:vAlign w:val="center"/>
          </w:tcPr>
          <w:p w14:paraId="2646E69A">
            <w:pPr>
              <w:ind w:left="120" w:hanging="120"/>
              <w:jc w:val="center"/>
              <w:rPr>
                <w:rFonts w:hint="eastAsia" w:ascii="宋体" w:hAnsi="宋体" w:eastAsia="宋体" w:cs="宋体"/>
                <w:bCs/>
                <w:sz w:val="24"/>
              </w:rPr>
            </w:pPr>
          </w:p>
        </w:tc>
      </w:tr>
      <w:tr w14:paraId="6803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1184" w:type="dxa"/>
            <w:vMerge w:val="continue"/>
            <w:noWrap w:val="0"/>
            <w:vAlign w:val="center"/>
          </w:tcPr>
          <w:p w14:paraId="22A39354">
            <w:pPr>
              <w:ind w:left="120" w:hanging="120"/>
              <w:jc w:val="center"/>
              <w:rPr>
                <w:rFonts w:hint="eastAsia" w:ascii="宋体" w:hAnsi="宋体" w:eastAsia="宋体" w:cs="宋体"/>
                <w:bCs/>
                <w:sz w:val="24"/>
              </w:rPr>
            </w:pPr>
          </w:p>
        </w:tc>
        <w:tc>
          <w:tcPr>
            <w:tcW w:w="1617" w:type="dxa"/>
            <w:noWrap w:val="0"/>
            <w:vAlign w:val="center"/>
          </w:tcPr>
          <w:p w14:paraId="0CDA56C7">
            <w:pPr>
              <w:ind w:left="120" w:hanging="120"/>
              <w:jc w:val="center"/>
              <w:rPr>
                <w:rFonts w:hint="eastAsia" w:ascii="宋体" w:hAnsi="宋体" w:eastAsia="宋体" w:cs="宋体"/>
                <w:bCs/>
                <w:sz w:val="24"/>
              </w:rPr>
            </w:pPr>
          </w:p>
        </w:tc>
        <w:tc>
          <w:tcPr>
            <w:tcW w:w="1519" w:type="dxa"/>
            <w:noWrap w:val="0"/>
            <w:vAlign w:val="center"/>
          </w:tcPr>
          <w:p w14:paraId="7DB7504F">
            <w:pPr>
              <w:ind w:left="120" w:hanging="120"/>
              <w:jc w:val="center"/>
              <w:rPr>
                <w:rFonts w:hint="eastAsia" w:ascii="宋体" w:hAnsi="宋体" w:eastAsia="宋体" w:cs="宋体"/>
                <w:bCs/>
                <w:sz w:val="24"/>
              </w:rPr>
            </w:pPr>
          </w:p>
        </w:tc>
        <w:tc>
          <w:tcPr>
            <w:tcW w:w="1649" w:type="dxa"/>
            <w:noWrap w:val="0"/>
            <w:vAlign w:val="center"/>
          </w:tcPr>
          <w:p w14:paraId="7AE13296">
            <w:pPr>
              <w:ind w:left="120" w:hanging="120"/>
              <w:jc w:val="center"/>
              <w:rPr>
                <w:rFonts w:hint="eastAsia" w:ascii="宋体" w:hAnsi="宋体" w:eastAsia="宋体" w:cs="宋体"/>
                <w:bCs/>
                <w:sz w:val="24"/>
              </w:rPr>
            </w:pPr>
          </w:p>
        </w:tc>
        <w:tc>
          <w:tcPr>
            <w:tcW w:w="1455" w:type="dxa"/>
            <w:noWrap w:val="0"/>
            <w:vAlign w:val="center"/>
          </w:tcPr>
          <w:p w14:paraId="7170528B">
            <w:pPr>
              <w:ind w:left="120" w:hanging="120"/>
              <w:jc w:val="center"/>
              <w:rPr>
                <w:rFonts w:hint="eastAsia" w:ascii="宋体" w:hAnsi="宋体" w:eastAsia="宋体" w:cs="宋体"/>
                <w:bCs/>
                <w:sz w:val="24"/>
              </w:rPr>
            </w:pPr>
          </w:p>
        </w:tc>
        <w:tc>
          <w:tcPr>
            <w:tcW w:w="1560" w:type="dxa"/>
            <w:noWrap w:val="0"/>
            <w:vAlign w:val="center"/>
          </w:tcPr>
          <w:p w14:paraId="29E61F47">
            <w:pPr>
              <w:ind w:left="120" w:hanging="120"/>
              <w:jc w:val="center"/>
              <w:rPr>
                <w:rFonts w:hint="eastAsia" w:ascii="宋体" w:hAnsi="宋体" w:eastAsia="宋体" w:cs="宋体"/>
                <w:bCs/>
                <w:sz w:val="24"/>
              </w:rPr>
            </w:pPr>
          </w:p>
        </w:tc>
      </w:tr>
      <w:tr w14:paraId="65C4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jc w:val="center"/>
        </w:trPr>
        <w:tc>
          <w:tcPr>
            <w:tcW w:w="1184" w:type="dxa"/>
            <w:noWrap w:val="0"/>
            <w:vAlign w:val="center"/>
          </w:tcPr>
          <w:p w14:paraId="34D51622">
            <w:pPr>
              <w:ind w:left="120" w:hanging="120"/>
              <w:jc w:val="center"/>
              <w:rPr>
                <w:rFonts w:hint="eastAsia" w:ascii="宋体" w:hAnsi="宋体" w:eastAsia="宋体" w:cs="宋体"/>
                <w:bCs/>
                <w:sz w:val="24"/>
              </w:rPr>
            </w:pPr>
            <w:r>
              <w:rPr>
                <w:rFonts w:hint="eastAsia" w:ascii="宋体" w:hAnsi="宋体" w:eastAsia="宋体" w:cs="宋体"/>
                <w:bCs/>
                <w:sz w:val="24"/>
              </w:rPr>
              <w:t>其他</w:t>
            </w:r>
          </w:p>
          <w:p w14:paraId="244E8007">
            <w:pPr>
              <w:ind w:left="120" w:hanging="120"/>
              <w:jc w:val="center"/>
              <w:rPr>
                <w:rFonts w:hint="eastAsia" w:ascii="宋体" w:hAnsi="宋体" w:eastAsia="宋体" w:cs="宋体"/>
                <w:bCs/>
                <w:sz w:val="24"/>
              </w:rPr>
            </w:pPr>
            <w:r>
              <w:rPr>
                <w:rFonts w:hint="eastAsia" w:ascii="宋体" w:hAnsi="宋体" w:eastAsia="宋体" w:cs="宋体"/>
                <w:bCs/>
                <w:sz w:val="24"/>
              </w:rPr>
              <w:t>服务</w:t>
            </w:r>
          </w:p>
        </w:tc>
        <w:tc>
          <w:tcPr>
            <w:tcW w:w="1617" w:type="dxa"/>
            <w:noWrap w:val="0"/>
            <w:vAlign w:val="center"/>
          </w:tcPr>
          <w:p w14:paraId="28432FEE">
            <w:pPr>
              <w:ind w:left="120" w:hanging="120"/>
              <w:jc w:val="center"/>
              <w:rPr>
                <w:rFonts w:hint="eastAsia" w:ascii="宋体" w:hAnsi="宋体" w:eastAsia="宋体" w:cs="宋体"/>
                <w:bCs/>
                <w:sz w:val="24"/>
              </w:rPr>
            </w:pPr>
          </w:p>
        </w:tc>
        <w:tc>
          <w:tcPr>
            <w:tcW w:w="1519" w:type="dxa"/>
            <w:noWrap w:val="0"/>
            <w:vAlign w:val="center"/>
          </w:tcPr>
          <w:p w14:paraId="5E724FC3">
            <w:pPr>
              <w:ind w:left="120" w:hanging="120"/>
              <w:jc w:val="center"/>
              <w:rPr>
                <w:rFonts w:hint="eastAsia" w:ascii="宋体" w:hAnsi="宋体" w:eastAsia="宋体" w:cs="宋体"/>
                <w:bCs/>
                <w:sz w:val="24"/>
              </w:rPr>
            </w:pPr>
          </w:p>
        </w:tc>
        <w:tc>
          <w:tcPr>
            <w:tcW w:w="1649" w:type="dxa"/>
            <w:noWrap w:val="0"/>
            <w:vAlign w:val="center"/>
          </w:tcPr>
          <w:p w14:paraId="6C56A9D4">
            <w:pPr>
              <w:ind w:left="120" w:hanging="120"/>
              <w:jc w:val="center"/>
              <w:rPr>
                <w:rFonts w:hint="eastAsia" w:ascii="宋体" w:hAnsi="宋体" w:eastAsia="宋体" w:cs="宋体"/>
                <w:bCs/>
                <w:sz w:val="24"/>
              </w:rPr>
            </w:pPr>
          </w:p>
        </w:tc>
        <w:tc>
          <w:tcPr>
            <w:tcW w:w="1455" w:type="dxa"/>
            <w:noWrap w:val="0"/>
            <w:vAlign w:val="center"/>
          </w:tcPr>
          <w:p w14:paraId="4445A5D1">
            <w:pPr>
              <w:ind w:left="120" w:hanging="120"/>
              <w:jc w:val="center"/>
              <w:rPr>
                <w:rFonts w:hint="eastAsia" w:ascii="宋体" w:hAnsi="宋体" w:eastAsia="宋体" w:cs="宋体"/>
                <w:bCs/>
                <w:sz w:val="24"/>
              </w:rPr>
            </w:pPr>
          </w:p>
        </w:tc>
        <w:tc>
          <w:tcPr>
            <w:tcW w:w="1560" w:type="dxa"/>
            <w:noWrap w:val="0"/>
            <w:vAlign w:val="center"/>
          </w:tcPr>
          <w:p w14:paraId="751EDD97">
            <w:pPr>
              <w:ind w:left="120" w:hanging="120"/>
              <w:jc w:val="center"/>
              <w:rPr>
                <w:rFonts w:hint="eastAsia" w:ascii="宋体" w:hAnsi="宋体" w:eastAsia="宋体" w:cs="宋体"/>
                <w:bCs/>
                <w:sz w:val="24"/>
              </w:rPr>
            </w:pPr>
          </w:p>
        </w:tc>
      </w:tr>
    </w:tbl>
    <w:p w14:paraId="701CAFB2">
      <w:pPr>
        <w:keepNext/>
        <w:keepLines/>
        <w:spacing w:line="576" w:lineRule="auto"/>
        <w:ind w:left="120" w:hanging="120"/>
        <w:jc w:val="center"/>
        <w:outlineLvl w:val="0"/>
        <w:rPr>
          <w:rFonts w:hint="eastAsia" w:ascii="宋体" w:hAnsi="宋体" w:eastAsia="宋体" w:cs="宋体"/>
          <w:b/>
          <w:bCs/>
          <w:kern w:val="44"/>
          <w:sz w:val="24"/>
        </w:rPr>
      </w:pPr>
      <w:bookmarkStart w:id="295" w:name="_Toc419045128"/>
    </w:p>
    <w:p w14:paraId="724AFCB2">
      <w:pPr>
        <w:ind w:left="120" w:hanging="120"/>
        <w:rPr>
          <w:rFonts w:hint="eastAsia" w:ascii="宋体" w:hAnsi="宋体" w:eastAsia="宋体" w:cs="宋体"/>
          <w:sz w:val="24"/>
        </w:rPr>
      </w:pPr>
    </w:p>
    <w:p w14:paraId="37AAFF32">
      <w:pPr>
        <w:pStyle w:val="21"/>
        <w:ind w:firstLine="480"/>
        <w:rPr>
          <w:rFonts w:hint="eastAsia" w:ascii="宋体" w:hAnsi="宋体" w:eastAsia="宋体" w:cs="宋体"/>
          <w:sz w:val="24"/>
        </w:rPr>
      </w:pPr>
    </w:p>
    <w:p w14:paraId="651FC6E4">
      <w:pPr>
        <w:ind w:left="120" w:hanging="120"/>
        <w:rPr>
          <w:rFonts w:hint="eastAsia" w:ascii="宋体" w:hAnsi="宋体" w:eastAsia="宋体" w:cs="宋体"/>
          <w:sz w:val="24"/>
        </w:rPr>
      </w:pPr>
    </w:p>
    <w:p w14:paraId="531F82CC">
      <w:pPr>
        <w:pStyle w:val="18"/>
        <w:ind w:left="120" w:hanging="120"/>
        <w:rPr>
          <w:rFonts w:hint="eastAsia" w:ascii="宋体" w:hAnsi="宋体" w:eastAsia="宋体" w:cs="宋体"/>
        </w:rPr>
      </w:pPr>
    </w:p>
    <w:p w14:paraId="30D78D9D">
      <w:pPr>
        <w:ind w:left="120" w:hanging="120"/>
        <w:rPr>
          <w:rFonts w:hint="eastAsia" w:ascii="宋体" w:hAnsi="宋体" w:eastAsia="宋体" w:cs="宋体"/>
          <w:sz w:val="24"/>
        </w:rPr>
      </w:pPr>
    </w:p>
    <w:p w14:paraId="1EC2C424">
      <w:pPr>
        <w:pStyle w:val="18"/>
        <w:ind w:left="120" w:hanging="120"/>
        <w:rPr>
          <w:rFonts w:hint="eastAsia" w:ascii="宋体" w:hAnsi="宋体" w:eastAsia="宋体" w:cs="宋体"/>
        </w:rPr>
      </w:pPr>
    </w:p>
    <w:p w14:paraId="3AE187D3">
      <w:pPr>
        <w:ind w:left="120" w:hanging="120"/>
        <w:rPr>
          <w:rFonts w:hint="eastAsia" w:ascii="宋体" w:hAnsi="宋体" w:eastAsia="宋体" w:cs="宋体"/>
          <w:sz w:val="24"/>
        </w:rPr>
      </w:pPr>
    </w:p>
    <w:p w14:paraId="52D06C9B">
      <w:pPr>
        <w:pStyle w:val="18"/>
        <w:ind w:left="120" w:hanging="120"/>
        <w:rPr>
          <w:rFonts w:hint="eastAsia" w:ascii="宋体" w:hAnsi="宋体" w:eastAsia="宋体" w:cs="宋体"/>
        </w:rPr>
      </w:pPr>
    </w:p>
    <w:p w14:paraId="23A37695">
      <w:pPr>
        <w:keepNext/>
        <w:keepLines/>
        <w:spacing w:line="576" w:lineRule="auto"/>
        <w:ind w:left="120" w:hanging="120"/>
        <w:jc w:val="center"/>
        <w:outlineLvl w:val="0"/>
        <w:rPr>
          <w:rFonts w:hint="eastAsia" w:ascii="宋体" w:hAnsi="宋体" w:eastAsia="宋体" w:cs="宋体"/>
          <w:b/>
          <w:bCs/>
          <w:kern w:val="44"/>
          <w:sz w:val="24"/>
        </w:rPr>
      </w:pPr>
      <w:bookmarkStart w:id="296" w:name="_Toc256000085"/>
      <w:bookmarkStart w:id="297" w:name="_Toc256000193"/>
      <w:r>
        <w:rPr>
          <w:rFonts w:hint="eastAsia" w:ascii="宋体" w:hAnsi="宋体" w:eastAsia="宋体" w:cs="宋体"/>
          <w:b/>
          <w:bCs/>
          <w:kern w:val="44"/>
          <w:sz w:val="24"/>
        </w:rPr>
        <w:t>附录C　委托人提供资料一览表</w:t>
      </w:r>
      <w:bookmarkEnd w:id="295"/>
      <w:bookmarkEnd w:id="296"/>
      <w:bookmarkEnd w:id="297"/>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0"/>
        <w:gridCol w:w="1038"/>
        <w:gridCol w:w="2725"/>
        <w:gridCol w:w="2162"/>
      </w:tblGrid>
      <w:tr w14:paraId="69F3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516CB698">
            <w:pPr>
              <w:spacing w:before="100" w:beforeAutospacing="1" w:after="100" w:afterAutospacing="1"/>
              <w:ind w:left="120" w:hanging="120"/>
              <w:jc w:val="center"/>
              <w:rPr>
                <w:rFonts w:hint="eastAsia" w:ascii="宋体" w:hAnsi="宋体" w:eastAsia="宋体" w:cs="宋体"/>
                <w:kern w:val="0"/>
                <w:sz w:val="24"/>
              </w:rPr>
            </w:pPr>
            <w:r>
              <w:rPr>
                <w:rFonts w:hint="eastAsia" w:ascii="宋体" w:hAnsi="宋体" w:eastAsia="宋体" w:cs="宋体"/>
                <w:kern w:val="0"/>
                <w:sz w:val="24"/>
              </w:rPr>
              <w:t>名称</w:t>
            </w:r>
          </w:p>
        </w:tc>
        <w:tc>
          <w:tcPr>
            <w:tcW w:w="1038" w:type="dxa"/>
            <w:noWrap w:val="0"/>
            <w:vAlign w:val="top"/>
          </w:tcPr>
          <w:p w14:paraId="7EFBB59D">
            <w:pPr>
              <w:spacing w:before="100" w:beforeAutospacing="1" w:after="100" w:afterAutospacing="1"/>
              <w:ind w:left="120" w:hanging="120"/>
              <w:jc w:val="center"/>
              <w:rPr>
                <w:rFonts w:hint="eastAsia" w:ascii="宋体" w:hAnsi="宋体" w:eastAsia="宋体" w:cs="宋体"/>
                <w:kern w:val="0"/>
                <w:sz w:val="24"/>
              </w:rPr>
            </w:pPr>
            <w:r>
              <w:rPr>
                <w:rFonts w:hint="eastAsia" w:ascii="宋体" w:hAnsi="宋体" w:eastAsia="宋体" w:cs="宋体"/>
                <w:kern w:val="0"/>
                <w:sz w:val="24"/>
              </w:rPr>
              <w:t>份数</w:t>
            </w:r>
          </w:p>
        </w:tc>
        <w:tc>
          <w:tcPr>
            <w:tcW w:w="2725" w:type="dxa"/>
            <w:noWrap w:val="0"/>
            <w:vAlign w:val="top"/>
          </w:tcPr>
          <w:p w14:paraId="0607BB9F">
            <w:pPr>
              <w:spacing w:before="100" w:beforeAutospacing="1" w:after="100" w:afterAutospacing="1"/>
              <w:ind w:left="120" w:hanging="120"/>
              <w:jc w:val="center"/>
              <w:rPr>
                <w:rFonts w:hint="eastAsia" w:ascii="宋体" w:hAnsi="宋体" w:eastAsia="宋体" w:cs="宋体"/>
                <w:kern w:val="0"/>
                <w:sz w:val="24"/>
              </w:rPr>
            </w:pPr>
            <w:r>
              <w:rPr>
                <w:rFonts w:hint="eastAsia" w:ascii="宋体" w:hAnsi="宋体" w:eastAsia="宋体" w:cs="宋体"/>
                <w:kern w:val="0"/>
                <w:sz w:val="24"/>
              </w:rPr>
              <w:t>提供时间</w:t>
            </w:r>
          </w:p>
        </w:tc>
        <w:tc>
          <w:tcPr>
            <w:tcW w:w="2162" w:type="dxa"/>
            <w:noWrap w:val="0"/>
            <w:vAlign w:val="top"/>
          </w:tcPr>
          <w:p w14:paraId="264A252F">
            <w:pPr>
              <w:spacing w:before="100" w:beforeAutospacing="1" w:after="100" w:afterAutospacing="1"/>
              <w:ind w:left="120" w:hanging="120"/>
              <w:jc w:val="center"/>
              <w:rPr>
                <w:rFonts w:hint="eastAsia" w:ascii="宋体" w:hAnsi="宋体" w:eastAsia="宋体" w:cs="宋体"/>
                <w:kern w:val="0"/>
                <w:sz w:val="24"/>
              </w:rPr>
            </w:pPr>
            <w:r>
              <w:rPr>
                <w:rFonts w:hint="eastAsia" w:ascii="宋体" w:hAnsi="宋体" w:eastAsia="宋体" w:cs="宋体"/>
                <w:kern w:val="0"/>
                <w:sz w:val="24"/>
              </w:rPr>
              <w:t>备注</w:t>
            </w:r>
          </w:p>
        </w:tc>
      </w:tr>
      <w:tr w14:paraId="02A4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4809FD94">
            <w:pPr>
              <w:spacing w:before="100" w:beforeAutospacing="1" w:after="100" w:afterAutospacing="1"/>
              <w:ind w:left="120" w:hanging="120"/>
              <w:jc w:val="center"/>
              <w:rPr>
                <w:rFonts w:hint="eastAsia" w:ascii="宋体" w:hAnsi="宋体" w:eastAsia="宋体" w:cs="宋体"/>
                <w:kern w:val="0"/>
                <w:sz w:val="24"/>
              </w:rPr>
            </w:pPr>
          </w:p>
        </w:tc>
        <w:tc>
          <w:tcPr>
            <w:tcW w:w="1038" w:type="dxa"/>
            <w:noWrap w:val="0"/>
            <w:vAlign w:val="top"/>
          </w:tcPr>
          <w:p w14:paraId="383B2382">
            <w:pPr>
              <w:ind w:left="120" w:hanging="120"/>
              <w:jc w:val="center"/>
              <w:rPr>
                <w:rFonts w:hint="eastAsia" w:ascii="宋体" w:hAnsi="宋体" w:eastAsia="宋体" w:cs="宋体"/>
                <w:sz w:val="24"/>
              </w:rPr>
            </w:pPr>
          </w:p>
        </w:tc>
        <w:tc>
          <w:tcPr>
            <w:tcW w:w="2725" w:type="dxa"/>
            <w:noWrap w:val="0"/>
            <w:vAlign w:val="top"/>
          </w:tcPr>
          <w:p w14:paraId="0F942D99">
            <w:pPr>
              <w:ind w:left="120" w:hanging="120"/>
              <w:jc w:val="center"/>
              <w:rPr>
                <w:rFonts w:hint="eastAsia" w:ascii="宋体" w:hAnsi="宋体" w:eastAsia="宋体" w:cs="宋体"/>
                <w:sz w:val="24"/>
              </w:rPr>
            </w:pPr>
          </w:p>
        </w:tc>
        <w:tc>
          <w:tcPr>
            <w:tcW w:w="2162" w:type="dxa"/>
            <w:noWrap w:val="0"/>
            <w:vAlign w:val="top"/>
          </w:tcPr>
          <w:p w14:paraId="7FBE5807">
            <w:pPr>
              <w:ind w:left="120" w:hanging="120"/>
              <w:jc w:val="center"/>
              <w:rPr>
                <w:rFonts w:hint="eastAsia" w:ascii="宋体" w:hAnsi="宋体" w:eastAsia="宋体" w:cs="宋体"/>
                <w:sz w:val="24"/>
              </w:rPr>
            </w:pPr>
          </w:p>
        </w:tc>
      </w:tr>
      <w:tr w14:paraId="5B9E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1EA5458B">
            <w:pPr>
              <w:spacing w:before="100" w:beforeAutospacing="1" w:after="100" w:afterAutospacing="1"/>
              <w:ind w:left="120" w:hanging="120"/>
              <w:jc w:val="center"/>
              <w:rPr>
                <w:rFonts w:hint="eastAsia" w:ascii="宋体" w:hAnsi="宋体" w:eastAsia="宋体" w:cs="宋体"/>
                <w:kern w:val="0"/>
                <w:sz w:val="24"/>
              </w:rPr>
            </w:pPr>
          </w:p>
        </w:tc>
        <w:tc>
          <w:tcPr>
            <w:tcW w:w="1038" w:type="dxa"/>
            <w:noWrap w:val="0"/>
            <w:vAlign w:val="top"/>
          </w:tcPr>
          <w:p w14:paraId="32A81F0A">
            <w:pPr>
              <w:ind w:left="120" w:hanging="120"/>
              <w:jc w:val="center"/>
              <w:rPr>
                <w:rFonts w:hint="eastAsia" w:ascii="宋体" w:hAnsi="宋体" w:eastAsia="宋体" w:cs="宋体"/>
                <w:sz w:val="24"/>
              </w:rPr>
            </w:pPr>
          </w:p>
        </w:tc>
        <w:tc>
          <w:tcPr>
            <w:tcW w:w="2725" w:type="dxa"/>
            <w:noWrap w:val="0"/>
            <w:vAlign w:val="top"/>
          </w:tcPr>
          <w:p w14:paraId="791A37B3">
            <w:pPr>
              <w:ind w:left="120" w:hanging="120"/>
              <w:jc w:val="center"/>
              <w:rPr>
                <w:rFonts w:hint="eastAsia" w:ascii="宋体" w:hAnsi="宋体" w:eastAsia="宋体" w:cs="宋体"/>
                <w:sz w:val="24"/>
              </w:rPr>
            </w:pPr>
          </w:p>
        </w:tc>
        <w:tc>
          <w:tcPr>
            <w:tcW w:w="2162" w:type="dxa"/>
            <w:noWrap w:val="0"/>
            <w:vAlign w:val="top"/>
          </w:tcPr>
          <w:p w14:paraId="3FC5BC7B">
            <w:pPr>
              <w:ind w:left="120" w:hanging="120"/>
              <w:jc w:val="center"/>
              <w:rPr>
                <w:rFonts w:hint="eastAsia" w:ascii="宋体" w:hAnsi="宋体" w:eastAsia="宋体" w:cs="宋体"/>
                <w:sz w:val="24"/>
              </w:rPr>
            </w:pPr>
          </w:p>
        </w:tc>
      </w:tr>
      <w:tr w14:paraId="607B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4AFBF9C1">
            <w:pPr>
              <w:spacing w:before="100" w:beforeAutospacing="1" w:after="100" w:afterAutospacing="1"/>
              <w:ind w:left="120" w:hanging="120"/>
              <w:jc w:val="center"/>
              <w:rPr>
                <w:rFonts w:hint="eastAsia" w:ascii="宋体" w:hAnsi="宋体" w:eastAsia="宋体" w:cs="宋体"/>
                <w:kern w:val="0"/>
                <w:sz w:val="24"/>
              </w:rPr>
            </w:pPr>
          </w:p>
        </w:tc>
        <w:tc>
          <w:tcPr>
            <w:tcW w:w="1038" w:type="dxa"/>
            <w:noWrap w:val="0"/>
            <w:vAlign w:val="top"/>
          </w:tcPr>
          <w:p w14:paraId="758400C3">
            <w:pPr>
              <w:ind w:left="120" w:hanging="120"/>
              <w:jc w:val="center"/>
              <w:rPr>
                <w:rFonts w:hint="eastAsia" w:ascii="宋体" w:hAnsi="宋体" w:eastAsia="宋体" w:cs="宋体"/>
                <w:sz w:val="24"/>
              </w:rPr>
            </w:pPr>
          </w:p>
        </w:tc>
        <w:tc>
          <w:tcPr>
            <w:tcW w:w="2725" w:type="dxa"/>
            <w:noWrap w:val="0"/>
            <w:vAlign w:val="top"/>
          </w:tcPr>
          <w:p w14:paraId="797D4288">
            <w:pPr>
              <w:ind w:left="120" w:hanging="120"/>
              <w:jc w:val="center"/>
              <w:rPr>
                <w:rFonts w:hint="eastAsia" w:ascii="宋体" w:hAnsi="宋体" w:eastAsia="宋体" w:cs="宋体"/>
                <w:sz w:val="24"/>
              </w:rPr>
            </w:pPr>
          </w:p>
        </w:tc>
        <w:tc>
          <w:tcPr>
            <w:tcW w:w="2162" w:type="dxa"/>
            <w:noWrap w:val="0"/>
            <w:vAlign w:val="top"/>
          </w:tcPr>
          <w:p w14:paraId="4582994B">
            <w:pPr>
              <w:ind w:left="120" w:hanging="120"/>
              <w:jc w:val="center"/>
              <w:rPr>
                <w:rFonts w:hint="eastAsia" w:ascii="宋体" w:hAnsi="宋体" w:eastAsia="宋体" w:cs="宋体"/>
                <w:sz w:val="24"/>
              </w:rPr>
            </w:pPr>
          </w:p>
        </w:tc>
      </w:tr>
      <w:tr w14:paraId="4D5F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0438790A">
            <w:pPr>
              <w:spacing w:before="100" w:beforeAutospacing="1" w:after="100" w:afterAutospacing="1"/>
              <w:ind w:left="120" w:hanging="120"/>
              <w:jc w:val="center"/>
              <w:rPr>
                <w:rFonts w:hint="eastAsia" w:ascii="宋体" w:hAnsi="宋体" w:eastAsia="宋体" w:cs="宋体"/>
                <w:kern w:val="0"/>
                <w:sz w:val="24"/>
              </w:rPr>
            </w:pPr>
          </w:p>
        </w:tc>
        <w:tc>
          <w:tcPr>
            <w:tcW w:w="1038" w:type="dxa"/>
            <w:noWrap w:val="0"/>
            <w:vAlign w:val="top"/>
          </w:tcPr>
          <w:p w14:paraId="5E418DA9">
            <w:pPr>
              <w:ind w:left="120" w:hanging="120"/>
              <w:jc w:val="center"/>
              <w:rPr>
                <w:rFonts w:hint="eastAsia" w:ascii="宋体" w:hAnsi="宋体" w:eastAsia="宋体" w:cs="宋体"/>
                <w:sz w:val="24"/>
              </w:rPr>
            </w:pPr>
          </w:p>
        </w:tc>
        <w:tc>
          <w:tcPr>
            <w:tcW w:w="2725" w:type="dxa"/>
            <w:noWrap w:val="0"/>
            <w:vAlign w:val="top"/>
          </w:tcPr>
          <w:p w14:paraId="55EEAA57">
            <w:pPr>
              <w:ind w:left="120" w:hanging="120"/>
              <w:jc w:val="center"/>
              <w:rPr>
                <w:rFonts w:hint="eastAsia" w:ascii="宋体" w:hAnsi="宋体" w:eastAsia="宋体" w:cs="宋体"/>
                <w:sz w:val="24"/>
              </w:rPr>
            </w:pPr>
          </w:p>
        </w:tc>
        <w:tc>
          <w:tcPr>
            <w:tcW w:w="2162" w:type="dxa"/>
            <w:noWrap w:val="0"/>
            <w:vAlign w:val="top"/>
          </w:tcPr>
          <w:p w14:paraId="60DA6A49">
            <w:pPr>
              <w:ind w:left="120" w:hanging="120"/>
              <w:jc w:val="center"/>
              <w:rPr>
                <w:rFonts w:hint="eastAsia" w:ascii="宋体" w:hAnsi="宋体" w:eastAsia="宋体" w:cs="宋体"/>
                <w:sz w:val="24"/>
              </w:rPr>
            </w:pPr>
          </w:p>
        </w:tc>
      </w:tr>
      <w:tr w14:paraId="69CB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11AF8E5E">
            <w:pPr>
              <w:spacing w:before="100" w:beforeAutospacing="1" w:after="100" w:afterAutospacing="1"/>
              <w:ind w:left="120" w:hanging="120"/>
              <w:jc w:val="center"/>
              <w:rPr>
                <w:rFonts w:hint="eastAsia" w:ascii="宋体" w:hAnsi="宋体" w:eastAsia="宋体" w:cs="宋体"/>
                <w:kern w:val="0"/>
                <w:sz w:val="24"/>
              </w:rPr>
            </w:pPr>
          </w:p>
        </w:tc>
        <w:tc>
          <w:tcPr>
            <w:tcW w:w="1038" w:type="dxa"/>
            <w:noWrap w:val="0"/>
            <w:vAlign w:val="top"/>
          </w:tcPr>
          <w:p w14:paraId="086CABFE">
            <w:pPr>
              <w:ind w:left="120" w:hanging="120"/>
              <w:jc w:val="center"/>
              <w:rPr>
                <w:rFonts w:hint="eastAsia" w:ascii="宋体" w:hAnsi="宋体" w:eastAsia="宋体" w:cs="宋体"/>
                <w:sz w:val="24"/>
              </w:rPr>
            </w:pPr>
          </w:p>
        </w:tc>
        <w:tc>
          <w:tcPr>
            <w:tcW w:w="2725" w:type="dxa"/>
            <w:noWrap w:val="0"/>
            <w:vAlign w:val="top"/>
          </w:tcPr>
          <w:p w14:paraId="65639140">
            <w:pPr>
              <w:ind w:left="120" w:hanging="120"/>
              <w:jc w:val="center"/>
              <w:rPr>
                <w:rFonts w:hint="eastAsia" w:ascii="宋体" w:hAnsi="宋体" w:eastAsia="宋体" w:cs="宋体"/>
                <w:sz w:val="24"/>
              </w:rPr>
            </w:pPr>
          </w:p>
        </w:tc>
        <w:tc>
          <w:tcPr>
            <w:tcW w:w="2162" w:type="dxa"/>
            <w:noWrap w:val="0"/>
            <w:vAlign w:val="top"/>
          </w:tcPr>
          <w:p w14:paraId="0BE94A4F">
            <w:pPr>
              <w:ind w:left="120" w:hanging="120"/>
              <w:jc w:val="center"/>
              <w:rPr>
                <w:rFonts w:hint="eastAsia" w:ascii="宋体" w:hAnsi="宋体" w:eastAsia="宋体" w:cs="宋体"/>
                <w:sz w:val="24"/>
              </w:rPr>
            </w:pPr>
          </w:p>
        </w:tc>
      </w:tr>
      <w:tr w14:paraId="5062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7C8242A6">
            <w:pPr>
              <w:spacing w:before="100" w:beforeAutospacing="1" w:after="100" w:afterAutospacing="1"/>
              <w:ind w:left="120" w:hanging="120"/>
              <w:jc w:val="center"/>
              <w:rPr>
                <w:rFonts w:hint="eastAsia" w:ascii="宋体" w:hAnsi="宋体" w:eastAsia="宋体" w:cs="宋体"/>
                <w:kern w:val="0"/>
                <w:sz w:val="24"/>
              </w:rPr>
            </w:pPr>
          </w:p>
        </w:tc>
        <w:tc>
          <w:tcPr>
            <w:tcW w:w="1038" w:type="dxa"/>
            <w:noWrap w:val="0"/>
            <w:vAlign w:val="top"/>
          </w:tcPr>
          <w:p w14:paraId="4DEB956D">
            <w:pPr>
              <w:ind w:left="120" w:hanging="120"/>
              <w:jc w:val="center"/>
              <w:rPr>
                <w:rFonts w:hint="eastAsia" w:ascii="宋体" w:hAnsi="宋体" w:eastAsia="宋体" w:cs="宋体"/>
                <w:sz w:val="24"/>
              </w:rPr>
            </w:pPr>
          </w:p>
        </w:tc>
        <w:tc>
          <w:tcPr>
            <w:tcW w:w="2725" w:type="dxa"/>
            <w:noWrap w:val="0"/>
            <w:vAlign w:val="top"/>
          </w:tcPr>
          <w:p w14:paraId="2B3B6A33">
            <w:pPr>
              <w:ind w:left="120" w:hanging="120"/>
              <w:jc w:val="center"/>
              <w:rPr>
                <w:rFonts w:hint="eastAsia" w:ascii="宋体" w:hAnsi="宋体" w:eastAsia="宋体" w:cs="宋体"/>
                <w:sz w:val="24"/>
              </w:rPr>
            </w:pPr>
          </w:p>
        </w:tc>
        <w:tc>
          <w:tcPr>
            <w:tcW w:w="2162" w:type="dxa"/>
            <w:noWrap w:val="0"/>
            <w:vAlign w:val="top"/>
          </w:tcPr>
          <w:p w14:paraId="3C6FA842">
            <w:pPr>
              <w:ind w:left="120" w:hanging="120"/>
              <w:jc w:val="center"/>
              <w:rPr>
                <w:rFonts w:hint="eastAsia" w:ascii="宋体" w:hAnsi="宋体" w:eastAsia="宋体" w:cs="宋体"/>
                <w:sz w:val="24"/>
              </w:rPr>
            </w:pPr>
          </w:p>
        </w:tc>
      </w:tr>
      <w:tr w14:paraId="4EC2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71BE0472">
            <w:pPr>
              <w:ind w:left="120" w:hanging="120"/>
              <w:jc w:val="center"/>
              <w:rPr>
                <w:rFonts w:hint="eastAsia" w:ascii="宋体" w:hAnsi="宋体" w:eastAsia="宋体" w:cs="宋体"/>
                <w:sz w:val="24"/>
              </w:rPr>
            </w:pPr>
          </w:p>
        </w:tc>
        <w:tc>
          <w:tcPr>
            <w:tcW w:w="1038" w:type="dxa"/>
            <w:noWrap w:val="0"/>
            <w:vAlign w:val="top"/>
          </w:tcPr>
          <w:p w14:paraId="6E11E493">
            <w:pPr>
              <w:ind w:left="120" w:hanging="120"/>
              <w:jc w:val="center"/>
              <w:rPr>
                <w:rFonts w:hint="eastAsia" w:ascii="宋体" w:hAnsi="宋体" w:eastAsia="宋体" w:cs="宋体"/>
                <w:sz w:val="24"/>
              </w:rPr>
            </w:pPr>
          </w:p>
        </w:tc>
        <w:tc>
          <w:tcPr>
            <w:tcW w:w="2725" w:type="dxa"/>
            <w:noWrap w:val="0"/>
            <w:vAlign w:val="top"/>
          </w:tcPr>
          <w:p w14:paraId="6AD13A5F">
            <w:pPr>
              <w:ind w:left="120" w:hanging="120"/>
              <w:jc w:val="center"/>
              <w:rPr>
                <w:rFonts w:hint="eastAsia" w:ascii="宋体" w:hAnsi="宋体" w:eastAsia="宋体" w:cs="宋体"/>
                <w:sz w:val="24"/>
              </w:rPr>
            </w:pPr>
          </w:p>
        </w:tc>
        <w:tc>
          <w:tcPr>
            <w:tcW w:w="2162" w:type="dxa"/>
            <w:noWrap w:val="0"/>
            <w:vAlign w:val="top"/>
          </w:tcPr>
          <w:p w14:paraId="44F0F720">
            <w:pPr>
              <w:ind w:left="120" w:hanging="120"/>
              <w:jc w:val="center"/>
              <w:rPr>
                <w:rFonts w:hint="eastAsia" w:ascii="宋体" w:hAnsi="宋体" w:eastAsia="宋体" w:cs="宋体"/>
                <w:sz w:val="24"/>
              </w:rPr>
            </w:pPr>
          </w:p>
        </w:tc>
      </w:tr>
      <w:tr w14:paraId="4125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4DA7E5D1">
            <w:pPr>
              <w:ind w:left="120" w:hanging="120"/>
              <w:jc w:val="center"/>
              <w:rPr>
                <w:rFonts w:hint="eastAsia" w:ascii="宋体" w:hAnsi="宋体" w:eastAsia="宋体" w:cs="宋体"/>
                <w:sz w:val="24"/>
              </w:rPr>
            </w:pPr>
          </w:p>
        </w:tc>
        <w:tc>
          <w:tcPr>
            <w:tcW w:w="1038" w:type="dxa"/>
            <w:noWrap w:val="0"/>
            <w:vAlign w:val="top"/>
          </w:tcPr>
          <w:p w14:paraId="717D5E43">
            <w:pPr>
              <w:ind w:left="120" w:hanging="120"/>
              <w:jc w:val="center"/>
              <w:rPr>
                <w:rFonts w:hint="eastAsia" w:ascii="宋体" w:hAnsi="宋体" w:eastAsia="宋体" w:cs="宋体"/>
                <w:sz w:val="24"/>
              </w:rPr>
            </w:pPr>
          </w:p>
        </w:tc>
        <w:tc>
          <w:tcPr>
            <w:tcW w:w="2725" w:type="dxa"/>
            <w:noWrap w:val="0"/>
            <w:vAlign w:val="top"/>
          </w:tcPr>
          <w:p w14:paraId="7D2D0833">
            <w:pPr>
              <w:ind w:left="120" w:hanging="120"/>
              <w:jc w:val="center"/>
              <w:rPr>
                <w:rFonts w:hint="eastAsia" w:ascii="宋体" w:hAnsi="宋体" w:eastAsia="宋体" w:cs="宋体"/>
                <w:sz w:val="24"/>
              </w:rPr>
            </w:pPr>
          </w:p>
        </w:tc>
        <w:tc>
          <w:tcPr>
            <w:tcW w:w="2162" w:type="dxa"/>
            <w:noWrap w:val="0"/>
            <w:vAlign w:val="top"/>
          </w:tcPr>
          <w:p w14:paraId="5F605FEB">
            <w:pPr>
              <w:ind w:left="120" w:hanging="120"/>
              <w:jc w:val="center"/>
              <w:rPr>
                <w:rFonts w:hint="eastAsia" w:ascii="宋体" w:hAnsi="宋体" w:eastAsia="宋体" w:cs="宋体"/>
                <w:sz w:val="24"/>
              </w:rPr>
            </w:pPr>
          </w:p>
        </w:tc>
      </w:tr>
      <w:tr w14:paraId="689E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2F21774A">
            <w:pPr>
              <w:ind w:left="120" w:hanging="120"/>
              <w:jc w:val="center"/>
              <w:rPr>
                <w:rFonts w:hint="eastAsia" w:ascii="宋体" w:hAnsi="宋体" w:eastAsia="宋体" w:cs="宋体"/>
                <w:sz w:val="24"/>
              </w:rPr>
            </w:pPr>
          </w:p>
        </w:tc>
        <w:tc>
          <w:tcPr>
            <w:tcW w:w="1038" w:type="dxa"/>
            <w:noWrap w:val="0"/>
            <w:vAlign w:val="top"/>
          </w:tcPr>
          <w:p w14:paraId="3EFBD9E2">
            <w:pPr>
              <w:ind w:left="120" w:hanging="120"/>
              <w:jc w:val="center"/>
              <w:rPr>
                <w:rFonts w:hint="eastAsia" w:ascii="宋体" w:hAnsi="宋体" w:eastAsia="宋体" w:cs="宋体"/>
                <w:sz w:val="24"/>
              </w:rPr>
            </w:pPr>
          </w:p>
        </w:tc>
        <w:tc>
          <w:tcPr>
            <w:tcW w:w="2725" w:type="dxa"/>
            <w:noWrap w:val="0"/>
            <w:vAlign w:val="top"/>
          </w:tcPr>
          <w:p w14:paraId="6552B37D">
            <w:pPr>
              <w:ind w:left="120" w:hanging="120"/>
              <w:jc w:val="center"/>
              <w:rPr>
                <w:rFonts w:hint="eastAsia" w:ascii="宋体" w:hAnsi="宋体" w:eastAsia="宋体" w:cs="宋体"/>
                <w:sz w:val="24"/>
              </w:rPr>
            </w:pPr>
          </w:p>
        </w:tc>
        <w:tc>
          <w:tcPr>
            <w:tcW w:w="2162" w:type="dxa"/>
            <w:noWrap w:val="0"/>
            <w:vAlign w:val="top"/>
          </w:tcPr>
          <w:p w14:paraId="46C79EC1">
            <w:pPr>
              <w:ind w:left="120" w:hanging="120"/>
              <w:jc w:val="center"/>
              <w:rPr>
                <w:rFonts w:hint="eastAsia" w:ascii="宋体" w:hAnsi="宋体" w:eastAsia="宋体" w:cs="宋体"/>
                <w:sz w:val="24"/>
              </w:rPr>
            </w:pPr>
          </w:p>
        </w:tc>
      </w:tr>
      <w:tr w14:paraId="4FBA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0572F7CC">
            <w:pPr>
              <w:ind w:left="120" w:hanging="120"/>
              <w:jc w:val="center"/>
              <w:rPr>
                <w:rFonts w:hint="eastAsia" w:ascii="宋体" w:hAnsi="宋体" w:eastAsia="宋体" w:cs="宋体"/>
                <w:sz w:val="24"/>
              </w:rPr>
            </w:pPr>
          </w:p>
        </w:tc>
        <w:tc>
          <w:tcPr>
            <w:tcW w:w="1038" w:type="dxa"/>
            <w:noWrap w:val="0"/>
            <w:vAlign w:val="top"/>
          </w:tcPr>
          <w:p w14:paraId="6DDD8836">
            <w:pPr>
              <w:ind w:left="120" w:hanging="120"/>
              <w:jc w:val="center"/>
              <w:rPr>
                <w:rFonts w:hint="eastAsia" w:ascii="宋体" w:hAnsi="宋体" w:eastAsia="宋体" w:cs="宋体"/>
                <w:sz w:val="24"/>
              </w:rPr>
            </w:pPr>
          </w:p>
        </w:tc>
        <w:tc>
          <w:tcPr>
            <w:tcW w:w="2725" w:type="dxa"/>
            <w:noWrap w:val="0"/>
            <w:vAlign w:val="top"/>
          </w:tcPr>
          <w:p w14:paraId="051F35B1">
            <w:pPr>
              <w:ind w:left="120" w:hanging="120"/>
              <w:jc w:val="center"/>
              <w:rPr>
                <w:rFonts w:hint="eastAsia" w:ascii="宋体" w:hAnsi="宋体" w:eastAsia="宋体" w:cs="宋体"/>
                <w:sz w:val="24"/>
              </w:rPr>
            </w:pPr>
          </w:p>
        </w:tc>
        <w:tc>
          <w:tcPr>
            <w:tcW w:w="2162" w:type="dxa"/>
            <w:noWrap w:val="0"/>
            <w:vAlign w:val="top"/>
          </w:tcPr>
          <w:p w14:paraId="11651A77">
            <w:pPr>
              <w:ind w:left="120" w:hanging="120"/>
              <w:jc w:val="center"/>
              <w:rPr>
                <w:rFonts w:hint="eastAsia" w:ascii="宋体" w:hAnsi="宋体" w:eastAsia="宋体" w:cs="宋体"/>
                <w:sz w:val="24"/>
              </w:rPr>
            </w:pPr>
          </w:p>
        </w:tc>
      </w:tr>
      <w:tr w14:paraId="160A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502D6C09">
            <w:pPr>
              <w:ind w:left="120" w:hanging="120"/>
              <w:jc w:val="center"/>
              <w:rPr>
                <w:rFonts w:hint="eastAsia" w:ascii="宋体" w:hAnsi="宋体" w:eastAsia="宋体" w:cs="宋体"/>
                <w:sz w:val="24"/>
              </w:rPr>
            </w:pPr>
          </w:p>
        </w:tc>
        <w:tc>
          <w:tcPr>
            <w:tcW w:w="1038" w:type="dxa"/>
            <w:noWrap w:val="0"/>
            <w:vAlign w:val="top"/>
          </w:tcPr>
          <w:p w14:paraId="77984108">
            <w:pPr>
              <w:ind w:left="120" w:hanging="120"/>
              <w:jc w:val="center"/>
              <w:rPr>
                <w:rFonts w:hint="eastAsia" w:ascii="宋体" w:hAnsi="宋体" w:eastAsia="宋体" w:cs="宋体"/>
                <w:sz w:val="24"/>
              </w:rPr>
            </w:pPr>
          </w:p>
        </w:tc>
        <w:tc>
          <w:tcPr>
            <w:tcW w:w="2725" w:type="dxa"/>
            <w:noWrap w:val="0"/>
            <w:vAlign w:val="top"/>
          </w:tcPr>
          <w:p w14:paraId="769BA2A0">
            <w:pPr>
              <w:ind w:left="120" w:hanging="120"/>
              <w:jc w:val="center"/>
              <w:rPr>
                <w:rFonts w:hint="eastAsia" w:ascii="宋体" w:hAnsi="宋体" w:eastAsia="宋体" w:cs="宋体"/>
                <w:sz w:val="24"/>
              </w:rPr>
            </w:pPr>
          </w:p>
        </w:tc>
        <w:tc>
          <w:tcPr>
            <w:tcW w:w="2162" w:type="dxa"/>
            <w:noWrap w:val="0"/>
            <w:vAlign w:val="top"/>
          </w:tcPr>
          <w:p w14:paraId="3DC5E138">
            <w:pPr>
              <w:ind w:left="120" w:hanging="120"/>
              <w:jc w:val="center"/>
              <w:rPr>
                <w:rFonts w:hint="eastAsia" w:ascii="宋体" w:hAnsi="宋体" w:eastAsia="宋体" w:cs="宋体"/>
                <w:sz w:val="24"/>
              </w:rPr>
            </w:pPr>
          </w:p>
        </w:tc>
      </w:tr>
      <w:tr w14:paraId="4C2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023378B1">
            <w:pPr>
              <w:ind w:left="120" w:hanging="120"/>
              <w:jc w:val="center"/>
              <w:rPr>
                <w:rFonts w:hint="eastAsia" w:ascii="宋体" w:hAnsi="宋体" w:eastAsia="宋体" w:cs="宋体"/>
                <w:sz w:val="24"/>
              </w:rPr>
            </w:pPr>
          </w:p>
        </w:tc>
        <w:tc>
          <w:tcPr>
            <w:tcW w:w="1038" w:type="dxa"/>
            <w:noWrap w:val="0"/>
            <w:vAlign w:val="top"/>
          </w:tcPr>
          <w:p w14:paraId="051F3259">
            <w:pPr>
              <w:ind w:left="120" w:hanging="120"/>
              <w:jc w:val="center"/>
              <w:rPr>
                <w:rFonts w:hint="eastAsia" w:ascii="宋体" w:hAnsi="宋体" w:eastAsia="宋体" w:cs="宋体"/>
                <w:sz w:val="24"/>
              </w:rPr>
            </w:pPr>
          </w:p>
        </w:tc>
        <w:tc>
          <w:tcPr>
            <w:tcW w:w="2725" w:type="dxa"/>
            <w:noWrap w:val="0"/>
            <w:vAlign w:val="top"/>
          </w:tcPr>
          <w:p w14:paraId="5DE41158">
            <w:pPr>
              <w:ind w:left="120" w:hanging="120"/>
              <w:jc w:val="center"/>
              <w:rPr>
                <w:rFonts w:hint="eastAsia" w:ascii="宋体" w:hAnsi="宋体" w:eastAsia="宋体" w:cs="宋体"/>
                <w:sz w:val="24"/>
              </w:rPr>
            </w:pPr>
          </w:p>
        </w:tc>
        <w:tc>
          <w:tcPr>
            <w:tcW w:w="2162" w:type="dxa"/>
            <w:noWrap w:val="0"/>
            <w:vAlign w:val="top"/>
          </w:tcPr>
          <w:p w14:paraId="014277BA">
            <w:pPr>
              <w:ind w:left="120" w:hanging="120"/>
              <w:jc w:val="center"/>
              <w:rPr>
                <w:rFonts w:hint="eastAsia" w:ascii="宋体" w:hAnsi="宋体" w:eastAsia="宋体" w:cs="宋体"/>
                <w:sz w:val="24"/>
              </w:rPr>
            </w:pPr>
          </w:p>
        </w:tc>
      </w:tr>
      <w:tr w14:paraId="331A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68A7C8EE">
            <w:pPr>
              <w:ind w:left="120" w:hanging="120"/>
              <w:jc w:val="center"/>
              <w:rPr>
                <w:rFonts w:hint="eastAsia" w:ascii="宋体" w:hAnsi="宋体" w:eastAsia="宋体" w:cs="宋体"/>
                <w:sz w:val="24"/>
              </w:rPr>
            </w:pPr>
          </w:p>
        </w:tc>
        <w:tc>
          <w:tcPr>
            <w:tcW w:w="1038" w:type="dxa"/>
            <w:noWrap w:val="0"/>
            <w:vAlign w:val="top"/>
          </w:tcPr>
          <w:p w14:paraId="4EDAFE62">
            <w:pPr>
              <w:ind w:left="120" w:hanging="120"/>
              <w:jc w:val="center"/>
              <w:rPr>
                <w:rFonts w:hint="eastAsia" w:ascii="宋体" w:hAnsi="宋体" w:eastAsia="宋体" w:cs="宋体"/>
                <w:sz w:val="24"/>
              </w:rPr>
            </w:pPr>
          </w:p>
        </w:tc>
        <w:tc>
          <w:tcPr>
            <w:tcW w:w="2725" w:type="dxa"/>
            <w:noWrap w:val="0"/>
            <w:vAlign w:val="top"/>
          </w:tcPr>
          <w:p w14:paraId="7F582428">
            <w:pPr>
              <w:ind w:left="120" w:hanging="120"/>
              <w:jc w:val="center"/>
              <w:rPr>
                <w:rFonts w:hint="eastAsia" w:ascii="宋体" w:hAnsi="宋体" w:eastAsia="宋体" w:cs="宋体"/>
                <w:sz w:val="24"/>
              </w:rPr>
            </w:pPr>
          </w:p>
        </w:tc>
        <w:tc>
          <w:tcPr>
            <w:tcW w:w="2162" w:type="dxa"/>
            <w:noWrap w:val="0"/>
            <w:vAlign w:val="top"/>
          </w:tcPr>
          <w:p w14:paraId="058366FE">
            <w:pPr>
              <w:ind w:left="120" w:hanging="120"/>
              <w:jc w:val="center"/>
              <w:rPr>
                <w:rFonts w:hint="eastAsia" w:ascii="宋体" w:hAnsi="宋体" w:eastAsia="宋体" w:cs="宋体"/>
                <w:sz w:val="24"/>
              </w:rPr>
            </w:pPr>
          </w:p>
        </w:tc>
      </w:tr>
      <w:tr w14:paraId="2B10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16B7E1A8">
            <w:pPr>
              <w:ind w:left="120" w:hanging="120"/>
              <w:jc w:val="center"/>
              <w:rPr>
                <w:rFonts w:hint="eastAsia" w:ascii="宋体" w:hAnsi="宋体" w:eastAsia="宋体" w:cs="宋体"/>
                <w:sz w:val="24"/>
              </w:rPr>
            </w:pPr>
          </w:p>
        </w:tc>
        <w:tc>
          <w:tcPr>
            <w:tcW w:w="1038" w:type="dxa"/>
            <w:noWrap w:val="0"/>
            <w:vAlign w:val="top"/>
          </w:tcPr>
          <w:p w14:paraId="51ADB86D">
            <w:pPr>
              <w:ind w:left="120" w:hanging="120"/>
              <w:jc w:val="center"/>
              <w:rPr>
                <w:rFonts w:hint="eastAsia" w:ascii="宋体" w:hAnsi="宋体" w:eastAsia="宋体" w:cs="宋体"/>
                <w:sz w:val="24"/>
              </w:rPr>
            </w:pPr>
          </w:p>
        </w:tc>
        <w:tc>
          <w:tcPr>
            <w:tcW w:w="2725" w:type="dxa"/>
            <w:noWrap w:val="0"/>
            <w:vAlign w:val="top"/>
          </w:tcPr>
          <w:p w14:paraId="0ECA1A04">
            <w:pPr>
              <w:ind w:left="120" w:hanging="120"/>
              <w:jc w:val="center"/>
              <w:rPr>
                <w:rFonts w:hint="eastAsia" w:ascii="宋体" w:hAnsi="宋体" w:eastAsia="宋体" w:cs="宋体"/>
                <w:sz w:val="24"/>
              </w:rPr>
            </w:pPr>
          </w:p>
        </w:tc>
        <w:tc>
          <w:tcPr>
            <w:tcW w:w="2162" w:type="dxa"/>
            <w:noWrap w:val="0"/>
            <w:vAlign w:val="top"/>
          </w:tcPr>
          <w:p w14:paraId="2CA6E35B">
            <w:pPr>
              <w:ind w:left="120" w:hanging="120"/>
              <w:jc w:val="center"/>
              <w:rPr>
                <w:rFonts w:hint="eastAsia" w:ascii="宋体" w:hAnsi="宋体" w:eastAsia="宋体" w:cs="宋体"/>
                <w:sz w:val="24"/>
              </w:rPr>
            </w:pPr>
          </w:p>
        </w:tc>
      </w:tr>
      <w:tr w14:paraId="0D86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2D70C6CE">
            <w:pPr>
              <w:ind w:left="120" w:hanging="120"/>
              <w:jc w:val="center"/>
              <w:rPr>
                <w:rFonts w:hint="eastAsia" w:ascii="宋体" w:hAnsi="宋体" w:eastAsia="宋体" w:cs="宋体"/>
                <w:sz w:val="24"/>
              </w:rPr>
            </w:pPr>
          </w:p>
        </w:tc>
        <w:tc>
          <w:tcPr>
            <w:tcW w:w="1038" w:type="dxa"/>
            <w:noWrap w:val="0"/>
            <w:vAlign w:val="top"/>
          </w:tcPr>
          <w:p w14:paraId="1D3C2AC6">
            <w:pPr>
              <w:ind w:left="120" w:hanging="120"/>
              <w:jc w:val="center"/>
              <w:rPr>
                <w:rFonts w:hint="eastAsia" w:ascii="宋体" w:hAnsi="宋体" w:eastAsia="宋体" w:cs="宋体"/>
                <w:sz w:val="24"/>
              </w:rPr>
            </w:pPr>
          </w:p>
        </w:tc>
        <w:tc>
          <w:tcPr>
            <w:tcW w:w="2725" w:type="dxa"/>
            <w:noWrap w:val="0"/>
            <w:vAlign w:val="top"/>
          </w:tcPr>
          <w:p w14:paraId="633CD49A">
            <w:pPr>
              <w:ind w:left="120" w:hanging="120"/>
              <w:jc w:val="center"/>
              <w:rPr>
                <w:rFonts w:hint="eastAsia" w:ascii="宋体" w:hAnsi="宋体" w:eastAsia="宋体" w:cs="宋体"/>
                <w:sz w:val="24"/>
              </w:rPr>
            </w:pPr>
          </w:p>
        </w:tc>
        <w:tc>
          <w:tcPr>
            <w:tcW w:w="2162" w:type="dxa"/>
            <w:noWrap w:val="0"/>
            <w:vAlign w:val="top"/>
          </w:tcPr>
          <w:p w14:paraId="71F0E180">
            <w:pPr>
              <w:ind w:left="120" w:hanging="120"/>
              <w:jc w:val="center"/>
              <w:rPr>
                <w:rFonts w:hint="eastAsia" w:ascii="宋体" w:hAnsi="宋体" w:eastAsia="宋体" w:cs="宋体"/>
                <w:sz w:val="24"/>
              </w:rPr>
            </w:pPr>
          </w:p>
        </w:tc>
      </w:tr>
      <w:tr w14:paraId="5B16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2B56CB3A">
            <w:pPr>
              <w:ind w:left="120" w:hanging="120"/>
              <w:jc w:val="center"/>
              <w:rPr>
                <w:rFonts w:hint="eastAsia" w:ascii="宋体" w:hAnsi="宋体" w:eastAsia="宋体" w:cs="宋体"/>
                <w:sz w:val="24"/>
              </w:rPr>
            </w:pPr>
          </w:p>
        </w:tc>
        <w:tc>
          <w:tcPr>
            <w:tcW w:w="1038" w:type="dxa"/>
            <w:noWrap w:val="0"/>
            <w:vAlign w:val="top"/>
          </w:tcPr>
          <w:p w14:paraId="668CD958">
            <w:pPr>
              <w:ind w:left="120" w:hanging="120"/>
              <w:jc w:val="center"/>
              <w:rPr>
                <w:rFonts w:hint="eastAsia" w:ascii="宋体" w:hAnsi="宋体" w:eastAsia="宋体" w:cs="宋体"/>
                <w:sz w:val="24"/>
              </w:rPr>
            </w:pPr>
          </w:p>
        </w:tc>
        <w:tc>
          <w:tcPr>
            <w:tcW w:w="2725" w:type="dxa"/>
            <w:noWrap w:val="0"/>
            <w:vAlign w:val="top"/>
          </w:tcPr>
          <w:p w14:paraId="03D51414">
            <w:pPr>
              <w:ind w:left="120" w:hanging="120"/>
              <w:jc w:val="center"/>
              <w:rPr>
                <w:rFonts w:hint="eastAsia" w:ascii="宋体" w:hAnsi="宋体" w:eastAsia="宋体" w:cs="宋体"/>
                <w:sz w:val="24"/>
              </w:rPr>
            </w:pPr>
          </w:p>
        </w:tc>
        <w:tc>
          <w:tcPr>
            <w:tcW w:w="2162" w:type="dxa"/>
            <w:noWrap w:val="0"/>
            <w:vAlign w:val="top"/>
          </w:tcPr>
          <w:p w14:paraId="1C8AEC79">
            <w:pPr>
              <w:ind w:left="120" w:hanging="120"/>
              <w:jc w:val="center"/>
              <w:rPr>
                <w:rFonts w:hint="eastAsia" w:ascii="宋体" w:hAnsi="宋体" w:eastAsia="宋体" w:cs="宋体"/>
                <w:sz w:val="24"/>
              </w:rPr>
            </w:pPr>
          </w:p>
        </w:tc>
      </w:tr>
      <w:tr w14:paraId="590C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3D703D72">
            <w:pPr>
              <w:ind w:left="120" w:hanging="120"/>
              <w:jc w:val="center"/>
              <w:rPr>
                <w:rFonts w:hint="eastAsia" w:ascii="宋体" w:hAnsi="宋体" w:eastAsia="宋体" w:cs="宋体"/>
                <w:sz w:val="24"/>
              </w:rPr>
            </w:pPr>
          </w:p>
        </w:tc>
        <w:tc>
          <w:tcPr>
            <w:tcW w:w="1038" w:type="dxa"/>
            <w:noWrap w:val="0"/>
            <w:vAlign w:val="top"/>
          </w:tcPr>
          <w:p w14:paraId="6C468C90">
            <w:pPr>
              <w:ind w:left="120" w:hanging="120"/>
              <w:jc w:val="center"/>
              <w:rPr>
                <w:rFonts w:hint="eastAsia" w:ascii="宋体" w:hAnsi="宋体" w:eastAsia="宋体" w:cs="宋体"/>
                <w:sz w:val="24"/>
              </w:rPr>
            </w:pPr>
          </w:p>
        </w:tc>
        <w:tc>
          <w:tcPr>
            <w:tcW w:w="2725" w:type="dxa"/>
            <w:noWrap w:val="0"/>
            <w:vAlign w:val="top"/>
          </w:tcPr>
          <w:p w14:paraId="4D7D1CF0">
            <w:pPr>
              <w:ind w:left="120" w:hanging="120"/>
              <w:jc w:val="center"/>
              <w:rPr>
                <w:rFonts w:hint="eastAsia" w:ascii="宋体" w:hAnsi="宋体" w:eastAsia="宋体" w:cs="宋体"/>
                <w:sz w:val="24"/>
              </w:rPr>
            </w:pPr>
          </w:p>
        </w:tc>
        <w:tc>
          <w:tcPr>
            <w:tcW w:w="2162" w:type="dxa"/>
            <w:noWrap w:val="0"/>
            <w:vAlign w:val="top"/>
          </w:tcPr>
          <w:p w14:paraId="15EECCFD">
            <w:pPr>
              <w:ind w:left="120" w:hanging="120"/>
              <w:jc w:val="center"/>
              <w:rPr>
                <w:rFonts w:hint="eastAsia" w:ascii="宋体" w:hAnsi="宋体" w:eastAsia="宋体" w:cs="宋体"/>
                <w:sz w:val="24"/>
              </w:rPr>
            </w:pPr>
          </w:p>
        </w:tc>
      </w:tr>
      <w:tr w14:paraId="7F2A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0834878C">
            <w:pPr>
              <w:ind w:left="120" w:hanging="120"/>
              <w:jc w:val="center"/>
              <w:rPr>
                <w:rFonts w:hint="eastAsia" w:ascii="宋体" w:hAnsi="宋体" w:eastAsia="宋体" w:cs="宋体"/>
                <w:sz w:val="24"/>
              </w:rPr>
            </w:pPr>
          </w:p>
        </w:tc>
        <w:tc>
          <w:tcPr>
            <w:tcW w:w="1038" w:type="dxa"/>
            <w:noWrap w:val="0"/>
            <w:vAlign w:val="top"/>
          </w:tcPr>
          <w:p w14:paraId="68F072FD">
            <w:pPr>
              <w:ind w:left="120" w:hanging="120"/>
              <w:jc w:val="center"/>
              <w:rPr>
                <w:rFonts w:hint="eastAsia" w:ascii="宋体" w:hAnsi="宋体" w:eastAsia="宋体" w:cs="宋体"/>
                <w:sz w:val="24"/>
              </w:rPr>
            </w:pPr>
          </w:p>
        </w:tc>
        <w:tc>
          <w:tcPr>
            <w:tcW w:w="2725" w:type="dxa"/>
            <w:noWrap w:val="0"/>
            <w:vAlign w:val="top"/>
          </w:tcPr>
          <w:p w14:paraId="2EEB881F">
            <w:pPr>
              <w:ind w:left="120" w:hanging="120"/>
              <w:jc w:val="center"/>
              <w:rPr>
                <w:rFonts w:hint="eastAsia" w:ascii="宋体" w:hAnsi="宋体" w:eastAsia="宋体" w:cs="宋体"/>
                <w:sz w:val="24"/>
              </w:rPr>
            </w:pPr>
          </w:p>
        </w:tc>
        <w:tc>
          <w:tcPr>
            <w:tcW w:w="2162" w:type="dxa"/>
            <w:noWrap w:val="0"/>
            <w:vAlign w:val="top"/>
          </w:tcPr>
          <w:p w14:paraId="1B01837E">
            <w:pPr>
              <w:ind w:left="120" w:hanging="120"/>
              <w:jc w:val="center"/>
              <w:rPr>
                <w:rFonts w:hint="eastAsia" w:ascii="宋体" w:hAnsi="宋体" w:eastAsia="宋体" w:cs="宋体"/>
                <w:sz w:val="24"/>
              </w:rPr>
            </w:pPr>
          </w:p>
        </w:tc>
      </w:tr>
      <w:tr w14:paraId="4ECE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54E29A03">
            <w:pPr>
              <w:ind w:left="120" w:hanging="120"/>
              <w:jc w:val="center"/>
              <w:rPr>
                <w:rFonts w:hint="eastAsia" w:ascii="宋体" w:hAnsi="宋体" w:eastAsia="宋体" w:cs="宋体"/>
                <w:sz w:val="24"/>
              </w:rPr>
            </w:pPr>
          </w:p>
        </w:tc>
        <w:tc>
          <w:tcPr>
            <w:tcW w:w="1038" w:type="dxa"/>
            <w:noWrap w:val="0"/>
            <w:vAlign w:val="top"/>
          </w:tcPr>
          <w:p w14:paraId="73E2837F">
            <w:pPr>
              <w:ind w:left="120" w:hanging="120"/>
              <w:jc w:val="center"/>
              <w:rPr>
                <w:rFonts w:hint="eastAsia" w:ascii="宋体" w:hAnsi="宋体" w:eastAsia="宋体" w:cs="宋体"/>
                <w:sz w:val="24"/>
              </w:rPr>
            </w:pPr>
          </w:p>
        </w:tc>
        <w:tc>
          <w:tcPr>
            <w:tcW w:w="2725" w:type="dxa"/>
            <w:noWrap w:val="0"/>
            <w:vAlign w:val="top"/>
          </w:tcPr>
          <w:p w14:paraId="2EE386D0">
            <w:pPr>
              <w:ind w:left="120" w:hanging="120"/>
              <w:jc w:val="center"/>
              <w:rPr>
                <w:rFonts w:hint="eastAsia" w:ascii="宋体" w:hAnsi="宋体" w:eastAsia="宋体" w:cs="宋体"/>
                <w:sz w:val="24"/>
              </w:rPr>
            </w:pPr>
          </w:p>
        </w:tc>
        <w:tc>
          <w:tcPr>
            <w:tcW w:w="2162" w:type="dxa"/>
            <w:noWrap w:val="0"/>
            <w:vAlign w:val="top"/>
          </w:tcPr>
          <w:p w14:paraId="76620BFA">
            <w:pPr>
              <w:ind w:left="120" w:hanging="120"/>
              <w:jc w:val="center"/>
              <w:rPr>
                <w:rFonts w:hint="eastAsia" w:ascii="宋体" w:hAnsi="宋体" w:eastAsia="宋体" w:cs="宋体"/>
                <w:sz w:val="24"/>
              </w:rPr>
            </w:pPr>
          </w:p>
        </w:tc>
      </w:tr>
      <w:tr w14:paraId="71A9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29A6383B">
            <w:pPr>
              <w:ind w:left="120" w:hanging="120"/>
              <w:jc w:val="center"/>
              <w:rPr>
                <w:rFonts w:hint="eastAsia" w:ascii="宋体" w:hAnsi="宋体" w:eastAsia="宋体" w:cs="宋体"/>
                <w:sz w:val="24"/>
              </w:rPr>
            </w:pPr>
          </w:p>
        </w:tc>
        <w:tc>
          <w:tcPr>
            <w:tcW w:w="1038" w:type="dxa"/>
            <w:noWrap w:val="0"/>
            <w:vAlign w:val="top"/>
          </w:tcPr>
          <w:p w14:paraId="2890363C">
            <w:pPr>
              <w:ind w:left="120" w:hanging="120"/>
              <w:jc w:val="center"/>
              <w:rPr>
                <w:rFonts w:hint="eastAsia" w:ascii="宋体" w:hAnsi="宋体" w:eastAsia="宋体" w:cs="宋体"/>
                <w:sz w:val="24"/>
              </w:rPr>
            </w:pPr>
          </w:p>
        </w:tc>
        <w:tc>
          <w:tcPr>
            <w:tcW w:w="2725" w:type="dxa"/>
            <w:noWrap w:val="0"/>
            <w:vAlign w:val="top"/>
          </w:tcPr>
          <w:p w14:paraId="7ED9A4E4">
            <w:pPr>
              <w:ind w:left="120" w:hanging="120"/>
              <w:jc w:val="center"/>
              <w:rPr>
                <w:rFonts w:hint="eastAsia" w:ascii="宋体" w:hAnsi="宋体" w:eastAsia="宋体" w:cs="宋体"/>
                <w:sz w:val="24"/>
              </w:rPr>
            </w:pPr>
          </w:p>
        </w:tc>
        <w:tc>
          <w:tcPr>
            <w:tcW w:w="2162" w:type="dxa"/>
            <w:noWrap w:val="0"/>
            <w:vAlign w:val="top"/>
          </w:tcPr>
          <w:p w14:paraId="2E63D714">
            <w:pPr>
              <w:ind w:left="120" w:hanging="120"/>
              <w:jc w:val="center"/>
              <w:rPr>
                <w:rFonts w:hint="eastAsia" w:ascii="宋体" w:hAnsi="宋体" w:eastAsia="宋体" w:cs="宋体"/>
                <w:sz w:val="24"/>
              </w:rPr>
            </w:pPr>
          </w:p>
        </w:tc>
      </w:tr>
      <w:tr w14:paraId="1625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496FD0B0">
            <w:pPr>
              <w:ind w:left="120" w:hanging="120"/>
              <w:jc w:val="center"/>
              <w:rPr>
                <w:rFonts w:hint="eastAsia" w:ascii="宋体" w:hAnsi="宋体" w:eastAsia="宋体" w:cs="宋体"/>
                <w:sz w:val="24"/>
              </w:rPr>
            </w:pPr>
          </w:p>
        </w:tc>
        <w:tc>
          <w:tcPr>
            <w:tcW w:w="1038" w:type="dxa"/>
            <w:noWrap w:val="0"/>
            <w:vAlign w:val="top"/>
          </w:tcPr>
          <w:p w14:paraId="342BD8BB">
            <w:pPr>
              <w:ind w:left="120" w:hanging="120"/>
              <w:jc w:val="center"/>
              <w:rPr>
                <w:rFonts w:hint="eastAsia" w:ascii="宋体" w:hAnsi="宋体" w:eastAsia="宋体" w:cs="宋体"/>
                <w:sz w:val="24"/>
              </w:rPr>
            </w:pPr>
          </w:p>
        </w:tc>
        <w:tc>
          <w:tcPr>
            <w:tcW w:w="2725" w:type="dxa"/>
            <w:noWrap w:val="0"/>
            <w:vAlign w:val="top"/>
          </w:tcPr>
          <w:p w14:paraId="6E4A75D7">
            <w:pPr>
              <w:ind w:left="120" w:hanging="120"/>
              <w:jc w:val="center"/>
              <w:rPr>
                <w:rFonts w:hint="eastAsia" w:ascii="宋体" w:hAnsi="宋体" w:eastAsia="宋体" w:cs="宋体"/>
                <w:sz w:val="24"/>
              </w:rPr>
            </w:pPr>
          </w:p>
        </w:tc>
        <w:tc>
          <w:tcPr>
            <w:tcW w:w="2162" w:type="dxa"/>
            <w:noWrap w:val="0"/>
            <w:vAlign w:val="top"/>
          </w:tcPr>
          <w:p w14:paraId="5962EFE2">
            <w:pPr>
              <w:ind w:left="120" w:hanging="120"/>
              <w:jc w:val="center"/>
              <w:rPr>
                <w:rFonts w:hint="eastAsia" w:ascii="宋体" w:hAnsi="宋体" w:eastAsia="宋体" w:cs="宋体"/>
                <w:sz w:val="24"/>
              </w:rPr>
            </w:pPr>
          </w:p>
        </w:tc>
      </w:tr>
      <w:tr w14:paraId="2305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17831B98">
            <w:pPr>
              <w:ind w:left="120" w:hanging="120"/>
              <w:jc w:val="center"/>
              <w:rPr>
                <w:rFonts w:hint="eastAsia" w:ascii="宋体" w:hAnsi="宋体" w:eastAsia="宋体" w:cs="宋体"/>
                <w:sz w:val="24"/>
              </w:rPr>
            </w:pPr>
          </w:p>
        </w:tc>
        <w:tc>
          <w:tcPr>
            <w:tcW w:w="1038" w:type="dxa"/>
            <w:noWrap w:val="0"/>
            <w:vAlign w:val="top"/>
          </w:tcPr>
          <w:p w14:paraId="56F4CF47">
            <w:pPr>
              <w:ind w:left="120" w:hanging="120"/>
              <w:jc w:val="center"/>
              <w:rPr>
                <w:rFonts w:hint="eastAsia" w:ascii="宋体" w:hAnsi="宋体" w:eastAsia="宋体" w:cs="宋体"/>
                <w:sz w:val="24"/>
              </w:rPr>
            </w:pPr>
          </w:p>
        </w:tc>
        <w:tc>
          <w:tcPr>
            <w:tcW w:w="2725" w:type="dxa"/>
            <w:noWrap w:val="0"/>
            <w:vAlign w:val="top"/>
          </w:tcPr>
          <w:p w14:paraId="052B1AF4">
            <w:pPr>
              <w:ind w:left="120" w:hanging="120"/>
              <w:jc w:val="center"/>
              <w:rPr>
                <w:rFonts w:hint="eastAsia" w:ascii="宋体" w:hAnsi="宋体" w:eastAsia="宋体" w:cs="宋体"/>
                <w:sz w:val="24"/>
              </w:rPr>
            </w:pPr>
          </w:p>
        </w:tc>
        <w:tc>
          <w:tcPr>
            <w:tcW w:w="2162" w:type="dxa"/>
            <w:noWrap w:val="0"/>
            <w:vAlign w:val="top"/>
          </w:tcPr>
          <w:p w14:paraId="2133BB56">
            <w:pPr>
              <w:ind w:left="120" w:hanging="120"/>
              <w:jc w:val="center"/>
              <w:rPr>
                <w:rFonts w:hint="eastAsia" w:ascii="宋体" w:hAnsi="宋体" w:eastAsia="宋体" w:cs="宋体"/>
                <w:sz w:val="24"/>
              </w:rPr>
            </w:pPr>
          </w:p>
        </w:tc>
      </w:tr>
      <w:tr w14:paraId="1F7B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320B5960">
            <w:pPr>
              <w:ind w:left="120" w:hanging="120"/>
              <w:jc w:val="center"/>
              <w:rPr>
                <w:rFonts w:hint="eastAsia" w:ascii="宋体" w:hAnsi="宋体" w:eastAsia="宋体" w:cs="宋体"/>
                <w:sz w:val="24"/>
              </w:rPr>
            </w:pPr>
          </w:p>
        </w:tc>
        <w:tc>
          <w:tcPr>
            <w:tcW w:w="1038" w:type="dxa"/>
            <w:noWrap w:val="0"/>
            <w:vAlign w:val="top"/>
          </w:tcPr>
          <w:p w14:paraId="27655A20">
            <w:pPr>
              <w:ind w:left="120" w:hanging="120"/>
              <w:jc w:val="center"/>
              <w:rPr>
                <w:rFonts w:hint="eastAsia" w:ascii="宋体" w:hAnsi="宋体" w:eastAsia="宋体" w:cs="宋体"/>
                <w:sz w:val="24"/>
              </w:rPr>
            </w:pPr>
          </w:p>
        </w:tc>
        <w:tc>
          <w:tcPr>
            <w:tcW w:w="2725" w:type="dxa"/>
            <w:noWrap w:val="0"/>
            <w:vAlign w:val="top"/>
          </w:tcPr>
          <w:p w14:paraId="3A5F2EAF">
            <w:pPr>
              <w:ind w:left="120" w:hanging="120"/>
              <w:jc w:val="center"/>
              <w:rPr>
                <w:rFonts w:hint="eastAsia" w:ascii="宋体" w:hAnsi="宋体" w:eastAsia="宋体" w:cs="宋体"/>
                <w:sz w:val="24"/>
              </w:rPr>
            </w:pPr>
          </w:p>
        </w:tc>
        <w:tc>
          <w:tcPr>
            <w:tcW w:w="2162" w:type="dxa"/>
            <w:noWrap w:val="0"/>
            <w:vAlign w:val="top"/>
          </w:tcPr>
          <w:p w14:paraId="7CF9D879">
            <w:pPr>
              <w:ind w:left="120" w:hanging="120"/>
              <w:jc w:val="center"/>
              <w:rPr>
                <w:rFonts w:hint="eastAsia" w:ascii="宋体" w:hAnsi="宋体" w:eastAsia="宋体" w:cs="宋体"/>
                <w:sz w:val="24"/>
              </w:rPr>
            </w:pPr>
          </w:p>
        </w:tc>
      </w:tr>
      <w:tr w14:paraId="65A9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13F69CD3">
            <w:pPr>
              <w:ind w:left="120" w:hanging="120"/>
              <w:jc w:val="center"/>
              <w:rPr>
                <w:rFonts w:hint="eastAsia" w:ascii="宋体" w:hAnsi="宋体" w:eastAsia="宋体" w:cs="宋体"/>
                <w:sz w:val="24"/>
              </w:rPr>
            </w:pPr>
          </w:p>
        </w:tc>
        <w:tc>
          <w:tcPr>
            <w:tcW w:w="1038" w:type="dxa"/>
            <w:noWrap w:val="0"/>
            <w:vAlign w:val="top"/>
          </w:tcPr>
          <w:p w14:paraId="1C0A4948">
            <w:pPr>
              <w:ind w:left="120" w:hanging="120"/>
              <w:jc w:val="center"/>
              <w:rPr>
                <w:rFonts w:hint="eastAsia" w:ascii="宋体" w:hAnsi="宋体" w:eastAsia="宋体" w:cs="宋体"/>
                <w:sz w:val="24"/>
              </w:rPr>
            </w:pPr>
          </w:p>
        </w:tc>
        <w:tc>
          <w:tcPr>
            <w:tcW w:w="2725" w:type="dxa"/>
            <w:noWrap w:val="0"/>
            <w:vAlign w:val="top"/>
          </w:tcPr>
          <w:p w14:paraId="2EF0F29A">
            <w:pPr>
              <w:ind w:left="120" w:hanging="120"/>
              <w:jc w:val="center"/>
              <w:rPr>
                <w:rFonts w:hint="eastAsia" w:ascii="宋体" w:hAnsi="宋体" w:eastAsia="宋体" w:cs="宋体"/>
                <w:sz w:val="24"/>
              </w:rPr>
            </w:pPr>
          </w:p>
        </w:tc>
        <w:tc>
          <w:tcPr>
            <w:tcW w:w="2162" w:type="dxa"/>
            <w:noWrap w:val="0"/>
            <w:vAlign w:val="top"/>
          </w:tcPr>
          <w:p w14:paraId="5B865C6A">
            <w:pPr>
              <w:ind w:left="120" w:hanging="120"/>
              <w:jc w:val="center"/>
              <w:rPr>
                <w:rFonts w:hint="eastAsia" w:ascii="宋体" w:hAnsi="宋体" w:eastAsia="宋体" w:cs="宋体"/>
                <w:sz w:val="24"/>
              </w:rPr>
            </w:pPr>
          </w:p>
        </w:tc>
      </w:tr>
      <w:tr w14:paraId="0298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dxa"/>
            <w:noWrap w:val="0"/>
            <w:vAlign w:val="top"/>
          </w:tcPr>
          <w:p w14:paraId="34E3435A">
            <w:pPr>
              <w:ind w:left="120" w:hanging="120"/>
              <w:jc w:val="center"/>
              <w:rPr>
                <w:rFonts w:hint="eastAsia" w:ascii="宋体" w:hAnsi="宋体" w:eastAsia="宋体" w:cs="宋体"/>
                <w:sz w:val="24"/>
              </w:rPr>
            </w:pPr>
            <w:bookmarkStart w:id="298" w:name="_Toc419045129"/>
          </w:p>
        </w:tc>
        <w:tc>
          <w:tcPr>
            <w:tcW w:w="1038" w:type="dxa"/>
            <w:noWrap w:val="0"/>
            <w:vAlign w:val="top"/>
          </w:tcPr>
          <w:p w14:paraId="12696BD3">
            <w:pPr>
              <w:ind w:left="120" w:hanging="120"/>
              <w:jc w:val="center"/>
              <w:rPr>
                <w:rFonts w:hint="eastAsia" w:ascii="宋体" w:hAnsi="宋体" w:eastAsia="宋体" w:cs="宋体"/>
                <w:sz w:val="24"/>
              </w:rPr>
            </w:pPr>
          </w:p>
        </w:tc>
        <w:tc>
          <w:tcPr>
            <w:tcW w:w="2725" w:type="dxa"/>
            <w:noWrap w:val="0"/>
            <w:vAlign w:val="top"/>
          </w:tcPr>
          <w:p w14:paraId="570BB80A">
            <w:pPr>
              <w:ind w:left="120" w:hanging="120"/>
              <w:jc w:val="center"/>
              <w:rPr>
                <w:rFonts w:hint="eastAsia" w:ascii="宋体" w:hAnsi="宋体" w:eastAsia="宋体" w:cs="宋体"/>
                <w:sz w:val="24"/>
              </w:rPr>
            </w:pPr>
          </w:p>
        </w:tc>
        <w:tc>
          <w:tcPr>
            <w:tcW w:w="2162" w:type="dxa"/>
            <w:noWrap w:val="0"/>
            <w:vAlign w:val="top"/>
          </w:tcPr>
          <w:p w14:paraId="3E327EB5">
            <w:pPr>
              <w:ind w:left="120" w:hanging="120"/>
              <w:jc w:val="center"/>
              <w:rPr>
                <w:rFonts w:hint="eastAsia" w:ascii="宋体" w:hAnsi="宋体" w:eastAsia="宋体" w:cs="宋体"/>
                <w:sz w:val="24"/>
              </w:rPr>
            </w:pPr>
          </w:p>
        </w:tc>
      </w:tr>
    </w:tbl>
    <w:p w14:paraId="26AEA9AF">
      <w:pPr>
        <w:ind w:left="120" w:hanging="120"/>
        <w:rPr>
          <w:rFonts w:hint="eastAsia" w:ascii="宋体" w:hAnsi="宋体" w:eastAsia="宋体" w:cs="宋体"/>
          <w:sz w:val="24"/>
        </w:rPr>
      </w:pPr>
    </w:p>
    <w:p w14:paraId="1CE0E17A">
      <w:pPr>
        <w:pStyle w:val="2"/>
        <w:rPr>
          <w:rFonts w:hint="eastAsia" w:ascii="宋体" w:hAnsi="宋体" w:eastAsia="宋体" w:cs="宋体"/>
          <w:sz w:val="24"/>
        </w:rPr>
      </w:pPr>
    </w:p>
    <w:p w14:paraId="39D327C2">
      <w:pPr>
        <w:pStyle w:val="2"/>
        <w:rPr>
          <w:rFonts w:hint="eastAsia" w:ascii="宋体" w:hAnsi="宋体" w:eastAsia="宋体" w:cs="宋体"/>
          <w:sz w:val="24"/>
        </w:rPr>
      </w:pPr>
    </w:p>
    <w:p w14:paraId="00E93121">
      <w:pPr>
        <w:pStyle w:val="2"/>
        <w:rPr>
          <w:rFonts w:hint="eastAsia" w:ascii="宋体" w:hAnsi="宋体" w:eastAsia="宋体" w:cs="宋体"/>
          <w:sz w:val="24"/>
        </w:rPr>
      </w:pPr>
    </w:p>
    <w:p w14:paraId="1F380741">
      <w:pPr>
        <w:pStyle w:val="2"/>
        <w:rPr>
          <w:rFonts w:hint="eastAsia" w:ascii="宋体" w:hAnsi="宋体" w:eastAsia="宋体" w:cs="宋体"/>
          <w:sz w:val="24"/>
        </w:rPr>
      </w:pPr>
    </w:p>
    <w:p w14:paraId="4DF71350">
      <w:pPr>
        <w:pStyle w:val="2"/>
        <w:rPr>
          <w:rFonts w:hint="eastAsia" w:ascii="宋体" w:hAnsi="宋体" w:eastAsia="宋体" w:cs="宋体"/>
          <w:sz w:val="24"/>
        </w:rPr>
      </w:pPr>
    </w:p>
    <w:p w14:paraId="0122BA1F">
      <w:pPr>
        <w:pStyle w:val="2"/>
        <w:rPr>
          <w:rFonts w:hint="eastAsia" w:ascii="宋体" w:hAnsi="宋体" w:eastAsia="宋体" w:cs="宋体"/>
          <w:sz w:val="24"/>
        </w:rPr>
      </w:pPr>
    </w:p>
    <w:p w14:paraId="6B9B95D0">
      <w:pPr>
        <w:pStyle w:val="2"/>
        <w:rPr>
          <w:rFonts w:hint="eastAsia" w:ascii="宋体" w:hAnsi="宋体" w:eastAsia="宋体" w:cs="宋体"/>
          <w:sz w:val="24"/>
        </w:rPr>
      </w:pPr>
    </w:p>
    <w:p w14:paraId="06408AA6">
      <w:pPr>
        <w:pStyle w:val="2"/>
        <w:rPr>
          <w:rFonts w:hint="eastAsia" w:ascii="宋体" w:hAnsi="宋体" w:eastAsia="宋体" w:cs="宋体"/>
          <w:sz w:val="24"/>
        </w:rPr>
      </w:pPr>
    </w:p>
    <w:p w14:paraId="3FB548A8">
      <w:pPr>
        <w:pStyle w:val="2"/>
        <w:rPr>
          <w:rFonts w:hint="eastAsia" w:ascii="宋体" w:hAnsi="宋体" w:eastAsia="宋体" w:cs="宋体"/>
          <w:sz w:val="24"/>
        </w:rPr>
      </w:pPr>
    </w:p>
    <w:p w14:paraId="4893B5ED">
      <w:pPr>
        <w:pStyle w:val="2"/>
        <w:rPr>
          <w:rFonts w:hint="eastAsia" w:ascii="宋体" w:hAnsi="宋体" w:eastAsia="宋体" w:cs="宋体"/>
          <w:sz w:val="24"/>
        </w:rPr>
      </w:pPr>
    </w:p>
    <w:p w14:paraId="1018D743">
      <w:pPr>
        <w:pStyle w:val="2"/>
        <w:rPr>
          <w:rFonts w:hint="eastAsia" w:ascii="宋体" w:hAnsi="宋体" w:eastAsia="宋体" w:cs="宋体"/>
          <w:sz w:val="24"/>
        </w:rPr>
      </w:pPr>
    </w:p>
    <w:p w14:paraId="36B50D64">
      <w:pPr>
        <w:pStyle w:val="2"/>
        <w:rPr>
          <w:rFonts w:hint="eastAsia" w:ascii="宋体" w:hAnsi="宋体" w:eastAsia="宋体" w:cs="宋体"/>
          <w:sz w:val="24"/>
        </w:rPr>
      </w:pPr>
    </w:p>
    <w:p w14:paraId="1110649D">
      <w:pPr>
        <w:keepNext/>
        <w:keepLines/>
        <w:spacing w:line="576" w:lineRule="auto"/>
        <w:ind w:left="120" w:hanging="120"/>
        <w:jc w:val="center"/>
        <w:outlineLvl w:val="0"/>
        <w:rPr>
          <w:rFonts w:hint="eastAsia" w:ascii="宋体" w:hAnsi="宋体" w:eastAsia="宋体" w:cs="宋体"/>
          <w:b/>
          <w:bCs/>
          <w:kern w:val="44"/>
          <w:sz w:val="24"/>
        </w:rPr>
      </w:pPr>
      <w:bookmarkStart w:id="299" w:name="_Toc256000195"/>
      <w:bookmarkStart w:id="300" w:name="_Toc256000087"/>
      <w:r>
        <w:rPr>
          <w:rFonts w:hint="eastAsia" w:ascii="宋体" w:hAnsi="宋体" w:eastAsia="宋体" w:cs="宋体"/>
          <w:b/>
          <w:bCs/>
          <w:kern w:val="44"/>
          <w:sz w:val="24"/>
        </w:rPr>
        <w:t>附录D 委托人提供房屋及设备一览表</w:t>
      </w:r>
      <w:bookmarkEnd w:id="298"/>
      <w:bookmarkEnd w:id="299"/>
      <w:bookmarkEnd w:id="300"/>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9"/>
        <w:gridCol w:w="1034"/>
        <w:gridCol w:w="2762"/>
        <w:gridCol w:w="2143"/>
      </w:tblGrid>
      <w:tr w14:paraId="23EB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159" w:type="dxa"/>
            <w:noWrap w:val="0"/>
            <w:vAlign w:val="top"/>
          </w:tcPr>
          <w:p w14:paraId="51ADB63B">
            <w:pPr>
              <w:spacing w:before="100" w:beforeAutospacing="1" w:after="100" w:afterAutospacing="1"/>
              <w:ind w:left="120" w:hanging="120"/>
              <w:jc w:val="center"/>
              <w:rPr>
                <w:rFonts w:hint="eastAsia" w:ascii="宋体" w:hAnsi="宋体" w:eastAsia="宋体" w:cs="宋体"/>
                <w:kern w:val="0"/>
                <w:sz w:val="24"/>
              </w:rPr>
            </w:pPr>
            <w:r>
              <w:rPr>
                <w:rFonts w:hint="eastAsia" w:ascii="宋体" w:hAnsi="宋体" w:eastAsia="宋体" w:cs="宋体"/>
                <w:kern w:val="0"/>
                <w:sz w:val="24"/>
              </w:rPr>
              <w:t>名称</w:t>
            </w:r>
          </w:p>
        </w:tc>
        <w:tc>
          <w:tcPr>
            <w:tcW w:w="1034" w:type="dxa"/>
            <w:noWrap w:val="0"/>
            <w:vAlign w:val="top"/>
          </w:tcPr>
          <w:p w14:paraId="2E5F1D5A">
            <w:pPr>
              <w:spacing w:before="100" w:beforeAutospacing="1" w:after="100" w:afterAutospacing="1"/>
              <w:ind w:left="120" w:hanging="120"/>
              <w:jc w:val="center"/>
              <w:rPr>
                <w:rFonts w:hint="eastAsia" w:ascii="宋体" w:hAnsi="宋体" w:eastAsia="宋体" w:cs="宋体"/>
                <w:kern w:val="0"/>
                <w:sz w:val="24"/>
              </w:rPr>
            </w:pPr>
            <w:r>
              <w:rPr>
                <w:rFonts w:hint="eastAsia" w:ascii="宋体" w:hAnsi="宋体" w:eastAsia="宋体" w:cs="宋体"/>
                <w:kern w:val="0"/>
                <w:sz w:val="24"/>
              </w:rPr>
              <w:t>数量</w:t>
            </w:r>
          </w:p>
        </w:tc>
        <w:tc>
          <w:tcPr>
            <w:tcW w:w="2762" w:type="dxa"/>
            <w:noWrap w:val="0"/>
            <w:vAlign w:val="top"/>
          </w:tcPr>
          <w:p w14:paraId="28E3B18A">
            <w:pPr>
              <w:spacing w:before="100" w:beforeAutospacing="1" w:after="100" w:afterAutospacing="1"/>
              <w:ind w:left="120" w:hanging="120"/>
              <w:jc w:val="center"/>
              <w:rPr>
                <w:rFonts w:hint="eastAsia" w:ascii="宋体" w:hAnsi="宋体" w:eastAsia="宋体" w:cs="宋体"/>
                <w:kern w:val="0"/>
                <w:sz w:val="24"/>
              </w:rPr>
            </w:pPr>
            <w:r>
              <w:rPr>
                <w:rFonts w:hint="eastAsia" w:ascii="宋体" w:hAnsi="宋体" w:eastAsia="宋体" w:cs="宋体"/>
                <w:kern w:val="0"/>
                <w:sz w:val="24"/>
              </w:rPr>
              <w:t>面积、型号及规格</w:t>
            </w:r>
          </w:p>
        </w:tc>
        <w:tc>
          <w:tcPr>
            <w:tcW w:w="2143" w:type="dxa"/>
            <w:noWrap w:val="0"/>
            <w:vAlign w:val="top"/>
          </w:tcPr>
          <w:p w14:paraId="44515247">
            <w:pPr>
              <w:spacing w:before="100" w:beforeAutospacing="1" w:after="100" w:afterAutospacing="1"/>
              <w:ind w:left="120" w:hanging="120"/>
              <w:jc w:val="center"/>
              <w:rPr>
                <w:rFonts w:hint="eastAsia" w:ascii="宋体" w:hAnsi="宋体" w:eastAsia="宋体" w:cs="宋体"/>
                <w:kern w:val="0"/>
                <w:sz w:val="24"/>
              </w:rPr>
            </w:pPr>
            <w:r>
              <w:rPr>
                <w:rFonts w:hint="eastAsia" w:ascii="宋体" w:hAnsi="宋体" w:eastAsia="宋体" w:cs="宋体"/>
                <w:kern w:val="0"/>
                <w:sz w:val="24"/>
              </w:rPr>
              <w:t>提供时间</w:t>
            </w:r>
          </w:p>
        </w:tc>
      </w:tr>
      <w:tr w14:paraId="2E0A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59" w:type="dxa"/>
            <w:noWrap w:val="0"/>
            <w:vAlign w:val="top"/>
          </w:tcPr>
          <w:p w14:paraId="7F0A3327">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1A73E491">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43FD0005">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1EC5B399">
            <w:pPr>
              <w:ind w:left="120" w:hanging="120"/>
              <w:rPr>
                <w:rFonts w:hint="eastAsia" w:ascii="宋体" w:hAnsi="宋体" w:eastAsia="宋体" w:cs="宋体"/>
                <w:sz w:val="24"/>
              </w:rPr>
            </w:pPr>
            <w:r>
              <w:rPr>
                <w:rFonts w:hint="eastAsia" w:ascii="宋体" w:hAnsi="宋体" w:eastAsia="宋体" w:cs="宋体"/>
                <w:sz w:val="24"/>
              </w:rPr>
              <w:t>/</w:t>
            </w:r>
          </w:p>
        </w:tc>
      </w:tr>
      <w:tr w14:paraId="3ECA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59" w:type="dxa"/>
            <w:noWrap w:val="0"/>
            <w:vAlign w:val="top"/>
          </w:tcPr>
          <w:p w14:paraId="1165CBCF">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3B63DC1D">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4A110940">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04834852">
            <w:pPr>
              <w:ind w:left="120" w:hanging="120"/>
              <w:rPr>
                <w:rFonts w:hint="eastAsia" w:ascii="宋体" w:hAnsi="宋体" w:eastAsia="宋体" w:cs="宋体"/>
                <w:sz w:val="24"/>
              </w:rPr>
            </w:pPr>
            <w:r>
              <w:rPr>
                <w:rFonts w:hint="eastAsia" w:ascii="宋体" w:hAnsi="宋体" w:eastAsia="宋体" w:cs="宋体"/>
                <w:sz w:val="24"/>
              </w:rPr>
              <w:t>/</w:t>
            </w:r>
          </w:p>
        </w:tc>
      </w:tr>
      <w:tr w14:paraId="661B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59" w:type="dxa"/>
            <w:noWrap w:val="0"/>
            <w:vAlign w:val="top"/>
          </w:tcPr>
          <w:p w14:paraId="301B0862">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19F0B372">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5D1967FD">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5E4746F4">
            <w:pPr>
              <w:ind w:left="120" w:hanging="120"/>
              <w:rPr>
                <w:rFonts w:hint="eastAsia" w:ascii="宋体" w:hAnsi="宋体" w:eastAsia="宋体" w:cs="宋体"/>
                <w:sz w:val="24"/>
              </w:rPr>
            </w:pPr>
            <w:r>
              <w:rPr>
                <w:rFonts w:hint="eastAsia" w:ascii="宋体" w:hAnsi="宋体" w:eastAsia="宋体" w:cs="宋体"/>
                <w:sz w:val="24"/>
              </w:rPr>
              <w:t>/</w:t>
            </w:r>
          </w:p>
        </w:tc>
      </w:tr>
      <w:tr w14:paraId="39EA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59" w:type="dxa"/>
            <w:noWrap w:val="0"/>
            <w:vAlign w:val="top"/>
          </w:tcPr>
          <w:p w14:paraId="5D1F6133">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0DA2E878">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359ADDA5">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4B2AE4D1">
            <w:pPr>
              <w:ind w:left="120" w:hanging="120"/>
              <w:rPr>
                <w:rFonts w:hint="eastAsia" w:ascii="宋体" w:hAnsi="宋体" w:eastAsia="宋体" w:cs="宋体"/>
                <w:sz w:val="24"/>
              </w:rPr>
            </w:pPr>
            <w:r>
              <w:rPr>
                <w:rFonts w:hint="eastAsia" w:ascii="宋体" w:hAnsi="宋体" w:eastAsia="宋体" w:cs="宋体"/>
                <w:sz w:val="24"/>
              </w:rPr>
              <w:t>/</w:t>
            </w:r>
          </w:p>
        </w:tc>
      </w:tr>
      <w:tr w14:paraId="0364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59" w:type="dxa"/>
            <w:noWrap w:val="0"/>
            <w:vAlign w:val="top"/>
          </w:tcPr>
          <w:p w14:paraId="2F63A8F2">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3119CB8C">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2E8C0244">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0B595E18">
            <w:pPr>
              <w:ind w:left="120" w:hanging="120"/>
              <w:rPr>
                <w:rFonts w:hint="eastAsia" w:ascii="宋体" w:hAnsi="宋体" w:eastAsia="宋体" w:cs="宋体"/>
                <w:sz w:val="24"/>
              </w:rPr>
            </w:pPr>
            <w:r>
              <w:rPr>
                <w:rFonts w:hint="eastAsia" w:ascii="宋体" w:hAnsi="宋体" w:eastAsia="宋体" w:cs="宋体"/>
                <w:sz w:val="24"/>
              </w:rPr>
              <w:t>/</w:t>
            </w:r>
          </w:p>
        </w:tc>
      </w:tr>
      <w:tr w14:paraId="310C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59" w:type="dxa"/>
            <w:noWrap w:val="0"/>
            <w:vAlign w:val="top"/>
          </w:tcPr>
          <w:p w14:paraId="767390E1">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601F3DB2">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671C4DC6">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5B1085E4">
            <w:pPr>
              <w:ind w:left="120" w:hanging="120"/>
              <w:rPr>
                <w:rFonts w:hint="eastAsia" w:ascii="宋体" w:hAnsi="宋体" w:eastAsia="宋体" w:cs="宋体"/>
                <w:sz w:val="24"/>
              </w:rPr>
            </w:pPr>
            <w:r>
              <w:rPr>
                <w:rFonts w:hint="eastAsia" w:ascii="宋体" w:hAnsi="宋体" w:eastAsia="宋体" w:cs="宋体"/>
                <w:sz w:val="24"/>
              </w:rPr>
              <w:t>/</w:t>
            </w:r>
          </w:p>
        </w:tc>
      </w:tr>
      <w:tr w14:paraId="5843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59" w:type="dxa"/>
            <w:noWrap w:val="0"/>
            <w:vAlign w:val="top"/>
          </w:tcPr>
          <w:p w14:paraId="52AA417D">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103CD6F5">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2F679B0D">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62AC80AF">
            <w:pPr>
              <w:ind w:left="120" w:hanging="120"/>
              <w:rPr>
                <w:rFonts w:hint="eastAsia" w:ascii="宋体" w:hAnsi="宋体" w:eastAsia="宋体" w:cs="宋体"/>
                <w:sz w:val="24"/>
              </w:rPr>
            </w:pPr>
            <w:r>
              <w:rPr>
                <w:rFonts w:hint="eastAsia" w:ascii="宋体" w:hAnsi="宋体" w:eastAsia="宋体" w:cs="宋体"/>
                <w:sz w:val="24"/>
              </w:rPr>
              <w:t>/</w:t>
            </w:r>
          </w:p>
        </w:tc>
      </w:tr>
      <w:tr w14:paraId="7F0E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59" w:type="dxa"/>
            <w:noWrap w:val="0"/>
            <w:vAlign w:val="top"/>
          </w:tcPr>
          <w:p w14:paraId="551FC133">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55FF51BB">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1B34FE33">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2456C867">
            <w:pPr>
              <w:ind w:left="120" w:hanging="120"/>
              <w:rPr>
                <w:rFonts w:hint="eastAsia" w:ascii="宋体" w:hAnsi="宋体" w:eastAsia="宋体" w:cs="宋体"/>
                <w:sz w:val="24"/>
              </w:rPr>
            </w:pPr>
            <w:r>
              <w:rPr>
                <w:rFonts w:hint="eastAsia" w:ascii="宋体" w:hAnsi="宋体" w:eastAsia="宋体" w:cs="宋体"/>
                <w:sz w:val="24"/>
              </w:rPr>
              <w:t>/</w:t>
            </w:r>
          </w:p>
        </w:tc>
      </w:tr>
      <w:tr w14:paraId="3E65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59" w:type="dxa"/>
            <w:noWrap w:val="0"/>
            <w:vAlign w:val="top"/>
          </w:tcPr>
          <w:p w14:paraId="7F44313A">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1A3DF450">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6B64CCD3">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395A1829">
            <w:pPr>
              <w:ind w:left="120" w:hanging="120"/>
              <w:rPr>
                <w:rFonts w:hint="eastAsia" w:ascii="宋体" w:hAnsi="宋体" w:eastAsia="宋体" w:cs="宋体"/>
                <w:sz w:val="24"/>
              </w:rPr>
            </w:pPr>
            <w:r>
              <w:rPr>
                <w:rFonts w:hint="eastAsia" w:ascii="宋体" w:hAnsi="宋体" w:eastAsia="宋体" w:cs="宋体"/>
                <w:sz w:val="24"/>
              </w:rPr>
              <w:t>/</w:t>
            </w:r>
          </w:p>
        </w:tc>
      </w:tr>
      <w:tr w14:paraId="1202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59" w:type="dxa"/>
            <w:noWrap w:val="0"/>
            <w:vAlign w:val="top"/>
          </w:tcPr>
          <w:p w14:paraId="45117F81">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7421BDC4">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2879D9C7">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4286983C">
            <w:pPr>
              <w:ind w:left="120" w:hanging="120"/>
              <w:rPr>
                <w:rFonts w:hint="eastAsia" w:ascii="宋体" w:hAnsi="宋体" w:eastAsia="宋体" w:cs="宋体"/>
                <w:sz w:val="24"/>
              </w:rPr>
            </w:pPr>
            <w:r>
              <w:rPr>
                <w:rFonts w:hint="eastAsia" w:ascii="宋体" w:hAnsi="宋体" w:eastAsia="宋体" w:cs="宋体"/>
                <w:sz w:val="24"/>
              </w:rPr>
              <w:t>/</w:t>
            </w:r>
          </w:p>
        </w:tc>
      </w:tr>
      <w:tr w14:paraId="3BA0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59" w:type="dxa"/>
            <w:noWrap w:val="0"/>
            <w:vAlign w:val="top"/>
          </w:tcPr>
          <w:p w14:paraId="75DED2F0">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62E627C6">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1297523E">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22AB1440">
            <w:pPr>
              <w:ind w:left="120" w:hanging="120"/>
              <w:rPr>
                <w:rFonts w:hint="eastAsia" w:ascii="宋体" w:hAnsi="宋体" w:eastAsia="宋体" w:cs="宋体"/>
                <w:sz w:val="24"/>
              </w:rPr>
            </w:pPr>
            <w:r>
              <w:rPr>
                <w:rFonts w:hint="eastAsia" w:ascii="宋体" w:hAnsi="宋体" w:eastAsia="宋体" w:cs="宋体"/>
                <w:sz w:val="24"/>
              </w:rPr>
              <w:t>/</w:t>
            </w:r>
          </w:p>
        </w:tc>
      </w:tr>
      <w:tr w14:paraId="12C9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59" w:type="dxa"/>
            <w:noWrap w:val="0"/>
            <w:vAlign w:val="top"/>
          </w:tcPr>
          <w:p w14:paraId="5689330F">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5BF4F488">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4C3B7E03">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0F910AE7">
            <w:pPr>
              <w:ind w:left="120" w:hanging="120"/>
              <w:rPr>
                <w:rFonts w:hint="eastAsia" w:ascii="宋体" w:hAnsi="宋体" w:eastAsia="宋体" w:cs="宋体"/>
                <w:sz w:val="24"/>
              </w:rPr>
            </w:pPr>
            <w:r>
              <w:rPr>
                <w:rFonts w:hint="eastAsia" w:ascii="宋体" w:hAnsi="宋体" w:eastAsia="宋体" w:cs="宋体"/>
                <w:sz w:val="24"/>
              </w:rPr>
              <w:t>/</w:t>
            </w:r>
          </w:p>
        </w:tc>
      </w:tr>
      <w:tr w14:paraId="2744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59" w:type="dxa"/>
            <w:noWrap w:val="0"/>
            <w:vAlign w:val="top"/>
          </w:tcPr>
          <w:p w14:paraId="41AC91DE">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44A89586">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6C8AEEC3">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0A6792CD">
            <w:pPr>
              <w:ind w:left="120" w:hanging="120"/>
              <w:rPr>
                <w:rFonts w:hint="eastAsia" w:ascii="宋体" w:hAnsi="宋体" w:eastAsia="宋体" w:cs="宋体"/>
                <w:sz w:val="24"/>
              </w:rPr>
            </w:pPr>
            <w:r>
              <w:rPr>
                <w:rFonts w:hint="eastAsia" w:ascii="宋体" w:hAnsi="宋体" w:eastAsia="宋体" w:cs="宋体"/>
                <w:sz w:val="24"/>
              </w:rPr>
              <w:t>/</w:t>
            </w:r>
          </w:p>
        </w:tc>
      </w:tr>
      <w:tr w14:paraId="011F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59" w:type="dxa"/>
            <w:noWrap w:val="0"/>
            <w:vAlign w:val="top"/>
          </w:tcPr>
          <w:p w14:paraId="5FC69EFE">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7FE5FC77">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797CC96C">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7F3C42F1">
            <w:pPr>
              <w:ind w:left="120" w:hanging="120"/>
              <w:rPr>
                <w:rFonts w:hint="eastAsia" w:ascii="宋体" w:hAnsi="宋体" w:eastAsia="宋体" w:cs="宋体"/>
                <w:sz w:val="24"/>
              </w:rPr>
            </w:pPr>
            <w:r>
              <w:rPr>
                <w:rFonts w:hint="eastAsia" w:ascii="宋体" w:hAnsi="宋体" w:eastAsia="宋体" w:cs="宋体"/>
                <w:sz w:val="24"/>
              </w:rPr>
              <w:t>/</w:t>
            </w:r>
          </w:p>
        </w:tc>
      </w:tr>
      <w:tr w14:paraId="39D3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59" w:type="dxa"/>
            <w:noWrap w:val="0"/>
            <w:vAlign w:val="top"/>
          </w:tcPr>
          <w:p w14:paraId="6010D062">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2B8EBEFE">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278957B8">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172A9F06">
            <w:pPr>
              <w:ind w:left="120" w:hanging="120"/>
              <w:rPr>
                <w:rFonts w:hint="eastAsia" w:ascii="宋体" w:hAnsi="宋体" w:eastAsia="宋体" w:cs="宋体"/>
                <w:sz w:val="24"/>
              </w:rPr>
            </w:pPr>
            <w:r>
              <w:rPr>
                <w:rFonts w:hint="eastAsia" w:ascii="宋体" w:hAnsi="宋体" w:eastAsia="宋体" w:cs="宋体"/>
                <w:sz w:val="24"/>
              </w:rPr>
              <w:t>/</w:t>
            </w:r>
          </w:p>
        </w:tc>
      </w:tr>
      <w:tr w14:paraId="52A3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59" w:type="dxa"/>
            <w:noWrap w:val="0"/>
            <w:vAlign w:val="top"/>
          </w:tcPr>
          <w:p w14:paraId="7A6F627F">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60261720">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33947B16">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242A30AC">
            <w:pPr>
              <w:ind w:left="120" w:hanging="120"/>
              <w:rPr>
                <w:rFonts w:hint="eastAsia" w:ascii="宋体" w:hAnsi="宋体" w:eastAsia="宋体" w:cs="宋体"/>
                <w:sz w:val="24"/>
              </w:rPr>
            </w:pPr>
            <w:r>
              <w:rPr>
                <w:rFonts w:hint="eastAsia" w:ascii="宋体" w:hAnsi="宋体" w:eastAsia="宋体" w:cs="宋体"/>
                <w:sz w:val="24"/>
              </w:rPr>
              <w:t>/</w:t>
            </w:r>
          </w:p>
        </w:tc>
      </w:tr>
      <w:tr w14:paraId="5F8A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59" w:type="dxa"/>
            <w:noWrap w:val="0"/>
            <w:vAlign w:val="top"/>
          </w:tcPr>
          <w:p w14:paraId="19F30DA9">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73ED0FA7">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39DA2A6F">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29347236">
            <w:pPr>
              <w:ind w:left="120" w:hanging="120"/>
              <w:rPr>
                <w:rFonts w:hint="eastAsia" w:ascii="宋体" w:hAnsi="宋体" w:eastAsia="宋体" w:cs="宋体"/>
                <w:sz w:val="24"/>
              </w:rPr>
            </w:pPr>
            <w:r>
              <w:rPr>
                <w:rFonts w:hint="eastAsia" w:ascii="宋体" w:hAnsi="宋体" w:eastAsia="宋体" w:cs="宋体"/>
                <w:sz w:val="24"/>
              </w:rPr>
              <w:t>/</w:t>
            </w:r>
          </w:p>
        </w:tc>
      </w:tr>
      <w:tr w14:paraId="4B2A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59" w:type="dxa"/>
            <w:noWrap w:val="0"/>
            <w:vAlign w:val="top"/>
          </w:tcPr>
          <w:p w14:paraId="7A802457">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49990F65">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25A4A961">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37645B40">
            <w:pPr>
              <w:ind w:left="120" w:hanging="120"/>
              <w:rPr>
                <w:rFonts w:hint="eastAsia" w:ascii="宋体" w:hAnsi="宋体" w:eastAsia="宋体" w:cs="宋体"/>
                <w:sz w:val="24"/>
              </w:rPr>
            </w:pPr>
            <w:r>
              <w:rPr>
                <w:rFonts w:hint="eastAsia" w:ascii="宋体" w:hAnsi="宋体" w:eastAsia="宋体" w:cs="宋体"/>
                <w:sz w:val="24"/>
              </w:rPr>
              <w:t>/</w:t>
            </w:r>
          </w:p>
        </w:tc>
      </w:tr>
      <w:tr w14:paraId="3788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59" w:type="dxa"/>
            <w:noWrap w:val="0"/>
            <w:vAlign w:val="top"/>
          </w:tcPr>
          <w:p w14:paraId="57AF0B9E">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6639D850">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7C470A8C">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77F15F4C">
            <w:pPr>
              <w:ind w:left="120" w:hanging="120"/>
              <w:rPr>
                <w:rFonts w:hint="eastAsia" w:ascii="宋体" w:hAnsi="宋体" w:eastAsia="宋体" w:cs="宋体"/>
                <w:sz w:val="24"/>
              </w:rPr>
            </w:pPr>
            <w:r>
              <w:rPr>
                <w:rFonts w:hint="eastAsia" w:ascii="宋体" w:hAnsi="宋体" w:eastAsia="宋体" w:cs="宋体"/>
                <w:sz w:val="24"/>
              </w:rPr>
              <w:t>/</w:t>
            </w:r>
          </w:p>
        </w:tc>
      </w:tr>
      <w:tr w14:paraId="4EA0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59" w:type="dxa"/>
            <w:noWrap w:val="0"/>
            <w:vAlign w:val="top"/>
          </w:tcPr>
          <w:p w14:paraId="6EBFE377">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7D503EC2">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1CC4EE2D">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6D914B7D">
            <w:pPr>
              <w:ind w:left="120" w:hanging="120"/>
              <w:rPr>
                <w:rFonts w:hint="eastAsia" w:ascii="宋体" w:hAnsi="宋体" w:eastAsia="宋体" w:cs="宋体"/>
                <w:sz w:val="24"/>
              </w:rPr>
            </w:pPr>
            <w:r>
              <w:rPr>
                <w:rFonts w:hint="eastAsia" w:ascii="宋体" w:hAnsi="宋体" w:eastAsia="宋体" w:cs="宋体"/>
                <w:sz w:val="24"/>
              </w:rPr>
              <w:t>/</w:t>
            </w:r>
          </w:p>
        </w:tc>
      </w:tr>
      <w:tr w14:paraId="534E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59" w:type="dxa"/>
            <w:noWrap w:val="0"/>
            <w:vAlign w:val="top"/>
          </w:tcPr>
          <w:p w14:paraId="2C3CC518">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36193B59">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63754511">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675B1A99">
            <w:pPr>
              <w:ind w:left="120" w:hanging="120"/>
              <w:rPr>
                <w:rFonts w:hint="eastAsia" w:ascii="宋体" w:hAnsi="宋体" w:eastAsia="宋体" w:cs="宋体"/>
                <w:sz w:val="24"/>
              </w:rPr>
            </w:pPr>
            <w:r>
              <w:rPr>
                <w:rFonts w:hint="eastAsia" w:ascii="宋体" w:hAnsi="宋体" w:eastAsia="宋体" w:cs="宋体"/>
                <w:sz w:val="24"/>
              </w:rPr>
              <w:t>/</w:t>
            </w:r>
          </w:p>
        </w:tc>
      </w:tr>
      <w:tr w14:paraId="3648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59" w:type="dxa"/>
            <w:noWrap w:val="0"/>
            <w:vAlign w:val="top"/>
          </w:tcPr>
          <w:p w14:paraId="54274A84">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34DD046B">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45CE29F9">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3A518872">
            <w:pPr>
              <w:ind w:left="120" w:hanging="120"/>
              <w:rPr>
                <w:rFonts w:hint="eastAsia" w:ascii="宋体" w:hAnsi="宋体" w:eastAsia="宋体" w:cs="宋体"/>
                <w:sz w:val="24"/>
              </w:rPr>
            </w:pPr>
            <w:r>
              <w:rPr>
                <w:rFonts w:hint="eastAsia" w:ascii="宋体" w:hAnsi="宋体" w:eastAsia="宋体" w:cs="宋体"/>
                <w:sz w:val="24"/>
              </w:rPr>
              <w:t>/</w:t>
            </w:r>
          </w:p>
        </w:tc>
      </w:tr>
      <w:tr w14:paraId="56D4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59" w:type="dxa"/>
            <w:noWrap w:val="0"/>
            <w:vAlign w:val="top"/>
          </w:tcPr>
          <w:p w14:paraId="66954676">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19736BB5">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1D6924B2">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0139DC25">
            <w:pPr>
              <w:ind w:left="120" w:hanging="120"/>
              <w:rPr>
                <w:rFonts w:hint="eastAsia" w:ascii="宋体" w:hAnsi="宋体" w:eastAsia="宋体" w:cs="宋体"/>
                <w:sz w:val="24"/>
              </w:rPr>
            </w:pPr>
            <w:r>
              <w:rPr>
                <w:rFonts w:hint="eastAsia" w:ascii="宋体" w:hAnsi="宋体" w:eastAsia="宋体" w:cs="宋体"/>
                <w:sz w:val="24"/>
              </w:rPr>
              <w:t>/</w:t>
            </w:r>
          </w:p>
        </w:tc>
      </w:tr>
      <w:tr w14:paraId="118C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3159" w:type="dxa"/>
            <w:noWrap w:val="0"/>
            <w:vAlign w:val="top"/>
          </w:tcPr>
          <w:p w14:paraId="38E957AF">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41EB4569">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0A88CC90">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67F6755E">
            <w:pPr>
              <w:ind w:left="120" w:hanging="120"/>
              <w:rPr>
                <w:rFonts w:hint="eastAsia" w:ascii="宋体" w:hAnsi="宋体" w:eastAsia="宋体" w:cs="宋体"/>
                <w:sz w:val="24"/>
              </w:rPr>
            </w:pPr>
            <w:r>
              <w:rPr>
                <w:rFonts w:hint="eastAsia" w:ascii="宋体" w:hAnsi="宋体" w:eastAsia="宋体" w:cs="宋体"/>
                <w:sz w:val="24"/>
              </w:rPr>
              <w:t>/</w:t>
            </w:r>
          </w:p>
        </w:tc>
      </w:tr>
      <w:tr w14:paraId="1814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159" w:type="dxa"/>
            <w:noWrap w:val="0"/>
            <w:vAlign w:val="top"/>
          </w:tcPr>
          <w:p w14:paraId="33712216">
            <w:pPr>
              <w:ind w:left="120" w:hanging="120"/>
              <w:rPr>
                <w:rFonts w:hint="eastAsia" w:ascii="宋体" w:hAnsi="宋体" w:eastAsia="宋体" w:cs="宋体"/>
                <w:sz w:val="24"/>
              </w:rPr>
            </w:pPr>
            <w:r>
              <w:rPr>
                <w:rFonts w:hint="eastAsia" w:ascii="宋体" w:hAnsi="宋体" w:eastAsia="宋体" w:cs="宋体"/>
                <w:sz w:val="24"/>
              </w:rPr>
              <w:t>/</w:t>
            </w:r>
          </w:p>
        </w:tc>
        <w:tc>
          <w:tcPr>
            <w:tcW w:w="1034" w:type="dxa"/>
            <w:noWrap w:val="0"/>
            <w:vAlign w:val="top"/>
          </w:tcPr>
          <w:p w14:paraId="3C778B3C">
            <w:pPr>
              <w:ind w:left="120" w:hanging="120"/>
              <w:rPr>
                <w:rFonts w:hint="eastAsia" w:ascii="宋体" w:hAnsi="宋体" w:eastAsia="宋体" w:cs="宋体"/>
                <w:sz w:val="24"/>
              </w:rPr>
            </w:pPr>
            <w:r>
              <w:rPr>
                <w:rFonts w:hint="eastAsia" w:ascii="宋体" w:hAnsi="宋体" w:eastAsia="宋体" w:cs="宋体"/>
                <w:sz w:val="24"/>
              </w:rPr>
              <w:t>/</w:t>
            </w:r>
          </w:p>
        </w:tc>
        <w:tc>
          <w:tcPr>
            <w:tcW w:w="2762" w:type="dxa"/>
            <w:noWrap w:val="0"/>
            <w:vAlign w:val="top"/>
          </w:tcPr>
          <w:p w14:paraId="7CB66332">
            <w:pPr>
              <w:ind w:left="120" w:hanging="120"/>
              <w:rPr>
                <w:rFonts w:hint="eastAsia" w:ascii="宋体" w:hAnsi="宋体" w:eastAsia="宋体" w:cs="宋体"/>
                <w:sz w:val="24"/>
              </w:rPr>
            </w:pPr>
            <w:r>
              <w:rPr>
                <w:rFonts w:hint="eastAsia" w:ascii="宋体" w:hAnsi="宋体" w:eastAsia="宋体" w:cs="宋体"/>
                <w:sz w:val="24"/>
              </w:rPr>
              <w:t>/</w:t>
            </w:r>
          </w:p>
        </w:tc>
        <w:tc>
          <w:tcPr>
            <w:tcW w:w="2143" w:type="dxa"/>
            <w:noWrap w:val="0"/>
            <w:vAlign w:val="top"/>
          </w:tcPr>
          <w:p w14:paraId="28EC74B6">
            <w:pPr>
              <w:ind w:left="120" w:hanging="120"/>
              <w:rPr>
                <w:rFonts w:hint="eastAsia" w:ascii="宋体" w:hAnsi="宋体" w:eastAsia="宋体" w:cs="宋体"/>
                <w:sz w:val="24"/>
              </w:rPr>
            </w:pPr>
            <w:r>
              <w:rPr>
                <w:rFonts w:hint="eastAsia" w:ascii="宋体" w:hAnsi="宋体" w:eastAsia="宋体" w:cs="宋体"/>
                <w:sz w:val="24"/>
              </w:rPr>
              <w:t>/</w:t>
            </w:r>
          </w:p>
        </w:tc>
      </w:tr>
    </w:tbl>
    <w:p w14:paraId="54443571">
      <w:pPr>
        <w:pageBreakBefore w:val="0"/>
        <w:shd w:val="clear"/>
        <w:kinsoku/>
        <w:wordWrap/>
        <w:overflowPunct/>
        <w:topLinePunct w:val="0"/>
        <w:bidi w:val="0"/>
        <w:spacing w:line="500" w:lineRule="exact"/>
        <w:jc w:val="both"/>
        <w:textAlignment w:val="auto"/>
        <w:rPr>
          <w:rFonts w:hint="eastAsia" w:ascii="宋体" w:hAnsi="宋体" w:eastAsia="宋体" w:cs="宋体"/>
          <w:color w:val="auto"/>
          <w:sz w:val="24"/>
          <w:szCs w:val="24"/>
          <w:highlight w:val="none"/>
        </w:rPr>
      </w:pPr>
    </w:p>
    <w:p w14:paraId="7512CE22">
      <w:pPr>
        <w:pStyle w:val="2"/>
        <w:rPr>
          <w:rFonts w:hint="eastAsia" w:ascii="宋体" w:hAnsi="宋体" w:eastAsia="宋体" w:cs="宋体"/>
          <w:color w:val="auto"/>
          <w:sz w:val="24"/>
          <w:szCs w:val="24"/>
          <w:highlight w:val="none"/>
        </w:rPr>
      </w:pPr>
    </w:p>
    <w:p w14:paraId="476F58AE">
      <w:pPr>
        <w:pStyle w:val="2"/>
        <w:rPr>
          <w:rFonts w:hint="eastAsia" w:ascii="宋体" w:hAnsi="宋体" w:eastAsia="宋体" w:cs="宋体"/>
          <w:color w:val="auto"/>
          <w:sz w:val="24"/>
          <w:szCs w:val="24"/>
          <w:highlight w:val="none"/>
        </w:rPr>
      </w:pPr>
    </w:p>
    <w:p w14:paraId="0116F13E">
      <w:pPr>
        <w:pStyle w:val="2"/>
        <w:rPr>
          <w:rFonts w:hint="eastAsia" w:ascii="宋体" w:hAnsi="宋体" w:eastAsia="宋体" w:cs="宋体"/>
          <w:color w:val="auto"/>
          <w:sz w:val="24"/>
          <w:szCs w:val="24"/>
          <w:highlight w:val="none"/>
        </w:rPr>
      </w:pPr>
    </w:p>
    <w:p w14:paraId="5D20CD12">
      <w:pPr>
        <w:pStyle w:val="2"/>
        <w:rPr>
          <w:rFonts w:hint="eastAsia" w:ascii="宋体" w:hAnsi="宋体" w:eastAsia="宋体" w:cs="宋体"/>
          <w:color w:val="auto"/>
          <w:sz w:val="24"/>
          <w:szCs w:val="24"/>
          <w:highlight w:val="none"/>
        </w:rPr>
      </w:pPr>
    </w:p>
    <w:p w14:paraId="035AE9F4">
      <w:pPr>
        <w:pStyle w:val="3"/>
        <w:shd w:val="clear"/>
        <w:kinsoku/>
        <w:overflowPunct/>
        <w:topLinePunct w:val="0"/>
        <w:bidi w:val="0"/>
        <w:spacing w:line="500" w:lineRule="exact"/>
        <w:rPr>
          <w:rFonts w:hint="eastAsia" w:ascii="宋体" w:hAnsi="宋体" w:eastAsia="宋体" w:cs="宋体"/>
          <w:color w:val="auto"/>
          <w:sz w:val="28"/>
          <w:szCs w:val="28"/>
          <w:highlight w:val="none"/>
        </w:rPr>
      </w:pPr>
      <w:bookmarkStart w:id="301" w:name="_Toc25051"/>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六章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投标文件格式</w:t>
      </w:r>
      <w:bookmarkEnd w:id="60"/>
      <w:bookmarkEnd w:id="301"/>
    </w:p>
    <w:p w14:paraId="6A96E5C7">
      <w:pPr>
        <w:shd w:val="clear"/>
        <w:kinsoku/>
        <w:overflowPunct/>
        <w:topLinePunct w:val="0"/>
        <w:bidi w:val="0"/>
        <w:adjustRightInd w:val="0"/>
        <w:snapToGrid w:val="0"/>
        <w:spacing w:line="500" w:lineRule="exact"/>
        <w:jc w:val="center"/>
        <w:rPr>
          <w:rFonts w:hint="eastAsia" w:ascii="宋体" w:hAnsi="宋体" w:eastAsia="宋体" w:cs="宋体"/>
          <w:b/>
          <w:caps/>
          <w:color w:val="auto"/>
          <w:sz w:val="24"/>
          <w:szCs w:val="24"/>
          <w:highlight w:val="none"/>
        </w:rPr>
      </w:pPr>
      <w:bookmarkStart w:id="302" w:name="bookmark196"/>
    </w:p>
    <w:p w14:paraId="64D24C97">
      <w:pPr>
        <w:shd w:val="clear"/>
        <w:kinsoku/>
        <w:overflowPunct/>
        <w:topLinePunct w:val="0"/>
        <w:bidi w:val="0"/>
        <w:adjustRightInd w:val="0"/>
        <w:snapToGrid w:val="0"/>
        <w:spacing w:line="500" w:lineRule="exact"/>
        <w:jc w:val="center"/>
        <w:rPr>
          <w:rFonts w:hint="eastAsia" w:ascii="宋体" w:hAnsi="宋体" w:eastAsia="宋体" w:cs="宋体"/>
          <w:b/>
          <w:caps/>
          <w:color w:val="auto"/>
          <w:sz w:val="24"/>
          <w:szCs w:val="24"/>
          <w:highlight w:val="none"/>
        </w:rPr>
      </w:pPr>
    </w:p>
    <w:p w14:paraId="415B6237">
      <w:pPr>
        <w:shd w:val="clear"/>
        <w:kinsoku/>
        <w:overflowPunct/>
        <w:topLinePunct w:val="0"/>
        <w:bidi w:val="0"/>
        <w:adjustRightInd w:val="0"/>
        <w:snapToGrid w:val="0"/>
        <w:spacing w:line="500" w:lineRule="exact"/>
        <w:jc w:val="center"/>
        <w:rPr>
          <w:rFonts w:hint="eastAsia" w:ascii="宋体" w:hAnsi="宋体" w:eastAsia="宋体" w:cs="宋体"/>
          <w:b/>
          <w:caps/>
          <w:color w:val="auto"/>
          <w:sz w:val="28"/>
          <w:szCs w:val="28"/>
          <w:highlight w:val="none"/>
        </w:rPr>
      </w:pPr>
    </w:p>
    <w:p w14:paraId="60A2FC33">
      <w:pPr>
        <w:shd w:val="clear"/>
        <w:kinsoku/>
        <w:overflowPunct/>
        <w:topLinePunct w:val="0"/>
        <w:bidi w:val="0"/>
        <w:adjustRightInd w:val="0"/>
        <w:snapToGrid w:val="0"/>
        <w:spacing w:line="500" w:lineRule="exact"/>
        <w:jc w:val="center"/>
        <w:rPr>
          <w:rFonts w:hint="eastAsia" w:ascii="宋体" w:hAnsi="宋体" w:eastAsia="宋体" w:cs="宋体"/>
          <w:bCs/>
          <w:color w:val="auto"/>
          <w:sz w:val="28"/>
          <w:szCs w:val="28"/>
          <w:highlight w:val="none"/>
        </w:rPr>
      </w:pPr>
      <w:r>
        <w:rPr>
          <w:rFonts w:hint="eastAsia" w:ascii="宋体" w:hAnsi="宋体" w:eastAsia="宋体" w:cs="宋体"/>
          <w:b/>
          <w:caps/>
          <w:color w:val="auto"/>
          <w:sz w:val="28"/>
          <w:szCs w:val="28"/>
          <w:highlight w:val="none"/>
        </w:rPr>
        <w:t>（项目名称）</w:t>
      </w:r>
    </w:p>
    <w:p w14:paraId="15399203">
      <w:pPr>
        <w:shd w:val="clear"/>
        <w:kinsoku/>
        <w:overflowPunct/>
        <w:topLinePunct w:val="0"/>
        <w:bidi w:val="0"/>
        <w:adjustRightInd w:val="0"/>
        <w:snapToGrid w:val="0"/>
        <w:spacing w:line="500" w:lineRule="exact"/>
        <w:jc w:val="both"/>
        <w:rPr>
          <w:rFonts w:hint="eastAsia" w:ascii="宋体" w:hAnsi="宋体" w:eastAsia="宋体" w:cs="宋体"/>
          <w:b/>
          <w:bCs/>
          <w:color w:val="auto"/>
          <w:sz w:val="28"/>
          <w:szCs w:val="28"/>
          <w:highlight w:val="none"/>
          <w:lang w:eastAsia="zh-CN"/>
        </w:rPr>
      </w:pPr>
    </w:p>
    <w:p w14:paraId="3A3A3DFB">
      <w:pPr>
        <w:shd w:val="clear"/>
        <w:kinsoku/>
        <w:overflowPunct/>
        <w:topLinePunct w:val="0"/>
        <w:bidi w:val="0"/>
        <w:adjustRightInd w:val="0"/>
        <w:snapToGrid w:val="0"/>
        <w:spacing w:line="500" w:lineRule="exact"/>
        <w:jc w:val="center"/>
        <w:rPr>
          <w:rFonts w:hint="eastAsia" w:ascii="宋体" w:hAnsi="宋体" w:eastAsia="宋体" w:cs="宋体"/>
          <w:bCs/>
          <w:color w:val="auto"/>
          <w:sz w:val="28"/>
          <w:szCs w:val="28"/>
          <w:highlight w:val="none"/>
          <w:lang w:eastAsia="zh-CN"/>
        </w:rPr>
      </w:pPr>
      <w:r>
        <w:rPr>
          <w:rFonts w:hint="eastAsia" w:ascii="宋体" w:hAnsi="宋体" w:eastAsia="宋体" w:cs="宋体"/>
          <w:b/>
          <w:bCs/>
          <w:color w:val="auto"/>
          <w:sz w:val="28"/>
          <w:szCs w:val="28"/>
          <w:highlight w:val="none"/>
          <w:lang w:eastAsia="zh-CN"/>
        </w:rPr>
        <w:t>投标文件</w:t>
      </w:r>
    </w:p>
    <w:p w14:paraId="43DD1D5A">
      <w:pPr>
        <w:shd w:val="clear"/>
        <w:kinsoku/>
        <w:overflowPunct/>
        <w:topLinePunct w:val="0"/>
        <w:bidi w:val="0"/>
        <w:adjustRightInd w:val="0"/>
        <w:snapToGrid w:val="0"/>
        <w:spacing w:line="500" w:lineRule="exact"/>
        <w:jc w:val="center"/>
        <w:rPr>
          <w:rFonts w:hint="eastAsia" w:ascii="宋体" w:hAnsi="宋体" w:eastAsia="宋体" w:cs="宋体"/>
          <w:bCs/>
          <w:color w:val="auto"/>
          <w:sz w:val="28"/>
          <w:szCs w:val="28"/>
          <w:highlight w:val="none"/>
        </w:rPr>
      </w:pPr>
    </w:p>
    <w:p w14:paraId="108B0C3C">
      <w:pPr>
        <w:pStyle w:val="5"/>
        <w:shd w:val="clear"/>
        <w:kinsoku/>
        <w:overflowPunct/>
        <w:topLinePunct w:val="0"/>
        <w:bidi w:val="0"/>
        <w:spacing w:line="500" w:lineRule="exact"/>
        <w:outlineLvl w:val="9"/>
        <w:rPr>
          <w:rFonts w:hint="eastAsia" w:ascii="宋体" w:hAnsi="宋体" w:eastAsia="宋体" w:cs="宋体"/>
          <w:color w:val="auto"/>
          <w:sz w:val="28"/>
          <w:szCs w:val="28"/>
          <w:highlight w:val="none"/>
        </w:rPr>
      </w:pPr>
    </w:p>
    <w:p w14:paraId="2A9B3482">
      <w:pPr>
        <w:shd w:val="clear"/>
        <w:kinsoku/>
        <w:overflowPunct/>
        <w:topLinePunct w:val="0"/>
        <w:bidi w:val="0"/>
        <w:adjustRightInd w:val="0"/>
        <w:snapToGrid w:val="0"/>
        <w:spacing w:line="500" w:lineRule="exact"/>
        <w:jc w:val="both"/>
        <w:rPr>
          <w:rFonts w:hint="eastAsia" w:ascii="宋体" w:hAnsi="宋体" w:eastAsia="宋体" w:cs="宋体"/>
          <w:bCs/>
          <w:color w:val="auto"/>
          <w:sz w:val="28"/>
          <w:szCs w:val="28"/>
          <w:highlight w:val="none"/>
        </w:rPr>
      </w:pPr>
    </w:p>
    <w:p w14:paraId="541C493C">
      <w:pPr>
        <w:keepNext w:val="0"/>
        <w:keepLines w:val="0"/>
        <w:pageBreakBefore w:val="0"/>
        <w:widowControl w:val="0"/>
        <w:shd w:val="clear"/>
        <w:kinsoku/>
        <w:wordWrap/>
        <w:overflowPunct/>
        <w:topLinePunct w:val="0"/>
        <w:autoSpaceDE/>
        <w:autoSpaceDN/>
        <w:bidi w:val="0"/>
        <w:adjustRightInd w:val="0"/>
        <w:snapToGrid w:val="0"/>
        <w:spacing w:line="500" w:lineRule="exact"/>
        <w:ind w:right="-154" w:rightChars="-64"/>
        <w:textAlignment w:val="auto"/>
        <w:rPr>
          <w:rFonts w:hint="eastAsia" w:ascii="宋体" w:hAnsi="宋体" w:eastAsia="宋体" w:cs="宋体"/>
          <w:b/>
          <w:caps/>
          <w:color w:val="auto"/>
          <w:sz w:val="28"/>
          <w:szCs w:val="28"/>
          <w:highlight w:val="none"/>
        </w:rPr>
      </w:pPr>
      <w:r>
        <w:rPr>
          <w:rFonts w:hint="eastAsia" w:ascii="宋体" w:hAnsi="宋体" w:eastAsia="宋体" w:cs="宋体"/>
          <w:b/>
          <w:caps/>
          <w:color w:val="auto"/>
          <w:spacing w:val="0"/>
          <w:w w:val="91"/>
          <w:kern w:val="0"/>
          <w:sz w:val="28"/>
          <w:szCs w:val="28"/>
          <w:highlight w:val="none"/>
          <w:fitText w:val="2810" w:id="173286817"/>
          <w:lang w:eastAsia="zh-CN"/>
        </w:rPr>
        <w:t>投标单位</w:t>
      </w:r>
      <w:r>
        <w:rPr>
          <w:rFonts w:hint="eastAsia" w:ascii="宋体" w:hAnsi="宋体" w:eastAsia="宋体" w:cs="宋体"/>
          <w:b/>
          <w:caps/>
          <w:color w:val="auto"/>
          <w:spacing w:val="0"/>
          <w:w w:val="91"/>
          <w:kern w:val="0"/>
          <w:sz w:val="28"/>
          <w:szCs w:val="28"/>
          <w:highlight w:val="none"/>
          <w:fitText w:val="2810" w:id="173286817"/>
        </w:rPr>
        <w:t>名称（公章）</w:t>
      </w:r>
      <w:r>
        <w:rPr>
          <w:rFonts w:hint="eastAsia" w:ascii="宋体" w:hAnsi="宋体" w:eastAsia="宋体" w:cs="宋体"/>
          <w:b/>
          <w:caps/>
          <w:color w:val="auto"/>
          <w:spacing w:val="-4"/>
          <w:w w:val="91"/>
          <w:kern w:val="0"/>
          <w:sz w:val="28"/>
          <w:szCs w:val="28"/>
          <w:highlight w:val="none"/>
          <w:fitText w:val="2810" w:id="173286817"/>
        </w:rPr>
        <w:t>：</w:t>
      </w:r>
    </w:p>
    <w:p w14:paraId="1074C414">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ind w:right="-154" w:rightChars="-64"/>
        <w:textAlignment w:val="auto"/>
        <w:rPr>
          <w:rFonts w:hint="eastAsia" w:ascii="宋体" w:hAnsi="宋体" w:eastAsia="宋体" w:cs="宋体"/>
          <w:b/>
          <w:caps/>
          <w:color w:val="auto"/>
          <w:spacing w:val="1"/>
          <w:w w:val="66"/>
          <w:kern w:val="0"/>
          <w:sz w:val="28"/>
          <w:szCs w:val="28"/>
          <w:highlight w:val="none"/>
          <w:fitText w:val="2810" w:id="173286817"/>
        </w:rPr>
      </w:pPr>
    </w:p>
    <w:p w14:paraId="31CBC336">
      <w:pPr>
        <w:keepNext w:val="0"/>
        <w:keepLines w:val="0"/>
        <w:pageBreakBefore w:val="0"/>
        <w:widowControl w:val="0"/>
        <w:shd w:val="clear" w:color="auto" w:fill="auto"/>
        <w:kinsoku/>
        <w:wordWrap/>
        <w:overflowPunct/>
        <w:topLinePunct w:val="0"/>
        <w:autoSpaceDE/>
        <w:autoSpaceDN/>
        <w:bidi w:val="0"/>
        <w:adjustRightInd w:val="0"/>
        <w:snapToGrid w:val="0"/>
        <w:spacing w:line="500" w:lineRule="exact"/>
        <w:ind w:right="-154" w:rightChars="-64"/>
        <w:textAlignment w:val="auto"/>
        <w:rPr>
          <w:rFonts w:hint="eastAsia" w:ascii="宋体" w:hAnsi="宋体" w:eastAsia="宋体" w:cs="宋体"/>
          <w:b/>
          <w:caps/>
          <w:color w:val="auto"/>
          <w:spacing w:val="0"/>
          <w:w w:val="66"/>
          <w:kern w:val="0"/>
          <w:sz w:val="28"/>
          <w:szCs w:val="28"/>
          <w:highlight w:val="none"/>
          <w:fitText w:val="2810" w:id="173286817"/>
        </w:rPr>
      </w:pPr>
      <w:r>
        <w:rPr>
          <w:rFonts w:hint="eastAsia" w:ascii="宋体" w:hAnsi="宋体" w:eastAsia="宋体" w:cs="宋体"/>
          <w:b/>
          <w:caps/>
          <w:color w:val="auto"/>
          <w:spacing w:val="0"/>
          <w:w w:val="77"/>
          <w:kern w:val="0"/>
          <w:sz w:val="28"/>
          <w:szCs w:val="28"/>
          <w:highlight w:val="none"/>
          <w:fitText w:val="2810" w:id="173286817"/>
        </w:rPr>
        <w:t>法定代表人（</w:t>
      </w:r>
      <w:r>
        <w:rPr>
          <w:rFonts w:hint="eastAsia" w:ascii="宋体" w:hAnsi="宋体" w:eastAsia="宋体" w:cs="宋体"/>
          <w:b/>
          <w:caps/>
          <w:color w:val="auto"/>
          <w:spacing w:val="0"/>
          <w:w w:val="77"/>
          <w:kern w:val="0"/>
          <w:sz w:val="28"/>
          <w:szCs w:val="28"/>
          <w:highlight w:val="none"/>
          <w:fitText w:val="2810" w:id="173286817"/>
          <w:lang w:eastAsia="zh-CN"/>
        </w:rPr>
        <w:t>签字</w:t>
      </w:r>
      <w:r>
        <w:rPr>
          <w:rFonts w:hint="eastAsia" w:ascii="宋体" w:hAnsi="宋体" w:eastAsia="宋体" w:cs="宋体"/>
          <w:b/>
          <w:caps/>
          <w:color w:val="auto"/>
          <w:spacing w:val="0"/>
          <w:w w:val="77"/>
          <w:kern w:val="0"/>
          <w:sz w:val="28"/>
          <w:szCs w:val="28"/>
          <w:highlight w:val="none"/>
          <w:fitText w:val="2810" w:id="173286817"/>
        </w:rPr>
        <w:t>或盖章）</w:t>
      </w:r>
      <w:r>
        <w:rPr>
          <w:rFonts w:hint="eastAsia" w:ascii="宋体" w:hAnsi="宋体" w:eastAsia="宋体" w:cs="宋体"/>
          <w:b/>
          <w:caps/>
          <w:color w:val="auto"/>
          <w:spacing w:val="-1"/>
          <w:w w:val="77"/>
          <w:kern w:val="0"/>
          <w:sz w:val="28"/>
          <w:szCs w:val="28"/>
          <w:highlight w:val="none"/>
          <w:fitText w:val="2810" w:id="173286817"/>
        </w:rPr>
        <w:t>：</w:t>
      </w:r>
    </w:p>
    <w:p w14:paraId="522BC402">
      <w:pPr>
        <w:keepNext w:val="0"/>
        <w:keepLines w:val="0"/>
        <w:pageBreakBefore w:val="0"/>
        <w:widowControl w:val="0"/>
        <w:shd w:val="clear"/>
        <w:kinsoku/>
        <w:wordWrap/>
        <w:overflowPunct/>
        <w:topLinePunct w:val="0"/>
        <w:autoSpaceDE/>
        <w:autoSpaceDN/>
        <w:bidi w:val="0"/>
        <w:adjustRightInd w:val="0"/>
        <w:snapToGrid w:val="0"/>
        <w:spacing w:line="500" w:lineRule="exact"/>
        <w:ind w:right="-154" w:rightChars="-64"/>
        <w:textAlignment w:val="auto"/>
        <w:rPr>
          <w:rFonts w:hint="eastAsia" w:ascii="宋体" w:hAnsi="宋体" w:eastAsia="宋体" w:cs="宋体"/>
          <w:b/>
          <w:caps/>
          <w:color w:val="auto"/>
          <w:sz w:val="28"/>
          <w:szCs w:val="28"/>
          <w:highlight w:val="none"/>
        </w:rPr>
      </w:pPr>
    </w:p>
    <w:p w14:paraId="4AC1B2B8">
      <w:pPr>
        <w:keepNext w:val="0"/>
        <w:keepLines w:val="0"/>
        <w:pageBreakBefore w:val="0"/>
        <w:widowControl w:val="0"/>
        <w:shd w:val="clear"/>
        <w:kinsoku/>
        <w:wordWrap/>
        <w:overflowPunct/>
        <w:topLinePunct w:val="0"/>
        <w:autoSpaceDE/>
        <w:autoSpaceDN/>
        <w:bidi w:val="0"/>
        <w:adjustRightInd w:val="0"/>
        <w:snapToGrid w:val="0"/>
        <w:spacing w:line="500" w:lineRule="exact"/>
        <w:ind w:right="-154" w:rightChars="-64"/>
        <w:textAlignment w:val="auto"/>
        <w:rPr>
          <w:rFonts w:hint="eastAsia" w:ascii="宋体" w:hAnsi="宋体" w:eastAsia="宋体" w:cs="宋体"/>
          <w:b/>
          <w:caps/>
          <w:color w:val="auto"/>
          <w:sz w:val="28"/>
          <w:szCs w:val="28"/>
          <w:highlight w:val="none"/>
        </w:rPr>
      </w:pPr>
      <w:r>
        <w:rPr>
          <w:rFonts w:hint="eastAsia" w:ascii="宋体" w:hAnsi="宋体" w:eastAsia="宋体" w:cs="宋体"/>
          <w:b/>
          <w:caps/>
          <w:color w:val="auto"/>
          <w:spacing w:val="70"/>
          <w:kern w:val="0"/>
          <w:sz w:val="28"/>
          <w:szCs w:val="28"/>
          <w:highlight w:val="none"/>
          <w:fitText w:val="2810" w:id="1233616176"/>
          <w:lang w:eastAsia="zh-CN"/>
        </w:rPr>
        <w:t>投标单位</w:t>
      </w:r>
      <w:r>
        <w:rPr>
          <w:rFonts w:hint="eastAsia" w:ascii="宋体" w:hAnsi="宋体" w:eastAsia="宋体" w:cs="宋体"/>
          <w:b/>
          <w:caps/>
          <w:color w:val="auto"/>
          <w:spacing w:val="70"/>
          <w:kern w:val="0"/>
          <w:sz w:val="28"/>
          <w:szCs w:val="28"/>
          <w:highlight w:val="none"/>
          <w:fitText w:val="2810" w:id="1233616176"/>
        </w:rPr>
        <w:t>地址</w:t>
      </w:r>
      <w:r>
        <w:rPr>
          <w:rFonts w:hint="eastAsia" w:ascii="宋体" w:hAnsi="宋体" w:eastAsia="宋体" w:cs="宋体"/>
          <w:b/>
          <w:caps/>
          <w:color w:val="auto"/>
          <w:spacing w:val="5"/>
          <w:kern w:val="0"/>
          <w:sz w:val="28"/>
          <w:szCs w:val="28"/>
          <w:highlight w:val="none"/>
          <w:fitText w:val="2810" w:id="1233616176"/>
        </w:rPr>
        <w:t>：</w:t>
      </w:r>
    </w:p>
    <w:p w14:paraId="05035D90">
      <w:pPr>
        <w:keepNext w:val="0"/>
        <w:keepLines w:val="0"/>
        <w:pageBreakBefore w:val="0"/>
        <w:widowControl w:val="0"/>
        <w:shd w:val="clear"/>
        <w:kinsoku/>
        <w:wordWrap/>
        <w:overflowPunct/>
        <w:topLinePunct w:val="0"/>
        <w:autoSpaceDE/>
        <w:autoSpaceDN/>
        <w:bidi w:val="0"/>
        <w:adjustRightInd w:val="0"/>
        <w:snapToGrid w:val="0"/>
        <w:spacing w:line="500" w:lineRule="exact"/>
        <w:ind w:right="-154" w:rightChars="-64"/>
        <w:textAlignment w:val="auto"/>
        <w:rPr>
          <w:rFonts w:hint="eastAsia" w:ascii="宋体" w:hAnsi="宋体" w:eastAsia="宋体" w:cs="宋体"/>
          <w:b/>
          <w:caps/>
          <w:color w:val="auto"/>
          <w:sz w:val="28"/>
          <w:szCs w:val="28"/>
          <w:highlight w:val="none"/>
        </w:rPr>
      </w:pPr>
    </w:p>
    <w:p w14:paraId="5C71515C">
      <w:pPr>
        <w:keepNext w:val="0"/>
        <w:keepLines w:val="0"/>
        <w:pageBreakBefore w:val="0"/>
        <w:widowControl w:val="0"/>
        <w:shd w:val="clear"/>
        <w:kinsoku/>
        <w:wordWrap/>
        <w:overflowPunct/>
        <w:topLinePunct w:val="0"/>
        <w:autoSpaceDE/>
        <w:autoSpaceDN/>
        <w:bidi w:val="0"/>
        <w:adjustRightInd w:val="0"/>
        <w:snapToGrid w:val="0"/>
        <w:spacing w:line="500" w:lineRule="exact"/>
        <w:ind w:right="-154" w:rightChars="-64"/>
        <w:textAlignment w:val="auto"/>
        <w:rPr>
          <w:rFonts w:hint="eastAsia" w:ascii="宋体" w:hAnsi="宋体" w:eastAsia="宋体" w:cs="宋体"/>
          <w:b/>
          <w:caps/>
          <w:color w:val="auto"/>
          <w:sz w:val="28"/>
          <w:szCs w:val="28"/>
          <w:highlight w:val="none"/>
        </w:rPr>
      </w:pPr>
      <w:r>
        <w:rPr>
          <w:rFonts w:hint="eastAsia" w:ascii="宋体" w:hAnsi="宋体" w:eastAsia="宋体" w:cs="宋体"/>
          <w:b/>
          <w:caps/>
          <w:color w:val="auto"/>
          <w:spacing w:val="281"/>
          <w:kern w:val="0"/>
          <w:sz w:val="28"/>
          <w:szCs w:val="28"/>
          <w:highlight w:val="none"/>
          <w:fitText w:val="2810" w:id="1426482856"/>
        </w:rPr>
        <w:t>联系人</w:t>
      </w:r>
      <w:r>
        <w:rPr>
          <w:rFonts w:hint="eastAsia" w:ascii="宋体" w:hAnsi="宋体" w:eastAsia="宋体" w:cs="宋体"/>
          <w:b/>
          <w:caps/>
          <w:color w:val="auto"/>
          <w:spacing w:val="2"/>
          <w:kern w:val="0"/>
          <w:sz w:val="28"/>
          <w:szCs w:val="28"/>
          <w:highlight w:val="none"/>
          <w:fitText w:val="2810" w:id="1426482856"/>
        </w:rPr>
        <w:t>：</w:t>
      </w:r>
    </w:p>
    <w:p w14:paraId="6452B5D7">
      <w:pPr>
        <w:keepNext w:val="0"/>
        <w:keepLines w:val="0"/>
        <w:pageBreakBefore w:val="0"/>
        <w:widowControl w:val="0"/>
        <w:shd w:val="clear"/>
        <w:kinsoku/>
        <w:wordWrap/>
        <w:overflowPunct/>
        <w:topLinePunct w:val="0"/>
        <w:autoSpaceDE/>
        <w:autoSpaceDN/>
        <w:bidi w:val="0"/>
        <w:adjustRightInd w:val="0"/>
        <w:snapToGrid w:val="0"/>
        <w:spacing w:line="500" w:lineRule="exact"/>
        <w:ind w:right="-154" w:rightChars="-64"/>
        <w:textAlignment w:val="auto"/>
        <w:rPr>
          <w:rFonts w:hint="eastAsia" w:ascii="宋体" w:hAnsi="宋体" w:eastAsia="宋体" w:cs="宋体"/>
          <w:b/>
          <w:caps/>
          <w:color w:val="auto"/>
          <w:sz w:val="28"/>
          <w:szCs w:val="28"/>
          <w:highlight w:val="none"/>
        </w:rPr>
      </w:pPr>
    </w:p>
    <w:p w14:paraId="012EA6BD">
      <w:pPr>
        <w:keepNext w:val="0"/>
        <w:keepLines w:val="0"/>
        <w:pageBreakBefore w:val="0"/>
        <w:widowControl w:val="0"/>
        <w:shd w:val="clear"/>
        <w:kinsoku/>
        <w:wordWrap/>
        <w:overflowPunct/>
        <w:topLinePunct w:val="0"/>
        <w:autoSpaceDE/>
        <w:autoSpaceDN/>
        <w:bidi w:val="0"/>
        <w:adjustRightInd w:val="0"/>
        <w:snapToGrid w:val="0"/>
        <w:spacing w:line="500" w:lineRule="exact"/>
        <w:ind w:right="-154" w:rightChars="-64"/>
        <w:textAlignment w:val="auto"/>
        <w:rPr>
          <w:rFonts w:hint="eastAsia" w:ascii="宋体" w:hAnsi="宋体" w:eastAsia="宋体" w:cs="宋体"/>
          <w:b/>
          <w:caps/>
          <w:color w:val="auto"/>
          <w:sz w:val="28"/>
          <w:szCs w:val="28"/>
          <w:highlight w:val="none"/>
        </w:rPr>
      </w:pPr>
      <w:r>
        <w:rPr>
          <w:rFonts w:hint="eastAsia" w:ascii="宋体" w:hAnsi="宋体" w:eastAsia="宋体" w:cs="宋体"/>
          <w:b/>
          <w:caps/>
          <w:color w:val="auto"/>
          <w:spacing w:val="176"/>
          <w:kern w:val="0"/>
          <w:sz w:val="28"/>
          <w:szCs w:val="28"/>
          <w:highlight w:val="none"/>
          <w:fitText w:val="2810" w:id="1710822429"/>
        </w:rPr>
        <w:t>联系电话</w:t>
      </w:r>
      <w:r>
        <w:rPr>
          <w:rFonts w:hint="eastAsia" w:ascii="宋体" w:hAnsi="宋体" w:eastAsia="宋体" w:cs="宋体"/>
          <w:b/>
          <w:caps/>
          <w:color w:val="auto"/>
          <w:spacing w:val="1"/>
          <w:kern w:val="0"/>
          <w:sz w:val="28"/>
          <w:szCs w:val="28"/>
          <w:highlight w:val="none"/>
          <w:fitText w:val="2810" w:id="1710822429"/>
        </w:rPr>
        <w:t>：</w:t>
      </w:r>
    </w:p>
    <w:p w14:paraId="204A71C1">
      <w:pPr>
        <w:keepNext w:val="0"/>
        <w:keepLines w:val="0"/>
        <w:pageBreakBefore w:val="0"/>
        <w:widowControl w:val="0"/>
        <w:shd w:val="clear"/>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
          <w:caps/>
          <w:color w:val="auto"/>
          <w:sz w:val="24"/>
          <w:szCs w:val="24"/>
          <w:highlight w:val="none"/>
        </w:rPr>
      </w:pPr>
    </w:p>
    <w:p w14:paraId="2721BF3B">
      <w:pPr>
        <w:keepNext w:val="0"/>
        <w:keepLines w:val="0"/>
        <w:pageBreakBefore w:val="0"/>
        <w:widowControl w:val="0"/>
        <w:shd w:val="clear"/>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
          <w:color w:val="auto"/>
          <w:sz w:val="24"/>
          <w:szCs w:val="24"/>
          <w:highlight w:val="none"/>
          <w:lang w:val="en-US" w:eastAsia="zh-CN"/>
        </w:rPr>
      </w:pPr>
    </w:p>
    <w:p w14:paraId="671FA8FC">
      <w:pPr>
        <w:keepNext w:val="0"/>
        <w:keepLines w:val="0"/>
        <w:pageBreakBefore w:val="0"/>
        <w:widowControl w:val="0"/>
        <w:shd w:val="clear"/>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
          <w:color w:val="auto"/>
          <w:sz w:val="24"/>
          <w:szCs w:val="24"/>
          <w:highlight w:val="none"/>
          <w:lang w:val="en-US" w:eastAsia="zh-CN"/>
        </w:rPr>
      </w:pPr>
    </w:p>
    <w:p w14:paraId="665EA80F">
      <w:pPr>
        <w:keepNext w:val="0"/>
        <w:keepLines w:val="0"/>
        <w:pageBreakBefore w:val="0"/>
        <w:widowControl w:val="0"/>
        <w:shd w:val="clear"/>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年</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月</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日</w:t>
      </w:r>
    </w:p>
    <w:p w14:paraId="4ECCC9D4">
      <w:pPr>
        <w:pStyle w:val="47"/>
        <w:keepNext w:val="0"/>
        <w:keepLines w:val="0"/>
        <w:widowControl w:val="0"/>
        <w:shd w:val="clear" w:color="auto"/>
        <w:kinsoku/>
        <w:overflowPunct/>
        <w:topLinePunct w:val="0"/>
        <w:bidi w:val="0"/>
        <w:spacing w:before="0" w:after="340" w:line="500" w:lineRule="exact"/>
        <w:ind w:left="0" w:right="0" w:firstLine="0"/>
        <w:jc w:val="left"/>
        <w:rPr>
          <w:rFonts w:hint="eastAsia" w:ascii="宋体" w:hAnsi="宋体" w:eastAsia="宋体" w:cs="宋体"/>
          <w:color w:val="auto"/>
          <w:spacing w:val="0"/>
          <w:w w:val="100"/>
          <w:position w:val="0"/>
          <w:sz w:val="24"/>
          <w:szCs w:val="24"/>
          <w:highlight w:val="none"/>
        </w:rPr>
      </w:pPr>
    </w:p>
    <w:p w14:paraId="0EEC4C2C">
      <w:pPr>
        <w:pStyle w:val="47"/>
        <w:keepNext w:val="0"/>
        <w:keepLines w:val="0"/>
        <w:widowControl w:val="0"/>
        <w:shd w:val="clear" w:color="auto"/>
        <w:kinsoku/>
        <w:overflowPunct/>
        <w:topLinePunct w:val="0"/>
        <w:bidi w:val="0"/>
        <w:spacing w:before="0" w:after="340" w:line="500" w:lineRule="exact"/>
        <w:ind w:left="0" w:right="0" w:firstLine="0"/>
        <w:jc w:val="left"/>
        <w:rPr>
          <w:rFonts w:hint="eastAsia" w:ascii="宋体" w:hAnsi="宋体" w:eastAsia="宋体" w:cs="宋体"/>
          <w:color w:val="auto"/>
          <w:spacing w:val="0"/>
          <w:w w:val="100"/>
          <w:position w:val="0"/>
          <w:sz w:val="24"/>
          <w:szCs w:val="24"/>
          <w:highlight w:val="none"/>
        </w:rPr>
      </w:pPr>
    </w:p>
    <w:bookmarkEnd w:id="302"/>
    <w:p w14:paraId="577A46BD">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第一部分　商务部分</w:t>
      </w:r>
    </w:p>
    <w:p w14:paraId="3B6E5E52">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一、投标函(格式附后)</w:t>
      </w:r>
    </w:p>
    <w:p w14:paraId="48A51CC0">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附件1－1　法定代表人身份证明复印件(法定代表人参加投标)</w:t>
      </w:r>
    </w:p>
    <w:p w14:paraId="17684297">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附件1－2　法定代表人授权书(授权代表参加投标)</w:t>
      </w:r>
    </w:p>
    <w:p w14:paraId="2787EBF3">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二、开标一览表(格式附后)</w:t>
      </w:r>
    </w:p>
    <w:p w14:paraId="5E01B771">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三、商务条款偏离表(格式附后)</w:t>
      </w:r>
    </w:p>
    <w:p w14:paraId="0A2EF2E1">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四、投标保证金(格式附后)</w:t>
      </w:r>
    </w:p>
    <w:p w14:paraId="715D7DBA">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w:t>
      </w: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rPr>
        <w:t>基本情况表</w:t>
      </w:r>
    </w:p>
    <w:p w14:paraId="19C62B90">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六、提供符合政府采购政策的证明材料</w:t>
      </w:r>
    </w:p>
    <w:p w14:paraId="389C553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附件6－1　中小企业声明函(格式附后)</w:t>
      </w:r>
    </w:p>
    <w:p w14:paraId="358412AC">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w:t>
      </w: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rPr>
        <w:t>须提供类似业绩</w:t>
      </w:r>
    </w:p>
    <w:p w14:paraId="287905A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rPr>
        <w:t>认为需提供的其他资料</w:t>
      </w:r>
    </w:p>
    <w:p w14:paraId="68A3FBD2">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第二部分　技术部分</w:t>
      </w:r>
    </w:p>
    <w:p w14:paraId="330B7911">
      <w:pPr>
        <w:keepNext w:val="0"/>
        <w:keepLines w:val="0"/>
        <w:pageBreakBefore w:val="0"/>
        <w:widowControl w:val="0"/>
        <w:shd w:val="clear"/>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投标人应根据项目采购需求、评标办法及</w:t>
      </w:r>
      <w:r>
        <w:rPr>
          <w:rFonts w:hint="eastAsia" w:ascii="宋体" w:hAnsi="宋体" w:eastAsia="宋体" w:cs="宋体"/>
          <w:spacing w:val="-2"/>
          <w:sz w:val="24"/>
          <w:szCs w:val="24"/>
          <w:highlight w:val="none"/>
        </w:rPr>
        <w:t>评审内容和实际情况增加内容，但不得擅自减少有关内容</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所有不完整的投标将可能被否决其参选，</w:t>
      </w:r>
      <w:r>
        <w:rPr>
          <w:rFonts w:hint="eastAsia" w:ascii="宋体" w:hAnsi="宋体" w:eastAsia="宋体" w:cs="宋体"/>
          <w:sz w:val="24"/>
          <w:szCs w:val="24"/>
          <w:highlight w:val="none"/>
        </w:rPr>
        <w:t>格式自拟</w:t>
      </w:r>
      <w:r>
        <w:rPr>
          <w:rFonts w:hint="eastAsia" w:ascii="宋体" w:hAnsi="宋体" w:eastAsia="宋体" w:cs="宋体"/>
          <w:sz w:val="24"/>
          <w:szCs w:val="24"/>
          <w:highlight w:val="none"/>
          <w:lang w:eastAsia="zh-CN"/>
        </w:rPr>
        <w:t>。</w:t>
      </w:r>
    </w:p>
    <w:p w14:paraId="3C7FEAB4">
      <w:pPr>
        <w:shd w:val="clear"/>
        <w:kinsoku/>
        <w:overflowPunct/>
        <w:topLinePunct w:val="0"/>
        <w:bidi w:val="0"/>
        <w:spacing w:line="500" w:lineRule="exact"/>
        <w:jc w:val="left"/>
        <w:rPr>
          <w:rFonts w:hint="eastAsia" w:ascii="宋体" w:hAnsi="宋体" w:eastAsia="宋体" w:cs="宋体"/>
          <w:sz w:val="24"/>
          <w:szCs w:val="24"/>
          <w:highlight w:val="none"/>
        </w:rPr>
      </w:pPr>
    </w:p>
    <w:p w14:paraId="095DF182">
      <w:pPr>
        <w:shd w:val="clear"/>
        <w:kinsoku/>
        <w:overflowPunct/>
        <w:topLinePunct w:val="0"/>
        <w:bidi w:val="0"/>
        <w:spacing w:line="500" w:lineRule="exact"/>
        <w:jc w:val="left"/>
        <w:rPr>
          <w:rFonts w:hint="eastAsia" w:ascii="宋体" w:hAnsi="宋体" w:eastAsia="宋体" w:cs="宋体"/>
          <w:sz w:val="24"/>
          <w:szCs w:val="24"/>
          <w:highlight w:val="none"/>
        </w:rPr>
      </w:pPr>
    </w:p>
    <w:p w14:paraId="3DEE05D4">
      <w:pPr>
        <w:shd w:val="clear"/>
        <w:kinsoku/>
        <w:overflowPunct/>
        <w:topLinePunct w:val="0"/>
        <w:bidi w:val="0"/>
        <w:spacing w:line="500" w:lineRule="exact"/>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第三部分 资格证明文件</w:t>
      </w:r>
    </w:p>
    <w:p w14:paraId="00C48876">
      <w:pPr>
        <w:shd w:val="clear"/>
        <w:kinsoku/>
        <w:overflowPunct/>
        <w:topLinePunct w:val="0"/>
        <w:bidi w:val="0"/>
        <w:spacing w:line="5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一、满足《中华人民共和国政府采购法》第二十二条规定</w:t>
      </w:r>
    </w:p>
    <w:p w14:paraId="3D0E7C32">
      <w:pPr>
        <w:shd w:val="clear"/>
        <w:kinsoku/>
        <w:overflowPunct/>
        <w:topLinePunct w:val="0"/>
        <w:bidi w:val="0"/>
        <w:spacing w:line="500" w:lineRule="exact"/>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二、联合体协议书（如有）</w:t>
      </w:r>
    </w:p>
    <w:p w14:paraId="2A9332C6">
      <w:pPr>
        <w:shd w:val="clear"/>
        <w:kinsoku/>
        <w:overflowPunct/>
        <w:topLinePunct w:val="0"/>
        <w:bidi w:val="0"/>
        <w:spacing w:line="500" w:lineRule="exact"/>
        <w:ind w:firstLine="480" w:firstLineChars="200"/>
        <w:jc w:val="left"/>
        <w:rPr>
          <w:rFonts w:hint="eastAsia"/>
          <w:highlight w:val="yellow"/>
          <w:lang w:val="en-US" w:eastAsia="zh-CN"/>
        </w:rPr>
      </w:pPr>
    </w:p>
    <w:p w14:paraId="78A4CCF2">
      <w:pPr>
        <w:pStyle w:val="26"/>
        <w:rPr>
          <w:rFonts w:hint="eastAsia"/>
          <w:lang w:val="en-US" w:eastAsia="zh-CN"/>
        </w:rPr>
      </w:pPr>
    </w:p>
    <w:p w14:paraId="5DA11B18">
      <w:pPr>
        <w:pStyle w:val="26"/>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pPr>
    </w:p>
    <w:p w14:paraId="66736AAB">
      <w:pPr>
        <w:rPr>
          <w:rFonts w:hint="eastAsia" w:ascii="宋体" w:hAnsi="宋体" w:eastAsia="宋体" w:cs="宋体"/>
          <w:sz w:val="24"/>
          <w:szCs w:val="24"/>
          <w:highlight w:val="none"/>
          <w:lang w:val="en-US" w:eastAsia="zh-CN"/>
        </w:rPr>
      </w:pPr>
    </w:p>
    <w:p w14:paraId="075F4A7A">
      <w:pPr>
        <w:pStyle w:val="26"/>
        <w:rPr>
          <w:rFonts w:hint="default"/>
          <w:lang w:val="en-US" w:eastAsia="zh-CN"/>
        </w:rPr>
      </w:pPr>
    </w:p>
    <w:p w14:paraId="0F8092C5">
      <w:pPr>
        <w:pStyle w:val="26"/>
        <w:rPr>
          <w:rFonts w:hint="default"/>
          <w:lang w:val="en-US" w:eastAsia="zh-CN"/>
        </w:rPr>
      </w:pPr>
    </w:p>
    <w:p w14:paraId="53636485">
      <w:pPr>
        <w:shd w:val="clear"/>
        <w:kinsoku/>
        <w:overflowPunct/>
        <w:topLinePunct w:val="0"/>
        <w:bidi w:val="0"/>
        <w:spacing w:line="500" w:lineRule="exact"/>
        <w:jc w:val="left"/>
        <w:rPr>
          <w:rFonts w:hint="eastAsia" w:ascii="宋体" w:hAnsi="宋体" w:eastAsia="宋体" w:cs="宋体"/>
          <w:sz w:val="24"/>
          <w:szCs w:val="24"/>
          <w:highlight w:val="none"/>
        </w:rPr>
      </w:pPr>
    </w:p>
    <w:p w14:paraId="70250162">
      <w:pPr>
        <w:shd w:val="clear"/>
        <w:kinsoku/>
        <w:overflowPunct/>
        <w:topLinePunct w:val="0"/>
        <w:bidi w:val="0"/>
        <w:spacing w:line="500" w:lineRule="exact"/>
        <w:jc w:val="left"/>
        <w:rPr>
          <w:rFonts w:hint="eastAsia" w:ascii="宋体" w:hAnsi="宋体" w:eastAsia="宋体" w:cs="宋体"/>
          <w:sz w:val="24"/>
          <w:szCs w:val="24"/>
          <w:highlight w:val="none"/>
        </w:rPr>
      </w:pPr>
    </w:p>
    <w:p w14:paraId="1B2AFE20">
      <w:pPr>
        <w:shd w:val="clear"/>
        <w:kinsoku/>
        <w:overflowPunct/>
        <w:topLinePunct w:val="0"/>
        <w:bidi w:val="0"/>
        <w:spacing w:line="500" w:lineRule="exact"/>
        <w:jc w:val="left"/>
        <w:rPr>
          <w:rFonts w:hint="eastAsia" w:ascii="宋体" w:hAnsi="宋体" w:eastAsia="宋体" w:cs="宋体"/>
          <w:sz w:val="24"/>
          <w:szCs w:val="24"/>
          <w:highlight w:val="none"/>
        </w:rPr>
      </w:pPr>
    </w:p>
    <w:p w14:paraId="487F0A82">
      <w:pPr>
        <w:shd w:val="clear"/>
        <w:kinsoku/>
        <w:overflowPunct/>
        <w:topLinePunct w:val="0"/>
        <w:bidi w:val="0"/>
        <w:spacing w:line="500" w:lineRule="exact"/>
        <w:jc w:val="left"/>
        <w:rPr>
          <w:rFonts w:hint="eastAsia" w:ascii="宋体" w:hAnsi="宋体" w:eastAsia="宋体" w:cs="宋体"/>
          <w:sz w:val="24"/>
          <w:szCs w:val="24"/>
          <w:highlight w:val="none"/>
        </w:rPr>
      </w:pPr>
    </w:p>
    <w:p w14:paraId="142E8E02">
      <w:pPr>
        <w:shd w:val="clear"/>
        <w:kinsoku/>
        <w:overflowPunct/>
        <w:topLinePunct w:val="0"/>
        <w:bidi w:val="0"/>
        <w:spacing w:line="500" w:lineRule="exact"/>
        <w:jc w:val="left"/>
        <w:rPr>
          <w:rFonts w:hint="eastAsia" w:ascii="宋体" w:hAnsi="宋体" w:eastAsia="宋体" w:cs="宋体"/>
          <w:sz w:val="24"/>
          <w:szCs w:val="24"/>
          <w:highlight w:val="none"/>
        </w:rPr>
      </w:pPr>
    </w:p>
    <w:p w14:paraId="5249A35F">
      <w:pPr>
        <w:shd w:val="clear"/>
        <w:kinsoku/>
        <w:overflowPunct/>
        <w:topLinePunct w:val="0"/>
        <w:bidi w:val="0"/>
        <w:spacing w:line="500" w:lineRule="exact"/>
        <w:jc w:val="left"/>
        <w:rPr>
          <w:rFonts w:hint="eastAsia" w:ascii="宋体" w:hAnsi="宋体" w:eastAsia="宋体" w:cs="宋体"/>
          <w:sz w:val="24"/>
          <w:szCs w:val="24"/>
          <w:highlight w:val="none"/>
        </w:rPr>
      </w:pPr>
    </w:p>
    <w:p w14:paraId="4555EAF2">
      <w:pPr>
        <w:shd w:val="clear"/>
        <w:kinsoku/>
        <w:overflowPunct/>
        <w:topLinePunct w:val="0"/>
        <w:bidi w:val="0"/>
        <w:spacing w:line="500" w:lineRule="exact"/>
        <w:jc w:val="left"/>
        <w:rPr>
          <w:rFonts w:hint="eastAsia" w:ascii="宋体" w:hAnsi="宋体" w:eastAsia="宋体" w:cs="宋体"/>
          <w:sz w:val="24"/>
          <w:szCs w:val="24"/>
          <w:highlight w:val="none"/>
        </w:rPr>
      </w:pPr>
    </w:p>
    <w:p w14:paraId="10EBDA66">
      <w:pPr>
        <w:shd w:val="clear"/>
        <w:kinsoku/>
        <w:overflowPunct/>
        <w:topLinePunct w:val="0"/>
        <w:bidi w:val="0"/>
        <w:spacing w:line="500" w:lineRule="exact"/>
        <w:jc w:val="left"/>
        <w:rPr>
          <w:rFonts w:hint="eastAsia" w:ascii="宋体" w:hAnsi="宋体" w:eastAsia="宋体" w:cs="宋体"/>
          <w:sz w:val="24"/>
          <w:szCs w:val="24"/>
          <w:highlight w:val="none"/>
        </w:rPr>
      </w:pPr>
    </w:p>
    <w:p w14:paraId="2D1DB61E">
      <w:pPr>
        <w:shd w:val="clear"/>
        <w:kinsoku/>
        <w:overflowPunct/>
        <w:topLinePunct w:val="0"/>
        <w:bidi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2A8FB511">
      <w:pPr>
        <w:shd w:val="clear"/>
        <w:kinsoku/>
        <w:overflowPunct/>
        <w:topLinePunct w:val="0"/>
        <w:bidi w:val="0"/>
        <w:spacing w:line="5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第一部分  商务部分</w:t>
      </w:r>
    </w:p>
    <w:p w14:paraId="3FC18E03">
      <w:pPr>
        <w:shd w:val="clear"/>
        <w:kinsoku/>
        <w:overflowPunct/>
        <w:topLinePunct w:val="0"/>
        <w:bidi w:val="0"/>
        <w:spacing w:line="5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一、投标函</w:t>
      </w:r>
    </w:p>
    <w:p w14:paraId="7E2F2392">
      <w:pPr>
        <w:shd w:val="clear"/>
        <w:kinsoku/>
        <w:overflowPunct/>
        <w:topLinePunct w:val="0"/>
        <w:bidi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　标　函</w:t>
      </w:r>
    </w:p>
    <w:p w14:paraId="49AA2F18">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致____________(</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招标代理</w:t>
      </w:r>
      <w:r>
        <w:rPr>
          <w:rFonts w:hint="eastAsia" w:ascii="宋体" w:hAnsi="宋体" w:eastAsia="宋体" w:cs="宋体"/>
          <w:sz w:val="24"/>
          <w:szCs w:val="24"/>
          <w:highlight w:val="none"/>
        </w:rPr>
        <w:t>机构)：</w:t>
      </w:r>
    </w:p>
    <w:p w14:paraId="3B6A19B4">
      <w:pPr>
        <w:shd w:val="clear"/>
        <w:kinsoku/>
        <w:overflowPunct/>
        <w:topLinePunct w:val="0"/>
        <w:bidi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根据________(项目名称)(项目编号：________)的投标邀请，________(姓名、职务)代表</w:t>
      </w: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rPr>
        <w:t>________(</w:t>
      </w: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rPr>
        <w:t>名称、地址)参加本项目招标的有关活动。据此函，作如下承诺：</w:t>
      </w:r>
    </w:p>
    <w:p w14:paraId="69136AEE">
      <w:pPr>
        <w:shd w:val="clear"/>
        <w:kinsoku/>
        <w:overflowPunct/>
        <w:topLinePunct w:val="0"/>
        <w:bidi w:val="0"/>
        <w:spacing w:line="500" w:lineRule="exact"/>
        <w:jc w:val="left"/>
        <w:rPr>
          <w:rFonts w:hint="eastAsia" w:ascii="宋体" w:hAnsi="宋体" w:eastAsia="宋体" w:cs="宋体"/>
          <w:sz w:val="24"/>
          <w:szCs w:val="24"/>
          <w:highlight w:val="yellow"/>
        </w:rPr>
      </w:pPr>
      <w:r>
        <w:rPr>
          <w:rFonts w:hint="eastAsia" w:ascii="宋体" w:hAnsi="宋体" w:eastAsia="宋体" w:cs="宋体"/>
          <w:sz w:val="24"/>
          <w:szCs w:val="24"/>
          <w:highlight w:val="none"/>
        </w:rPr>
        <w:t>1.愿意按照招标文件的一切要求，提</w:t>
      </w:r>
      <w:r>
        <w:rPr>
          <w:rFonts w:hint="eastAsia" w:ascii="宋体" w:hAnsi="宋体" w:eastAsia="宋体" w:cs="宋体"/>
          <w:color w:val="auto"/>
          <w:sz w:val="24"/>
          <w:szCs w:val="24"/>
          <w:highlight w:val="none"/>
        </w:rPr>
        <w:t>供和交付投标</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386AF70">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2.同意在本项目招标文件中规定的开标日起</w:t>
      </w:r>
      <w:r>
        <w:rPr>
          <w:rFonts w:hint="eastAsia" w:ascii="宋体" w:hAnsi="宋体" w:eastAsia="宋体" w:cs="宋体"/>
          <w:sz w:val="24"/>
          <w:szCs w:val="24"/>
          <w:highlight w:val="none"/>
          <w:u w:val="single"/>
          <w:lang w:val="en-US" w:eastAsia="zh-CN"/>
        </w:rPr>
        <w:t xml:space="preserve"> 60</w:t>
      </w:r>
      <w:r>
        <w:rPr>
          <w:rFonts w:hint="eastAsia" w:ascii="宋体" w:hAnsi="宋体" w:eastAsia="宋体" w:cs="宋体"/>
          <w:sz w:val="24"/>
          <w:szCs w:val="24"/>
          <w:highlight w:val="none"/>
        </w:rPr>
        <w:t>天遵守本投标文件中的承诺，且在期满之前均具有约束力。</w:t>
      </w:r>
    </w:p>
    <w:p w14:paraId="78E5460D">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3.具备政府采购相关法律法规规定的参加政府采购活动的</w:t>
      </w: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rPr>
        <w:t>应当具备的条件：</w:t>
      </w:r>
    </w:p>
    <w:p w14:paraId="079F5FA6">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14:paraId="491269E4">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14:paraId="6EA68DFC">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p>
    <w:p w14:paraId="1EDEE8EA">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14:paraId="7C8B9AC0">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(5)参加此项采购活动前3年内，在经营活动中没有重大违法记录。</w:t>
      </w:r>
    </w:p>
    <w:p w14:paraId="7475C5BD">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4.具备本项目招标文件中规定的其他资格条件。</w:t>
      </w:r>
    </w:p>
    <w:p w14:paraId="4AABD7AC">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5.提供</w:t>
      </w: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rPr>
        <w:t>须知规定的全部投标文件。</w:t>
      </w:r>
    </w:p>
    <w:p w14:paraId="6934F481">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6.已详细审阅全部招标文件(包括招标文件澄清函)，理解</w:t>
      </w: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rPr>
        <w:t>须知的所有条款。</w:t>
      </w:r>
    </w:p>
    <w:p w14:paraId="7706C95C">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.接受招标文件中全部合同条款，且无任何异议；保证忠实地执行双方所签订的合同，并承担合同规定的责任和义务。</w:t>
      </w:r>
    </w:p>
    <w:p w14:paraId="5BA4E9BF">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.完全满足和响应招标文件中的各项商务和技术要求，若有偏差，已在投标文件中明确说明。</w:t>
      </w:r>
    </w:p>
    <w:p w14:paraId="04EA718A">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.如果在开标后规定的投标有效期内撤回投标，贵方可不予退还我方的投标保证金。</w:t>
      </w:r>
    </w:p>
    <w:p w14:paraId="3012A57C">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.愿意提供任何与投标有关的数据、情况和技术资料等。</w:t>
      </w:r>
    </w:p>
    <w:p w14:paraId="5789CCB9">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.我方已详细审核全部投标文件、参考资料及有关附件，确认无误。</w:t>
      </w:r>
    </w:p>
    <w:p w14:paraId="3EF47EA1">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.对本次招标内容及与本项目有关的知识产权、技术资料、商业秘密及相关信息</w:t>
      </w:r>
      <w:r>
        <w:rPr>
          <w:rFonts w:hint="eastAsia" w:ascii="宋体" w:hAnsi="宋体" w:eastAsia="宋体" w:cs="宋体"/>
          <w:sz w:val="24"/>
          <w:szCs w:val="24"/>
          <w:highlight w:val="none"/>
          <w:lang w:eastAsia="zh-CN"/>
        </w:rPr>
        <w:t>保密</w:t>
      </w:r>
      <w:r>
        <w:rPr>
          <w:rFonts w:hint="eastAsia" w:ascii="宋体" w:hAnsi="宋体" w:eastAsia="宋体" w:cs="宋体"/>
          <w:sz w:val="24"/>
          <w:szCs w:val="24"/>
          <w:highlight w:val="none"/>
        </w:rPr>
        <w:t>。</w:t>
      </w:r>
    </w:p>
    <w:p w14:paraId="7F982841">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和</w:t>
      </w:r>
      <w:r>
        <w:rPr>
          <w:rFonts w:hint="eastAsia" w:ascii="宋体" w:hAnsi="宋体" w:eastAsia="宋体" w:cs="宋体"/>
          <w:sz w:val="24"/>
          <w:szCs w:val="24"/>
          <w:highlight w:val="none"/>
          <w:lang w:eastAsia="zh-CN"/>
        </w:rPr>
        <w:t>招标代理</w:t>
      </w:r>
      <w:r>
        <w:rPr>
          <w:rFonts w:hint="eastAsia" w:ascii="宋体" w:hAnsi="宋体" w:eastAsia="宋体" w:cs="宋体"/>
          <w:sz w:val="24"/>
          <w:szCs w:val="24"/>
          <w:highlight w:val="none"/>
        </w:rPr>
        <w:t>机构无任何的隶属关系或者其他利害关系。</w:t>
      </w:r>
    </w:p>
    <w:p w14:paraId="1E5A6226">
      <w:pPr>
        <w:shd w:val="clear"/>
        <w:kinsoku/>
        <w:overflowPunct/>
        <w:topLinePunct w:val="0"/>
        <w:bidi w:val="0"/>
        <w:spacing w:line="500" w:lineRule="exact"/>
        <w:rPr>
          <w:rFonts w:hint="eastAsia" w:ascii="宋体" w:hAnsi="宋体" w:eastAsia="宋体" w:cs="宋体"/>
          <w:sz w:val="24"/>
          <w:szCs w:val="24"/>
          <w:highlight w:val="none"/>
        </w:rPr>
      </w:pPr>
    </w:p>
    <w:p w14:paraId="18A60789">
      <w:pPr>
        <w:shd w:val="clear"/>
        <w:kinsoku/>
        <w:overflowPunct/>
        <w:topLinePunct w:val="0"/>
        <w:bidi w:val="0"/>
        <w:spacing w:line="500" w:lineRule="exact"/>
        <w:rPr>
          <w:rFonts w:hint="eastAsia" w:ascii="宋体" w:hAnsi="宋体" w:eastAsia="宋体" w:cs="宋体"/>
          <w:sz w:val="24"/>
          <w:szCs w:val="24"/>
          <w:highlight w:val="none"/>
        </w:rPr>
      </w:pPr>
    </w:p>
    <w:p w14:paraId="286DCD50">
      <w:pPr>
        <w:pStyle w:val="10"/>
        <w:shd w:val="clear"/>
        <w:kinsoku/>
        <w:overflowPunct/>
        <w:topLinePunct w:val="0"/>
        <w:bidi w:val="0"/>
        <w:spacing w:line="500" w:lineRule="exact"/>
        <w:rPr>
          <w:rFonts w:hint="eastAsia" w:ascii="宋体" w:hAnsi="宋体" w:eastAsia="宋体" w:cs="宋体"/>
          <w:sz w:val="24"/>
          <w:szCs w:val="24"/>
          <w:highlight w:val="none"/>
        </w:rPr>
      </w:pPr>
    </w:p>
    <w:p w14:paraId="2442EF2C">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rPr>
        <w:t>名称：____________</w:t>
      </w: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rPr>
        <w:t>公章：____________</w:t>
      </w:r>
    </w:p>
    <w:p w14:paraId="75ED6735">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rPr>
        <w:t>地址：____________邮编：____________</w:t>
      </w:r>
    </w:p>
    <w:p w14:paraId="1A4BFE56">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电话：____________传真：____________</w:t>
      </w:r>
    </w:p>
    <w:p w14:paraId="6C2F8F77">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w:t>
      </w: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rPr>
        <w:t>代表(签字或盖章)：____________</w:t>
      </w:r>
    </w:p>
    <w:p w14:paraId="1EB39895">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联系电话：____________</w:t>
      </w:r>
    </w:p>
    <w:p w14:paraId="18FDC0F8">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日期：____________</w:t>
      </w:r>
    </w:p>
    <w:p w14:paraId="459901F2">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附件1－1　法定代表人身份证明复印件(法定代表人参加投标)</w:t>
      </w:r>
    </w:p>
    <w:p w14:paraId="2CE9686C">
      <w:pPr>
        <w:shd w:val="clear"/>
        <w:kinsoku/>
        <w:overflowPunct/>
        <w:topLinePunct w:val="0"/>
        <w:bidi w:val="0"/>
        <w:spacing w:line="500" w:lineRule="exact"/>
        <w:rPr>
          <w:rFonts w:hint="eastAsia" w:ascii="宋体" w:hAnsi="宋体" w:eastAsia="宋体" w:cs="宋体"/>
          <w:sz w:val="24"/>
          <w:szCs w:val="24"/>
          <w:highlight w:val="none"/>
        </w:rPr>
      </w:pPr>
    </w:p>
    <w:tbl>
      <w:tblPr>
        <w:tblStyle w:val="34"/>
        <w:tblW w:w="5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14:paraId="4CD4E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vAlign w:val="center"/>
          </w:tcPr>
          <w:p w14:paraId="221F53FB">
            <w:pPr>
              <w:shd w:val="clear"/>
              <w:kinsoku/>
              <w:overflowPunct/>
              <w:topLinePunct w:val="0"/>
              <w:bidi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法定代表人身份证明复印件</w:t>
            </w:r>
          </w:p>
          <w:p w14:paraId="448A9F6C">
            <w:pPr>
              <w:shd w:val="clear"/>
              <w:kinsoku/>
              <w:overflowPunct/>
              <w:topLinePunct w:val="0"/>
              <w:bidi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正反面</w:t>
            </w:r>
          </w:p>
        </w:tc>
      </w:tr>
    </w:tbl>
    <w:p w14:paraId="3AF4E653">
      <w:pPr>
        <w:shd w:val="clear"/>
        <w:kinsoku/>
        <w:overflowPunct/>
        <w:topLinePunct w:val="0"/>
        <w:bidi w:val="0"/>
        <w:spacing w:line="500" w:lineRule="exact"/>
        <w:rPr>
          <w:rFonts w:hint="eastAsia" w:ascii="宋体" w:hAnsi="宋体" w:eastAsia="宋体" w:cs="宋体"/>
          <w:sz w:val="24"/>
          <w:szCs w:val="24"/>
          <w:highlight w:val="none"/>
        </w:rPr>
      </w:pPr>
    </w:p>
    <w:p w14:paraId="74C00DFC">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附件1－2　法定代表人授权委托书(授权代表参加投标)</w:t>
      </w:r>
    </w:p>
    <w:p w14:paraId="6CBBEE1A">
      <w:pPr>
        <w:shd w:val="clear"/>
        <w:kinsoku/>
        <w:overflowPunct/>
        <w:topLinePunct w:val="0"/>
        <w:bidi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法定代表人授权委托书</w:t>
      </w:r>
    </w:p>
    <w:p w14:paraId="0BE5CD7F">
      <w:pPr>
        <w:shd w:val="clear"/>
        <w:kinsoku/>
        <w:overflowPunct/>
        <w:topLinePunct w:val="0"/>
        <w:bidi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____________(</w:t>
      </w: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rPr>
        <w:t>名称)的法定代表人________(姓名、职务)授权________(</w:t>
      </w: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rPr>
        <w:t>代表姓名、职务)为本公司的</w:t>
      </w: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rPr>
        <w:t>代表，就________(项目名称)投标及相关事务代表本公司处理与之有关的一切事务。</w:t>
      </w:r>
    </w:p>
    <w:p w14:paraId="66A71F2B">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委托期限：____________________。</w:t>
      </w:r>
    </w:p>
    <w:p w14:paraId="6DC669C5">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14:paraId="531D0820">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本授权书于______年____月____日签字生效，特此声明。</w:t>
      </w:r>
    </w:p>
    <w:tbl>
      <w:tblPr>
        <w:tblStyle w:val="34"/>
        <w:tblpPr w:leftFromText="180" w:rightFromText="180" w:vertAnchor="text" w:horzAnchor="page" w:tblpX="6447" w:tblpY="354"/>
        <w:tblOverlap w:val="never"/>
        <w:tblW w:w="31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196"/>
      </w:tblGrid>
      <w:tr w14:paraId="7B47C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trPr>
        <w:tc>
          <w:tcPr>
            <w:tcW w:w="3196" w:type="dxa"/>
            <w:tcBorders>
              <w:top w:val="single" w:color="auto" w:sz="4" w:space="0"/>
              <w:bottom w:val="single" w:color="auto" w:sz="4" w:space="0"/>
            </w:tcBorders>
            <w:vAlign w:val="center"/>
          </w:tcPr>
          <w:p w14:paraId="6699B01E">
            <w:pPr>
              <w:shd w:val="clear"/>
              <w:kinsoku/>
              <w:overflowPunct/>
              <w:topLinePunct w:val="0"/>
              <w:bidi w:val="0"/>
              <w:spacing w:line="500" w:lineRule="exact"/>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授权代表身份证明复印件</w:t>
            </w:r>
          </w:p>
          <w:p w14:paraId="453368B9">
            <w:pPr>
              <w:shd w:val="clear"/>
              <w:kinsoku/>
              <w:overflowPunct/>
              <w:topLinePunct w:val="0"/>
              <w:bidi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正反面</w:t>
            </w:r>
          </w:p>
        </w:tc>
      </w:tr>
    </w:tbl>
    <w:tbl>
      <w:tblPr>
        <w:tblStyle w:val="34"/>
        <w:tblpPr w:leftFromText="180" w:rightFromText="180" w:vertAnchor="text" w:horzAnchor="page" w:tblpX="2305" w:tblpY="423"/>
        <w:tblOverlap w:val="never"/>
        <w:tblW w:w="31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140"/>
      </w:tblGrid>
      <w:tr w14:paraId="71FC0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3" w:hRule="atLeast"/>
        </w:trPr>
        <w:tc>
          <w:tcPr>
            <w:tcW w:w="3140" w:type="dxa"/>
            <w:tcBorders>
              <w:top w:val="single" w:color="auto" w:sz="4" w:space="0"/>
              <w:bottom w:val="single" w:color="auto" w:sz="4" w:space="0"/>
            </w:tcBorders>
            <w:vAlign w:val="center"/>
          </w:tcPr>
          <w:p w14:paraId="2E8BA829">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法定代表人身份证明复印件</w:t>
            </w:r>
          </w:p>
          <w:p w14:paraId="0367D6CA">
            <w:pPr>
              <w:shd w:val="clear"/>
              <w:kinsoku/>
              <w:overflowPunct/>
              <w:topLinePunct w:val="0"/>
              <w:bidi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正反面</w:t>
            </w:r>
          </w:p>
        </w:tc>
      </w:tr>
    </w:tbl>
    <w:p w14:paraId="528B462D">
      <w:pPr>
        <w:shd w:val="clear"/>
        <w:kinsoku/>
        <w:overflowPunct/>
        <w:topLinePunct w:val="0"/>
        <w:bidi w:val="0"/>
        <w:spacing w:line="500" w:lineRule="exact"/>
        <w:rPr>
          <w:rFonts w:hint="eastAsia" w:ascii="宋体" w:hAnsi="宋体" w:eastAsia="宋体" w:cs="宋体"/>
          <w:sz w:val="24"/>
          <w:szCs w:val="24"/>
          <w:highlight w:val="none"/>
        </w:rPr>
      </w:pPr>
    </w:p>
    <w:p w14:paraId="730219C2">
      <w:pPr>
        <w:shd w:val="clear"/>
        <w:kinsoku/>
        <w:overflowPunct/>
        <w:topLinePunct w:val="0"/>
        <w:bidi w:val="0"/>
        <w:spacing w:line="500" w:lineRule="exact"/>
        <w:rPr>
          <w:rFonts w:hint="eastAsia" w:ascii="宋体" w:hAnsi="宋体" w:eastAsia="宋体" w:cs="宋体"/>
          <w:sz w:val="24"/>
          <w:szCs w:val="24"/>
          <w:highlight w:val="none"/>
        </w:rPr>
      </w:pPr>
    </w:p>
    <w:p w14:paraId="03F1E067">
      <w:pPr>
        <w:shd w:val="clear"/>
        <w:kinsoku/>
        <w:overflowPunct/>
        <w:topLinePunct w:val="0"/>
        <w:bidi w:val="0"/>
        <w:spacing w:line="500" w:lineRule="exact"/>
        <w:rPr>
          <w:rFonts w:hint="eastAsia" w:ascii="宋体" w:hAnsi="宋体" w:eastAsia="宋体" w:cs="宋体"/>
          <w:sz w:val="24"/>
          <w:szCs w:val="24"/>
          <w:highlight w:val="none"/>
        </w:rPr>
      </w:pPr>
    </w:p>
    <w:p w14:paraId="276517BA">
      <w:pPr>
        <w:shd w:val="clear"/>
        <w:kinsoku/>
        <w:overflowPunct/>
        <w:topLinePunct w:val="0"/>
        <w:bidi w:val="0"/>
        <w:spacing w:line="500" w:lineRule="exact"/>
        <w:rPr>
          <w:rFonts w:hint="eastAsia" w:ascii="宋体" w:hAnsi="宋体" w:eastAsia="宋体" w:cs="宋体"/>
          <w:sz w:val="24"/>
          <w:szCs w:val="24"/>
          <w:highlight w:val="none"/>
        </w:rPr>
      </w:pPr>
    </w:p>
    <w:p w14:paraId="4D7CC143">
      <w:pPr>
        <w:shd w:val="clear"/>
        <w:kinsoku/>
        <w:overflowPunct/>
        <w:topLinePunct w:val="0"/>
        <w:bidi w:val="0"/>
        <w:spacing w:line="500" w:lineRule="exact"/>
        <w:rPr>
          <w:rFonts w:hint="eastAsia" w:ascii="宋体" w:hAnsi="宋体" w:eastAsia="宋体" w:cs="宋体"/>
          <w:sz w:val="24"/>
          <w:szCs w:val="24"/>
          <w:highlight w:val="none"/>
        </w:rPr>
      </w:pPr>
    </w:p>
    <w:p w14:paraId="719E21D0">
      <w:pPr>
        <w:shd w:val="clear"/>
        <w:kinsoku/>
        <w:overflowPunct/>
        <w:topLinePunct w:val="0"/>
        <w:bidi w:val="0"/>
        <w:spacing w:line="500" w:lineRule="exact"/>
        <w:rPr>
          <w:rFonts w:hint="eastAsia" w:ascii="宋体" w:hAnsi="宋体" w:eastAsia="宋体" w:cs="宋体"/>
          <w:sz w:val="24"/>
          <w:szCs w:val="24"/>
          <w:highlight w:val="none"/>
        </w:rPr>
      </w:pPr>
    </w:p>
    <w:p w14:paraId="69FB5516">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rPr>
        <w:t>名称(公章)：____________________</w:t>
      </w:r>
    </w:p>
    <w:p w14:paraId="1427CB6E">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法定代表人(签字或盖章)：____________________</w:t>
      </w:r>
    </w:p>
    <w:p w14:paraId="27446C31">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授权代表(签字或盖章)：____________________</w:t>
      </w:r>
    </w:p>
    <w:p w14:paraId="4D4496B1">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______年____月____日</w:t>
      </w:r>
    </w:p>
    <w:p w14:paraId="381FC6C0">
      <w:pPr>
        <w:shd w:val="clear"/>
        <w:kinsoku/>
        <w:overflowPunct/>
        <w:topLinePunct w:val="0"/>
        <w:bidi w:val="0"/>
        <w:spacing w:line="500" w:lineRule="exact"/>
        <w:rPr>
          <w:rFonts w:hint="eastAsia" w:ascii="宋体" w:hAnsi="宋体" w:eastAsia="宋体" w:cs="宋体"/>
          <w:sz w:val="24"/>
          <w:szCs w:val="24"/>
          <w:highlight w:val="none"/>
        </w:rPr>
      </w:pPr>
    </w:p>
    <w:p w14:paraId="5EF1B726">
      <w:pPr>
        <w:shd w:val="clear"/>
        <w:kinsoku/>
        <w:overflowPunct/>
        <w:topLinePunct w:val="0"/>
        <w:bidi w:val="0"/>
        <w:spacing w:line="500" w:lineRule="exact"/>
        <w:rPr>
          <w:rFonts w:hint="eastAsia" w:ascii="宋体" w:hAnsi="宋体" w:eastAsia="宋体" w:cs="宋体"/>
          <w:sz w:val="24"/>
          <w:szCs w:val="24"/>
          <w:highlight w:val="none"/>
        </w:rPr>
      </w:pPr>
    </w:p>
    <w:p w14:paraId="3F409A2B">
      <w:pPr>
        <w:shd w:val="clear"/>
        <w:kinsoku/>
        <w:overflowPunct/>
        <w:topLinePunct w:val="0"/>
        <w:bidi w:val="0"/>
        <w:spacing w:line="500" w:lineRule="exact"/>
        <w:jc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　</w:t>
      </w:r>
      <w:r>
        <w:rPr>
          <w:rFonts w:hint="eastAsia" w:ascii="宋体" w:hAnsi="宋体" w:eastAsia="宋体" w:cs="宋体"/>
          <w:b/>
          <w:bCs/>
          <w:sz w:val="24"/>
          <w:szCs w:val="24"/>
          <w:highlight w:val="none"/>
        </w:rPr>
        <w:t>　二、开标一览表</w:t>
      </w:r>
    </w:p>
    <w:p w14:paraId="17B44FED">
      <w:pPr>
        <w:pStyle w:val="2"/>
        <w:shd w:val="clear"/>
        <w:kinsoku/>
        <w:overflowPunct/>
        <w:topLinePunct w:val="0"/>
        <w:bidi w:val="0"/>
        <w:spacing w:line="500" w:lineRule="exact"/>
        <w:rPr>
          <w:rFonts w:hint="eastAsia" w:ascii="宋体" w:hAnsi="宋体" w:eastAsia="宋体" w:cs="宋体"/>
          <w:sz w:val="24"/>
          <w:szCs w:val="24"/>
          <w:highlight w:val="none"/>
        </w:rPr>
      </w:pPr>
    </w:p>
    <w:tbl>
      <w:tblPr>
        <w:tblStyle w:val="34"/>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63"/>
        <w:gridCol w:w="2496"/>
        <w:gridCol w:w="1236"/>
        <w:gridCol w:w="1362"/>
      </w:tblGrid>
      <w:tr w14:paraId="468C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7384645">
            <w:pPr>
              <w:pStyle w:val="2"/>
              <w:shd w:val="clear"/>
              <w:kinsoku/>
              <w:overflowPunct/>
              <w:topLinePunct w:val="0"/>
              <w:bidi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563" w:type="dxa"/>
            <w:vAlign w:val="center"/>
          </w:tcPr>
          <w:p w14:paraId="6020DD7C">
            <w:pPr>
              <w:pStyle w:val="2"/>
              <w:shd w:val="clear"/>
              <w:kinsoku/>
              <w:overflowPunct/>
              <w:topLinePunct w:val="0"/>
              <w:bidi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2496" w:type="dxa"/>
            <w:vAlign w:val="center"/>
          </w:tcPr>
          <w:p w14:paraId="0EA4E07C">
            <w:pPr>
              <w:pStyle w:val="2"/>
              <w:shd w:val="clear"/>
              <w:kinsoku/>
              <w:overflowPunct/>
              <w:topLinePunct w:val="0"/>
              <w:bidi w:val="0"/>
              <w:spacing w:line="500" w:lineRule="exact"/>
              <w:jc w:val="center"/>
              <w:rPr>
                <w:rFonts w:hint="eastAsia" w:ascii="宋体" w:hAnsi="宋体" w:eastAsia="宋体" w:cs="宋体"/>
                <w:sz w:val="24"/>
                <w:szCs w:val="24"/>
                <w:highlight w:val="none"/>
              </w:rPr>
            </w:pPr>
          </w:p>
        </w:tc>
        <w:tc>
          <w:tcPr>
            <w:tcW w:w="1236" w:type="dxa"/>
            <w:vAlign w:val="center"/>
          </w:tcPr>
          <w:p w14:paraId="6227B3F7">
            <w:pPr>
              <w:pStyle w:val="2"/>
              <w:shd w:val="clear"/>
              <w:kinsoku/>
              <w:overflowPunct/>
              <w:topLinePunct w:val="0"/>
              <w:bidi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c>
        <w:tc>
          <w:tcPr>
            <w:tcW w:w="1362" w:type="dxa"/>
            <w:vAlign w:val="center"/>
          </w:tcPr>
          <w:p w14:paraId="2DC37886">
            <w:pPr>
              <w:pStyle w:val="2"/>
              <w:shd w:val="clear"/>
              <w:kinsoku/>
              <w:overflowPunct/>
              <w:topLinePunct w:val="0"/>
              <w:bidi w:val="0"/>
              <w:spacing w:line="500" w:lineRule="exact"/>
              <w:jc w:val="center"/>
              <w:rPr>
                <w:rFonts w:hint="eastAsia" w:ascii="宋体" w:hAnsi="宋体" w:eastAsia="宋体" w:cs="宋体"/>
                <w:sz w:val="24"/>
                <w:szCs w:val="24"/>
                <w:highlight w:val="none"/>
              </w:rPr>
            </w:pPr>
          </w:p>
        </w:tc>
      </w:tr>
      <w:tr w14:paraId="1977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959" w:type="dxa"/>
            <w:vAlign w:val="center"/>
          </w:tcPr>
          <w:p w14:paraId="07042141">
            <w:pPr>
              <w:pStyle w:val="2"/>
              <w:shd w:val="clear"/>
              <w:kinsoku/>
              <w:overflowPunct/>
              <w:topLinePunct w:val="0"/>
              <w:bidi w:val="0"/>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2563" w:type="dxa"/>
            <w:vAlign w:val="center"/>
          </w:tcPr>
          <w:p w14:paraId="1BF57DDC">
            <w:pPr>
              <w:keepNext w:val="0"/>
              <w:keepLines w:val="0"/>
              <w:suppressLineNumbers w:val="0"/>
              <w:pBdr>
                <w:top w:val="none" w:color="auto" w:sz="0" w:space="0"/>
                <w:left w:val="none" w:color="auto" w:sz="0" w:space="0"/>
                <w:bottom w:val="none" w:color="auto" w:sz="0" w:space="0"/>
                <w:right w:val="none" w:color="auto" w:sz="0" w:space="0"/>
              </w:pBdr>
              <w:shd w:val="clear"/>
              <w:kinsoku/>
              <w:overflowPunct/>
              <w:topLinePunct w:val="0"/>
              <w:bidi w:val="0"/>
              <w:spacing w:before="0" w:beforeAutospacing="0" w:after="0" w:afterAutospacing="0" w:line="480" w:lineRule="exact"/>
              <w:ind w:left="0" w:leftChars="0" w:right="0" w:rightChars="0" w:firstLine="0" w:firstLineChars="0"/>
              <w:jc w:val="center"/>
              <w:rPr>
                <w:rFonts w:hint="eastAsia" w:ascii="宋体" w:hAnsi="宋体" w:eastAsia="宋体" w:cs="宋体"/>
                <w:sz w:val="24"/>
                <w:szCs w:val="24"/>
                <w:highlight w:val="none"/>
                <w:lang w:eastAsia="zh-CN"/>
              </w:rPr>
            </w:pPr>
            <w:r>
              <w:rPr>
                <w:rFonts w:hint="eastAsia" w:ascii="宋体" w:hAnsi="宋体" w:eastAsia="宋体" w:cs="宋体"/>
                <w:b/>
                <w:bCs/>
                <w:color w:val="auto"/>
                <w:sz w:val="24"/>
                <w:szCs w:val="24"/>
                <w:highlight w:val="none"/>
              </w:rPr>
              <w:t>投标报价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元</w:t>
            </w:r>
            <w:r>
              <w:rPr>
                <w:rFonts w:hint="eastAsia" w:ascii="宋体" w:hAnsi="宋体" w:eastAsia="宋体" w:cs="宋体"/>
                <w:b/>
                <w:bCs/>
                <w:color w:val="auto"/>
                <w:sz w:val="24"/>
                <w:szCs w:val="24"/>
                <w:highlight w:val="none"/>
                <w:lang w:eastAsia="zh-CN"/>
              </w:rPr>
              <w:t>）</w:t>
            </w:r>
          </w:p>
        </w:tc>
        <w:tc>
          <w:tcPr>
            <w:tcW w:w="5094" w:type="dxa"/>
            <w:gridSpan w:val="3"/>
            <w:vAlign w:val="center"/>
          </w:tcPr>
          <w:p w14:paraId="68127726">
            <w:pPr>
              <w:pStyle w:val="71"/>
              <w:shd w:val="clear"/>
              <w:kinsoku/>
              <w:overflowPunct/>
              <w:topLinePunct w:val="0"/>
              <w:bidi w:val="0"/>
              <w:snapToGrid w:val="0"/>
              <w:spacing w:line="480" w:lineRule="exact"/>
              <w:jc w:val="center"/>
              <w:rPr>
                <w:rFonts w:hint="eastAsia" w:ascii="宋体" w:hAnsi="宋体" w:cs="宋体"/>
                <w:b/>
                <w:bCs/>
                <w:color w:val="auto"/>
                <w:sz w:val="24"/>
                <w:szCs w:val="24"/>
                <w:highlight w:val="none"/>
                <w:u w:val="single"/>
                <w:lang w:val="en-US" w:eastAsia="zh-CN"/>
              </w:rPr>
            </w:pPr>
            <w:r>
              <w:rPr>
                <w:rFonts w:hint="eastAsia" w:ascii="宋体" w:hAnsi="宋体" w:cs="宋体"/>
                <w:b/>
                <w:bCs/>
                <w:color w:val="auto"/>
                <w:sz w:val="24"/>
                <w:szCs w:val="24"/>
                <w:highlight w:val="none"/>
                <w:u w:val="single"/>
                <w:lang w:val="en-US" w:eastAsia="zh-CN"/>
              </w:rPr>
              <w:t>大写：</w:t>
            </w:r>
          </w:p>
          <w:p w14:paraId="5B4A9156">
            <w:pPr>
              <w:pStyle w:val="71"/>
              <w:shd w:val="clear"/>
              <w:kinsoku/>
              <w:overflowPunct/>
              <w:topLinePunct w:val="0"/>
              <w:bidi w:val="0"/>
              <w:snapToGrid w:val="0"/>
              <w:spacing w:line="480" w:lineRule="exact"/>
              <w:jc w:val="center"/>
              <w:rPr>
                <w:rFonts w:hint="default" w:ascii="宋体" w:hAnsi="宋体" w:cs="宋体"/>
                <w:b/>
                <w:bCs/>
                <w:color w:val="auto"/>
                <w:sz w:val="24"/>
                <w:szCs w:val="24"/>
                <w:highlight w:val="none"/>
                <w:u w:val="single"/>
                <w:lang w:val="en-US" w:eastAsia="zh-CN"/>
              </w:rPr>
            </w:pPr>
            <w:r>
              <w:rPr>
                <w:rFonts w:hint="eastAsia" w:ascii="宋体" w:hAnsi="宋体" w:cs="宋体"/>
                <w:b/>
                <w:bCs/>
                <w:color w:val="auto"/>
                <w:sz w:val="24"/>
                <w:szCs w:val="24"/>
                <w:highlight w:val="none"/>
                <w:u w:val="single"/>
                <w:lang w:val="en-US" w:eastAsia="zh-CN"/>
              </w:rPr>
              <w:t>小写：</w:t>
            </w:r>
          </w:p>
        </w:tc>
      </w:tr>
      <w:tr w14:paraId="2170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59" w:type="dxa"/>
            <w:vAlign w:val="center"/>
          </w:tcPr>
          <w:p w14:paraId="5602823B">
            <w:pPr>
              <w:pStyle w:val="2"/>
              <w:shd w:val="clear"/>
              <w:kinsoku/>
              <w:overflowPunct/>
              <w:topLinePunct w:val="0"/>
              <w:bidi w:val="0"/>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2563" w:type="dxa"/>
            <w:vAlign w:val="center"/>
          </w:tcPr>
          <w:p w14:paraId="17B4BD09">
            <w:pPr>
              <w:pStyle w:val="2"/>
              <w:shd w:val="clear"/>
              <w:kinsoku/>
              <w:overflowPunct/>
              <w:topLinePunct w:val="0"/>
              <w:bidi w:val="0"/>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服务期限</w:t>
            </w:r>
          </w:p>
        </w:tc>
        <w:tc>
          <w:tcPr>
            <w:tcW w:w="5094" w:type="dxa"/>
            <w:gridSpan w:val="3"/>
            <w:vAlign w:val="center"/>
          </w:tcPr>
          <w:p w14:paraId="1649D10F">
            <w:pPr>
              <w:pStyle w:val="2"/>
              <w:shd w:val="clear"/>
              <w:kinsoku/>
              <w:overflowPunct/>
              <w:topLinePunct w:val="0"/>
              <w:bidi w:val="0"/>
              <w:spacing w:line="500" w:lineRule="exact"/>
              <w:jc w:val="center"/>
              <w:rPr>
                <w:rFonts w:hint="eastAsia" w:ascii="宋体" w:hAnsi="宋体" w:eastAsia="宋体" w:cs="宋体"/>
                <w:sz w:val="24"/>
                <w:szCs w:val="24"/>
                <w:highlight w:val="none"/>
              </w:rPr>
            </w:pPr>
          </w:p>
        </w:tc>
      </w:tr>
      <w:tr w14:paraId="7CF0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9" w:type="dxa"/>
            <w:vAlign w:val="center"/>
          </w:tcPr>
          <w:p w14:paraId="64C64632">
            <w:pPr>
              <w:pStyle w:val="2"/>
              <w:shd w:val="clear"/>
              <w:kinsoku/>
              <w:overflowPunct/>
              <w:topLinePunct w:val="0"/>
              <w:bidi w:val="0"/>
              <w:spacing w:line="5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563" w:type="dxa"/>
            <w:vAlign w:val="center"/>
          </w:tcPr>
          <w:p w14:paraId="2060A978">
            <w:pPr>
              <w:pStyle w:val="2"/>
              <w:shd w:val="clear"/>
              <w:kinsoku/>
              <w:overflowPunct/>
              <w:topLinePunct w:val="0"/>
              <w:bidi w:val="0"/>
              <w:spacing w:line="5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质量标准</w:t>
            </w:r>
          </w:p>
        </w:tc>
        <w:tc>
          <w:tcPr>
            <w:tcW w:w="5094" w:type="dxa"/>
            <w:gridSpan w:val="3"/>
            <w:vAlign w:val="center"/>
          </w:tcPr>
          <w:p w14:paraId="42F4DFC8">
            <w:pPr>
              <w:pStyle w:val="2"/>
              <w:shd w:val="clear"/>
              <w:kinsoku/>
              <w:overflowPunct/>
              <w:topLinePunct w:val="0"/>
              <w:bidi w:val="0"/>
              <w:spacing w:line="500" w:lineRule="exact"/>
              <w:jc w:val="center"/>
              <w:rPr>
                <w:rFonts w:hint="eastAsia" w:ascii="宋体" w:hAnsi="宋体" w:eastAsia="宋体" w:cs="宋体"/>
                <w:sz w:val="24"/>
                <w:szCs w:val="24"/>
                <w:highlight w:val="none"/>
              </w:rPr>
            </w:pPr>
          </w:p>
        </w:tc>
      </w:tr>
      <w:tr w14:paraId="460A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9" w:type="dxa"/>
            <w:vAlign w:val="center"/>
          </w:tcPr>
          <w:p w14:paraId="2C52F350">
            <w:pPr>
              <w:pStyle w:val="2"/>
              <w:shd w:val="clear"/>
              <w:kinsoku/>
              <w:overflowPunct/>
              <w:topLinePunct w:val="0"/>
              <w:bidi w:val="0"/>
              <w:spacing w:line="500" w:lineRule="exac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563" w:type="dxa"/>
            <w:vAlign w:val="center"/>
          </w:tcPr>
          <w:p w14:paraId="44173950">
            <w:pPr>
              <w:pStyle w:val="2"/>
              <w:shd w:val="clear"/>
              <w:kinsoku/>
              <w:overflowPunct/>
              <w:topLinePunct w:val="0"/>
              <w:bidi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5094" w:type="dxa"/>
            <w:gridSpan w:val="3"/>
            <w:vAlign w:val="center"/>
          </w:tcPr>
          <w:p w14:paraId="64947A46">
            <w:pPr>
              <w:pStyle w:val="2"/>
              <w:shd w:val="clear"/>
              <w:kinsoku/>
              <w:overflowPunct/>
              <w:topLinePunct w:val="0"/>
              <w:bidi w:val="0"/>
              <w:spacing w:line="500" w:lineRule="exact"/>
              <w:jc w:val="center"/>
              <w:rPr>
                <w:rFonts w:hint="eastAsia" w:ascii="宋体" w:hAnsi="宋体" w:eastAsia="宋体" w:cs="宋体"/>
                <w:sz w:val="24"/>
                <w:szCs w:val="24"/>
                <w:highlight w:val="none"/>
              </w:rPr>
            </w:pPr>
          </w:p>
        </w:tc>
      </w:tr>
    </w:tbl>
    <w:p w14:paraId="26B2F8C7">
      <w:pPr>
        <w:pStyle w:val="2"/>
        <w:shd w:val="clear"/>
        <w:kinsoku/>
        <w:overflowPunct/>
        <w:topLinePunct w:val="0"/>
        <w:bidi w:val="0"/>
        <w:spacing w:line="500" w:lineRule="exact"/>
        <w:ind w:firstLine="480" w:firstLineChars="200"/>
        <w:rPr>
          <w:rFonts w:hint="eastAsia" w:ascii="宋体" w:hAnsi="宋体" w:eastAsia="宋体" w:cs="宋体"/>
          <w:sz w:val="24"/>
          <w:szCs w:val="24"/>
          <w:highlight w:val="none"/>
        </w:rPr>
      </w:pPr>
    </w:p>
    <w:p w14:paraId="5F5E00F9">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1、报价一经涂改，应在涂改处加盖单位公章或者由法定代表人或授权委托人签字或盖章，否则其投标作无效标处理。</w:t>
      </w:r>
    </w:p>
    <w:p w14:paraId="3A2C956E">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Theme="minorEastAsia" w:hAnsiTheme="minorEastAsia" w:eastAsiaTheme="minorEastAsia" w:cstheme="minorEastAsia"/>
          <w:sz w:val="24"/>
          <w:szCs w:val="24"/>
          <w:highlight w:val="none"/>
        </w:rPr>
        <w:t>投标报价包含投标人为本项目提供的所有服务而发生的人工费、成果文件制作费、办公通讯费、交通费、差旅费、管理费、风险、利润、税金和政策规定的应有的各项费用等。合同价以最终报价为准，最终报价在投标有效期内固定不变，并在合同有效期内不受利率波动的影响。</w:t>
      </w:r>
    </w:p>
    <w:p w14:paraId="55B49A5D">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3、</w:t>
      </w:r>
      <w:r>
        <w:rPr>
          <w:rFonts w:hint="eastAsia" w:ascii="宋体" w:hAnsi="宋体" w:eastAsia="宋体" w:cs="宋体"/>
          <w:sz w:val="24"/>
          <w:szCs w:val="24"/>
          <w:highlight w:val="none"/>
          <w:lang w:val="en-US" w:eastAsia="zh-CN"/>
        </w:rPr>
        <w:t>以</w:t>
      </w:r>
      <w:r>
        <w:rPr>
          <w:rFonts w:hint="eastAsia" w:ascii="宋体" w:hAnsi="宋体" w:eastAsia="宋体" w:cs="宋体"/>
          <w:sz w:val="24"/>
          <w:szCs w:val="24"/>
          <w:highlight w:val="none"/>
        </w:rPr>
        <w:t>上报价应大小写一致。</w:t>
      </w:r>
    </w:p>
    <w:p w14:paraId="5BE94EB0">
      <w:pPr>
        <w:shd w:val="clear"/>
        <w:kinsoku/>
        <w:overflowPunct/>
        <w:topLinePunct w:val="0"/>
        <w:bidi w:val="0"/>
        <w:spacing w:line="500" w:lineRule="exact"/>
        <w:rPr>
          <w:rFonts w:hint="eastAsia" w:ascii="宋体" w:hAnsi="宋体" w:eastAsia="宋体" w:cs="宋体"/>
          <w:sz w:val="24"/>
          <w:szCs w:val="24"/>
          <w:highlight w:val="none"/>
        </w:rPr>
      </w:pPr>
    </w:p>
    <w:p w14:paraId="4FA38950">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rPr>
        <w:t>名称(公章)：____________________</w:t>
      </w:r>
    </w:p>
    <w:p w14:paraId="5FB04BC5">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法定代表人或其授权代表</w:t>
      </w:r>
      <w:r>
        <w:rPr>
          <w:rFonts w:hint="eastAsia" w:ascii="宋体" w:hAnsi="宋体" w:eastAsia="宋体" w:cs="宋体"/>
          <w:sz w:val="24"/>
          <w:szCs w:val="24"/>
          <w:highlight w:val="none"/>
          <w:lang w:eastAsia="zh-CN"/>
        </w:rPr>
        <w:t>（签字或盖章）</w:t>
      </w:r>
      <w:r>
        <w:rPr>
          <w:rFonts w:hint="eastAsia" w:ascii="宋体" w:hAnsi="宋体" w:eastAsia="宋体" w:cs="宋体"/>
          <w:sz w:val="24"/>
          <w:szCs w:val="24"/>
          <w:highlight w:val="none"/>
        </w:rPr>
        <w:t>：____________________</w:t>
      </w:r>
    </w:p>
    <w:p w14:paraId="3FDFB2BE">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日期：______年____月____日</w:t>
      </w:r>
    </w:p>
    <w:p w14:paraId="2AFFEDD9">
      <w:pPr>
        <w:shd w:val="clear"/>
        <w:kinsoku/>
        <w:overflowPunct/>
        <w:topLinePunct w:val="0"/>
        <w:bidi w:val="0"/>
        <w:spacing w:line="500" w:lineRule="exact"/>
        <w:jc w:val="center"/>
        <w:rPr>
          <w:rFonts w:hint="eastAsia" w:ascii="宋体" w:hAnsi="宋体" w:eastAsia="宋体" w:cs="宋体"/>
          <w:sz w:val="24"/>
          <w:szCs w:val="24"/>
          <w:highlight w:val="none"/>
        </w:rPr>
        <w:sectPr>
          <w:footerReference r:id="rId1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sz w:val="24"/>
          <w:szCs w:val="24"/>
          <w:highlight w:val="none"/>
        </w:rPr>
        <w:br w:type="page"/>
      </w:r>
    </w:p>
    <w:p w14:paraId="2548BCE8">
      <w:pPr>
        <w:shd w:val="clear"/>
        <w:kinsoku/>
        <w:overflowPunct/>
        <w:topLinePunct w:val="0"/>
        <w:bidi w:val="0"/>
        <w:spacing w:line="500" w:lineRule="exact"/>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三、商务条款偏离表</w:t>
      </w:r>
    </w:p>
    <w:p w14:paraId="0A9CEA44">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项目名称：</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项目编号：</w:t>
      </w:r>
    </w:p>
    <w:tbl>
      <w:tblPr>
        <w:tblStyle w:val="34"/>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959"/>
        <w:gridCol w:w="2454"/>
        <w:gridCol w:w="2400"/>
        <w:gridCol w:w="800"/>
        <w:gridCol w:w="725"/>
      </w:tblGrid>
      <w:tr w14:paraId="349F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14:paraId="02A8E923">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959" w:type="dxa"/>
            <w:vAlign w:val="center"/>
          </w:tcPr>
          <w:p w14:paraId="4F31D921">
            <w:pPr>
              <w:shd w:val="clear"/>
              <w:kinsoku/>
              <w:overflowPunct/>
              <w:topLinePunct w:val="0"/>
              <w:bidi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招标文件条目号</w:t>
            </w:r>
          </w:p>
        </w:tc>
        <w:tc>
          <w:tcPr>
            <w:tcW w:w="2454" w:type="dxa"/>
            <w:vAlign w:val="center"/>
          </w:tcPr>
          <w:p w14:paraId="310EAD53">
            <w:pPr>
              <w:shd w:val="clear"/>
              <w:kinsoku/>
              <w:overflowPunct/>
              <w:topLinePunct w:val="0"/>
              <w:bidi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招标文件的商务条款</w:t>
            </w:r>
          </w:p>
        </w:tc>
        <w:tc>
          <w:tcPr>
            <w:tcW w:w="2400" w:type="dxa"/>
            <w:vAlign w:val="center"/>
          </w:tcPr>
          <w:p w14:paraId="0274D15C">
            <w:pPr>
              <w:shd w:val="clear"/>
              <w:kinsoku/>
              <w:overflowPunct/>
              <w:topLinePunct w:val="0"/>
              <w:bidi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投标文件的商务条款</w:t>
            </w:r>
          </w:p>
        </w:tc>
        <w:tc>
          <w:tcPr>
            <w:tcW w:w="800" w:type="dxa"/>
            <w:vAlign w:val="center"/>
          </w:tcPr>
          <w:p w14:paraId="3C4BF641">
            <w:pPr>
              <w:shd w:val="clear"/>
              <w:kinsoku/>
              <w:overflowPunct/>
              <w:topLinePunct w:val="0"/>
              <w:bidi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w:t>
            </w:r>
          </w:p>
        </w:tc>
        <w:tc>
          <w:tcPr>
            <w:tcW w:w="725" w:type="dxa"/>
            <w:vAlign w:val="center"/>
          </w:tcPr>
          <w:p w14:paraId="273A7E34">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tc>
      </w:tr>
      <w:tr w14:paraId="3A18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14:paraId="4CC4E53F">
            <w:pPr>
              <w:shd w:val="clear"/>
              <w:kinsoku/>
              <w:overflowPunct/>
              <w:topLinePunct w:val="0"/>
              <w:bidi w:val="0"/>
              <w:spacing w:line="500" w:lineRule="exact"/>
              <w:rPr>
                <w:rFonts w:hint="eastAsia" w:ascii="宋体" w:hAnsi="宋体" w:eastAsia="宋体" w:cs="宋体"/>
                <w:sz w:val="24"/>
                <w:szCs w:val="24"/>
                <w:highlight w:val="none"/>
              </w:rPr>
            </w:pPr>
          </w:p>
        </w:tc>
        <w:tc>
          <w:tcPr>
            <w:tcW w:w="1959" w:type="dxa"/>
            <w:vAlign w:val="center"/>
          </w:tcPr>
          <w:p w14:paraId="165D28F2">
            <w:pPr>
              <w:shd w:val="clear"/>
              <w:kinsoku/>
              <w:overflowPunct/>
              <w:topLinePunct w:val="0"/>
              <w:bidi w:val="0"/>
              <w:spacing w:line="500" w:lineRule="exact"/>
              <w:rPr>
                <w:rFonts w:hint="eastAsia" w:ascii="宋体" w:hAnsi="宋体" w:eastAsia="宋体" w:cs="宋体"/>
                <w:sz w:val="24"/>
                <w:szCs w:val="24"/>
                <w:highlight w:val="none"/>
              </w:rPr>
            </w:pPr>
          </w:p>
        </w:tc>
        <w:tc>
          <w:tcPr>
            <w:tcW w:w="2454" w:type="dxa"/>
            <w:vAlign w:val="center"/>
          </w:tcPr>
          <w:p w14:paraId="29DE34A9">
            <w:pPr>
              <w:shd w:val="clear"/>
              <w:kinsoku/>
              <w:overflowPunct/>
              <w:topLinePunct w:val="0"/>
              <w:bidi w:val="0"/>
              <w:spacing w:line="500" w:lineRule="exact"/>
              <w:rPr>
                <w:rFonts w:hint="eastAsia" w:ascii="宋体" w:hAnsi="宋体" w:eastAsia="宋体" w:cs="宋体"/>
                <w:sz w:val="24"/>
                <w:szCs w:val="24"/>
                <w:highlight w:val="none"/>
              </w:rPr>
            </w:pPr>
          </w:p>
        </w:tc>
        <w:tc>
          <w:tcPr>
            <w:tcW w:w="2400" w:type="dxa"/>
            <w:vAlign w:val="center"/>
          </w:tcPr>
          <w:p w14:paraId="280111B9">
            <w:pPr>
              <w:shd w:val="clear"/>
              <w:kinsoku/>
              <w:overflowPunct/>
              <w:topLinePunct w:val="0"/>
              <w:bidi w:val="0"/>
              <w:spacing w:line="500" w:lineRule="exact"/>
              <w:rPr>
                <w:rFonts w:hint="eastAsia" w:ascii="宋体" w:hAnsi="宋体" w:eastAsia="宋体" w:cs="宋体"/>
                <w:sz w:val="24"/>
                <w:szCs w:val="24"/>
                <w:highlight w:val="none"/>
              </w:rPr>
            </w:pPr>
          </w:p>
        </w:tc>
        <w:tc>
          <w:tcPr>
            <w:tcW w:w="800" w:type="dxa"/>
            <w:vAlign w:val="center"/>
          </w:tcPr>
          <w:p w14:paraId="5662CDE8">
            <w:pPr>
              <w:shd w:val="clear"/>
              <w:kinsoku/>
              <w:overflowPunct/>
              <w:topLinePunct w:val="0"/>
              <w:bidi w:val="0"/>
              <w:spacing w:line="500" w:lineRule="exact"/>
              <w:rPr>
                <w:rFonts w:hint="eastAsia" w:ascii="宋体" w:hAnsi="宋体" w:eastAsia="宋体" w:cs="宋体"/>
                <w:sz w:val="24"/>
                <w:szCs w:val="24"/>
                <w:highlight w:val="none"/>
              </w:rPr>
            </w:pPr>
          </w:p>
        </w:tc>
        <w:tc>
          <w:tcPr>
            <w:tcW w:w="725" w:type="dxa"/>
            <w:vAlign w:val="center"/>
          </w:tcPr>
          <w:p w14:paraId="0874F02F">
            <w:pPr>
              <w:shd w:val="clear"/>
              <w:kinsoku/>
              <w:overflowPunct/>
              <w:topLinePunct w:val="0"/>
              <w:bidi w:val="0"/>
              <w:spacing w:line="500" w:lineRule="exact"/>
              <w:rPr>
                <w:rFonts w:hint="eastAsia" w:ascii="宋体" w:hAnsi="宋体" w:eastAsia="宋体" w:cs="宋体"/>
                <w:sz w:val="24"/>
                <w:szCs w:val="24"/>
                <w:highlight w:val="none"/>
              </w:rPr>
            </w:pPr>
          </w:p>
        </w:tc>
      </w:tr>
      <w:tr w14:paraId="7D41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14:paraId="4D79DB66">
            <w:pPr>
              <w:shd w:val="clear"/>
              <w:kinsoku/>
              <w:overflowPunct/>
              <w:topLinePunct w:val="0"/>
              <w:bidi w:val="0"/>
              <w:spacing w:line="500" w:lineRule="exact"/>
              <w:rPr>
                <w:rFonts w:hint="eastAsia" w:ascii="宋体" w:hAnsi="宋体" w:eastAsia="宋体" w:cs="宋体"/>
                <w:sz w:val="24"/>
                <w:szCs w:val="24"/>
                <w:highlight w:val="none"/>
              </w:rPr>
            </w:pPr>
          </w:p>
        </w:tc>
        <w:tc>
          <w:tcPr>
            <w:tcW w:w="1959" w:type="dxa"/>
            <w:vAlign w:val="center"/>
          </w:tcPr>
          <w:p w14:paraId="4D8BAA13">
            <w:pPr>
              <w:shd w:val="clear"/>
              <w:kinsoku/>
              <w:overflowPunct/>
              <w:topLinePunct w:val="0"/>
              <w:bidi w:val="0"/>
              <w:spacing w:line="500" w:lineRule="exact"/>
              <w:rPr>
                <w:rFonts w:hint="eastAsia" w:ascii="宋体" w:hAnsi="宋体" w:eastAsia="宋体" w:cs="宋体"/>
                <w:sz w:val="24"/>
                <w:szCs w:val="24"/>
                <w:highlight w:val="none"/>
              </w:rPr>
            </w:pPr>
          </w:p>
        </w:tc>
        <w:tc>
          <w:tcPr>
            <w:tcW w:w="2454" w:type="dxa"/>
            <w:vAlign w:val="center"/>
          </w:tcPr>
          <w:p w14:paraId="40BE8751">
            <w:pPr>
              <w:shd w:val="clear"/>
              <w:kinsoku/>
              <w:overflowPunct/>
              <w:topLinePunct w:val="0"/>
              <w:bidi w:val="0"/>
              <w:spacing w:line="500" w:lineRule="exact"/>
              <w:rPr>
                <w:rFonts w:hint="eastAsia" w:ascii="宋体" w:hAnsi="宋体" w:eastAsia="宋体" w:cs="宋体"/>
                <w:sz w:val="24"/>
                <w:szCs w:val="24"/>
                <w:highlight w:val="none"/>
              </w:rPr>
            </w:pPr>
          </w:p>
        </w:tc>
        <w:tc>
          <w:tcPr>
            <w:tcW w:w="2400" w:type="dxa"/>
            <w:vAlign w:val="center"/>
          </w:tcPr>
          <w:p w14:paraId="16A5D025">
            <w:pPr>
              <w:shd w:val="clear"/>
              <w:kinsoku/>
              <w:overflowPunct/>
              <w:topLinePunct w:val="0"/>
              <w:bidi w:val="0"/>
              <w:spacing w:line="500" w:lineRule="exact"/>
              <w:rPr>
                <w:rFonts w:hint="eastAsia" w:ascii="宋体" w:hAnsi="宋体" w:eastAsia="宋体" w:cs="宋体"/>
                <w:sz w:val="24"/>
                <w:szCs w:val="24"/>
                <w:highlight w:val="none"/>
              </w:rPr>
            </w:pPr>
          </w:p>
        </w:tc>
        <w:tc>
          <w:tcPr>
            <w:tcW w:w="800" w:type="dxa"/>
            <w:vAlign w:val="center"/>
          </w:tcPr>
          <w:p w14:paraId="08A0A0E5">
            <w:pPr>
              <w:shd w:val="clear"/>
              <w:kinsoku/>
              <w:overflowPunct/>
              <w:topLinePunct w:val="0"/>
              <w:bidi w:val="0"/>
              <w:spacing w:line="500" w:lineRule="exact"/>
              <w:rPr>
                <w:rFonts w:hint="eastAsia" w:ascii="宋体" w:hAnsi="宋体" w:eastAsia="宋体" w:cs="宋体"/>
                <w:sz w:val="24"/>
                <w:szCs w:val="24"/>
                <w:highlight w:val="none"/>
              </w:rPr>
            </w:pPr>
          </w:p>
        </w:tc>
        <w:tc>
          <w:tcPr>
            <w:tcW w:w="725" w:type="dxa"/>
            <w:vAlign w:val="center"/>
          </w:tcPr>
          <w:p w14:paraId="3B623166">
            <w:pPr>
              <w:shd w:val="clear"/>
              <w:kinsoku/>
              <w:overflowPunct/>
              <w:topLinePunct w:val="0"/>
              <w:bidi w:val="0"/>
              <w:spacing w:line="500" w:lineRule="exact"/>
              <w:rPr>
                <w:rFonts w:hint="eastAsia" w:ascii="宋体" w:hAnsi="宋体" w:eastAsia="宋体" w:cs="宋体"/>
                <w:sz w:val="24"/>
                <w:szCs w:val="24"/>
                <w:highlight w:val="none"/>
              </w:rPr>
            </w:pPr>
          </w:p>
        </w:tc>
      </w:tr>
      <w:tr w14:paraId="14E5D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14:paraId="6CE2062F">
            <w:pPr>
              <w:shd w:val="clear"/>
              <w:kinsoku/>
              <w:overflowPunct/>
              <w:topLinePunct w:val="0"/>
              <w:bidi w:val="0"/>
              <w:spacing w:line="500" w:lineRule="exact"/>
              <w:rPr>
                <w:rFonts w:hint="eastAsia" w:ascii="宋体" w:hAnsi="宋体" w:eastAsia="宋体" w:cs="宋体"/>
                <w:sz w:val="24"/>
                <w:szCs w:val="24"/>
                <w:highlight w:val="none"/>
              </w:rPr>
            </w:pPr>
          </w:p>
        </w:tc>
        <w:tc>
          <w:tcPr>
            <w:tcW w:w="1959" w:type="dxa"/>
            <w:vAlign w:val="center"/>
          </w:tcPr>
          <w:p w14:paraId="58D5108C">
            <w:pPr>
              <w:shd w:val="clear"/>
              <w:kinsoku/>
              <w:overflowPunct/>
              <w:topLinePunct w:val="0"/>
              <w:bidi w:val="0"/>
              <w:spacing w:line="500" w:lineRule="exact"/>
              <w:rPr>
                <w:rFonts w:hint="eastAsia" w:ascii="宋体" w:hAnsi="宋体" w:eastAsia="宋体" w:cs="宋体"/>
                <w:sz w:val="24"/>
                <w:szCs w:val="24"/>
                <w:highlight w:val="none"/>
              </w:rPr>
            </w:pPr>
          </w:p>
        </w:tc>
        <w:tc>
          <w:tcPr>
            <w:tcW w:w="2454" w:type="dxa"/>
            <w:vAlign w:val="center"/>
          </w:tcPr>
          <w:p w14:paraId="6046F609">
            <w:pPr>
              <w:shd w:val="clear"/>
              <w:kinsoku/>
              <w:overflowPunct/>
              <w:topLinePunct w:val="0"/>
              <w:bidi w:val="0"/>
              <w:spacing w:line="500" w:lineRule="exact"/>
              <w:rPr>
                <w:rFonts w:hint="eastAsia" w:ascii="宋体" w:hAnsi="宋体" w:eastAsia="宋体" w:cs="宋体"/>
                <w:sz w:val="24"/>
                <w:szCs w:val="24"/>
                <w:highlight w:val="none"/>
              </w:rPr>
            </w:pPr>
          </w:p>
        </w:tc>
        <w:tc>
          <w:tcPr>
            <w:tcW w:w="2400" w:type="dxa"/>
            <w:vAlign w:val="center"/>
          </w:tcPr>
          <w:p w14:paraId="297184A1">
            <w:pPr>
              <w:shd w:val="clear"/>
              <w:kinsoku/>
              <w:overflowPunct/>
              <w:topLinePunct w:val="0"/>
              <w:bidi w:val="0"/>
              <w:spacing w:line="500" w:lineRule="exact"/>
              <w:rPr>
                <w:rFonts w:hint="eastAsia" w:ascii="宋体" w:hAnsi="宋体" w:eastAsia="宋体" w:cs="宋体"/>
                <w:sz w:val="24"/>
                <w:szCs w:val="24"/>
                <w:highlight w:val="none"/>
              </w:rPr>
            </w:pPr>
          </w:p>
        </w:tc>
        <w:tc>
          <w:tcPr>
            <w:tcW w:w="800" w:type="dxa"/>
            <w:vAlign w:val="center"/>
          </w:tcPr>
          <w:p w14:paraId="2057F303">
            <w:pPr>
              <w:shd w:val="clear"/>
              <w:kinsoku/>
              <w:overflowPunct/>
              <w:topLinePunct w:val="0"/>
              <w:bidi w:val="0"/>
              <w:spacing w:line="500" w:lineRule="exact"/>
              <w:rPr>
                <w:rFonts w:hint="eastAsia" w:ascii="宋体" w:hAnsi="宋体" w:eastAsia="宋体" w:cs="宋体"/>
                <w:sz w:val="24"/>
                <w:szCs w:val="24"/>
                <w:highlight w:val="none"/>
              </w:rPr>
            </w:pPr>
          </w:p>
        </w:tc>
        <w:tc>
          <w:tcPr>
            <w:tcW w:w="725" w:type="dxa"/>
            <w:vAlign w:val="center"/>
          </w:tcPr>
          <w:p w14:paraId="1C4E54A7">
            <w:pPr>
              <w:shd w:val="clear"/>
              <w:kinsoku/>
              <w:overflowPunct/>
              <w:topLinePunct w:val="0"/>
              <w:bidi w:val="0"/>
              <w:spacing w:line="500" w:lineRule="exact"/>
              <w:rPr>
                <w:rFonts w:hint="eastAsia" w:ascii="宋体" w:hAnsi="宋体" w:eastAsia="宋体" w:cs="宋体"/>
                <w:sz w:val="24"/>
                <w:szCs w:val="24"/>
                <w:highlight w:val="none"/>
              </w:rPr>
            </w:pPr>
          </w:p>
        </w:tc>
      </w:tr>
      <w:tr w14:paraId="18D3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14:paraId="4BA072BD">
            <w:pPr>
              <w:shd w:val="clear"/>
              <w:kinsoku/>
              <w:overflowPunct/>
              <w:topLinePunct w:val="0"/>
              <w:bidi w:val="0"/>
              <w:spacing w:line="500" w:lineRule="exact"/>
              <w:rPr>
                <w:rFonts w:hint="eastAsia" w:ascii="宋体" w:hAnsi="宋体" w:eastAsia="宋体" w:cs="宋体"/>
                <w:sz w:val="24"/>
                <w:szCs w:val="24"/>
                <w:highlight w:val="none"/>
              </w:rPr>
            </w:pPr>
          </w:p>
        </w:tc>
        <w:tc>
          <w:tcPr>
            <w:tcW w:w="1959" w:type="dxa"/>
            <w:vAlign w:val="center"/>
          </w:tcPr>
          <w:p w14:paraId="257F347E">
            <w:pPr>
              <w:shd w:val="clear"/>
              <w:kinsoku/>
              <w:overflowPunct/>
              <w:topLinePunct w:val="0"/>
              <w:bidi w:val="0"/>
              <w:spacing w:line="500" w:lineRule="exact"/>
              <w:rPr>
                <w:rFonts w:hint="eastAsia" w:ascii="宋体" w:hAnsi="宋体" w:eastAsia="宋体" w:cs="宋体"/>
                <w:sz w:val="24"/>
                <w:szCs w:val="24"/>
                <w:highlight w:val="none"/>
              </w:rPr>
            </w:pPr>
          </w:p>
        </w:tc>
        <w:tc>
          <w:tcPr>
            <w:tcW w:w="2454" w:type="dxa"/>
            <w:vAlign w:val="center"/>
          </w:tcPr>
          <w:p w14:paraId="6906DCAB">
            <w:pPr>
              <w:shd w:val="clear"/>
              <w:kinsoku/>
              <w:overflowPunct/>
              <w:topLinePunct w:val="0"/>
              <w:bidi w:val="0"/>
              <w:spacing w:line="500" w:lineRule="exact"/>
              <w:rPr>
                <w:rFonts w:hint="eastAsia" w:ascii="宋体" w:hAnsi="宋体" w:eastAsia="宋体" w:cs="宋体"/>
                <w:sz w:val="24"/>
                <w:szCs w:val="24"/>
                <w:highlight w:val="none"/>
              </w:rPr>
            </w:pPr>
          </w:p>
        </w:tc>
        <w:tc>
          <w:tcPr>
            <w:tcW w:w="2400" w:type="dxa"/>
            <w:vAlign w:val="center"/>
          </w:tcPr>
          <w:p w14:paraId="32A05142">
            <w:pPr>
              <w:shd w:val="clear"/>
              <w:kinsoku/>
              <w:overflowPunct/>
              <w:topLinePunct w:val="0"/>
              <w:bidi w:val="0"/>
              <w:spacing w:line="500" w:lineRule="exact"/>
              <w:rPr>
                <w:rFonts w:hint="eastAsia" w:ascii="宋体" w:hAnsi="宋体" w:eastAsia="宋体" w:cs="宋体"/>
                <w:sz w:val="24"/>
                <w:szCs w:val="24"/>
                <w:highlight w:val="none"/>
              </w:rPr>
            </w:pPr>
          </w:p>
        </w:tc>
        <w:tc>
          <w:tcPr>
            <w:tcW w:w="800" w:type="dxa"/>
            <w:vAlign w:val="center"/>
          </w:tcPr>
          <w:p w14:paraId="52C9798D">
            <w:pPr>
              <w:shd w:val="clear"/>
              <w:kinsoku/>
              <w:overflowPunct/>
              <w:topLinePunct w:val="0"/>
              <w:bidi w:val="0"/>
              <w:spacing w:line="500" w:lineRule="exact"/>
              <w:rPr>
                <w:rFonts w:hint="eastAsia" w:ascii="宋体" w:hAnsi="宋体" w:eastAsia="宋体" w:cs="宋体"/>
                <w:sz w:val="24"/>
                <w:szCs w:val="24"/>
                <w:highlight w:val="none"/>
              </w:rPr>
            </w:pPr>
          </w:p>
        </w:tc>
        <w:tc>
          <w:tcPr>
            <w:tcW w:w="725" w:type="dxa"/>
            <w:vAlign w:val="center"/>
          </w:tcPr>
          <w:p w14:paraId="4337138F">
            <w:pPr>
              <w:shd w:val="clear"/>
              <w:kinsoku/>
              <w:overflowPunct/>
              <w:topLinePunct w:val="0"/>
              <w:bidi w:val="0"/>
              <w:spacing w:line="500" w:lineRule="exact"/>
              <w:rPr>
                <w:rFonts w:hint="eastAsia" w:ascii="宋体" w:hAnsi="宋体" w:eastAsia="宋体" w:cs="宋体"/>
                <w:sz w:val="24"/>
                <w:szCs w:val="24"/>
                <w:highlight w:val="none"/>
              </w:rPr>
            </w:pPr>
          </w:p>
        </w:tc>
      </w:tr>
      <w:tr w14:paraId="171C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14:paraId="112CE6D3">
            <w:pPr>
              <w:shd w:val="clear"/>
              <w:kinsoku/>
              <w:overflowPunct/>
              <w:topLinePunct w:val="0"/>
              <w:bidi w:val="0"/>
              <w:spacing w:line="500" w:lineRule="exact"/>
              <w:rPr>
                <w:rFonts w:hint="eastAsia" w:ascii="宋体" w:hAnsi="宋体" w:eastAsia="宋体" w:cs="宋体"/>
                <w:sz w:val="24"/>
                <w:szCs w:val="24"/>
                <w:highlight w:val="none"/>
              </w:rPr>
            </w:pPr>
          </w:p>
        </w:tc>
        <w:tc>
          <w:tcPr>
            <w:tcW w:w="1959" w:type="dxa"/>
            <w:vAlign w:val="center"/>
          </w:tcPr>
          <w:p w14:paraId="27A0A311">
            <w:pPr>
              <w:shd w:val="clear"/>
              <w:kinsoku/>
              <w:overflowPunct/>
              <w:topLinePunct w:val="0"/>
              <w:bidi w:val="0"/>
              <w:spacing w:line="500" w:lineRule="exact"/>
              <w:rPr>
                <w:rFonts w:hint="eastAsia" w:ascii="宋体" w:hAnsi="宋体" w:eastAsia="宋体" w:cs="宋体"/>
                <w:sz w:val="24"/>
                <w:szCs w:val="24"/>
                <w:highlight w:val="none"/>
              </w:rPr>
            </w:pPr>
          </w:p>
        </w:tc>
        <w:tc>
          <w:tcPr>
            <w:tcW w:w="2454" w:type="dxa"/>
            <w:vAlign w:val="center"/>
          </w:tcPr>
          <w:p w14:paraId="1FDC9137">
            <w:pPr>
              <w:shd w:val="clear"/>
              <w:kinsoku/>
              <w:overflowPunct/>
              <w:topLinePunct w:val="0"/>
              <w:bidi w:val="0"/>
              <w:spacing w:line="500" w:lineRule="exact"/>
              <w:rPr>
                <w:rFonts w:hint="eastAsia" w:ascii="宋体" w:hAnsi="宋体" w:eastAsia="宋体" w:cs="宋体"/>
                <w:sz w:val="24"/>
                <w:szCs w:val="24"/>
                <w:highlight w:val="none"/>
              </w:rPr>
            </w:pPr>
          </w:p>
        </w:tc>
        <w:tc>
          <w:tcPr>
            <w:tcW w:w="2400" w:type="dxa"/>
            <w:vAlign w:val="center"/>
          </w:tcPr>
          <w:p w14:paraId="18EE892B">
            <w:pPr>
              <w:shd w:val="clear"/>
              <w:kinsoku/>
              <w:overflowPunct/>
              <w:topLinePunct w:val="0"/>
              <w:bidi w:val="0"/>
              <w:spacing w:line="500" w:lineRule="exact"/>
              <w:rPr>
                <w:rFonts w:hint="eastAsia" w:ascii="宋体" w:hAnsi="宋体" w:eastAsia="宋体" w:cs="宋体"/>
                <w:sz w:val="24"/>
                <w:szCs w:val="24"/>
                <w:highlight w:val="none"/>
              </w:rPr>
            </w:pPr>
          </w:p>
        </w:tc>
        <w:tc>
          <w:tcPr>
            <w:tcW w:w="800" w:type="dxa"/>
            <w:vAlign w:val="center"/>
          </w:tcPr>
          <w:p w14:paraId="0C477EA0">
            <w:pPr>
              <w:shd w:val="clear"/>
              <w:kinsoku/>
              <w:overflowPunct/>
              <w:topLinePunct w:val="0"/>
              <w:bidi w:val="0"/>
              <w:spacing w:line="500" w:lineRule="exact"/>
              <w:rPr>
                <w:rFonts w:hint="eastAsia" w:ascii="宋体" w:hAnsi="宋体" w:eastAsia="宋体" w:cs="宋体"/>
                <w:sz w:val="24"/>
                <w:szCs w:val="24"/>
                <w:highlight w:val="none"/>
              </w:rPr>
            </w:pPr>
          </w:p>
        </w:tc>
        <w:tc>
          <w:tcPr>
            <w:tcW w:w="725" w:type="dxa"/>
            <w:vAlign w:val="center"/>
          </w:tcPr>
          <w:p w14:paraId="02FBF819">
            <w:pPr>
              <w:shd w:val="clear"/>
              <w:kinsoku/>
              <w:overflowPunct/>
              <w:topLinePunct w:val="0"/>
              <w:bidi w:val="0"/>
              <w:spacing w:line="500" w:lineRule="exact"/>
              <w:rPr>
                <w:rFonts w:hint="eastAsia" w:ascii="宋体" w:hAnsi="宋体" w:eastAsia="宋体" w:cs="宋体"/>
                <w:sz w:val="24"/>
                <w:szCs w:val="24"/>
                <w:highlight w:val="none"/>
              </w:rPr>
            </w:pPr>
          </w:p>
        </w:tc>
      </w:tr>
      <w:tr w14:paraId="2A91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Align w:val="center"/>
          </w:tcPr>
          <w:p w14:paraId="6DAD647A">
            <w:pPr>
              <w:shd w:val="clear"/>
              <w:kinsoku/>
              <w:overflowPunct/>
              <w:topLinePunct w:val="0"/>
              <w:bidi w:val="0"/>
              <w:spacing w:line="500" w:lineRule="exact"/>
              <w:rPr>
                <w:rFonts w:hint="eastAsia" w:ascii="宋体" w:hAnsi="宋体" w:eastAsia="宋体" w:cs="宋体"/>
                <w:sz w:val="24"/>
                <w:szCs w:val="24"/>
                <w:highlight w:val="none"/>
              </w:rPr>
            </w:pPr>
          </w:p>
        </w:tc>
        <w:tc>
          <w:tcPr>
            <w:tcW w:w="1959" w:type="dxa"/>
            <w:vAlign w:val="center"/>
          </w:tcPr>
          <w:p w14:paraId="64EA7674">
            <w:pPr>
              <w:shd w:val="clear"/>
              <w:kinsoku/>
              <w:overflowPunct/>
              <w:topLinePunct w:val="0"/>
              <w:bidi w:val="0"/>
              <w:spacing w:line="500" w:lineRule="exact"/>
              <w:rPr>
                <w:rFonts w:hint="eastAsia" w:ascii="宋体" w:hAnsi="宋体" w:eastAsia="宋体" w:cs="宋体"/>
                <w:sz w:val="24"/>
                <w:szCs w:val="24"/>
                <w:highlight w:val="none"/>
              </w:rPr>
            </w:pPr>
          </w:p>
        </w:tc>
        <w:tc>
          <w:tcPr>
            <w:tcW w:w="2454" w:type="dxa"/>
            <w:vAlign w:val="center"/>
          </w:tcPr>
          <w:p w14:paraId="531FEA72">
            <w:pPr>
              <w:shd w:val="clear"/>
              <w:kinsoku/>
              <w:overflowPunct/>
              <w:topLinePunct w:val="0"/>
              <w:bidi w:val="0"/>
              <w:spacing w:line="500" w:lineRule="exact"/>
              <w:rPr>
                <w:rFonts w:hint="eastAsia" w:ascii="宋体" w:hAnsi="宋体" w:eastAsia="宋体" w:cs="宋体"/>
                <w:sz w:val="24"/>
                <w:szCs w:val="24"/>
                <w:highlight w:val="none"/>
              </w:rPr>
            </w:pPr>
          </w:p>
        </w:tc>
        <w:tc>
          <w:tcPr>
            <w:tcW w:w="2400" w:type="dxa"/>
            <w:vAlign w:val="center"/>
          </w:tcPr>
          <w:p w14:paraId="20F07B22">
            <w:pPr>
              <w:shd w:val="clear"/>
              <w:kinsoku/>
              <w:overflowPunct/>
              <w:topLinePunct w:val="0"/>
              <w:bidi w:val="0"/>
              <w:spacing w:line="500" w:lineRule="exact"/>
              <w:rPr>
                <w:rFonts w:hint="eastAsia" w:ascii="宋体" w:hAnsi="宋体" w:eastAsia="宋体" w:cs="宋体"/>
                <w:sz w:val="24"/>
                <w:szCs w:val="24"/>
                <w:highlight w:val="none"/>
              </w:rPr>
            </w:pPr>
          </w:p>
        </w:tc>
        <w:tc>
          <w:tcPr>
            <w:tcW w:w="800" w:type="dxa"/>
            <w:vAlign w:val="center"/>
          </w:tcPr>
          <w:p w14:paraId="23AD758B">
            <w:pPr>
              <w:shd w:val="clear"/>
              <w:kinsoku/>
              <w:overflowPunct/>
              <w:topLinePunct w:val="0"/>
              <w:bidi w:val="0"/>
              <w:spacing w:line="500" w:lineRule="exact"/>
              <w:rPr>
                <w:rFonts w:hint="eastAsia" w:ascii="宋体" w:hAnsi="宋体" w:eastAsia="宋体" w:cs="宋体"/>
                <w:sz w:val="24"/>
                <w:szCs w:val="24"/>
                <w:highlight w:val="none"/>
              </w:rPr>
            </w:pPr>
          </w:p>
        </w:tc>
        <w:tc>
          <w:tcPr>
            <w:tcW w:w="725" w:type="dxa"/>
            <w:vAlign w:val="center"/>
          </w:tcPr>
          <w:p w14:paraId="5FB6B1B5">
            <w:pPr>
              <w:shd w:val="clear"/>
              <w:kinsoku/>
              <w:overflowPunct/>
              <w:topLinePunct w:val="0"/>
              <w:bidi w:val="0"/>
              <w:spacing w:line="500" w:lineRule="exact"/>
              <w:rPr>
                <w:rFonts w:hint="eastAsia" w:ascii="宋体" w:hAnsi="宋体" w:eastAsia="宋体" w:cs="宋体"/>
                <w:sz w:val="24"/>
                <w:szCs w:val="24"/>
                <w:highlight w:val="none"/>
              </w:rPr>
            </w:pPr>
          </w:p>
        </w:tc>
      </w:tr>
    </w:tbl>
    <w:p w14:paraId="69BFE888">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说明：如有偏离，则必须注明“偏离”；未注明偏离的，视为完全响应。</w:t>
      </w:r>
    </w:p>
    <w:p w14:paraId="13134A59">
      <w:pPr>
        <w:shd w:val="clear"/>
        <w:kinsoku/>
        <w:overflowPunct/>
        <w:topLinePunct w:val="0"/>
        <w:bidi w:val="0"/>
        <w:spacing w:line="500" w:lineRule="exact"/>
        <w:rPr>
          <w:rFonts w:hint="eastAsia" w:ascii="宋体" w:hAnsi="宋体" w:eastAsia="宋体" w:cs="宋体"/>
          <w:sz w:val="24"/>
          <w:szCs w:val="24"/>
          <w:highlight w:val="none"/>
        </w:rPr>
      </w:pPr>
    </w:p>
    <w:p w14:paraId="552539E8">
      <w:pPr>
        <w:shd w:val="clear"/>
        <w:kinsoku/>
        <w:overflowPunct/>
        <w:topLinePunct w:val="0"/>
        <w:bidi w:val="0"/>
        <w:spacing w:line="500" w:lineRule="exact"/>
        <w:rPr>
          <w:rFonts w:hint="eastAsia" w:ascii="宋体" w:hAnsi="宋体" w:eastAsia="宋体" w:cs="宋体"/>
          <w:sz w:val="24"/>
          <w:szCs w:val="24"/>
          <w:highlight w:val="none"/>
        </w:rPr>
      </w:pPr>
    </w:p>
    <w:p w14:paraId="702D9E9D">
      <w:pPr>
        <w:shd w:val="clear"/>
        <w:kinsoku/>
        <w:overflowPunct/>
        <w:topLinePunct w:val="0"/>
        <w:bidi w:val="0"/>
        <w:spacing w:line="500" w:lineRule="exact"/>
        <w:ind w:firstLine="1200" w:firstLineChars="5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rPr>
        <w:t>名称(公章)：________________________________</w:t>
      </w:r>
    </w:p>
    <w:p w14:paraId="397F9C34">
      <w:pPr>
        <w:shd w:val="clear"/>
        <w:kinsoku/>
        <w:overflowPunct/>
        <w:topLinePunct w:val="0"/>
        <w:bidi w:val="0"/>
        <w:spacing w:line="500" w:lineRule="exact"/>
        <w:ind w:firstLine="1200" w:firstLineChars="500"/>
        <w:rPr>
          <w:rFonts w:hint="eastAsia" w:ascii="宋体" w:hAnsi="宋体" w:eastAsia="宋体" w:cs="宋体"/>
          <w:sz w:val="24"/>
          <w:szCs w:val="24"/>
          <w:highlight w:val="none"/>
        </w:rPr>
      </w:pPr>
      <w:r>
        <w:rPr>
          <w:rFonts w:hint="eastAsia" w:ascii="宋体" w:hAnsi="宋体" w:eastAsia="宋体" w:cs="宋体"/>
          <w:sz w:val="24"/>
          <w:szCs w:val="24"/>
          <w:highlight w:val="none"/>
        </w:rPr>
        <w:t>日期：______年____月____日</w:t>
      </w:r>
    </w:p>
    <w:p w14:paraId="020272C3">
      <w:pPr>
        <w:shd w:val="clear"/>
        <w:kinsoku/>
        <w:overflowPunct/>
        <w:topLinePunct w:val="0"/>
        <w:bidi w:val="0"/>
        <w:spacing w:line="500" w:lineRule="exact"/>
        <w:rPr>
          <w:rFonts w:hint="eastAsia" w:ascii="宋体" w:hAnsi="宋体" w:eastAsia="宋体" w:cs="宋体"/>
          <w:sz w:val="24"/>
          <w:szCs w:val="24"/>
          <w:highlight w:val="none"/>
        </w:rPr>
      </w:pPr>
    </w:p>
    <w:p w14:paraId="5284310F">
      <w:pPr>
        <w:shd w:val="clear"/>
        <w:kinsoku/>
        <w:overflowPunct/>
        <w:topLinePunct w:val="0"/>
        <w:bidi w:val="0"/>
        <w:spacing w:line="500" w:lineRule="exact"/>
        <w:jc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rPr>
        <w:t>四、投标保证金</w:t>
      </w:r>
    </w:p>
    <w:p w14:paraId="77B2162E">
      <w:pPr>
        <w:shd w:val="clear"/>
        <w:kinsoku/>
        <w:overflowPunct/>
        <w:topLinePunct w:val="0"/>
        <w:bidi w:val="0"/>
        <w:spacing w:line="500" w:lineRule="exact"/>
        <w:jc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rPr>
        <w:t>五、</w:t>
      </w:r>
      <w:r>
        <w:rPr>
          <w:rFonts w:hint="eastAsia" w:ascii="宋体" w:hAnsi="宋体" w:eastAsia="宋体" w:cs="宋体"/>
          <w:b/>
          <w:bCs/>
          <w:sz w:val="24"/>
          <w:szCs w:val="24"/>
          <w:highlight w:val="none"/>
          <w:lang w:eastAsia="zh-CN"/>
        </w:rPr>
        <w:t>投标单位</w:t>
      </w:r>
      <w:r>
        <w:rPr>
          <w:rFonts w:hint="eastAsia" w:ascii="宋体" w:hAnsi="宋体" w:eastAsia="宋体" w:cs="宋体"/>
          <w:b/>
          <w:bCs/>
          <w:sz w:val="24"/>
          <w:szCs w:val="24"/>
          <w:highlight w:val="none"/>
        </w:rPr>
        <w:t>基本情况表</w:t>
      </w:r>
    </w:p>
    <w:p w14:paraId="523BBC31">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w:t>
      </w: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rPr>
        <w:t>：(公章)</w:t>
      </w:r>
    </w:p>
    <w:tbl>
      <w:tblPr>
        <w:tblStyle w:val="34"/>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991"/>
        <w:gridCol w:w="2154"/>
        <w:gridCol w:w="1528"/>
      </w:tblGrid>
      <w:tr w14:paraId="21E1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14:paraId="5A952942">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rPr>
              <w:t>名称</w:t>
            </w:r>
          </w:p>
        </w:tc>
        <w:tc>
          <w:tcPr>
            <w:tcW w:w="1991" w:type="dxa"/>
            <w:vAlign w:val="center"/>
          </w:tcPr>
          <w:p w14:paraId="274DCA78">
            <w:pPr>
              <w:shd w:val="clear"/>
              <w:kinsoku/>
              <w:overflowPunct/>
              <w:topLinePunct w:val="0"/>
              <w:bidi w:val="0"/>
              <w:spacing w:line="500" w:lineRule="exact"/>
              <w:rPr>
                <w:rFonts w:hint="eastAsia" w:ascii="宋体" w:hAnsi="宋体" w:eastAsia="宋体" w:cs="宋体"/>
                <w:sz w:val="24"/>
                <w:szCs w:val="24"/>
                <w:highlight w:val="none"/>
              </w:rPr>
            </w:pPr>
          </w:p>
        </w:tc>
        <w:tc>
          <w:tcPr>
            <w:tcW w:w="2154" w:type="dxa"/>
            <w:vAlign w:val="center"/>
          </w:tcPr>
          <w:p w14:paraId="12A5D436">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528" w:type="dxa"/>
            <w:vAlign w:val="center"/>
          </w:tcPr>
          <w:p w14:paraId="59E97C8F">
            <w:pPr>
              <w:shd w:val="clear"/>
              <w:kinsoku/>
              <w:overflowPunct/>
              <w:topLinePunct w:val="0"/>
              <w:bidi w:val="0"/>
              <w:spacing w:line="500" w:lineRule="exact"/>
              <w:rPr>
                <w:rFonts w:hint="eastAsia" w:ascii="宋体" w:hAnsi="宋体" w:eastAsia="宋体" w:cs="宋体"/>
                <w:sz w:val="24"/>
                <w:szCs w:val="24"/>
                <w:highlight w:val="none"/>
              </w:rPr>
            </w:pPr>
          </w:p>
        </w:tc>
      </w:tr>
      <w:tr w14:paraId="451F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14:paraId="252DEA02">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991" w:type="dxa"/>
            <w:vAlign w:val="center"/>
          </w:tcPr>
          <w:p w14:paraId="3706705D">
            <w:pPr>
              <w:shd w:val="clear"/>
              <w:kinsoku/>
              <w:overflowPunct/>
              <w:topLinePunct w:val="0"/>
              <w:bidi w:val="0"/>
              <w:spacing w:line="500" w:lineRule="exact"/>
              <w:rPr>
                <w:rFonts w:hint="eastAsia" w:ascii="宋体" w:hAnsi="宋体" w:eastAsia="宋体" w:cs="宋体"/>
                <w:sz w:val="24"/>
                <w:szCs w:val="24"/>
                <w:highlight w:val="none"/>
              </w:rPr>
            </w:pPr>
          </w:p>
        </w:tc>
        <w:tc>
          <w:tcPr>
            <w:tcW w:w="2154" w:type="dxa"/>
            <w:vAlign w:val="center"/>
          </w:tcPr>
          <w:p w14:paraId="7207C5AB">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528" w:type="dxa"/>
            <w:vAlign w:val="center"/>
          </w:tcPr>
          <w:p w14:paraId="6D257A84">
            <w:pPr>
              <w:shd w:val="clear"/>
              <w:kinsoku/>
              <w:overflowPunct/>
              <w:topLinePunct w:val="0"/>
              <w:bidi w:val="0"/>
              <w:spacing w:line="500" w:lineRule="exact"/>
              <w:rPr>
                <w:rFonts w:hint="eastAsia" w:ascii="宋体" w:hAnsi="宋体" w:eastAsia="宋体" w:cs="宋体"/>
                <w:sz w:val="24"/>
                <w:szCs w:val="24"/>
                <w:highlight w:val="none"/>
              </w:rPr>
            </w:pPr>
          </w:p>
        </w:tc>
      </w:tr>
      <w:tr w14:paraId="1031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14:paraId="73F37498">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w:t>
            </w:r>
          </w:p>
        </w:tc>
        <w:tc>
          <w:tcPr>
            <w:tcW w:w="1991" w:type="dxa"/>
            <w:vAlign w:val="center"/>
          </w:tcPr>
          <w:p w14:paraId="539B4B69">
            <w:pPr>
              <w:shd w:val="clear"/>
              <w:kinsoku/>
              <w:overflowPunct/>
              <w:topLinePunct w:val="0"/>
              <w:bidi w:val="0"/>
              <w:spacing w:line="500" w:lineRule="exact"/>
              <w:rPr>
                <w:rFonts w:hint="eastAsia" w:ascii="宋体" w:hAnsi="宋体" w:eastAsia="宋体" w:cs="宋体"/>
                <w:sz w:val="24"/>
                <w:szCs w:val="24"/>
                <w:highlight w:val="none"/>
              </w:rPr>
            </w:pPr>
          </w:p>
        </w:tc>
        <w:tc>
          <w:tcPr>
            <w:tcW w:w="2154" w:type="dxa"/>
            <w:vAlign w:val="center"/>
          </w:tcPr>
          <w:p w14:paraId="1F9B0EAD">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528" w:type="dxa"/>
            <w:vAlign w:val="center"/>
          </w:tcPr>
          <w:p w14:paraId="502209A9">
            <w:pPr>
              <w:shd w:val="clear"/>
              <w:kinsoku/>
              <w:overflowPunct/>
              <w:topLinePunct w:val="0"/>
              <w:bidi w:val="0"/>
              <w:spacing w:line="500" w:lineRule="exact"/>
              <w:rPr>
                <w:rFonts w:hint="eastAsia" w:ascii="宋体" w:hAnsi="宋体" w:eastAsia="宋体" w:cs="宋体"/>
                <w:sz w:val="24"/>
                <w:szCs w:val="24"/>
                <w:highlight w:val="none"/>
              </w:rPr>
            </w:pPr>
          </w:p>
        </w:tc>
      </w:tr>
      <w:tr w14:paraId="2C74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14:paraId="29E6FD0A">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991" w:type="dxa"/>
            <w:vAlign w:val="center"/>
          </w:tcPr>
          <w:p w14:paraId="3EBCBD9D">
            <w:pPr>
              <w:shd w:val="clear"/>
              <w:kinsoku/>
              <w:overflowPunct/>
              <w:topLinePunct w:val="0"/>
              <w:bidi w:val="0"/>
              <w:spacing w:line="500" w:lineRule="exact"/>
              <w:rPr>
                <w:rFonts w:hint="eastAsia" w:ascii="宋体" w:hAnsi="宋体" w:eastAsia="宋体" w:cs="宋体"/>
                <w:sz w:val="24"/>
                <w:szCs w:val="24"/>
                <w:highlight w:val="none"/>
              </w:rPr>
            </w:pPr>
          </w:p>
        </w:tc>
        <w:tc>
          <w:tcPr>
            <w:tcW w:w="2154" w:type="dxa"/>
            <w:vAlign w:val="center"/>
          </w:tcPr>
          <w:p w14:paraId="34A3B5C0">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c>
          <w:tcPr>
            <w:tcW w:w="1528" w:type="dxa"/>
            <w:vAlign w:val="center"/>
          </w:tcPr>
          <w:p w14:paraId="42BBD9C4">
            <w:pPr>
              <w:shd w:val="clear"/>
              <w:kinsoku/>
              <w:overflowPunct/>
              <w:topLinePunct w:val="0"/>
              <w:bidi w:val="0"/>
              <w:spacing w:line="500" w:lineRule="exact"/>
              <w:rPr>
                <w:rFonts w:hint="eastAsia" w:ascii="宋体" w:hAnsi="宋体" w:eastAsia="宋体" w:cs="宋体"/>
                <w:sz w:val="24"/>
                <w:szCs w:val="24"/>
                <w:highlight w:val="none"/>
              </w:rPr>
            </w:pPr>
          </w:p>
        </w:tc>
      </w:tr>
      <w:tr w14:paraId="282A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14:paraId="214F1832">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上年营业收入</w:t>
            </w:r>
          </w:p>
        </w:tc>
        <w:tc>
          <w:tcPr>
            <w:tcW w:w="1991" w:type="dxa"/>
            <w:vAlign w:val="center"/>
          </w:tcPr>
          <w:p w14:paraId="72397CF1">
            <w:pPr>
              <w:shd w:val="clear"/>
              <w:kinsoku/>
              <w:overflowPunct/>
              <w:topLinePunct w:val="0"/>
              <w:bidi w:val="0"/>
              <w:spacing w:line="500" w:lineRule="exact"/>
              <w:rPr>
                <w:rFonts w:hint="eastAsia" w:ascii="宋体" w:hAnsi="宋体" w:eastAsia="宋体" w:cs="宋体"/>
                <w:sz w:val="24"/>
                <w:szCs w:val="24"/>
                <w:highlight w:val="none"/>
              </w:rPr>
            </w:pPr>
          </w:p>
        </w:tc>
        <w:tc>
          <w:tcPr>
            <w:tcW w:w="2154" w:type="dxa"/>
            <w:vAlign w:val="center"/>
          </w:tcPr>
          <w:p w14:paraId="1FFCC324">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员工总人数</w:t>
            </w:r>
          </w:p>
        </w:tc>
        <w:tc>
          <w:tcPr>
            <w:tcW w:w="1528" w:type="dxa"/>
            <w:vAlign w:val="center"/>
          </w:tcPr>
          <w:p w14:paraId="2C7ED95D">
            <w:pPr>
              <w:shd w:val="clear"/>
              <w:kinsoku/>
              <w:overflowPunct/>
              <w:topLinePunct w:val="0"/>
              <w:bidi w:val="0"/>
              <w:spacing w:line="500" w:lineRule="exact"/>
              <w:rPr>
                <w:rFonts w:hint="eastAsia" w:ascii="宋体" w:hAnsi="宋体" w:eastAsia="宋体" w:cs="宋体"/>
                <w:sz w:val="24"/>
                <w:szCs w:val="24"/>
                <w:highlight w:val="none"/>
              </w:rPr>
            </w:pPr>
          </w:p>
        </w:tc>
      </w:tr>
      <w:tr w14:paraId="7837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14:paraId="075AE379">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基本账户开户行及账号</w:t>
            </w:r>
          </w:p>
        </w:tc>
        <w:tc>
          <w:tcPr>
            <w:tcW w:w="1991" w:type="dxa"/>
            <w:vAlign w:val="center"/>
          </w:tcPr>
          <w:p w14:paraId="424F6FE3">
            <w:pPr>
              <w:shd w:val="clear"/>
              <w:kinsoku/>
              <w:overflowPunct/>
              <w:topLinePunct w:val="0"/>
              <w:bidi w:val="0"/>
              <w:spacing w:line="500" w:lineRule="exact"/>
              <w:rPr>
                <w:rFonts w:hint="eastAsia" w:ascii="宋体" w:hAnsi="宋体" w:eastAsia="宋体" w:cs="宋体"/>
                <w:sz w:val="24"/>
                <w:szCs w:val="24"/>
                <w:highlight w:val="none"/>
              </w:rPr>
            </w:pPr>
          </w:p>
        </w:tc>
        <w:tc>
          <w:tcPr>
            <w:tcW w:w="2154" w:type="dxa"/>
            <w:vAlign w:val="center"/>
          </w:tcPr>
          <w:p w14:paraId="50B56FFB">
            <w:pPr>
              <w:shd w:val="clear"/>
              <w:kinsoku/>
              <w:overflowPunct/>
              <w:topLinePunct w:val="0"/>
              <w:bidi w:val="0"/>
              <w:spacing w:line="500" w:lineRule="exact"/>
              <w:rPr>
                <w:rFonts w:hint="eastAsia" w:ascii="宋体" w:hAnsi="宋体" w:eastAsia="宋体" w:cs="宋体"/>
                <w:sz w:val="24"/>
                <w:szCs w:val="24"/>
                <w:highlight w:val="none"/>
              </w:rPr>
            </w:pPr>
          </w:p>
        </w:tc>
        <w:tc>
          <w:tcPr>
            <w:tcW w:w="1528" w:type="dxa"/>
            <w:vAlign w:val="center"/>
          </w:tcPr>
          <w:p w14:paraId="13BB2C07">
            <w:pPr>
              <w:shd w:val="clear"/>
              <w:kinsoku/>
              <w:overflowPunct/>
              <w:topLinePunct w:val="0"/>
              <w:bidi w:val="0"/>
              <w:spacing w:line="500" w:lineRule="exact"/>
              <w:rPr>
                <w:rFonts w:hint="eastAsia" w:ascii="宋体" w:hAnsi="宋体" w:eastAsia="宋体" w:cs="宋体"/>
                <w:sz w:val="24"/>
                <w:szCs w:val="24"/>
                <w:highlight w:val="none"/>
              </w:rPr>
            </w:pPr>
          </w:p>
        </w:tc>
      </w:tr>
      <w:tr w14:paraId="57A1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14:paraId="18D3722E">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税务登记机关</w:t>
            </w:r>
          </w:p>
        </w:tc>
        <w:tc>
          <w:tcPr>
            <w:tcW w:w="1991" w:type="dxa"/>
            <w:vAlign w:val="center"/>
          </w:tcPr>
          <w:p w14:paraId="14B17339">
            <w:pPr>
              <w:shd w:val="clear"/>
              <w:kinsoku/>
              <w:overflowPunct/>
              <w:topLinePunct w:val="0"/>
              <w:bidi w:val="0"/>
              <w:spacing w:line="500" w:lineRule="exact"/>
              <w:rPr>
                <w:rFonts w:hint="eastAsia" w:ascii="宋体" w:hAnsi="宋体" w:eastAsia="宋体" w:cs="宋体"/>
                <w:sz w:val="24"/>
                <w:szCs w:val="24"/>
                <w:highlight w:val="none"/>
              </w:rPr>
            </w:pPr>
          </w:p>
        </w:tc>
        <w:tc>
          <w:tcPr>
            <w:tcW w:w="2154" w:type="dxa"/>
            <w:vAlign w:val="center"/>
          </w:tcPr>
          <w:p w14:paraId="309BECC9">
            <w:pPr>
              <w:shd w:val="clear"/>
              <w:kinsoku/>
              <w:overflowPunct/>
              <w:topLinePunct w:val="0"/>
              <w:bidi w:val="0"/>
              <w:spacing w:line="500" w:lineRule="exact"/>
              <w:rPr>
                <w:rFonts w:hint="eastAsia" w:ascii="宋体" w:hAnsi="宋体" w:eastAsia="宋体" w:cs="宋体"/>
                <w:sz w:val="24"/>
                <w:szCs w:val="24"/>
                <w:highlight w:val="none"/>
              </w:rPr>
            </w:pPr>
          </w:p>
        </w:tc>
        <w:tc>
          <w:tcPr>
            <w:tcW w:w="1528" w:type="dxa"/>
            <w:vAlign w:val="center"/>
          </w:tcPr>
          <w:p w14:paraId="2E4CE847">
            <w:pPr>
              <w:shd w:val="clear"/>
              <w:kinsoku/>
              <w:overflowPunct/>
              <w:topLinePunct w:val="0"/>
              <w:bidi w:val="0"/>
              <w:spacing w:line="500" w:lineRule="exact"/>
              <w:rPr>
                <w:rFonts w:hint="eastAsia" w:ascii="宋体" w:hAnsi="宋体" w:eastAsia="宋体" w:cs="宋体"/>
                <w:sz w:val="24"/>
                <w:szCs w:val="24"/>
                <w:highlight w:val="none"/>
              </w:rPr>
            </w:pPr>
          </w:p>
        </w:tc>
      </w:tr>
      <w:tr w14:paraId="1642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14:paraId="3C1C04F9">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资质名称</w:t>
            </w:r>
          </w:p>
        </w:tc>
        <w:tc>
          <w:tcPr>
            <w:tcW w:w="1991" w:type="dxa"/>
            <w:vAlign w:val="center"/>
          </w:tcPr>
          <w:p w14:paraId="03C29915">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等级</w:t>
            </w:r>
          </w:p>
        </w:tc>
        <w:tc>
          <w:tcPr>
            <w:tcW w:w="2154" w:type="dxa"/>
            <w:vAlign w:val="center"/>
          </w:tcPr>
          <w:p w14:paraId="1602AE49">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发证机关</w:t>
            </w:r>
          </w:p>
        </w:tc>
        <w:tc>
          <w:tcPr>
            <w:tcW w:w="1528" w:type="dxa"/>
            <w:vAlign w:val="center"/>
          </w:tcPr>
          <w:p w14:paraId="07CEADD7">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有效期</w:t>
            </w:r>
          </w:p>
        </w:tc>
      </w:tr>
      <w:tr w14:paraId="4332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14:paraId="1FAF675E">
            <w:pPr>
              <w:shd w:val="clear"/>
              <w:kinsoku/>
              <w:overflowPunct/>
              <w:topLinePunct w:val="0"/>
              <w:bidi w:val="0"/>
              <w:spacing w:line="500" w:lineRule="exact"/>
              <w:rPr>
                <w:rFonts w:hint="eastAsia" w:ascii="宋体" w:hAnsi="宋体" w:eastAsia="宋体" w:cs="宋体"/>
                <w:sz w:val="24"/>
                <w:szCs w:val="24"/>
                <w:highlight w:val="none"/>
              </w:rPr>
            </w:pPr>
          </w:p>
        </w:tc>
        <w:tc>
          <w:tcPr>
            <w:tcW w:w="1991" w:type="dxa"/>
            <w:vAlign w:val="center"/>
          </w:tcPr>
          <w:p w14:paraId="12FDA656">
            <w:pPr>
              <w:shd w:val="clear"/>
              <w:kinsoku/>
              <w:overflowPunct/>
              <w:topLinePunct w:val="0"/>
              <w:bidi w:val="0"/>
              <w:spacing w:line="500" w:lineRule="exact"/>
              <w:rPr>
                <w:rFonts w:hint="eastAsia" w:ascii="宋体" w:hAnsi="宋体" w:eastAsia="宋体" w:cs="宋体"/>
                <w:sz w:val="24"/>
                <w:szCs w:val="24"/>
                <w:highlight w:val="none"/>
              </w:rPr>
            </w:pPr>
          </w:p>
        </w:tc>
        <w:tc>
          <w:tcPr>
            <w:tcW w:w="2154" w:type="dxa"/>
            <w:vAlign w:val="center"/>
          </w:tcPr>
          <w:p w14:paraId="777FBF07">
            <w:pPr>
              <w:shd w:val="clear"/>
              <w:kinsoku/>
              <w:overflowPunct/>
              <w:topLinePunct w:val="0"/>
              <w:bidi w:val="0"/>
              <w:spacing w:line="500" w:lineRule="exact"/>
              <w:rPr>
                <w:rFonts w:hint="eastAsia" w:ascii="宋体" w:hAnsi="宋体" w:eastAsia="宋体" w:cs="宋体"/>
                <w:sz w:val="24"/>
                <w:szCs w:val="24"/>
                <w:highlight w:val="none"/>
              </w:rPr>
            </w:pPr>
          </w:p>
        </w:tc>
        <w:tc>
          <w:tcPr>
            <w:tcW w:w="1528" w:type="dxa"/>
            <w:vAlign w:val="center"/>
          </w:tcPr>
          <w:p w14:paraId="33F8D8E4">
            <w:pPr>
              <w:shd w:val="clear"/>
              <w:kinsoku/>
              <w:overflowPunct/>
              <w:topLinePunct w:val="0"/>
              <w:bidi w:val="0"/>
              <w:spacing w:line="500" w:lineRule="exact"/>
              <w:rPr>
                <w:rFonts w:hint="eastAsia" w:ascii="宋体" w:hAnsi="宋体" w:eastAsia="宋体" w:cs="宋体"/>
                <w:sz w:val="24"/>
                <w:szCs w:val="24"/>
                <w:highlight w:val="none"/>
              </w:rPr>
            </w:pPr>
          </w:p>
        </w:tc>
      </w:tr>
      <w:tr w14:paraId="6598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14:paraId="3C5A2E38">
            <w:pPr>
              <w:shd w:val="clear"/>
              <w:kinsoku/>
              <w:overflowPunct/>
              <w:topLinePunct w:val="0"/>
              <w:bidi w:val="0"/>
              <w:spacing w:line="500" w:lineRule="exact"/>
              <w:rPr>
                <w:rFonts w:hint="eastAsia" w:ascii="宋体" w:hAnsi="宋体" w:eastAsia="宋体" w:cs="宋体"/>
                <w:sz w:val="24"/>
                <w:szCs w:val="24"/>
                <w:highlight w:val="none"/>
              </w:rPr>
            </w:pPr>
          </w:p>
        </w:tc>
        <w:tc>
          <w:tcPr>
            <w:tcW w:w="1991" w:type="dxa"/>
            <w:vAlign w:val="center"/>
          </w:tcPr>
          <w:p w14:paraId="516BDEA4">
            <w:pPr>
              <w:shd w:val="clear"/>
              <w:kinsoku/>
              <w:overflowPunct/>
              <w:topLinePunct w:val="0"/>
              <w:bidi w:val="0"/>
              <w:spacing w:line="500" w:lineRule="exact"/>
              <w:rPr>
                <w:rFonts w:hint="eastAsia" w:ascii="宋体" w:hAnsi="宋体" w:eastAsia="宋体" w:cs="宋体"/>
                <w:sz w:val="24"/>
                <w:szCs w:val="24"/>
                <w:highlight w:val="none"/>
              </w:rPr>
            </w:pPr>
          </w:p>
        </w:tc>
        <w:tc>
          <w:tcPr>
            <w:tcW w:w="2154" w:type="dxa"/>
            <w:vAlign w:val="center"/>
          </w:tcPr>
          <w:p w14:paraId="11C55382">
            <w:pPr>
              <w:shd w:val="clear"/>
              <w:kinsoku/>
              <w:overflowPunct/>
              <w:topLinePunct w:val="0"/>
              <w:bidi w:val="0"/>
              <w:spacing w:line="500" w:lineRule="exact"/>
              <w:rPr>
                <w:rFonts w:hint="eastAsia" w:ascii="宋体" w:hAnsi="宋体" w:eastAsia="宋体" w:cs="宋体"/>
                <w:sz w:val="24"/>
                <w:szCs w:val="24"/>
                <w:highlight w:val="none"/>
              </w:rPr>
            </w:pPr>
          </w:p>
        </w:tc>
        <w:tc>
          <w:tcPr>
            <w:tcW w:w="1528" w:type="dxa"/>
            <w:vAlign w:val="center"/>
          </w:tcPr>
          <w:p w14:paraId="1E271939">
            <w:pPr>
              <w:shd w:val="clear"/>
              <w:kinsoku/>
              <w:overflowPunct/>
              <w:topLinePunct w:val="0"/>
              <w:bidi w:val="0"/>
              <w:spacing w:line="500" w:lineRule="exact"/>
              <w:rPr>
                <w:rFonts w:hint="eastAsia" w:ascii="宋体" w:hAnsi="宋体" w:eastAsia="宋体" w:cs="宋体"/>
                <w:sz w:val="24"/>
                <w:szCs w:val="24"/>
                <w:highlight w:val="none"/>
              </w:rPr>
            </w:pPr>
          </w:p>
        </w:tc>
      </w:tr>
      <w:tr w14:paraId="3765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14:paraId="3764E0AB">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1991" w:type="dxa"/>
            <w:vAlign w:val="center"/>
          </w:tcPr>
          <w:p w14:paraId="1EC796D0">
            <w:pPr>
              <w:shd w:val="clear"/>
              <w:kinsoku/>
              <w:overflowPunct/>
              <w:topLinePunct w:val="0"/>
              <w:bidi w:val="0"/>
              <w:spacing w:line="500" w:lineRule="exact"/>
              <w:rPr>
                <w:rFonts w:hint="eastAsia" w:ascii="宋体" w:hAnsi="宋体" w:eastAsia="宋体" w:cs="宋体"/>
                <w:sz w:val="24"/>
                <w:szCs w:val="24"/>
                <w:highlight w:val="none"/>
              </w:rPr>
            </w:pPr>
          </w:p>
        </w:tc>
        <w:tc>
          <w:tcPr>
            <w:tcW w:w="2154" w:type="dxa"/>
            <w:vAlign w:val="center"/>
          </w:tcPr>
          <w:p w14:paraId="28D17ACF">
            <w:pPr>
              <w:shd w:val="clear"/>
              <w:kinsoku/>
              <w:overflowPunct/>
              <w:topLinePunct w:val="0"/>
              <w:bidi w:val="0"/>
              <w:spacing w:line="500" w:lineRule="exact"/>
              <w:rPr>
                <w:rFonts w:hint="eastAsia" w:ascii="宋体" w:hAnsi="宋体" w:eastAsia="宋体" w:cs="宋体"/>
                <w:sz w:val="24"/>
                <w:szCs w:val="24"/>
                <w:highlight w:val="none"/>
              </w:rPr>
            </w:pPr>
          </w:p>
        </w:tc>
        <w:tc>
          <w:tcPr>
            <w:tcW w:w="1528" w:type="dxa"/>
            <w:vAlign w:val="center"/>
          </w:tcPr>
          <w:p w14:paraId="692A7679">
            <w:pPr>
              <w:shd w:val="clear"/>
              <w:kinsoku/>
              <w:overflowPunct/>
              <w:topLinePunct w:val="0"/>
              <w:bidi w:val="0"/>
              <w:spacing w:line="500" w:lineRule="exact"/>
              <w:rPr>
                <w:rFonts w:hint="eastAsia" w:ascii="宋体" w:hAnsi="宋体" w:eastAsia="宋体" w:cs="宋体"/>
                <w:sz w:val="24"/>
                <w:szCs w:val="24"/>
                <w:highlight w:val="none"/>
              </w:rPr>
            </w:pPr>
          </w:p>
        </w:tc>
      </w:tr>
    </w:tbl>
    <w:p w14:paraId="2D6FFC8A">
      <w:pPr>
        <w:shd w:val="clear"/>
        <w:kinsoku/>
        <w:overflowPunct/>
        <w:topLinePunct w:val="0"/>
        <w:bidi w:val="0"/>
        <w:spacing w:line="500" w:lineRule="exact"/>
        <w:rPr>
          <w:rFonts w:hint="eastAsia" w:ascii="宋体" w:hAnsi="宋体" w:eastAsia="宋体" w:cs="宋体"/>
          <w:sz w:val="24"/>
          <w:szCs w:val="24"/>
          <w:highlight w:val="none"/>
        </w:rPr>
      </w:pPr>
    </w:p>
    <w:p w14:paraId="37413A40">
      <w:pPr>
        <w:shd w:val="clear"/>
        <w:kinsoku/>
        <w:overflowPunct/>
        <w:topLinePunct w:val="0"/>
        <w:bidi w:val="0"/>
        <w:spacing w:line="500" w:lineRule="exact"/>
        <w:rPr>
          <w:rFonts w:hint="eastAsia" w:ascii="宋体" w:hAnsi="宋体" w:eastAsia="宋体" w:cs="宋体"/>
          <w:sz w:val="24"/>
          <w:szCs w:val="24"/>
          <w:highlight w:val="none"/>
        </w:rPr>
      </w:pPr>
    </w:p>
    <w:p w14:paraId="51F034DE">
      <w:pPr>
        <w:rPr>
          <w:rFonts w:hint="eastAsia" w:ascii="宋体" w:hAnsi="宋体" w:eastAsia="宋体" w:cs="宋体"/>
          <w:sz w:val="24"/>
          <w:szCs w:val="24"/>
          <w:highlight w:val="none"/>
        </w:rPr>
      </w:pPr>
    </w:p>
    <w:p w14:paraId="4943CA1D">
      <w:pPr>
        <w:pStyle w:val="18"/>
        <w:rPr>
          <w:rFonts w:hint="eastAsia"/>
        </w:rPr>
      </w:pPr>
    </w:p>
    <w:p w14:paraId="08ABB092">
      <w:pPr>
        <w:pStyle w:val="18"/>
        <w:rPr>
          <w:rFonts w:hint="eastAsia" w:ascii="宋体" w:hAnsi="宋体" w:eastAsia="宋体" w:cs="宋体"/>
          <w:sz w:val="24"/>
          <w:szCs w:val="24"/>
          <w:highlight w:val="none"/>
        </w:rPr>
      </w:pPr>
    </w:p>
    <w:p w14:paraId="2CAE82FE">
      <w:pPr>
        <w:rPr>
          <w:rFonts w:hint="eastAsia" w:ascii="宋体" w:hAnsi="宋体" w:eastAsia="宋体" w:cs="宋体"/>
          <w:sz w:val="24"/>
          <w:szCs w:val="24"/>
          <w:highlight w:val="none"/>
        </w:rPr>
      </w:pPr>
    </w:p>
    <w:p w14:paraId="4D90099E">
      <w:pPr>
        <w:pStyle w:val="18"/>
        <w:rPr>
          <w:rFonts w:hint="eastAsia" w:ascii="宋体" w:hAnsi="宋体" w:eastAsia="宋体" w:cs="宋体"/>
          <w:sz w:val="24"/>
          <w:szCs w:val="24"/>
          <w:highlight w:val="none"/>
        </w:rPr>
      </w:pPr>
    </w:p>
    <w:p w14:paraId="2F3B5E59">
      <w:pPr>
        <w:rPr>
          <w:rFonts w:hint="eastAsia" w:ascii="宋体" w:hAnsi="宋体" w:eastAsia="宋体" w:cs="宋体"/>
          <w:sz w:val="24"/>
          <w:szCs w:val="24"/>
          <w:highlight w:val="none"/>
        </w:rPr>
      </w:pPr>
    </w:p>
    <w:p w14:paraId="0302475B">
      <w:pPr>
        <w:pStyle w:val="18"/>
        <w:rPr>
          <w:rFonts w:hint="eastAsia" w:ascii="宋体" w:hAnsi="宋体" w:eastAsia="宋体" w:cs="宋体"/>
          <w:sz w:val="24"/>
          <w:szCs w:val="24"/>
          <w:highlight w:val="none"/>
        </w:rPr>
      </w:pPr>
    </w:p>
    <w:p w14:paraId="24BF6C79">
      <w:pPr>
        <w:rPr>
          <w:rFonts w:hint="eastAsia" w:ascii="宋体" w:hAnsi="宋体" w:eastAsia="宋体" w:cs="宋体"/>
          <w:sz w:val="24"/>
          <w:szCs w:val="24"/>
          <w:highlight w:val="none"/>
        </w:rPr>
      </w:pPr>
    </w:p>
    <w:p w14:paraId="628DB273">
      <w:pPr>
        <w:pStyle w:val="18"/>
        <w:rPr>
          <w:rFonts w:hint="eastAsia" w:ascii="宋体" w:hAnsi="宋体" w:eastAsia="宋体" w:cs="宋体"/>
          <w:sz w:val="24"/>
          <w:szCs w:val="24"/>
          <w:highlight w:val="none"/>
        </w:rPr>
      </w:pPr>
    </w:p>
    <w:p w14:paraId="103107D9">
      <w:pPr>
        <w:rPr>
          <w:rFonts w:hint="eastAsia" w:ascii="宋体" w:hAnsi="宋体" w:eastAsia="宋体" w:cs="宋体"/>
          <w:sz w:val="24"/>
          <w:szCs w:val="24"/>
          <w:highlight w:val="none"/>
        </w:rPr>
      </w:pPr>
    </w:p>
    <w:p w14:paraId="682FED0E">
      <w:pPr>
        <w:pStyle w:val="18"/>
        <w:rPr>
          <w:rFonts w:hint="eastAsia" w:ascii="宋体" w:hAnsi="宋体" w:eastAsia="宋体" w:cs="宋体"/>
          <w:sz w:val="24"/>
          <w:szCs w:val="24"/>
          <w:highlight w:val="none"/>
        </w:rPr>
      </w:pPr>
    </w:p>
    <w:p w14:paraId="19A5D717">
      <w:pPr>
        <w:rPr>
          <w:rFonts w:hint="eastAsia" w:ascii="宋体" w:hAnsi="宋体" w:eastAsia="宋体" w:cs="宋体"/>
          <w:sz w:val="24"/>
          <w:szCs w:val="24"/>
          <w:highlight w:val="none"/>
        </w:rPr>
      </w:pPr>
    </w:p>
    <w:p w14:paraId="312FFBE0">
      <w:pPr>
        <w:pStyle w:val="18"/>
        <w:rPr>
          <w:rFonts w:hint="eastAsia" w:ascii="宋体" w:hAnsi="宋体" w:eastAsia="宋体" w:cs="宋体"/>
          <w:sz w:val="24"/>
          <w:szCs w:val="24"/>
          <w:highlight w:val="none"/>
        </w:rPr>
      </w:pPr>
    </w:p>
    <w:p w14:paraId="1AFB0403">
      <w:pPr>
        <w:rPr>
          <w:rFonts w:hint="eastAsia"/>
        </w:rPr>
      </w:pPr>
    </w:p>
    <w:p w14:paraId="3A1EB745">
      <w:pPr>
        <w:pStyle w:val="18"/>
        <w:rPr>
          <w:rFonts w:hint="eastAsia" w:ascii="宋体" w:hAnsi="宋体" w:eastAsia="宋体" w:cs="宋体"/>
          <w:sz w:val="24"/>
          <w:szCs w:val="24"/>
          <w:highlight w:val="none"/>
        </w:rPr>
      </w:pPr>
    </w:p>
    <w:p w14:paraId="7004D54C">
      <w:pPr>
        <w:spacing w:line="360" w:lineRule="auto"/>
        <w:rPr>
          <w:rFonts w:hint="eastAsia" w:asciiTheme="minorEastAsia" w:hAnsiTheme="minorEastAsia" w:eastAsiaTheme="minorEastAsia" w:cstheme="minorEastAsia"/>
          <w:sz w:val="24"/>
          <w:highlight w:val="none"/>
        </w:rPr>
      </w:pPr>
    </w:p>
    <w:p w14:paraId="1819763E">
      <w:pPr>
        <w:shd w:val="clear"/>
        <w:kinsoku/>
        <w:overflowPunct/>
        <w:topLinePunct w:val="0"/>
        <w:bidi w:val="0"/>
        <w:spacing w:line="5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六、提供符合政府采购政策的证明材料</w:t>
      </w:r>
    </w:p>
    <w:p w14:paraId="451C7000">
      <w:pPr>
        <w:shd w:val="clear"/>
        <w:kinsoku/>
        <w:overflowPunct/>
        <w:topLinePunct w:val="0"/>
        <w:bidi w:val="0"/>
        <w:spacing w:line="5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附件6－1</w:t>
      </w:r>
      <w:r>
        <w:rPr>
          <w:rFonts w:hint="eastAsia" w:ascii="宋体" w:hAnsi="宋体" w:eastAsia="宋体" w:cs="宋体"/>
          <w:sz w:val="24"/>
          <w:szCs w:val="24"/>
          <w:highlight w:val="none"/>
          <w:lang w:val="en-US" w:eastAsia="zh-CN"/>
        </w:rPr>
        <w:t xml:space="preserve"> 中小企业声明函</w:t>
      </w:r>
    </w:p>
    <w:p w14:paraId="1551F980">
      <w:pPr>
        <w:pStyle w:val="10"/>
        <w:shd w:val="clear"/>
        <w:kinsoku/>
        <w:overflowPunct/>
        <w:topLinePunct w:val="0"/>
        <w:bidi w:val="0"/>
        <w:spacing w:line="500" w:lineRule="exact"/>
        <w:jc w:val="center"/>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中小企业声明函（服务）</w:t>
      </w:r>
    </w:p>
    <w:p w14:paraId="2646F0C6">
      <w:pPr>
        <w:pStyle w:val="10"/>
        <w:shd w:val="clear"/>
        <w:kinsoku/>
        <w:overflowPunct/>
        <w:topLinePunct w:val="0"/>
        <w:bidi w:val="0"/>
        <w:spacing w:line="500" w:lineRule="exac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564F352">
      <w:pPr>
        <w:pStyle w:val="10"/>
        <w:shd w:val="clear"/>
        <w:kinsoku/>
        <w:overflowPunct/>
        <w:topLinePunct w:val="0"/>
        <w:bidi w:val="0"/>
        <w:spacing w:line="500" w:lineRule="exac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1. （标的名称） ，属于</w:t>
      </w:r>
      <w:r>
        <w:rPr>
          <w:rFonts w:hint="eastAsia" w:ascii="宋体" w:hAnsi="宋体" w:eastAsia="宋体" w:cs="宋体"/>
          <w:b/>
          <w:bCs/>
          <w:i w:val="0"/>
          <w:iCs w:val="0"/>
          <w:sz w:val="24"/>
          <w:szCs w:val="24"/>
          <w:highlight w:val="none"/>
          <w:u w:val="single"/>
          <w:lang w:val="en-US" w:eastAsia="zh-CN"/>
        </w:rPr>
        <w:t>其他未列明行业</w:t>
      </w:r>
      <w:r>
        <w:rPr>
          <w:rFonts w:hint="eastAsia" w:ascii="宋体" w:hAnsi="宋体" w:eastAsia="宋体" w:cs="宋体"/>
          <w:b w:val="0"/>
          <w:bCs w:val="0"/>
          <w:i w:val="0"/>
          <w:iCs w:val="0"/>
          <w:sz w:val="24"/>
          <w:szCs w:val="24"/>
          <w:highlight w:val="none"/>
        </w:rPr>
        <w:t>（采购文件中明确的所属行业）</w:t>
      </w:r>
      <w:r>
        <w:rPr>
          <w:rFonts w:hint="eastAsia" w:ascii="宋体" w:hAnsi="宋体" w:eastAsia="宋体" w:cs="宋体"/>
          <w:i w:val="0"/>
          <w:iCs w:val="0"/>
          <w:sz w:val="24"/>
          <w:szCs w:val="24"/>
          <w:highlight w:val="none"/>
        </w:rPr>
        <w:t>；承建（承接）企业为（企业名称），从业人员     人，营业收入为     万元，资产总额为     万元，属于（</w:t>
      </w:r>
      <w:r>
        <w:rPr>
          <w:rFonts w:hint="eastAsia" w:ascii="宋体" w:hAnsi="宋体" w:eastAsia="宋体" w:cs="宋体"/>
          <w:b/>
          <w:bCs/>
          <w:i w:val="0"/>
          <w:iCs w:val="0"/>
          <w:sz w:val="24"/>
          <w:szCs w:val="24"/>
          <w:highlight w:val="none"/>
        </w:rPr>
        <w:t>中型企业、小型企业、微型企业</w:t>
      </w:r>
      <w:r>
        <w:rPr>
          <w:rFonts w:hint="eastAsia" w:ascii="宋体" w:hAnsi="宋体" w:eastAsia="宋体" w:cs="宋体"/>
          <w:i w:val="0"/>
          <w:iCs w:val="0"/>
          <w:sz w:val="24"/>
          <w:szCs w:val="24"/>
          <w:highlight w:val="none"/>
        </w:rPr>
        <w:t>）；</w:t>
      </w:r>
    </w:p>
    <w:p w14:paraId="52CFF23B">
      <w:pPr>
        <w:pStyle w:val="10"/>
        <w:shd w:val="clear"/>
        <w:kinsoku/>
        <w:overflowPunct/>
        <w:topLinePunct w:val="0"/>
        <w:bidi w:val="0"/>
        <w:spacing w:line="500" w:lineRule="exac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 （标的名称） ，属于</w:t>
      </w:r>
      <w:r>
        <w:rPr>
          <w:rFonts w:hint="eastAsia" w:ascii="宋体" w:hAnsi="宋体" w:eastAsia="宋体" w:cs="宋体"/>
          <w:b/>
          <w:bCs/>
          <w:i w:val="0"/>
          <w:iCs w:val="0"/>
          <w:sz w:val="24"/>
          <w:szCs w:val="24"/>
          <w:highlight w:val="none"/>
          <w:u w:val="single"/>
          <w:lang w:val="en-US" w:eastAsia="zh-CN"/>
        </w:rPr>
        <w:t>其他未列明行业</w:t>
      </w:r>
      <w:r>
        <w:rPr>
          <w:rFonts w:hint="eastAsia" w:ascii="宋体" w:hAnsi="宋体" w:eastAsia="宋体" w:cs="宋体"/>
          <w:i w:val="0"/>
          <w:iCs w:val="0"/>
          <w:sz w:val="24"/>
          <w:szCs w:val="24"/>
          <w:highlight w:val="none"/>
        </w:rPr>
        <w:t>（采购文件中明确的所属行业）；承建（承接）企业为（企业名称），从业人员     人，营业收入为     万元，资产总额为     万元，属于（中型企业、小型企业、微型企业）；</w:t>
      </w:r>
    </w:p>
    <w:p w14:paraId="767DE0E5">
      <w:pPr>
        <w:pStyle w:val="10"/>
        <w:shd w:val="clear"/>
        <w:kinsoku/>
        <w:overflowPunct/>
        <w:topLinePunct w:val="0"/>
        <w:bidi w:val="0"/>
        <w:spacing w:line="500" w:lineRule="exac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w:t>
      </w:r>
    </w:p>
    <w:p w14:paraId="7260E1A5">
      <w:pPr>
        <w:pStyle w:val="10"/>
        <w:shd w:val="clear"/>
        <w:kinsoku/>
        <w:overflowPunct/>
        <w:topLinePunct w:val="0"/>
        <w:bidi w:val="0"/>
        <w:spacing w:line="500" w:lineRule="exac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以上企业，不属于大企业的分支机构，不存在控股股东为大企业的情形，也不存在与大企业的负责人为同一人的情形。</w:t>
      </w:r>
    </w:p>
    <w:p w14:paraId="1828E079">
      <w:pPr>
        <w:pStyle w:val="10"/>
        <w:shd w:val="clear"/>
        <w:kinsoku/>
        <w:overflowPunct/>
        <w:topLinePunct w:val="0"/>
        <w:bidi w:val="0"/>
        <w:spacing w:line="500" w:lineRule="exac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本企业对上述声明内容的真实性负责。如有虚假，将依法承担相应责任。</w:t>
      </w:r>
    </w:p>
    <w:p w14:paraId="24AE5DA0">
      <w:pPr>
        <w:pStyle w:val="10"/>
        <w:shd w:val="clear"/>
        <w:kinsoku/>
        <w:overflowPunct/>
        <w:topLinePunct w:val="0"/>
        <w:bidi w:val="0"/>
        <w:spacing w:line="500" w:lineRule="exact"/>
        <w:rPr>
          <w:rFonts w:hint="eastAsia" w:ascii="宋体" w:hAnsi="宋体" w:eastAsia="宋体" w:cs="宋体"/>
          <w:i w:val="0"/>
          <w:iCs w:val="0"/>
          <w:sz w:val="24"/>
          <w:szCs w:val="24"/>
          <w:highlight w:val="none"/>
        </w:rPr>
      </w:pPr>
    </w:p>
    <w:p w14:paraId="7A949FF0">
      <w:pPr>
        <w:pStyle w:val="10"/>
        <w:shd w:val="clear"/>
        <w:kinsoku/>
        <w:overflowPunct/>
        <w:topLinePunct w:val="0"/>
        <w:bidi w:val="0"/>
        <w:spacing w:line="500" w:lineRule="exac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lang w:eastAsia="zh-CN"/>
        </w:rPr>
        <w:t>投标单位</w:t>
      </w:r>
      <w:r>
        <w:rPr>
          <w:rFonts w:hint="eastAsia" w:ascii="宋体" w:hAnsi="宋体" w:eastAsia="宋体" w:cs="宋体"/>
          <w:i w:val="0"/>
          <w:iCs w:val="0"/>
          <w:sz w:val="24"/>
          <w:szCs w:val="24"/>
          <w:highlight w:val="none"/>
        </w:rPr>
        <w:t>名称(公章)：____________</w:t>
      </w:r>
    </w:p>
    <w:p w14:paraId="452E0852">
      <w:pPr>
        <w:pStyle w:val="10"/>
        <w:shd w:val="clear"/>
        <w:kinsoku/>
        <w:overflowPunct/>
        <w:topLinePunct w:val="0"/>
        <w:bidi w:val="0"/>
        <w:spacing w:line="500" w:lineRule="exac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日期：______年____月____日</w:t>
      </w:r>
    </w:p>
    <w:p w14:paraId="222345B9">
      <w:pPr>
        <w:pStyle w:val="10"/>
        <w:shd w:val="clear"/>
        <w:kinsoku/>
        <w:overflowPunct/>
        <w:topLinePunct w:val="0"/>
        <w:bidi w:val="0"/>
        <w:spacing w:line="500" w:lineRule="exac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备注：1、从业人员、营业收入、资产总额填报上一年度数据，无上一年度数据的新成立企业可不填报。</w:t>
      </w:r>
    </w:p>
    <w:p w14:paraId="0FFD5FB7">
      <w:pPr>
        <w:pStyle w:val="10"/>
        <w:shd w:val="clear"/>
        <w:kinsoku/>
        <w:overflowPunct/>
        <w:topLinePunct w:val="0"/>
        <w:bidi w:val="0"/>
        <w:spacing w:line="500" w:lineRule="exact"/>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2、投标人为中小企业时需提供本声明函，并完整填写从业人员、营业收入、资产总额等内容，否则评审时不能享受相应的价格扣除。</w:t>
      </w:r>
    </w:p>
    <w:p w14:paraId="533594A2">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 xml:space="preserve">6-2 </w:t>
      </w:r>
      <w:r>
        <w:rPr>
          <w:rFonts w:hint="eastAsia" w:ascii="宋体" w:hAnsi="宋体" w:eastAsia="宋体" w:cs="宋体"/>
          <w:sz w:val="24"/>
          <w:szCs w:val="24"/>
          <w:highlight w:val="none"/>
        </w:rPr>
        <w:t>监狱企业声明函</w:t>
      </w:r>
    </w:p>
    <w:p w14:paraId="6C71159C">
      <w:pPr>
        <w:shd w:val="clear"/>
        <w:kinsoku/>
        <w:overflowPunct/>
        <w:topLinePunct w:val="0"/>
        <w:bidi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（监狱企业适用）</w:t>
      </w:r>
    </w:p>
    <w:p w14:paraId="12C46D24">
      <w:pPr>
        <w:shd w:val="clear"/>
        <w:kinsoku/>
        <w:overflowPunct/>
        <w:topLinePunct w:val="0"/>
        <w:bidi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本公司郑重声明，根据《关于政府采购支持监狱企业发展有关问题的通知》（财库[2014]68号）的规定，本公司为监狱企业。</w:t>
      </w:r>
    </w:p>
    <w:p w14:paraId="5804DA39">
      <w:pPr>
        <w:shd w:val="clear"/>
        <w:kinsoku/>
        <w:overflowPunct/>
        <w:topLinePunct w:val="0"/>
        <w:bidi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本公司参加______单位的______项目采购活动，采购活动提供本企业（填写制造的货物，由本企业承担工程、提供服务）。</w:t>
      </w:r>
    </w:p>
    <w:p w14:paraId="017D994D">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本条所称货物不包括使用大型企业注册商标的货物和服务。</w:t>
      </w:r>
    </w:p>
    <w:p w14:paraId="265B3CAC">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本公司对上述声明的真实性负责。如有虚假，将依法承担相应责任。</w:t>
      </w:r>
    </w:p>
    <w:p w14:paraId="02319360">
      <w:pPr>
        <w:shd w:val="clear"/>
        <w:kinsoku/>
        <w:overflowPunct/>
        <w:topLinePunct w:val="0"/>
        <w:bidi w:val="0"/>
        <w:spacing w:line="500" w:lineRule="exact"/>
        <w:ind w:firstLine="4320" w:firstLineChars="18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lang w:val="en-US" w:eastAsia="zh-CN"/>
        </w:rPr>
        <w:t>名称</w:t>
      </w:r>
      <w:r>
        <w:rPr>
          <w:rFonts w:hint="eastAsia" w:ascii="宋体" w:hAnsi="宋体" w:eastAsia="宋体" w:cs="宋体"/>
          <w:sz w:val="24"/>
          <w:szCs w:val="24"/>
          <w:highlight w:val="none"/>
        </w:rPr>
        <w:t>（公章）：</w:t>
      </w:r>
    </w:p>
    <w:p w14:paraId="4CED0C92">
      <w:pPr>
        <w:shd w:val="clear"/>
        <w:kinsoku/>
        <w:overflowPunct/>
        <w:topLinePunct w:val="0"/>
        <w:bidi w:val="0"/>
        <w:spacing w:line="500" w:lineRule="exact"/>
        <w:ind w:firstLine="3840" w:firstLineChars="1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投标日期：   年   月   日 </w:t>
      </w:r>
    </w:p>
    <w:p w14:paraId="518CBA2D">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注：后附监狱企业资格证明文件</w:t>
      </w:r>
    </w:p>
    <w:p w14:paraId="582EA639">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1.省级以上监狱管理局、戒毒管理局出具的属于监狱企业的证明文件；</w:t>
      </w:r>
    </w:p>
    <w:p w14:paraId="06640329">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2.证明材料加盖</w:t>
      </w: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rPr>
        <w:t>公章。</w:t>
      </w:r>
    </w:p>
    <w:p w14:paraId="6D1843EE">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（若响应性文件中无上述证明文件，则在评审时不考虑对该监狱企业的相关优惠。） </w:t>
      </w:r>
    </w:p>
    <w:p w14:paraId="53B49576">
      <w:pPr>
        <w:shd w:val="clear"/>
        <w:kinsoku/>
        <w:overflowPunct/>
        <w:topLinePunct w:val="0"/>
        <w:bidi w:val="0"/>
        <w:spacing w:line="500" w:lineRule="exact"/>
        <w:rPr>
          <w:rFonts w:hint="eastAsia" w:ascii="宋体" w:hAnsi="宋体" w:eastAsia="宋体" w:cs="宋体"/>
          <w:sz w:val="24"/>
          <w:szCs w:val="24"/>
          <w:highlight w:val="none"/>
        </w:rPr>
      </w:pPr>
    </w:p>
    <w:p w14:paraId="4EBCDD0D">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r>
        <w:rPr>
          <w:rFonts w:hint="eastAsia" w:ascii="宋体" w:hAnsi="宋体" w:eastAsia="宋体" w:cs="宋体"/>
          <w:sz w:val="24"/>
          <w:szCs w:val="24"/>
          <w:highlight w:val="none"/>
          <w:lang w:val="en-US" w:eastAsia="zh-CN"/>
        </w:rPr>
        <w:t xml:space="preserve">6-3 </w:t>
      </w:r>
      <w:r>
        <w:rPr>
          <w:rFonts w:hint="eastAsia" w:ascii="宋体" w:hAnsi="宋体" w:eastAsia="宋体" w:cs="宋体"/>
          <w:sz w:val="24"/>
          <w:szCs w:val="24"/>
          <w:highlight w:val="none"/>
        </w:rPr>
        <w:t>残疾人福利性单位声明函</w:t>
      </w:r>
    </w:p>
    <w:p w14:paraId="7B28AEA1">
      <w:pPr>
        <w:shd w:val="clear"/>
        <w:kinsoku/>
        <w:overflowPunct/>
        <w:topLinePunct w:val="0"/>
        <w:bidi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376A5C9">
      <w:pPr>
        <w:shd w:val="clear"/>
        <w:kinsoku/>
        <w:overflowPunct/>
        <w:topLinePunct w:val="0"/>
        <w:bidi w:val="0"/>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本单位对上述声明的真实性负责。如有虚假，将依法承担相应责任。 </w:t>
      </w:r>
    </w:p>
    <w:p w14:paraId="11FBC750">
      <w:pPr>
        <w:shd w:val="clear"/>
        <w:kinsoku/>
        <w:overflowPunct/>
        <w:topLinePunct w:val="0"/>
        <w:bidi w:val="0"/>
        <w:spacing w:line="500" w:lineRule="exact"/>
        <w:rPr>
          <w:rFonts w:hint="eastAsia" w:ascii="宋体" w:hAnsi="宋体" w:eastAsia="宋体" w:cs="宋体"/>
          <w:sz w:val="24"/>
          <w:szCs w:val="24"/>
          <w:highlight w:val="none"/>
        </w:rPr>
      </w:pPr>
    </w:p>
    <w:p w14:paraId="1AA816A7">
      <w:pPr>
        <w:shd w:val="clear"/>
        <w:kinsoku/>
        <w:overflowPunct/>
        <w:topLinePunct w:val="0"/>
        <w:bidi w:val="0"/>
        <w:spacing w:line="500" w:lineRule="exact"/>
        <w:ind w:firstLine="5040" w:firstLineChars="21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lang w:val="en-US" w:eastAsia="zh-CN"/>
        </w:rPr>
        <w:t>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公</w:t>
      </w:r>
      <w:r>
        <w:rPr>
          <w:rFonts w:hint="eastAsia" w:ascii="宋体" w:hAnsi="宋体" w:eastAsia="宋体" w:cs="宋体"/>
          <w:sz w:val="24"/>
          <w:szCs w:val="24"/>
          <w:highlight w:val="none"/>
        </w:rPr>
        <w:t>章）：</w:t>
      </w:r>
    </w:p>
    <w:p w14:paraId="6DA32E4E">
      <w:pPr>
        <w:shd w:val="clear"/>
        <w:kinsoku/>
        <w:overflowPunct/>
        <w:topLinePunct w:val="0"/>
        <w:bidi w:val="0"/>
        <w:spacing w:line="500" w:lineRule="exact"/>
        <w:ind w:firstLine="4800" w:firstLineChars="20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投标日期：   年   月   日 </w:t>
      </w:r>
    </w:p>
    <w:p w14:paraId="0E445B03">
      <w:pPr>
        <w:shd w:val="clear"/>
        <w:kinsoku/>
        <w:overflowPunct/>
        <w:topLinePunct w:val="0"/>
        <w:bidi w:val="0"/>
        <w:spacing w:line="500" w:lineRule="exact"/>
        <w:rPr>
          <w:rFonts w:hint="eastAsia" w:ascii="宋体" w:hAnsi="宋体" w:eastAsia="宋体" w:cs="宋体"/>
          <w:b/>
          <w:bCs/>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投标单位</w:t>
      </w:r>
      <w:r>
        <w:rPr>
          <w:rFonts w:hint="eastAsia" w:ascii="宋体" w:hAnsi="宋体" w:eastAsia="宋体" w:cs="宋体"/>
          <w:b/>
          <w:bCs/>
          <w:sz w:val="24"/>
          <w:szCs w:val="24"/>
          <w:highlight w:val="none"/>
        </w:rPr>
        <w:t>须提供类似业绩</w:t>
      </w:r>
    </w:p>
    <w:p w14:paraId="59975C95">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w:t>
      </w:r>
    </w:p>
    <w:p w14:paraId="510CD526">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项目编号：                                </w:t>
      </w:r>
    </w:p>
    <w:tbl>
      <w:tblPr>
        <w:tblStyle w:val="34"/>
        <w:tblW w:w="93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42"/>
        <w:gridCol w:w="1182"/>
        <w:gridCol w:w="2016"/>
        <w:gridCol w:w="1520"/>
        <w:gridCol w:w="983"/>
        <w:gridCol w:w="1336"/>
        <w:gridCol w:w="1318"/>
      </w:tblGrid>
      <w:tr w14:paraId="3F176C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42" w:type="dxa"/>
            <w:tcBorders>
              <w:top w:val="single" w:color="auto" w:sz="4" w:space="0"/>
            </w:tcBorders>
            <w:vAlign w:val="center"/>
          </w:tcPr>
          <w:p w14:paraId="3B70D58A">
            <w:pPr>
              <w:shd w:val="clear"/>
              <w:kinsoku/>
              <w:overflowPunct/>
              <w:topLinePunct w:val="0"/>
              <w:bidi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182" w:type="dxa"/>
            <w:vAlign w:val="center"/>
          </w:tcPr>
          <w:p w14:paraId="13E86E9F">
            <w:pPr>
              <w:shd w:val="clear"/>
              <w:kinsoku/>
              <w:overflowPunct/>
              <w:topLinePunct w:val="0"/>
              <w:bidi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年份</w:t>
            </w:r>
          </w:p>
        </w:tc>
        <w:tc>
          <w:tcPr>
            <w:tcW w:w="2016" w:type="dxa"/>
            <w:vAlign w:val="center"/>
          </w:tcPr>
          <w:p w14:paraId="21DC2ED5">
            <w:pPr>
              <w:shd w:val="clear"/>
              <w:kinsoku/>
              <w:overflowPunct/>
              <w:topLinePunct w:val="0"/>
              <w:bidi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用户名称</w:t>
            </w:r>
          </w:p>
        </w:tc>
        <w:tc>
          <w:tcPr>
            <w:tcW w:w="1520" w:type="dxa"/>
            <w:vAlign w:val="center"/>
          </w:tcPr>
          <w:p w14:paraId="43A07EFD">
            <w:pPr>
              <w:shd w:val="clear"/>
              <w:kinsoku/>
              <w:overflowPunct/>
              <w:topLinePunct w:val="0"/>
              <w:bidi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983" w:type="dxa"/>
            <w:tcBorders>
              <w:left w:val="single" w:color="auto" w:sz="4" w:space="0"/>
              <w:right w:val="single" w:color="auto" w:sz="4" w:space="0"/>
            </w:tcBorders>
            <w:vAlign w:val="center"/>
          </w:tcPr>
          <w:p w14:paraId="0FF06265">
            <w:pPr>
              <w:shd w:val="clear"/>
              <w:kinsoku/>
              <w:overflowPunct/>
              <w:topLinePunct w:val="0"/>
              <w:bidi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合同起止时间</w:t>
            </w:r>
          </w:p>
        </w:tc>
        <w:tc>
          <w:tcPr>
            <w:tcW w:w="1336" w:type="dxa"/>
            <w:tcBorders>
              <w:left w:val="single" w:color="auto" w:sz="4" w:space="0"/>
              <w:right w:val="single" w:color="auto" w:sz="4" w:space="0"/>
            </w:tcBorders>
            <w:vAlign w:val="center"/>
          </w:tcPr>
          <w:p w14:paraId="2D149AA5">
            <w:pPr>
              <w:shd w:val="clear"/>
              <w:kinsoku/>
              <w:overflowPunct/>
              <w:topLinePunct w:val="0"/>
              <w:bidi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合同价(元)</w:t>
            </w:r>
          </w:p>
        </w:tc>
        <w:tc>
          <w:tcPr>
            <w:tcW w:w="1318" w:type="dxa"/>
            <w:tcBorders>
              <w:left w:val="single" w:color="auto" w:sz="4" w:space="0"/>
            </w:tcBorders>
            <w:vAlign w:val="center"/>
          </w:tcPr>
          <w:p w14:paraId="5AAF6C40">
            <w:pPr>
              <w:shd w:val="clear"/>
              <w:kinsoku/>
              <w:overflowPunct/>
              <w:topLinePunct w:val="0"/>
              <w:bidi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3E0908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42" w:type="dxa"/>
            <w:vAlign w:val="center"/>
          </w:tcPr>
          <w:p w14:paraId="591EF274">
            <w:pPr>
              <w:shd w:val="clear"/>
              <w:kinsoku/>
              <w:overflowPunct/>
              <w:topLinePunct w:val="0"/>
              <w:bidi w:val="0"/>
              <w:spacing w:line="500" w:lineRule="exact"/>
              <w:rPr>
                <w:rFonts w:hint="eastAsia" w:ascii="宋体" w:hAnsi="宋体" w:eastAsia="宋体" w:cs="宋体"/>
                <w:sz w:val="24"/>
                <w:szCs w:val="24"/>
                <w:highlight w:val="none"/>
              </w:rPr>
            </w:pPr>
          </w:p>
        </w:tc>
        <w:tc>
          <w:tcPr>
            <w:tcW w:w="1182" w:type="dxa"/>
            <w:vAlign w:val="center"/>
          </w:tcPr>
          <w:p w14:paraId="1EE7CCCA">
            <w:pPr>
              <w:shd w:val="clear"/>
              <w:kinsoku/>
              <w:overflowPunct/>
              <w:topLinePunct w:val="0"/>
              <w:bidi w:val="0"/>
              <w:spacing w:line="500" w:lineRule="exact"/>
              <w:rPr>
                <w:rFonts w:hint="eastAsia" w:ascii="宋体" w:hAnsi="宋体" w:eastAsia="宋体" w:cs="宋体"/>
                <w:sz w:val="24"/>
                <w:szCs w:val="24"/>
                <w:highlight w:val="none"/>
              </w:rPr>
            </w:pPr>
          </w:p>
        </w:tc>
        <w:tc>
          <w:tcPr>
            <w:tcW w:w="2016" w:type="dxa"/>
            <w:vAlign w:val="center"/>
          </w:tcPr>
          <w:p w14:paraId="3CB0F2A7">
            <w:pPr>
              <w:shd w:val="clear"/>
              <w:kinsoku/>
              <w:overflowPunct/>
              <w:topLinePunct w:val="0"/>
              <w:bidi w:val="0"/>
              <w:spacing w:line="500" w:lineRule="exact"/>
              <w:rPr>
                <w:rFonts w:hint="eastAsia" w:ascii="宋体" w:hAnsi="宋体" w:eastAsia="宋体" w:cs="宋体"/>
                <w:sz w:val="24"/>
                <w:szCs w:val="24"/>
                <w:highlight w:val="none"/>
              </w:rPr>
            </w:pPr>
          </w:p>
        </w:tc>
        <w:tc>
          <w:tcPr>
            <w:tcW w:w="1520" w:type="dxa"/>
            <w:vAlign w:val="center"/>
          </w:tcPr>
          <w:p w14:paraId="573143E3">
            <w:pPr>
              <w:shd w:val="clear"/>
              <w:kinsoku/>
              <w:overflowPunct/>
              <w:topLinePunct w:val="0"/>
              <w:bidi w:val="0"/>
              <w:spacing w:line="500" w:lineRule="exact"/>
              <w:rPr>
                <w:rFonts w:hint="eastAsia" w:ascii="宋体" w:hAnsi="宋体" w:eastAsia="宋体" w:cs="宋体"/>
                <w:sz w:val="24"/>
                <w:szCs w:val="24"/>
                <w:highlight w:val="none"/>
              </w:rPr>
            </w:pPr>
          </w:p>
        </w:tc>
        <w:tc>
          <w:tcPr>
            <w:tcW w:w="983" w:type="dxa"/>
            <w:tcBorders>
              <w:left w:val="single" w:color="auto" w:sz="4" w:space="0"/>
              <w:right w:val="single" w:color="auto" w:sz="4" w:space="0"/>
            </w:tcBorders>
            <w:vAlign w:val="center"/>
          </w:tcPr>
          <w:p w14:paraId="47B37EBE">
            <w:pPr>
              <w:shd w:val="clear"/>
              <w:kinsoku/>
              <w:overflowPunct/>
              <w:topLinePunct w:val="0"/>
              <w:bidi w:val="0"/>
              <w:spacing w:line="500" w:lineRule="exact"/>
              <w:rPr>
                <w:rFonts w:hint="eastAsia" w:ascii="宋体" w:hAnsi="宋体" w:eastAsia="宋体" w:cs="宋体"/>
                <w:sz w:val="24"/>
                <w:szCs w:val="24"/>
                <w:highlight w:val="none"/>
              </w:rPr>
            </w:pPr>
          </w:p>
        </w:tc>
        <w:tc>
          <w:tcPr>
            <w:tcW w:w="1336" w:type="dxa"/>
            <w:tcBorders>
              <w:left w:val="single" w:color="auto" w:sz="4" w:space="0"/>
              <w:right w:val="single" w:color="auto" w:sz="4" w:space="0"/>
            </w:tcBorders>
            <w:vAlign w:val="center"/>
          </w:tcPr>
          <w:p w14:paraId="085CCF6F">
            <w:pPr>
              <w:shd w:val="clear"/>
              <w:kinsoku/>
              <w:overflowPunct/>
              <w:topLinePunct w:val="0"/>
              <w:bidi w:val="0"/>
              <w:spacing w:line="500" w:lineRule="exact"/>
              <w:rPr>
                <w:rFonts w:hint="eastAsia" w:ascii="宋体" w:hAnsi="宋体" w:eastAsia="宋体" w:cs="宋体"/>
                <w:sz w:val="24"/>
                <w:szCs w:val="24"/>
                <w:highlight w:val="none"/>
              </w:rPr>
            </w:pPr>
          </w:p>
        </w:tc>
        <w:tc>
          <w:tcPr>
            <w:tcW w:w="1318" w:type="dxa"/>
            <w:tcBorders>
              <w:left w:val="single" w:color="auto" w:sz="4" w:space="0"/>
            </w:tcBorders>
            <w:vAlign w:val="center"/>
          </w:tcPr>
          <w:p w14:paraId="2C3485D7">
            <w:pPr>
              <w:shd w:val="clear"/>
              <w:kinsoku/>
              <w:overflowPunct/>
              <w:topLinePunct w:val="0"/>
              <w:bidi w:val="0"/>
              <w:spacing w:line="500" w:lineRule="exact"/>
              <w:rPr>
                <w:rFonts w:hint="eastAsia" w:ascii="宋体" w:hAnsi="宋体" w:eastAsia="宋体" w:cs="宋体"/>
                <w:sz w:val="24"/>
                <w:szCs w:val="24"/>
                <w:highlight w:val="none"/>
              </w:rPr>
            </w:pPr>
          </w:p>
        </w:tc>
      </w:tr>
      <w:tr w14:paraId="24BF5A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42" w:type="dxa"/>
            <w:vAlign w:val="center"/>
          </w:tcPr>
          <w:p w14:paraId="3C5CA8E1">
            <w:pPr>
              <w:shd w:val="clear"/>
              <w:kinsoku/>
              <w:overflowPunct/>
              <w:topLinePunct w:val="0"/>
              <w:bidi w:val="0"/>
              <w:spacing w:line="500" w:lineRule="exact"/>
              <w:rPr>
                <w:rFonts w:hint="eastAsia" w:ascii="宋体" w:hAnsi="宋体" w:eastAsia="宋体" w:cs="宋体"/>
                <w:sz w:val="24"/>
                <w:szCs w:val="24"/>
                <w:highlight w:val="none"/>
              </w:rPr>
            </w:pPr>
          </w:p>
        </w:tc>
        <w:tc>
          <w:tcPr>
            <w:tcW w:w="1182" w:type="dxa"/>
            <w:vAlign w:val="center"/>
          </w:tcPr>
          <w:p w14:paraId="2D6EFFA6">
            <w:pPr>
              <w:shd w:val="clear"/>
              <w:kinsoku/>
              <w:overflowPunct/>
              <w:topLinePunct w:val="0"/>
              <w:bidi w:val="0"/>
              <w:spacing w:line="500" w:lineRule="exact"/>
              <w:rPr>
                <w:rFonts w:hint="eastAsia" w:ascii="宋体" w:hAnsi="宋体" w:eastAsia="宋体" w:cs="宋体"/>
                <w:sz w:val="24"/>
                <w:szCs w:val="24"/>
                <w:highlight w:val="none"/>
              </w:rPr>
            </w:pPr>
          </w:p>
        </w:tc>
        <w:tc>
          <w:tcPr>
            <w:tcW w:w="2016" w:type="dxa"/>
            <w:vAlign w:val="center"/>
          </w:tcPr>
          <w:p w14:paraId="4855FB33">
            <w:pPr>
              <w:shd w:val="clear"/>
              <w:kinsoku/>
              <w:overflowPunct/>
              <w:topLinePunct w:val="0"/>
              <w:bidi w:val="0"/>
              <w:spacing w:line="500" w:lineRule="exact"/>
              <w:rPr>
                <w:rFonts w:hint="eastAsia" w:ascii="宋体" w:hAnsi="宋体" w:eastAsia="宋体" w:cs="宋体"/>
                <w:sz w:val="24"/>
                <w:szCs w:val="24"/>
                <w:highlight w:val="none"/>
              </w:rPr>
            </w:pPr>
          </w:p>
        </w:tc>
        <w:tc>
          <w:tcPr>
            <w:tcW w:w="1520" w:type="dxa"/>
            <w:vAlign w:val="center"/>
          </w:tcPr>
          <w:p w14:paraId="040E4204">
            <w:pPr>
              <w:shd w:val="clear"/>
              <w:kinsoku/>
              <w:overflowPunct/>
              <w:topLinePunct w:val="0"/>
              <w:bidi w:val="0"/>
              <w:spacing w:line="500" w:lineRule="exact"/>
              <w:rPr>
                <w:rFonts w:hint="eastAsia" w:ascii="宋体" w:hAnsi="宋体" w:eastAsia="宋体" w:cs="宋体"/>
                <w:sz w:val="24"/>
                <w:szCs w:val="24"/>
                <w:highlight w:val="none"/>
              </w:rPr>
            </w:pPr>
          </w:p>
        </w:tc>
        <w:tc>
          <w:tcPr>
            <w:tcW w:w="983" w:type="dxa"/>
            <w:tcBorders>
              <w:left w:val="single" w:color="auto" w:sz="4" w:space="0"/>
              <w:right w:val="single" w:color="auto" w:sz="4" w:space="0"/>
            </w:tcBorders>
            <w:vAlign w:val="center"/>
          </w:tcPr>
          <w:p w14:paraId="0347FF4B">
            <w:pPr>
              <w:shd w:val="clear"/>
              <w:kinsoku/>
              <w:overflowPunct/>
              <w:topLinePunct w:val="0"/>
              <w:bidi w:val="0"/>
              <w:spacing w:line="500" w:lineRule="exact"/>
              <w:rPr>
                <w:rFonts w:hint="eastAsia" w:ascii="宋体" w:hAnsi="宋体" w:eastAsia="宋体" w:cs="宋体"/>
                <w:sz w:val="24"/>
                <w:szCs w:val="24"/>
                <w:highlight w:val="none"/>
              </w:rPr>
            </w:pPr>
          </w:p>
        </w:tc>
        <w:tc>
          <w:tcPr>
            <w:tcW w:w="1336" w:type="dxa"/>
            <w:tcBorders>
              <w:left w:val="single" w:color="auto" w:sz="4" w:space="0"/>
              <w:right w:val="single" w:color="auto" w:sz="4" w:space="0"/>
            </w:tcBorders>
            <w:vAlign w:val="center"/>
          </w:tcPr>
          <w:p w14:paraId="776198B1">
            <w:pPr>
              <w:shd w:val="clear"/>
              <w:kinsoku/>
              <w:overflowPunct/>
              <w:topLinePunct w:val="0"/>
              <w:bidi w:val="0"/>
              <w:spacing w:line="500" w:lineRule="exact"/>
              <w:rPr>
                <w:rFonts w:hint="eastAsia" w:ascii="宋体" w:hAnsi="宋体" w:eastAsia="宋体" w:cs="宋体"/>
                <w:sz w:val="24"/>
                <w:szCs w:val="24"/>
                <w:highlight w:val="none"/>
              </w:rPr>
            </w:pPr>
          </w:p>
        </w:tc>
        <w:tc>
          <w:tcPr>
            <w:tcW w:w="1318" w:type="dxa"/>
            <w:tcBorders>
              <w:left w:val="single" w:color="auto" w:sz="4" w:space="0"/>
            </w:tcBorders>
            <w:vAlign w:val="center"/>
          </w:tcPr>
          <w:p w14:paraId="09D686BA">
            <w:pPr>
              <w:shd w:val="clear"/>
              <w:kinsoku/>
              <w:overflowPunct/>
              <w:topLinePunct w:val="0"/>
              <w:bidi w:val="0"/>
              <w:spacing w:line="500" w:lineRule="exact"/>
              <w:rPr>
                <w:rFonts w:hint="eastAsia" w:ascii="宋体" w:hAnsi="宋体" w:eastAsia="宋体" w:cs="宋体"/>
                <w:sz w:val="24"/>
                <w:szCs w:val="24"/>
                <w:highlight w:val="none"/>
              </w:rPr>
            </w:pPr>
          </w:p>
        </w:tc>
      </w:tr>
      <w:tr w14:paraId="0B778C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42" w:type="dxa"/>
            <w:vAlign w:val="center"/>
          </w:tcPr>
          <w:p w14:paraId="253D61DB">
            <w:pPr>
              <w:shd w:val="clear"/>
              <w:kinsoku/>
              <w:overflowPunct/>
              <w:topLinePunct w:val="0"/>
              <w:bidi w:val="0"/>
              <w:spacing w:line="500" w:lineRule="exact"/>
              <w:rPr>
                <w:rFonts w:hint="eastAsia" w:ascii="宋体" w:hAnsi="宋体" w:eastAsia="宋体" w:cs="宋体"/>
                <w:sz w:val="24"/>
                <w:szCs w:val="24"/>
                <w:highlight w:val="none"/>
              </w:rPr>
            </w:pPr>
          </w:p>
        </w:tc>
        <w:tc>
          <w:tcPr>
            <w:tcW w:w="1182" w:type="dxa"/>
            <w:vAlign w:val="center"/>
          </w:tcPr>
          <w:p w14:paraId="7FF5D016">
            <w:pPr>
              <w:shd w:val="clear"/>
              <w:kinsoku/>
              <w:overflowPunct/>
              <w:topLinePunct w:val="0"/>
              <w:bidi w:val="0"/>
              <w:spacing w:line="500" w:lineRule="exact"/>
              <w:rPr>
                <w:rFonts w:hint="eastAsia" w:ascii="宋体" w:hAnsi="宋体" w:eastAsia="宋体" w:cs="宋体"/>
                <w:sz w:val="24"/>
                <w:szCs w:val="24"/>
                <w:highlight w:val="none"/>
              </w:rPr>
            </w:pPr>
          </w:p>
        </w:tc>
        <w:tc>
          <w:tcPr>
            <w:tcW w:w="2016" w:type="dxa"/>
            <w:vAlign w:val="center"/>
          </w:tcPr>
          <w:p w14:paraId="50104E0B">
            <w:pPr>
              <w:shd w:val="clear"/>
              <w:kinsoku/>
              <w:overflowPunct/>
              <w:topLinePunct w:val="0"/>
              <w:bidi w:val="0"/>
              <w:spacing w:line="500" w:lineRule="exact"/>
              <w:rPr>
                <w:rFonts w:hint="eastAsia" w:ascii="宋体" w:hAnsi="宋体" w:eastAsia="宋体" w:cs="宋体"/>
                <w:sz w:val="24"/>
                <w:szCs w:val="24"/>
                <w:highlight w:val="none"/>
              </w:rPr>
            </w:pPr>
          </w:p>
        </w:tc>
        <w:tc>
          <w:tcPr>
            <w:tcW w:w="1520" w:type="dxa"/>
            <w:vAlign w:val="center"/>
          </w:tcPr>
          <w:p w14:paraId="5357A7C3">
            <w:pPr>
              <w:shd w:val="clear"/>
              <w:kinsoku/>
              <w:overflowPunct/>
              <w:topLinePunct w:val="0"/>
              <w:bidi w:val="0"/>
              <w:spacing w:line="500" w:lineRule="exact"/>
              <w:rPr>
                <w:rFonts w:hint="eastAsia" w:ascii="宋体" w:hAnsi="宋体" w:eastAsia="宋体" w:cs="宋体"/>
                <w:sz w:val="24"/>
                <w:szCs w:val="24"/>
                <w:highlight w:val="none"/>
              </w:rPr>
            </w:pPr>
          </w:p>
        </w:tc>
        <w:tc>
          <w:tcPr>
            <w:tcW w:w="983" w:type="dxa"/>
            <w:tcBorders>
              <w:left w:val="single" w:color="auto" w:sz="4" w:space="0"/>
              <w:right w:val="single" w:color="auto" w:sz="4" w:space="0"/>
            </w:tcBorders>
            <w:vAlign w:val="center"/>
          </w:tcPr>
          <w:p w14:paraId="4D8090DC">
            <w:pPr>
              <w:shd w:val="clear"/>
              <w:kinsoku/>
              <w:overflowPunct/>
              <w:topLinePunct w:val="0"/>
              <w:bidi w:val="0"/>
              <w:spacing w:line="500" w:lineRule="exact"/>
              <w:rPr>
                <w:rFonts w:hint="eastAsia" w:ascii="宋体" w:hAnsi="宋体" w:eastAsia="宋体" w:cs="宋体"/>
                <w:sz w:val="24"/>
                <w:szCs w:val="24"/>
                <w:highlight w:val="none"/>
              </w:rPr>
            </w:pPr>
          </w:p>
        </w:tc>
        <w:tc>
          <w:tcPr>
            <w:tcW w:w="1336" w:type="dxa"/>
            <w:tcBorders>
              <w:left w:val="single" w:color="auto" w:sz="4" w:space="0"/>
              <w:right w:val="single" w:color="auto" w:sz="4" w:space="0"/>
            </w:tcBorders>
            <w:vAlign w:val="center"/>
          </w:tcPr>
          <w:p w14:paraId="390EFF8B">
            <w:pPr>
              <w:shd w:val="clear"/>
              <w:kinsoku/>
              <w:overflowPunct/>
              <w:topLinePunct w:val="0"/>
              <w:bidi w:val="0"/>
              <w:spacing w:line="500" w:lineRule="exact"/>
              <w:rPr>
                <w:rFonts w:hint="eastAsia" w:ascii="宋体" w:hAnsi="宋体" w:eastAsia="宋体" w:cs="宋体"/>
                <w:sz w:val="24"/>
                <w:szCs w:val="24"/>
                <w:highlight w:val="none"/>
              </w:rPr>
            </w:pPr>
          </w:p>
        </w:tc>
        <w:tc>
          <w:tcPr>
            <w:tcW w:w="1318" w:type="dxa"/>
            <w:tcBorders>
              <w:left w:val="single" w:color="auto" w:sz="4" w:space="0"/>
            </w:tcBorders>
            <w:vAlign w:val="center"/>
          </w:tcPr>
          <w:p w14:paraId="0167EC2E">
            <w:pPr>
              <w:shd w:val="clear"/>
              <w:kinsoku/>
              <w:overflowPunct/>
              <w:topLinePunct w:val="0"/>
              <w:bidi w:val="0"/>
              <w:spacing w:line="500" w:lineRule="exact"/>
              <w:rPr>
                <w:rFonts w:hint="eastAsia" w:ascii="宋体" w:hAnsi="宋体" w:eastAsia="宋体" w:cs="宋体"/>
                <w:sz w:val="24"/>
                <w:szCs w:val="24"/>
                <w:highlight w:val="none"/>
              </w:rPr>
            </w:pPr>
          </w:p>
        </w:tc>
      </w:tr>
      <w:tr w14:paraId="654E2B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42" w:type="dxa"/>
            <w:vAlign w:val="center"/>
          </w:tcPr>
          <w:p w14:paraId="179598F0">
            <w:pPr>
              <w:shd w:val="clear"/>
              <w:kinsoku/>
              <w:overflowPunct/>
              <w:topLinePunct w:val="0"/>
              <w:bidi w:val="0"/>
              <w:spacing w:line="500" w:lineRule="exact"/>
              <w:rPr>
                <w:rFonts w:hint="eastAsia" w:ascii="宋体" w:hAnsi="宋体" w:eastAsia="宋体" w:cs="宋体"/>
                <w:sz w:val="24"/>
                <w:szCs w:val="24"/>
                <w:highlight w:val="none"/>
              </w:rPr>
            </w:pPr>
          </w:p>
        </w:tc>
        <w:tc>
          <w:tcPr>
            <w:tcW w:w="1182" w:type="dxa"/>
            <w:tcBorders>
              <w:right w:val="single" w:color="auto" w:sz="4" w:space="0"/>
            </w:tcBorders>
            <w:vAlign w:val="center"/>
          </w:tcPr>
          <w:p w14:paraId="2B605123">
            <w:pPr>
              <w:shd w:val="clear"/>
              <w:kinsoku/>
              <w:overflowPunct/>
              <w:topLinePunct w:val="0"/>
              <w:bidi w:val="0"/>
              <w:spacing w:line="500" w:lineRule="exact"/>
              <w:rPr>
                <w:rFonts w:hint="eastAsia" w:ascii="宋体" w:hAnsi="宋体" w:eastAsia="宋体" w:cs="宋体"/>
                <w:sz w:val="24"/>
                <w:szCs w:val="24"/>
                <w:highlight w:val="none"/>
              </w:rPr>
            </w:pPr>
          </w:p>
        </w:tc>
        <w:tc>
          <w:tcPr>
            <w:tcW w:w="2016" w:type="dxa"/>
            <w:tcBorders>
              <w:right w:val="single" w:color="auto" w:sz="4" w:space="0"/>
            </w:tcBorders>
            <w:vAlign w:val="center"/>
          </w:tcPr>
          <w:p w14:paraId="69C3A1A9">
            <w:pPr>
              <w:shd w:val="clear"/>
              <w:kinsoku/>
              <w:overflowPunct/>
              <w:topLinePunct w:val="0"/>
              <w:bidi w:val="0"/>
              <w:spacing w:line="500" w:lineRule="exact"/>
              <w:rPr>
                <w:rFonts w:hint="eastAsia" w:ascii="宋体" w:hAnsi="宋体" w:eastAsia="宋体" w:cs="宋体"/>
                <w:sz w:val="24"/>
                <w:szCs w:val="24"/>
                <w:highlight w:val="none"/>
              </w:rPr>
            </w:pPr>
          </w:p>
        </w:tc>
        <w:tc>
          <w:tcPr>
            <w:tcW w:w="1520" w:type="dxa"/>
            <w:tcBorders>
              <w:left w:val="single" w:color="auto" w:sz="4" w:space="0"/>
            </w:tcBorders>
            <w:vAlign w:val="center"/>
          </w:tcPr>
          <w:p w14:paraId="2213DE24">
            <w:pPr>
              <w:shd w:val="clear"/>
              <w:kinsoku/>
              <w:overflowPunct/>
              <w:topLinePunct w:val="0"/>
              <w:bidi w:val="0"/>
              <w:spacing w:line="500" w:lineRule="exact"/>
              <w:rPr>
                <w:rFonts w:hint="eastAsia" w:ascii="宋体" w:hAnsi="宋体" w:eastAsia="宋体" w:cs="宋体"/>
                <w:sz w:val="24"/>
                <w:szCs w:val="24"/>
                <w:highlight w:val="none"/>
              </w:rPr>
            </w:pPr>
          </w:p>
        </w:tc>
        <w:tc>
          <w:tcPr>
            <w:tcW w:w="983" w:type="dxa"/>
            <w:tcBorders>
              <w:left w:val="single" w:color="auto" w:sz="4" w:space="0"/>
              <w:right w:val="single" w:color="auto" w:sz="4" w:space="0"/>
            </w:tcBorders>
            <w:vAlign w:val="center"/>
          </w:tcPr>
          <w:p w14:paraId="0D197BAA">
            <w:pPr>
              <w:shd w:val="clear"/>
              <w:kinsoku/>
              <w:overflowPunct/>
              <w:topLinePunct w:val="0"/>
              <w:bidi w:val="0"/>
              <w:spacing w:line="500" w:lineRule="exact"/>
              <w:rPr>
                <w:rFonts w:hint="eastAsia" w:ascii="宋体" w:hAnsi="宋体" w:eastAsia="宋体" w:cs="宋体"/>
                <w:sz w:val="24"/>
                <w:szCs w:val="24"/>
                <w:highlight w:val="none"/>
              </w:rPr>
            </w:pPr>
          </w:p>
        </w:tc>
        <w:tc>
          <w:tcPr>
            <w:tcW w:w="1336" w:type="dxa"/>
            <w:tcBorders>
              <w:left w:val="single" w:color="auto" w:sz="4" w:space="0"/>
              <w:right w:val="single" w:color="auto" w:sz="4" w:space="0"/>
            </w:tcBorders>
            <w:vAlign w:val="center"/>
          </w:tcPr>
          <w:p w14:paraId="3F593155">
            <w:pPr>
              <w:shd w:val="clear"/>
              <w:kinsoku/>
              <w:overflowPunct/>
              <w:topLinePunct w:val="0"/>
              <w:bidi w:val="0"/>
              <w:spacing w:line="500" w:lineRule="exact"/>
              <w:rPr>
                <w:rFonts w:hint="eastAsia" w:ascii="宋体" w:hAnsi="宋体" w:eastAsia="宋体" w:cs="宋体"/>
                <w:sz w:val="24"/>
                <w:szCs w:val="24"/>
                <w:highlight w:val="none"/>
              </w:rPr>
            </w:pPr>
          </w:p>
        </w:tc>
        <w:tc>
          <w:tcPr>
            <w:tcW w:w="1318" w:type="dxa"/>
            <w:tcBorders>
              <w:left w:val="single" w:color="auto" w:sz="4" w:space="0"/>
            </w:tcBorders>
            <w:vAlign w:val="center"/>
          </w:tcPr>
          <w:p w14:paraId="158B7A5C">
            <w:pPr>
              <w:shd w:val="clear"/>
              <w:kinsoku/>
              <w:overflowPunct/>
              <w:topLinePunct w:val="0"/>
              <w:bidi w:val="0"/>
              <w:spacing w:line="500" w:lineRule="exact"/>
              <w:rPr>
                <w:rFonts w:hint="eastAsia" w:ascii="宋体" w:hAnsi="宋体" w:eastAsia="宋体" w:cs="宋体"/>
                <w:sz w:val="24"/>
                <w:szCs w:val="24"/>
                <w:highlight w:val="none"/>
              </w:rPr>
            </w:pPr>
          </w:p>
        </w:tc>
      </w:tr>
      <w:tr w14:paraId="052718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42" w:type="dxa"/>
            <w:tcBorders>
              <w:right w:val="single" w:color="auto" w:sz="4" w:space="0"/>
            </w:tcBorders>
            <w:vAlign w:val="center"/>
          </w:tcPr>
          <w:p w14:paraId="7E73EE02">
            <w:pPr>
              <w:shd w:val="clear"/>
              <w:kinsoku/>
              <w:overflowPunct/>
              <w:topLinePunct w:val="0"/>
              <w:bidi w:val="0"/>
              <w:spacing w:line="500" w:lineRule="exact"/>
              <w:rPr>
                <w:rFonts w:hint="eastAsia" w:ascii="宋体" w:hAnsi="宋体" w:eastAsia="宋体" w:cs="宋体"/>
                <w:sz w:val="24"/>
                <w:szCs w:val="24"/>
                <w:highlight w:val="none"/>
              </w:rPr>
            </w:pPr>
          </w:p>
        </w:tc>
        <w:tc>
          <w:tcPr>
            <w:tcW w:w="1182" w:type="dxa"/>
            <w:tcBorders>
              <w:left w:val="single" w:color="auto" w:sz="4" w:space="0"/>
              <w:right w:val="single" w:color="auto" w:sz="4" w:space="0"/>
            </w:tcBorders>
            <w:vAlign w:val="center"/>
          </w:tcPr>
          <w:p w14:paraId="73F29B76">
            <w:pPr>
              <w:shd w:val="clear"/>
              <w:kinsoku/>
              <w:overflowPunct/>
              <w:topLinePunct w:val="0"/>
              <w:bidi w:val="0"/>
              <w:spacing w:line="500" w:lineRule="exact"/>
              <w:rPr>
                <w:rFonts w:hint="eastAsia" w:ascii="宋体" w:hAnsi="宋体" w:eastAsia="宋体" w:cs="宋体"/>
                <w:sz w:val="24"/>
                <w:szCs w:val="24"/>
                <w:highlight w:val="none"/>
              </w:rPr>
            </w:pPr>
          </w:p>
        </w:tc>
        <w:tc>
          <w:tcPr>
            <w:tcW w:w="2016" w:type="dxa"/>
            <w:tcBorders>
              <w:left w:val="single" w:color="auto" w:sz="4" w:space="0"/>
              <w:right w:val="single" w:color="auto" w:sz="4" w:space="0"/>
            </w:tcBorders>
            <w:vAlign w:val="center"/>
          </w:tcPr>
          <w:p w14:paraId="40DBA410">
            <w:pPr>
              <w:shd w:val="clear"/>
              <w:kinsoku/>
              <w:overflowPunct/>
              <w:topLinePunct w:val="0"/>
              <w:bidi w:val="0"/>
              <w:spacing w:line="500" w:lineRule="exact"/>
              <w:rPr>
                <w:rFonts w:hint="eastAsia" w:ascii="宋体" w:hAnsi="宋体" w:eastAsia="宋体" w:cs="宋体"/>
                <w:sz w:val="24"/>
                <w:szCs w:val="24"/>
                <w:highlight w:val="none"/>
              </w:rPr>
            </w:pPr>
          </w:p>
        </w:tc>
        <w:tc>
          <w:tcPr>
            <w:tcW w:w="1520" w:type="dxa"/>
            <w:tcBorders>
              <w:left w:val="single" w:color="auto" w:sz="4" w:space="0"/>
              <w:right w:val="single" w:color="auto" w:sz="4" w:space="0"/>
            </w:tcBorders>
            <w:vAlign w:val="center"/>
          </w:tcPr>
          <w:p w14:paraId="5FD8EAD7">
            <w:pPr>
              <w:shd w:val="clear"/>
              <w:kinsoku/>
              <w:overflowPunct/>
              <w:topLinePunct w:val="0"/>
              <w:bidi w:val="0"/>
              <w:spacing w:line="500" w:lineRule="exact"/>
              <w:rPr>
                <w:rFonts w:hint="eastAsia" w:ascii="宋体" w:hAnsi="宋体" w:eastAsia="宋体" w:cs="宋体"/>
                <w:sz w:val="24"/>
                <w:szCs w:val="24"/>
                <w:highlight w:val="none"/>
              </w:rPr>
            </w:pPr>
          </w:p>
        </w:tc>
        <w:tc>
          <w:tcPr>
            <w:tcW w:w="983" w:type="dxa"/>
            <w:tcBorders>
              <w:left w:val="single" w:color="auto" w:sz="4" w:space="0"/>
              <w:right w:val="single" w:color="auto" w:sz="4" w:space="0"/>
            </w:tcBorders>
            <w:vAlign w:val="center"/>
          </w:tcPr>
          <w:p w14:paraId="5B17F7AB">
            <w:pPr>
              <w:shd w:val="clear"/>
              <w:kinsoku/>
              <w:overflowPunct/>
              <w:topLinePunct w:val="0"/>
              <w:bidi w:val="0"/>
              <w:spacing w:line="500" w:lineRule="exact"/>
              <w:rPr>
                <w:rFonts w:hint="eastAsia" w:ascii="宋体" w:hAnsi="宋体" w:eastAsia="宋体" w:cs="宋体"/>
                <w:sz w:val="24"/>
                <w:szCs w:val="24"/>
                <w:highlight w:val="none"/>
              </w:rPr>
            </w:pPr>
          </w:p>
        </w:tc>
        <w:tc>
          <w:tcPr>
            <w:tcW w:w="1336" w:type="dxa"/>
            <w:tcBorders>
              <w:left w:val="single" w:color="auto" w:sz="4" w:space="0"/>
              <w:right w:val="single" w:color="auto" w:sz="4" w:space="0"/>
            </w:tcBorders>
            <w:vAlign w:val="center"/>
          </w:tcPr>
          <w:p w14:paraId="0CC88C9B">
            <w:pPr>
              <w:shd w:val="clear"/>
              <w:kinsoku/>
              <w:overflowPunct/>
              <w:topLinePunct w:val="0"/>
              <w:bidi w:val="0"/>
              <w:spacing w:line="500" w:lineRule="exact"/>
              <w:rPr>
                <w:rFonts w:hint="eastAsia" w:ascii="宋体" w:hAnsi="宋体" w:eastAsia="宋体" w:cs="宋体"/>
                <w:sz w:val="24"/>
                <w:szCs w:val="24"/>
                <w:highlight w:val="none"/>
              </w:rPr>
            </w:pPr>
          </w:p>
        </w:tc>
        <w:tc>
          <w:tcPr>
            <w:tcW w:w="1318" w:type="dxa"/>
            <w:tcBorders>
              <w:left w:val="single" w:color="auto" w:sz="4" w:space="0"/>
            </w:tcBorders>
            <w:vAlign w:val="center"/>
          </w:tcPr>
          <w:p w14:paraId="2F14B2C3">
            <w:pPr>
              <w:shd w:val="clear"/>
              <w:kinsoku/>
              <w:overflowPunct/>
              <w:topLinePunct w:val="0"/>
              <w:bidi w:val="0"/>
              <w:spacing w:line="500" w:lineRule="exact"/>
              <w:rPr>
                <w:rFonts w:hint="eastAsia" w:ascii="宋体" w:hAnsi="宋体" w:eastAsia="宋体" w:cs="宋体"/>
                <w:sz w:val="24"/>
                <w:szCs w:val="24"/>
                <w:highlight w:val="none"/>
              </w:rPr>
            </w:pPr>
          </w:p>
        </w:tc>
      </w:tr>
    </w:tbl>
    <w:p w14:paraId="14F1BCC7">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投标单位完成的类似项目业绩（业绩需提供</w:t>
      </w:r>
      <w:r>
        <w:rPr>
          <w:rFonts w:hint="eastAsia" w:asciiTheme="minorEastAsia" w:hAnsiTheme="minorEastAsia" w:eastAsiaTheme="minorEastAsia" w:cstheme="minorEastAsia"/>
          <w:b w:val="0"/>
          <w:bCs w:val="0"/>
          <w:color w:val="auto"/>
          <w:kern w:val="0"/>
          <w:sz w:val="24"/>
          <w:szCs w:val="24"/>
          <w:highlight w:val="none"/>
          <w:lang w:val="en-US" w:eastAsia="zh-CN" w:bidi="ar"/>
        </w:rPr>
        <w:t>中标通知书或成交通知书或合同</w:t>
      </w:r>
      <w:r>
        <w:rPr>
          <w:rFonts w:hint="eastAsia" w:ascii="宋体" w:hAnsi="宋体" w:eastAsia="宋体" w:cs="宋体"/>
          <w:sz w:val="24"/>
          <w:szCs w:val="24"/>
          <w:highlight w:val="none"/>
          <w:lang w:val="en-US" w:eastAsia="zh-CN"/>
        </w:rPr>
        <w:t>加盖公章）</w:t>
      </w:r>
    </w:p>
    <w:p w14:paraId="0050BA12">
      <w:pPr>
        <w:shd w:val="clear"/>
        <w:kinsoku/>
        <w:overflowPunct/>
        <w:topLinePunct w:val="0"/>
        <w:bidi w:val="0"/>
        <w:spacing w:line="500" w:lineRule="exact"/>
        <w:rPr>
          <w:rFonts w:hint="eastAsia" w:ascii="宋体" w:hAnsi="宋体" w:eastAsia="宋体" w:cs="宋体"/>
          <w:sz w:val="24"/>
          <w:szCs w:val="24"/>
          <w:highlight w:val="none"/>
        </w:rPr>
      </w:pPr>
    </w:p>
    <w:p w14:paraId="7B961F0A">
      <w:pPr>
        <w:shd w:val="clear"/>
        <w:kinsoku/>
        <w:overflowPunct/>
        <w:topLinePunct w:val="0"/>
        <w:bidi w:val="0"/>
        <w:spacing w:line="500" w:lineRule="exact"/>
        <w:ind w:firstLine="7680" w:firstLineChars="3200"/>
        <w:rPr>
          <w:rFonts w:hint="eastAsia" w:ascii="宋体" w:hAnsi="宋体" w:eastAsia="宋体" w:cs="宋体"/>
          <w:sz w:val="24"/>
          <w:szCs w:val="24"/>
          <w:highlight w:val="none"/>
          <w:lang w:eastAsia="zh-CN"/>
        </w:rPr>
      </w:pPr>
    </w:p>
    <w:p w14:paraId="1A169178">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投标单位</w:t>
      </w:r>
      <w:r>
        <w:rPr>
          <w:rFonts w:hint="eastAsia" w:ascii="宋体" w:hAnsi="宋体" w:eastAsia="宋体" w:cs="宋体"/>
          <w:sz w:val="24"/>
          <w:szCs w:val="24"/>
          <w:highlight w:val="none"/>
        </w:rPr>
        <w:t>名称(公章)：_____________</w:t>
      </w:r>
    </w:p>
    <w:p w14:paraId="19B4756D">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日期：______年____月____日</w:t>
      </w:r>
    </w:p>
    <w:p w14:paraId="5C891AD9">
      <w:pPr>
        <w:shd w:val="clear"/>
        <w:kinsoku/>
        <w:overflowPunct/>
        <w:topLinePunct w:val="0"/>
        <w:bidi w:val="0"/>
        <w:spacing w:line="500" w:lineRule="exact"/>
        <w:rPr>
          <w:rFonts w:hint="eastAsia" w:ascii="宋体" w:hAnsi="宋体" w:eastAsia="宋体" w:cs="宋体"/>
          <w:sz w:val="24"/>
          <w:szCs w:val="24"/>
          <w:highlight w:val="none"/>
        </w:rPr>
        <w:sectPr>
          <w:pgSz w:w="11906" w:h="16838"/>
          <w:pgMar w:top="1440" w:right="1803" w:bottom="1440" w:left="1803" w:header="851" w:footer="992" w:gutter="0"/>
          <w:pgNumType w:fmt="decimal"/>
          <w:cols w:space="0" w:num="1"/>
          <w:rtlGutter w:val="0"/>
          <w:docGrid w:type="lines" w:linePitch="319" w:charSpace="0"/>
        </w:sectPr>
      </w:pPr>
    </w:p>
    <w:p w14:paraId="15046228">
      <w:pPr>
        <w:numPr>
          <w:ilvl w:val="0"/>
          <w:numId w:val="0"/>
        </w:numPr>
        <w:shd w:val="clear"/>
        <w:kinsoku/>
        <w:overflowPunct/>
        <w:topLinePunct w:val="0"/>
        <w:bidi w:val="0"/>
        <w:spacing w:line="500" w:lineRule="exac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lang w:eastAsia="zh-CN"/>
        </w:rPr>
        <w:t>、投标单位</w:t>
      </w:r>
      <w:r>
        <w:rPr>
          <w:rFonts w:hint="eastAsia" w:ascii="宋体" w:hAnsi="宋体" w:eastAsia="宋体" w:cs="宋体"/>
          <w:b/>
          <w:bCs/>
          <w:sz w:val="24"/>
          <w:szCs w:val="24"/>
          <w:highlight w:val="none"/>
        </w:rPr>
        <w:t>认为需提供的其他资料</w:t>
      </w:r>
    </w:p>
    <w:p w14:paraId="6A910FF8">
      <w:pPr>
        <w:shd w:val="clear"/>
        <w:kinsoku/>
        <w:overflowPunct/>
        <w:topLinePunct w:val="0"/>
        <w:bidi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1DE3C29">
      <w:pPr>
        <w:numPr>
          <w:ilvl w:val="0"/>
          <w:numId w:val="9"/>
        </w:numPr>
        <w:shd w:val="clear"/>
        <w:kinsoku/>
        <w:overflowPunct/>
        <w:topLinePunct w:val="0"/>
        <w:bidi w:val="0"/>
        <w:spacing w:line="5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技术部分</w:t>
      </w:r>
    </w:p>
    <w:p w14:paraId="7A88CA43">
      <w:pPr>
        <w:pStyle w:val="71"/>
        <w:shd w:val="clear"/>
        <w:kinsoku/>
        <w:overflowPunct/>
        <w:topLinePunct w:val="0"/>
        <w:bidi w:val="0"/>
        <w:spacing w:line="500" w:lineRule="exact"/>
        <w:outlineLvl w:val="1"/>
        <w:rPr>
          <w:rFonts w:hint="eastAsia" w:ascii="宋体" w:hAnsi="宋体" w:eastAsia="宋体" w:cs="宋体"/>
          <w:b/>
          <w:bCs w:val="0"/>
          <w:color w:val="auto"/>
          <w:sz w:val="24"/>
          <w:szCs w:val="24"/>
          <w:highlight w:val="none"/>
        </w:rPr>
      </w:pPr>
      <w:bookmarkStart w:id="303" w:name="_Toc9566"/>
      <w:r>
        <w:rPr>
          <w:rFonts w:hint="eastAsia" w:ascii="宋体" w:hAnsi="宋体" w:eastAsia="宋体" w:cs="宋体"/>
          <w:b/>
          <w:bCs w:val="0"/>
          <w:color w:val="auto"/>
          <w:sz w:val="24"/>
          <w:szCs w:val="24"/>
          <w:highlight w:val="none"/>
          <w:lang w:val="en-US" w:eastAsia="zh-CN"/>
        </w:rPr>
        <w:t>一、</w:t>
      </w:r>
      <w:r>
        <w:rPr>
          <w:rFonts w:hint="eastAsia" w:ascii="宋体" w:hAnsi="宋体" w:eastAsia="宋体" w:cs="宋体"/>
          <w:b/>
          <w:bCs w:val="0"/>
          <w:color w:val="auto"/>
          <w:sz w:val="24"/>
          <w:szCs w:val="24"/>
          <w:highlight w:val="none"/>
        </w:rPr>
        <w:t>技术响应与偏离表</w:t>
      </w:r>
      <w:bookmarkEnd w:id="303"/>
    </w:p>
    <w:p w14:paraId="28B4C0DE">
      <w:pPr>
        <w:pStyle w:val="71"/>
        <w:shd w:val="clear"/>
        <w:kinsoku/>
        <w:overflowPunct/>
        <w:topLinePunct w:val="0"/>
        <w:bidi w:val="0"/>
        <w:spacing w:line="500" w:lineRule="exact"/>
        <w:ind w:hanging="23"/>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 xml:space="preserve">项目名称：   　　　　　　　　　　　　　　  项目编号：                         </w:t>
      </w:r>
    </w:p>
    <w:tbl>
      <w:tblPr>
        <w:tblStyle w:val="34"/>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073"/>
        <w:gridCol w:w="2877"/>
        <w:gridCol w:w="1150"/>
        <w:gridCol w:w="2733"/>
        <w:gridCol w:w="1150"/>
      </w:tblGrid>
      <w:tr w14:paraId="62A7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474" w:type="dxa"/>
            <w:vMerge w:val="restart"/>
            <w:noWrap w:val="0"/>
            <w:vAlign w:val="center"/>
          </w:tcPr>
          <w:p w14:paraId="4FEA255E">
            <w:pPr>
              <w:pStyle w:val="2"/>
              <w:shd w:val="clear"/>
              <w:kinsoku/>
              <w:overflowPunct/>
              <w:topLinePunct w:val="0"/>
              <w:bidi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3950" w:type="dxa"/>
            <w:gridSpan w:val="2"/>
            <w:noWrap w:val="0"/>
            <w:vAlign w:val="center"/>
          </w:tcPr>
          <w:p w14:paraId="0D40A344">
            <w:pPr>
              <w:pStyle w:val="2"/>
              <w:shd w:val="clear"/>
              <w:kinsoku/>
              <w:overflowPunct/>
              <w:topLinePunct w:val="0"/>
              <w:bidi w:val="0"/>
              <w:spacing w:line="5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招标文件条款</w:t>
            </w:r>
          </w:p>
        </w:tc>
        <w:tc>
          <w:tcPr>
            <w:tcW w:w="3883" w:type="dxa"/>
            <w:gridSpan w:val="2"/>
            <w:noWrap w:val="0"/>
            <w:vAlign w:val="center"/>
          </w:tcPr>
          <w:p w14:paraId="34D2CF00">
            <w:pPr>
              <w:pStyle w:val="2"/>
              <w:shd w:val="clear"/>
              <w:kinsoku/>
              <w:overflowPunct/>
              <w:topLinePunct w:val="0"/>
              <w:bidi w:val="0"/>
              <w:spacing w:line="5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投标文件条款</w:t>
            </w:r>
          </w:p>
        </w:tc>
        <w:tc>
          <w:tcPr>
            <w:tcW w:w="1150" w:type="dxa"/>
            <w:vMerge w:val="restart"/>
            <w:noWrap w:val="0"/>
            <w:vAlign w:val="center"/>
          </w:tcPr>
          <w:p w14:paraId="324D6A65">
            <w:pPr>
              <w:pStyle w:val="2"/>
              <w:shd w:val="clear"/>
              <w:kinsoku/>
              <w:overflowPunct/>
              <w:topLinePunct w:val="0"/>
              <w:bidi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偏离情况</w:t>
            </w:r>
          </w:p>
        </w:tc>
      </w:tr>
      <w:tr w14:paraId="7639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474" w:type="dxa"/>
            <w:vMerge w:val="continue"/>
            <w:noWrap w:val="0"/>
            <w:vAlign w:val="center"/>
          </w:tcPr>
          <w:p w14:paraId="64A00465">
            <w:pPr>
              <w:pStyle w:val="2"/>
              <w:shd w:val="clear"/>
              <w:kinsoku/>
              <w:overflowPunct/>
              <w:topLinePunct w:val="0"/>
              <w:bidi w:val="0"/>
              <w:spacing w:line="500" w:lineRule="exact"/>
              <w:jc w:val="center"/>
              <w:rPr>
                <w:rFonts w:hint="eastAsia" w:ascii="宋体" w:hAnsi="宋体" w:eastAsia="宋体" w:cs="宋体"/>
                <w:b w:val="0"/>
                <w:bCs/>
                <w:color w:val="auto"/>
                <w:sz w:val="24"/>
                <w:szCs w:val="24"/>
                <w:highlight w:val="none"/>
              </w:rPr>
            </w:pPr>
          </w:p>
        </w:tc>
        <w:tc>
          <w:tcPr>
            <w:tcW w:w="1073" w:type="dxa"/>
            <w:noWrap w:val="0"/>
            <w:vAlign w:val="center"/>
          </w:tcPr>
          <w:p w14:paraId="17B28CD1">
            <w:pPr>
              <w:pStyle w:val="2"/>
              <w:shd w:val="clear"/>
              <w:kinsoku/>
              <w:overflowPunct/>
              <w:topLinePunct w:val="0"/>
              <w:bidi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条款号</w:t>
            </w:r>
          </w:p>
        </w:tc>
        <w:tc>
          <w:tcPr>
            <w:tcW w:w="2877" w:type="dxa"/>
            <w:noWrap w:val="0"/>
            <w:vAlign w:val="center"/>
          </w:tcPr>
          <w:p w14:paraId="4E0C888B">
            <w:pPr>
              <w:pStyle w:val="2"/>
              <w:shd w:val="clear"/>
              <w:kinsoku/>
              <w:overflowPunct/>
              <w:topLinePunct w:val="0"/>
              <w:bidi w:val="0"/>
              <w:spacing w:line="5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招标文件条款内容</w:t>
            </w:r>
          </w:p>
        </w:tc>
        <w:tc>
          <w:tcPr>
            <w:tcW w:w="1150" w:type="dxa"/>
            <w:noWrap w:val="0"/>
            <w:vAlign w:val="center"/>
          </w:tcPr>
          <w:p w14:paraId="481D86E2">
            <w:pPr>
              <w:pStyle w:val="2"/>
              <w:shd w:val="clear"/>
              <w:kinsoku/>
              <w:overflowPunct/>
              <w:topLinePunct w:val="0"/>
              <w:bidi w:val="0"/>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条款号</w:t>
            </w:r>
          </w:p>
        </w:tc>
        <w:tc>
          <w:tcPr>
            <w:tcW w:w="2733" w:type="dxa"/>
            <w:noWrap w:val="0"/>
            <w:vAlign w:val="center"/>
          </w:tcPr>
          <w:p w14:paraId="447BDEFB">
            <w:pPr>
              <w:pStyle w:val="2"/>
              <w:shd w:val="clear"/>
              <w:kinsoku/>
              <w:overflowPunct/>
              <w:topLinePunct w:val="0"/>
              <w:bidi w:val="0"/>
              <w:spacing w:line="5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投标文件对应条款</w:t>
            </w:r>
          </w:p>
        </w:tc>
        <w:tc>
          <w:tcPr>
            <w:tcW w:w="1150" w:type="dxa"/>
            <w:vMerge w:val="continue"/>
            <w:noWrap w:val="0"/>
            <w:vAlign w:val="center"/>
          </w:tcPr>
          <w:p w14:paraId="222FB202">
            <w:pPr>
              <w:pStyle w:val="2"/>
              <w:shd w:val="clear"/>
              <w:kinsoku/>
              <w:overflowPunct/>
              <w:topLinePunct w:val="0"/>
              <w:bidi w:val="0"/>
              <w:spacing w:line="500" w:lineRule="exact"/>
              <w:jc w:val="center"/>
              <w:rPr>
                <w:rFonts w:hint="eastAsia" w:ascii="宋体" w:hAnsi="宋体" w:eastAsia="宋体" w:cs="宋体"/>
                <w:b w:val="0"/>
                <w:bCs/>
                <w:color w:val="auto"/>
                <w:sz w:val="24"/>
                <w:szCs w:val="24"/>
                <w:highlight w:val="none"/>
              </w:rPr>
            </w:pPr>
          </w:p>
        </w:tc>
      </w:tr>
      <w:tr w14:paraId="352C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noWrap w:val="0"/>
            <w:vAlign w:val="center"/>
          </w:tcPr>
          <w:p w14:paraId="56924186">
            <w:pPr>
              <w:pStyle w:val="2"/>
              <w:shd w:val="clear"/>
              <w:kinsoku/>
              <w:overflowPunct/>
              <w:topLinePunct w:val="0"/>
              <w:bidi w:val="0"/>
              <w:spacing w:line="500" w:lineRule="exact"/>
              <w:jc w:val="center"/>
              <w:rPr>
                <w:rFonts w:hint="eastAsia" w:ascii="宋体" w:hAnsi="宋体" w:eastAsia="宋体" w:cs="宋体"/>
                <w:b w:val="0"/>
                <w:bCs/>
                <w:color w:val="auto"/>
                <w:sz w:val="24"/>
                <w:szCs w:val="24"/>
                <w:highlight w:val="none"/>
              </w:rPr>
            </w:pPr>
          </w:p>
        </w:tc>
        <w:tc>
          <w:tcPr>
            <w:tcW w:w="1073" w:type="dxa"/>
            <w:noWrap w:val="0"/>
            <w:vAlign w:val="center"/>
          </w:tcPr>
          <w:p w14:paraId="47FA9EBB">
            <w:pPr>
              <w:pStyle w:val="2"/>
              <w:shd w:val="clear"/>
              <w:kinsoku/>
              <w:overflowPunct/>
              <w:topLinePunct w:val="0"/>
              <w:bidi w:val="0"/>
              <w:spacing w:line="500" w:lineRule="exact"/>
              <w:jc w:val="center"/>
              <w:rPr>
                <w:rFonts w:hint="eastAsia" w:ascii="宋体" w:hAnsi="宋体" w:eastAsia="宋体" w:cs="宋体"/>
                <w:b w:val="0"/>
                <w:bCs/>
                <w:color w:val="auto"/>
                <w:sz w:val="24"/>
                <w:szCs w:val="24"/>
                <w:highlight w:val="none"/>
              </w:rPr>
            </w:pPr>
          </w:p>
        </w:tc>
        <w:tc>
          <w:tcPr>
            <w:tcW w:w="2877" w:type="dxa"/>
            <w:noWrap w:val="0"/>
            <w:vAlign w:val="center"/>
          </w:tcPr>
          <w:p w14:paraId="6ECEC785">
            <w:pPr>
              <w:pStyle w:val="2"/>
              <w:shd w:val="clear"/>
              <w:kinsoku/>
              <w:overflowPunct/>
              <w:topLinePunct w:val="0"/>
              <w:bidi w:val="0"/>
              <w:spacing w:line="500" w:lineRule="exact"/>
              <w:jc w:val="center"/>
              <w:rPr>
                <w:rFonts w:hint="eastAsia" w:ascii="宋体" w:hAnsi="宋体" w:eastAsia="宋体" w:cs="宋体"/>
                <w:b w:val="0"/>
                <w:bCs/>
                <w:color w:val="auto"/>
                <w:sz w:val="24"/>
                <w:szCs w:val="24"/>
                <w:highlight w:val="none"/>
              </w:rPr>
            </w:pPr>
          </w:p>
        </w:tc>
        <w:tc>
          <w:tcPr>
            <w:tcW w:w="1150" w:type="dxa"/>
            <w:noWrap w:val="0"/>
            <w:vAlign w:val="center"/>
          </w:tcPr>
          <w:p w14:paraId="01C64C66">
            <w:pPr>
              <w:pStyle w:val="2"/>
              <w:shd w:val="clear"/>
              <w:kinsoku/>
              <w:overflowPunct/>
              <w:topLinePunct w:val="0"/>
              <w:bidi w:val="0"/>
              <w:spacing w:line="500" w:lineRule="exact"/>
              <w:jc w:val="center"/>
              <w:rPr>
                <w:rFonts w:hint="eastAsia" w:ascii="宋体" w:hAnsi="宋体" w:eastAsia="宋体" w:cs="宋体"/>
                <w:b w:val="0"/>
                <w:bCs/>
                <w:color w:val="auto"/>
                <w:sz w:val="24"/>
                <w:szCs w:val="24"/>
                <w:highlight w:val="none"/>
              </w:rPr>
            </w:pPr>
          </w:p>
        </w:tc>
        <w:tc>
          <w:tcPr>
            <w:tcW w:w="2733" w:type="dxa"/>
            <w:noWrap w:val="0"/>
            <w:vAlign w:val="center"/>
          </w:tcPr>
          <w:p w14:paraId="5D7B81D9">
            <w:pPr>
              <w:pStyle w:val="2"/>
              <w:shd w:val="clear"/>
              <w:kinsoku/>
              <w:overflowPunct/>
              <w:topLinePunct w:val="0"/>
              <w:bidi w:val="0"/>
              <w:spacing w:line="500" w:lineRule="exact"/>
              <w:jc w:val="center"/>
              <w:rPr>
                <w:rFonts w:hint="eastAsia" w:ascii="宋体" w:hAnsi="宋体" w:eastAsia="宋体" w:cs="宋体"/>
                <w:b w:val="0"/>
                <w:bCs/>
                <w:color w:val="auto"/>
                <w:sz w:val="24"/>
                <w:szCs w:val="24"/>
                <w:highlight w:val="none"/>
              </w:rPr>
            </w:pPr>
          </w:p>
        </w:tc>
        <w:tc>
          <w:tcPr>
            <w:tcW w:w="1150" w:type="dxa"/>
            <w:noWrap w:val="0"/>
            <w:vAlign w:val="center"/>
          </w:tcPr>
          <w:p w14:paraId="74B08D10">
            <w:pPr>
              <w:pStyle w:val="2"/>
              <w:shd w:val="clear"/>
              <w:kinsoku/>
              <w:overflowPunct/>
              <w:topLinePunct w:val="0"/>
              <w:bidi w:val="0"/>
              <w:spacing w:line="500" w:lineRule="exact"/>
              <w:jc w:val="center"/>
              <w:rPr>
                <w:rFonts w:hint="eastAsia" w:ascii="宋体" w:hAnsi="宋体" w:eastAsia="宋体" w:cs="宋体"/>
                <w:b w:val="0"/>
                <w:bCs/>
                <w:color w:val="auto"/>
                <w:sz w:val="24"/>
                <w:szCs w:val="24"/>
                <w:highlight w:val="none"/>
              </w:rPr>
            </w:pPr>
          </w:p>
        </w:tc>
      </w:tr>
      <w:tr w14:paraId="5D62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noWrap w:val="0"/>
            <w:vAlign w:val="center"/>
          </w:tcPr>
          <w:p w14:paraId="48A8F7D3">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1073" w:type="dxa"/>
            <w:noWrap w:val="0"/>
            <w:vAlign w:val="center"/>
          </w:tcPr>
          <w:p w14:paraId="7F376735">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2877" w:type="dxa"/>
            <w:noWrap w:val="0"/>
            <w:vAlign w:val="center"/>
          </w:tcPr>
          <w:p w14:paraId="2D84397C">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1150" w:type="dxa"/>
            <w:noWrap w:val="0"/>
            <w:vAlign w:val="center"/>
          </w:tcPr>
          <w:p w14:paraId="213F1B1C">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2733" w:type="dxa"/>
            <w:noWrap w:val="0"/>
            <w:vAlign w:val="center"/>
          </w:tcPr>
          <w:p w14:paraId="3CAA475F">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1150" w:type="dxa"/>
            <w:noWrap w:val="0"/>
            <w:vAlign w:val="center"/>
          </w:tcPr>
          <w:p w14:paraId="65EB4848">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r>
      <w:tr w14:paraId="4970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noWrap w:val="0"/>
            <w:vAlign w:val="center"/>
          </w:tcPr>
          <w:p w14:paraId="0F9594F8">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1073" w:type="dxa"/>
            <w:noWrap w:val="0"/>
            <w:vAlign w:val="center"/>
          </w:tcPr>
          <w:p w14:paraId="51294199">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2877" w:type="dxa"/>
            <w:noWrap w:val="0"/>
            <w:vAlign w:val="center"/>
          </w:tcPr>
          <w:p w14:paraId="5AF1BA67">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1150" w:type="dxa"/>
            <w:noWrap w:val="0"/>
            <w:vAlign w:val="center"/>
          </w:tcPr>
          <w:p w14:paraId="3EF0FA60">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2733" w:type="dxa"/>
            <w:noWrap w:val="0"/>
            <w:vAlign w:val="center"/>
          </w:tcPr>
          <w:p w14:paraId="48355A82">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1150" w:type="dxa"/>
            <w:noWrap w:val="0"/>
            <w:vAlign w:val="center"/>
          </w:tcPr>
          <w:p w14:paraId="4F1E367B">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r>
      <w:tr w14:paraId="36BF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noWrap w:val="0"/>
            <w:vAlign w:val="center"/>
          </w:tcPr>
          <w:p w14:paraId="51FACEAD">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1073" w:type="dxa"/>
            <w:noWrap w:val="0"/>
            <w:vAlign w:val="center"/>
          </w:tcPr>
          <w:p w14:paraId="48FEB20E">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2877" w:type="dxa"/>
            <w:noWrap w:val="0"/>
            <w:vAlign w:val="center"/>
          </w:tcPr>
          <w:p w14:paraId="13499482">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1150" w:type="dxa"/>
            <w:noWrap w:val="0"/>
            <w:vAlign w:val="center"/>
          </w:tcPr>
          <w:p w14:paraId="467AB74C">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2733" w:type="dxa"/>
            <w:noWrap w:val="0"/>
            <w:vAlign w:val="center"/>
          </w:tcPr>
          <w:p w14:paraId="4073C5E4">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1150" w:type="dxa"/>
            <w:noWrap w:val="0"/>
            <w:vAlign w:val="center"/>
          </w:tcPr>
          <w:p w14:paraId="420F270B">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r>
      <w:tr w14:paraId="20B4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74" w:type="dxa"/>
            <w:noWrap w:val="0"/>
            <w:vAlign w:val="center"/>
          </w:tcPr>
          <w:p w14:paraId="194E4C4B">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1073" w:type="dxa"/>
            <w:noWrap w:val="0"/>
            <w:vAlign w:val="center"/>
          </w:tcPr>
          <w:p w14:paraId="0D342F37">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2877" w:type="dxa"/>
            <w:noWrap w:val="0"/>
            <w:vAlign w:val="center"/>
          </w:tcPr>
          <w:p w14:paraId="71D89931">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1150" w:type="dxa"/>
            <w:noWrap w:val="0"/>
            <w:vAlign w:val="center"/>
          </w:tcPr>
          <w:p w14:paraId="097E67D8">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2733" w:type="dxa"/>
            <w:noWrap w:val="0"/>
            <w:vAlign w:val="center"/>
          </w:tcPr>
          <w:p w14:paraId="67471071">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1150" w:type="dxa"/>
            <w:noWrap w:val="0"/>
            <w:vAlign w:val="center"/>
          </w:tcPr>
          <w:p w14:paraId="16A177E7">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r>
      <w:tr w14:paraId="6AF3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74" w:type="dxa"/>
            <w:noWrap w:val="0"/>
            <w:vAlign w:val="center"/>
          </w:tcPr>
          <w:p w14:paraId="1312284E">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1073" w:type="dxa"/>
            <w:noWrap w:val="0"/>
            <w:vAlign w:val="center"/>
          </w:tcPr>
          <w:p w14:paraId="7FFA3C94">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2877" w:type="dxa"/>
            <w:noWrap w:val="0"/>
            <w:vAlign w:val="center"/>
          </w:tcPr>
          <w:p w14:paraId="73ADD6B7">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1150" w:type="dxa"/>
            <w:noWrap w:val="0"/>
            <w:vAlign w:val="center"/>
          </w:tcPr>
          <w:p w14:paraId="72A1DB7E">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2733" w:type="dxa"/>
            <w:noWrap w:val="0"/>
            <w:vAlign w:val="center"/>
          </w:tcPr>
          <w:p w14:paraId="0DD439A4">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1150" w:type="dxa"/>
            <w:noWrap w:val="0"/>
            <w:vAlign w:val="center"/>
          </w:tcPr>
          <w:p w14:paraId="49D1F26B">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r>
      <w:tr w14:paraId="32BD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74" w:type="dxa"/>
            <w:noWrap w:val="0"/>
            <w:vAlign w:val="center"/>
          </w:tcPr>
          <w:p w14:paraId="04AC4166">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1073" w:type="dxa"/>
            <w:noWrap w:val="0"/>
            <w:vAlign w:val="center"/>
          </w:tcPr>
          <w:p w14:paraId="0FBE1DE0">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2877" w:type="dxa"/>
            <w:noWrap w:val="0"/>
            <w:vAlign w:val="center"/>
          </w:tcPr>
          <w:p w14:paraId="51CCE334">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1150" w:type="dxa"/>
            <w:noWrap w:val="0"/>
            <w:vAlign w:val="center"/>
          </w:tcPr>
          <w:p w14:paraId="67AFA0FC">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2733" w:type="dxa"/>
            <w:noWrap w:val="0"/>
            <w:vAlign w:val="center"/>
          </w:tcPr>
          <w:p w14:paraId="1E664401">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1150" w:type="dxa"/>
            <w:noWrap w:val="0"/>
            <w:vAlign w:val="center"/>
          </w:tcPr>
          <w:p w14:paraId="5D78E060">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r>
      <w:tr w14:paraId="0AC3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74" w:type="dxa"/>
            <w:noWrap w:val="0"/>
            <w:vAlign w:val="center"/>
          </w:tcPr>
          <w:p w14:paraId="286C23F6">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1073" w:type="dxa"/>
            <w:noWrap w:val="0"/>
            <w:vAlign w:val="center"/>
          </w:tcPr>
          <w:p w14:paraId="7309D5BC">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2877" w:type="dxa"/>
            <w:noWrap w:val="0"/>
            <w:vAlign w:val="center"/>
          </w:tcPr>
          <w:p w14:paraId="3D05A81B">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1150" w:type="dxa"/>
            <w:noWrap w:val="0"/>
            <w:vAlign w:val="center"/>
          </w:tcPr>
          <w:p w14:paraId="4E089513">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2733" w:type="dxa"/>
            <w:noWrap w:val="0"/>
            <w:vAlign w:val="center"/>
          </w:tcPr>
          <w:p w14:paraId="363EFD20">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1150" w:type="dxa"/>
            <w:noWrap w:val="0"/>
            <w:vAlign w:val="center"/>
          </w:tcPr>
          <w:p w14:paraId="659BF3A0">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r>
      <w:tr w14:paraId="03AE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474" w:type="dxa"/>
            <w:noWrap w:val="0"/>
            <w:vAlign w:val="center"/>
          </w:tcPr>
          <w:p w14:paraId="3BB7983F">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p w14:paraId="686674F8">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1073" w:type="dxa"/>
            <w:noWrap w:val="0"/>
            <w:vAlign w:val="center"/>
          </w:tcPr>
          <w:p w14:paraId="7D95D31F">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2877" w:type="dxa"/>
            <w:noWrap w:val="0"/>
            <w:vAlign w:val="center"/>
          </w:tcPr>
          <w:p w14:paraId="0417EE93">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1150" w:type="dxa"/>
            <w:noWrap w:val="0"/>
            <w:vAlign w:val="center"/>
          </w:tcPr>
          <w:p w14:paraId="0DAE3949">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2733" w:type="dxa"/>
            <w:noWrap w:val="0"/>
            <w:vAlign w:val="center"/>
          </w:tcPr>
          <w:p w14:paraId="4B27AC22">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c>
          <w:tcPr>
            <w:tcW w:w="1150" w:type="dxa"/>
            <w:noWrap w:val="0"/>
            <w:vAlign w:val="center"/>
          </w:tcPr>
          <w:p w14:paraId="17860A9E">
            <w:pPr>
              <w:pStyle w:val="2"/>
              <w:shd w:val="clear"/>
              <w:kinsoku/>
              <w:overflowPunct/>
              <w:topLinePunct w:val="0"/>
              <w:bidi w:val="0"/>
              <w:spacing w:line="500" w:lineRule="exact"/>
              <w:jc w:val="center"/>
              <w:rPr>
                <w:rFonts w:hint="eastAsia" w:ascii="宋体" w:hAnsi="宋体" w:eastAsia="宋体" w:cs="宋体"/>
                <w:color w:val="auto"/>
                <w:sz w:val="24"/>
                <w:szCs w:val="24"/>
                <w:highlight w:val="none"/>
              </w:rPr>
            </w:pPr>
          </w:p>
        </w:tc>
      </w:tr>
    </w:tbl>
    <w:p w14:paraId="2C739A12">
      <w:pPr>
        <w:shd w:val="clear"/>
        <w:kinsoku/>
        <w:overflowPunct/>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w:t>
      </w:r>
    </w:p>
    <w:p w14:paraId="561A7968">
      <w:pPr>
        <w:pStyle w:val="71"/>
        <w:shd w:val="clear"/>
        <w:kinsoku/>
        <w:overflowPunct/>
        <w:topLinePunct w:val="0"/>
        <w:bidi w:val="0"/>
        <w:spacing w:line="500" w:lineRule="exact"/>
        <w:rPr>
          <w:rFonts w:hint="eastAsia" w:ascii="宋体" w:hAnsi="宋体" w:eastAsia="宋体" w:cs="宋体"/>
          <w:color w:val="auto"/>
          <w:sz w:val="24"/>
          <w:szCs w:val="24"/>
          <w:highlight w:val="none"/>
        </w:rPr>
      </w:pPr>
    </w:p>
    <w:p w14:paraId="24B9D3EE">
      <w:pPr>
        <w:pStyle w:val="71"/>
        <w:shd w:val="clear"/>
        <w:kinsoku/>
        <w:overflowPunct/>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注:若有偏离,请将具体偏离条款在“偏离情况”一栏中详细说明；若无偏离,请在“偏离情况”一栏中标注“无”字样，实际存在负偏离而在本表内没有列明的，视为虚假投标。</w:t>
      </w:r>
    </w:p>
    <w:p w14:paraId="4597EAB5">
      <w:pPr>
        <w:pStyle w:val="71"/>
        <w:shd w:val="clear"/>
        <w:kinsoku/>
        <w:overflowPunct/>
        <w:topLinePunct w:val="0"/>
        <w:bidi w:val="0"/>
        <w:spacing w:line="500" w:lineRule="exact"/>
        <w:rPr>
          <w:rFonts w:hint="eastAsia" w:ascii="宋体" w:hAnsi="宋体" w:eastAsia="宋体" w:cs="宋体"/>
          <w:color w:val="auto"/>
          <w:sz w:val="24"/>
          <w:szCs w:val="24"/>
          <w:highlight w:val="none"/>
        </w:rPr>
      </w:pPr>
    </w:p>
    <w:p w14:paraId="604C0A04">
      <w:pPr>
        <w:shd w:val="clear"/>
        <w:kinsoku/>
        <w:overflowPunct/>
        <w:topLinePunct w:val="0"/>
        <w:bidi w:val="0"/>
        <w:spacing w:line="500" w:lineRule="exact"/>
        <w:ind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 xml:space="preserve">名称（盖章）：                            </w:t>
      </w:r>
    </w:p>
    <w:p w14:paraId="53800AC5">
      <w:pPr>
        <w:shd w:val="clear"/>
        <w:kinsoku/>
        <w:overflowPunct/>
        <w:topLinePunct w:val="0"/>
        <w:bidi w:val="0"/>
        <w:spacing w:line="500" w:lineRule="exact"/>
        <w:rPr>
          <w:rFonts w:hint="eastAsia" w:ascii="宋体" w:hAnsi="宋体" w:eastAsia="宋体" w:cs="宋体"/>
          <w:color w:val="auto"/>
          <w:sz w:val="24"/>
          <w:szCs w:val="24"/>
          <w:highlight w:val="none"/>
        </w:rPr>
      </w:pPr>
    </w:p>
    <w:p w14:paraId="28824397">
      <w:pPr>
        <w:pStyle w:val="71"/>
        <w:shd w:val="clear"/>
        <w:kinsoku/>
        <w:overflowPunct/>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550C758F">
      <w:pPr>
        <w:pStyle w:val="71"/>
        <w:shd w:val="clear"/>
        <w:kinsoku/>
        <w:overflowPunct/>
        <w:topLinePunct w:val="0"/>
        <w:bidi w:val="0"/>
        <w:spacing w:line="500" w:lineRule="exact"/>
        <w:rPr>
          <w:rFonts w:hint="eastAsia" w:ascii="宋体" w:hAnsi="宋体" w:eastAsia="宋体" w:cs="宋体"/>
          <w:b/>
          <w:color w:val="auto"/>
          <w:sz w:val="24"/>
          <w:szCs w:val="24"/>
          <w:highlight w:val="none"/>
        </w:rPr>
      </w:pPr>
    </w:p>
    <w:p w14:paraId="44E8055C">
      <w:pPr>
        <w:pStyle w:val="71"/>
        <w:shd w:val="clear"/>
        <w:kinsoku/>
        <w:overflowPunct/>
        <w:topLinePunct w:val="0"/>
        <w:bidi w:val="0"/>
        <w:spacing w:line="500" w:lineRule="exact"/>
        <w:rPr>
          <w:rFonts w:hint="eastAsia" w:ascii="宋体" w:hAnsi="宋体" w:eastAsia="宋体" w:cs="宋体"/>
          <w:b/>
          <w:color w:val="auto"/>
          <w:sz w:val="24"/>
          <w:szCs w:val="24"/>
          <w:highlight w:val="none"/>
        </w:rPr>
        <w:sectPr>
          <w:pgSz w:w="11906" w:h="16838"/>
          <w:pgMar w:top="1417" w:right="1418" w:bottom="1417" w:left="1418" w:header="851" w:footer="850" w:gutter="0"/>
          <w:pgNumType w:fmt="decimal"/>
          <w:cols w:space="720" w:num="1"/>
          <w:docGrid w:type="lines" w:linePitch="312" w:charSpace="0"/>
        </w:sectPr>
      </w:pPr>
    </w:p>
    <w:p w14:paraId="3F400525">
      <w:pPr>
        <w:pStyle w:val="85"/>
        <w:shd w:val="clear"/>
        <w:kinsoku/>
        <w:overflowPunct/>
        <w:topLinePunct w:val="0"/>
        <w:bidi w:val="0"/>
        <w:spacing w:line="500" w:lineRule="exact"/>
        <w:ind w:left="480" w:leftChars="200"/>
        <w:jc w:val="both"/>
        <w:rPr>
          <w:rFonts w:hint="eastAsia" w:ascii="宋体" w:hAnsi="宋体" w:eastAsia="宋体" w:cs="宋体"/>
          <w:b/>
          <w:bCs w:val="0"/>
          <w:color w:val="auto"/>
          <w:sz w:val="24"/>
          <w:szCs w:val="24"/>
          <w:highlight w:val="none"/>
        </w:rPr>
      </w:pPr>
      <w:bookmarkStart w:id="304" w:name="_Toc498343986"/>
      <w:r>
        <w:rPr>
          <w:rFonts w:hint="eastAsia" w:ascii="宋体" w:hAnsi="宋体" w:eastAsia="宋体" w:cs="宋体"/>
          <w:b/>
          <w:bCs w:val="0"/>
          <w:color w:val="auto"/>
          <w:sz w:val="24"/>
          <w:szCs w:val="24"/>
          <w:highlight w:val="none"/>
          <w:lang w:val="en-US" w:eastAsia="zh-CN"/>
        </w:rPr>
        <w:t>二、</w:t>
      </w:r>
      <w:r>
        <w:rPr>
          <w:rFonts w:hint="eastAsia" w:ascii="宋体" w:hAnsi="宋体" w:eastAsia="宋体" w:cs="宋体"/>
          <w:b/>
          <w:bCs w:val="0"/>
          <w:color w:val="auto"/>
          <w:sz w:val="24"/>
          <w:szCs w:val="24"/>
          <w:highlight w:val="none"/>
        </w:rPr>
        <w:t>项目服务方案</w:t>
      </w:r>
    </w:p>
    <w:p w14:paraId="207330B8">
      <w:pPr>
        <w:shd w:val="clear" w:color="auto" w:fill="auto"/>
        <w:kinsoku/>
        <w:overflowPunct/>
        <w:topLinePunct w:val="0"/>
        <w:bidi w:val="0"/>
        <w:spacing w:before="156" w:beforeLines="50" w:line="500" w:lineRule="exact"/>
        <w:ind w:firstLine="480" w:firstLineChars="200"/>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rPr>
        <w:t>投标人根据自身情况在投标文件中提供针对本项目编制的服务方案。</w:t>
      </w:r>
      <w:r>
        <w:rPr>
          <w:rFonts w:hint="eastAsia" w:ascii="宋体" w:hAnsi="宋体" w:eastAsia="宋体" w:cs="宋体"/>
          <w:b w:val="0"/>
          <w:bCs/>
          <w:color w:val="auto"/>
          <w:kern w:val="0"/>
          <w:sz w:val="24"/>
          <w:szCs w:val="24"/>
          <w:highlight w:val="none"/>
          <w:lang w:val="en-US" w:eastAsia="zh-CN"/>
        </w:rPr>
        <w:t>格式自拟。</w:t>
      </w:r>
    </w:p>
    <w:p w14:paraId="109445CB">
      <w:pPr>
        <w:pStyle w:val="18"/>
        <w:rPr>
          <w:rFonts w:hint="eastAsia" w:ascii="宋体" w:hAnsi="宋体" w:eastAsia="宋体" w:cs="宋体"/>
          <w:b w:val="0"/>
          <w:bCs/>
          <w:color w:val="auto"/>
          <w:kern w:val="0"/>
          <w:sz w:val="24"/>
          <w:szCs w:val="24"/>
          <w:highlight w:val="none"/>
          <w:lang w:val="en-US" w:eastAsia="zh-CN"/>
        </w:rPr>
      </w:pPr>
    </w:p>
    <w:p w14:paraId="485A28F5">
      <w:pPr>
        <w:rPr>
          <w:rFonts w:hint="eastAsia" w:ascii="宋体" w:hAnsi="宋体" w:eastAsia="宋体" w:cs="宋体"/>
          <w:b w:val="0"/>
          <w:bCs/>
          <w:color w:val="auto"/>
          <w:kern w:val="0"/>
          <w:sz w:val="24"/>
          <w:szCs w:val="24"/>
          <w:highlight w:val="none"/>
          <w:lang w:val="en-US" w:eastAsia="zh-CN"/>
        </w:rPr>
      </w:pPr>
    </w:p>
    <w:p w14:paraId="16CC8B8C">
      <w:pPr>
        <w:pStyle w:val="18"/>
        <w:rPr>
          <w:rFonts w:hint="eastAsia" w:ascii="宋体" w:hAnsi="宋体" w:eastAsia="宋体" w:cs="宋体"/>
          <w:b w:val="0"/>
          <w:bCs/>
          <w:color w:val="auto"/>
          <w:kern w:val="0"/>
          <w:sz w:val="24"/>
          <w:szCs w:val="24"/>
          <w:highlight w:val="none"/>
          <w:lang w:val="en-US" w:eastAsia="zh-CN"/>
        </w:rPr>
      </w:pPr>
    </w:p>
    <w:p w14:paraId="2B52C22B">
      <w:pPr>
        <w:rPr>
          <w:rFonts w:hint="eastAsia"/>
          <w:lang w:val="en-US" w:eastAsia="zh-CN"/>
        </w:rPr>
      </w:pPr>
    </w:p>
    <w:p w14:paraId="21A641CB">
      <w:pPr>
        <w:shd w:val="clear"/>
        <w:kinsoku/>
        <w:overflowPunct/>
        <w:topLinePunct w:val="0"/>
        <w:bidi w:val="0"/>
        <w:spacing w:before="156" w:beforeLines="50" w:line="500" w:lineRule="exact"/>
        <w:ind w:firstLine="480" w:firstLineChars="200"/>
        <w:rPr>
          <w:rFonts w:hint="eastAsia" w:ascii="宋体" w:hAnsi="宋体" w:eastAsia="宋体" w:cs="宋体"/>
          <w:b w:val="0"/>
          <w:bCs/>
          <w:color w:val="auto"/>
          <w:sz w:val="24"/>
          <w:szCs w:val="24"/>
          <w:highlight w:val="none"/>
        </w:rPr>
      </w:pPr>
    </w:p>
    <w:p w14:paraId="629AAD8B">
      <w:pPr>
        <w:pStyle w:val="22"/>
        <w:rPr>
          <w:rFonts w:hint="eastAsia" w:ascii="宋体" w:hAnsi="宋体" w:eastAsia="宋体" w:cs="宋体"/>
          <w:b w:val="0"/>
          <w:bCs/>
          <w:color w:val="auto"/>
          <w:sz w:val="24"/>
          <w:szCs w:val="24"/>
          <w:highlight w:val="none"/>
        </w:rPr>
      </w:pPr>
    </w:p>
    <w:p w14:paraId="09585A21">
      <w:pPr>
        <w:rPr>
          <w:rFonts w:hint="eastAsia" w:ascii="宋体" w:hAnsi="宋体" w:eastAsia="宋体" w:cs="宋体"/>
          <w:b w:val="0"/>
          <w:bCs/>
          <w:color w:val="auto"/>
          <w:sz w:val="24"/>
          <w:szCs w:val="24"/>
          <w:highlight w:val="none"/>
        </w:rPr>
      </w:pPr>
    </w:p>
    <w:p w14:paraId="57ABDDB5">
      <w:pPr>
        <w:pStyle w:val="22"/>
        <w:rPr>
          <w:rFonts w:hint="eastAsia" w:ascii="宋体" w:hAnsi="宋体" w:eastAsia="宋体" w:cs="宋体"/>
          <w:b w:val="0"/>
          <w:bCs/>
          <w:color w:val="auto"/>
          <w:sz w:val="24"/>
          <w:szCs w:val="24"/>
          <w:highlight w:val="none"/>
        </w:rPr>
      </w:pPr>
    </w:p>
    <w:p w14:paraId="6C7FC503">
      <w:pPr>
        <w:rPr>
          <w:rFonts w:hint="eastAsia" w:ascii="宋体" w:hAnsi="宋体" w:eastAsia="宋体" w:cs="宋体"/>
          <w:b w:val="0"/>
          <w:bCs/>
          <w:color w:val="auto"/>
          <w:sz w:val="24"/>
          <w:szCs w:val="24"/>
          <w:highlight w:val="none"/>
        </w:rPr>
      </w:pPr>
    </w:p>
    <w:p w14:paraId="42E51A46">
      <w:pPr>
        <w:pStyle w:val="22"/>
        <w:rPr>
          <w:rFonts w:hint="eastAsia" w:ascii="宋体" w:hAnsi="宋体" w:eastAsia="宋体" w:cs="宋体"/>
          <w:b w:val="0"/>
          <w:bCs/>
          <w:color w:val="auto"/>
          <w:sz w:val="24"/>
          <w:szCs w:val="24"/>
          <w:highlight w:val="none"/>
        </w:rPr>
      </w:pPr>
    </w:p>
    <w:p w14:paraId="7354B965">
      <w:pPr>
        <w:rPr>
          <w:rFonts w:hint="eastAsia"/>
        </w:rPr>
      </w:pPr>
    </w:p>
    <w:p w14:paraId="4917EAA3">
      <w:pPr>
        <w:shd w:val="clear"/>
        <w:kinsoku/>
        <w:overflowPunct/>
        <w:topLinePunct w:val="0"/>
        <w:bidi w:val="0"/>
        <w:spacing w:before="156" w:beforeLines="50" w:line="500" w:lineRule="exact"/>
        <w:ind w:firstLine="480" w:firstLineChars="200"/>
        <w:rPr>
          <w:rFonts w:hint="eastAsia" w:ascii="宋体" w:hAnsi="宋体" w:eastAsia="宋体" w:cs="宋体"/>
          <w:b w:val="0"/>
          <w:bCs/>
          <w:color w:val="auto"/>
          <w:sz w:val="24"/>
          <w:szCs w:val="24"/>
          <w:highlight w:val="none"/>
        </w:rPr>
      </w:pPr>
    </w:p>
    <w:p w14:paraId="02466BD8">
      <w:pPr>
        <w:pStyle w:val="71"/>
        <w:shd w:val="clear"/>
        <w:kinsoku/>
        <w:overflowPunct/>
        <w:topLinePunct w:val="0"/>
        <w:bidi w:val="0"/>
        <w:spacing w:line="500" w:lineRule="exact"/>
        <w:rPr>
          <w:rFonts w:hint="eastAsia" w:ascii="宋体" w:hAnsi="宋体" w:eastAsia="宋体" w:cs="宋体"/>
          <w:b w:val="0"/>
          <w:bCs/>
          <w:color w:val="auto"/>
          <w:sz w:val="24"/>
          <w:szCs w:val="24"/>
          <w:highlight w:val="none"/>
        </w:rPr>
      </w:pPr>
    </w:p>
    <w:p w14:paraId="0D5443D7">
      <w:pPr>
        <w:pStyle w:val="71"/>
        <w:shd w:val="clear"/>
        <w:kinsoku/>
        <w:overflowPunct/>
        <w:topLinePunct w:val="0"/>
        <w:bidi w:val="0"/>
        <w:spacing w:line="500" w:lineRule="exact"/>
        <w:rPr>
          <w:rFonts w:hint="eastAsia" w:ascii="宋体" w:hAnsi="宋体" w:eastAsia="宋体" w:cs="宋体"/>
          <w:b w:val="0"/>
          <w:bCs/>
          <w:color w:val="auto"/>
          <w:sz w:val="24"/>
          <w:szCs w:val="24"/>
          <w:highlight w:val="none"/>
        </w:rPr>
      </w:pPr>
    </w:p>
    <w:p w14:paraId="1156E8ED">
      <w:pPr>
        <w:pStyle w:val="71"/>
        <w:shd w:val="clear"/>
        <w:kinsoku/>
        <w:overflowPunct/>
        <w:topLinePunct w:val="0"/>
        <w:bidi w:val="0"/>
        <w:spacing w:line="500" w:lineRule="exact"/>
        <w:rPr>
          <w:rFonts w:hint="eastAsia" w:ascii="宋体" w:hAnsi="宋体" w:eastAsia="宋体" w:cs="宋体"/>
          <w:b w:val="0"/>
          <w:bCs/>
          <w:color w:val="auto"/>
          <w:sz w:val="24"/>
          <w:szCs w:val="24"/>
          <w:highlight w:val="none"/>
        </w:rPr>
      </w:pPr>
    </w:p>
    <w:p w14:paraId="6E3880F1">
      <w:pPr>
        <w:pStyle w:val="71"/>
        <w:shd w:val="clear"/>
        <w:kinsoku/>
        <w:overflowPunct/>
        <w:topLinePunct w:val="0"/>
        <w:bidi w:val="0"/>
        <w:spacing w:line="500" w:lineRule="exact"/>
        <w:rPr>
          <w:rFonts w:hint="eastAsia" w:ascii="宋体" w:hAnsi="宋体" w:eastAsia="宋体" w:cs="宋体"/>
          <w:b w:val="0"/>
          <w:bCs/>
          <w:color w:val="auto"/>
          <w:sz w:val="24"/>
          <w:szCs w:val="24"/>
          <w:highlight w:val="none"/>
        </w:rPr>
      </w:pPr>
      <w:bookmarkStart w:id="305" w:name="_Toc8222"/>
    </w:p>
    <w:p w14:paraId="76431212">
      <w:pPr>
        <w:pStyle w:val="71"/>
        <w:shd w:val="clear"/>
        <w:kinsoku/>
        <w:overflowPunct/>
        <w:topLinePunct w:val="0"/>
        <w:bidi w:val="0"/>
        <w:spacing w:line="500" w:lineRule="exact"/>
        <w:rPr>
          <w:rFonts w:hint="eastAsia" w:ascii="宋体" w:hAnsi="宋体" w:eastAsia="宋体" w:cs="宋体"/>
          <w:b w:val="0"/>
          <w:bCs/>
          <w:color w:val="auto"/>
          <w:sz w:val="24"/>
          <w:szCs w:val="24"/>
          <w:highlight w:val="none"/>
        </w:rPr>
      </w:pPr>
    </w:p>
    <w:p w14:paraId="50F56C3F">
      <w:pPr>
        <w:pStyle w:val="71"/>
        <w:shd w:val="clear"/>
        <w:kinsoku/>
        <w:overflowPunct/>
        <w:topLinePunct w:val="0"/>
        <w:bidi w:val="0"/>
        <w:spacing w:line="500" w:lineRule="exact"/>
        <w:rPr>
          <w:rFonts w:hint="eastAsia" w:ascii="宋体" w:hAnsi="宋体" w:eastAsia="宋体" w:cs="宋体"/>
          <w:b w:val="0"/>
          <w:bCs/>
          <w:color w:val="auto"/>
          <w:sz w:val="24"/>
          <w:szCs w:val="24"/>
          <w:highlight w:val="none"/>
        </w:rPr>
      </w:pPr>
    </w:p>
    <w:p w14:paraId="15B7D4CA">
      <w:pPr>
        <w:pStyle w:val="71"/>
        <w:shd w:val="clear"/>
        <w:kinsoku/>
        <w:overflowPunct/>
        <w:topLinePunct w:val="0"/>
        <w:bidi w:val="0"/>
        <w:spacing w:line="500" w:lineRule="exact"/>
        <w:rPr>
          <w:rFonts w:hint="eastAsia" w:ascii="宋体" w:hAnsi="宋体" w:eastAsia="宋体" w:cs="宋体"/>
          <w:b w:val="0"/>
          <w:bCs/>
          <w:color w:val="auto"/>
          <w:sz w:val="24"/>
          <w:szCs w:val="24"/>
          <w:highlight w:val="none"/>
        </w:rPr>
      </w:pPr>
    </w:p>
    <w:p w14:paraId="7092107F">
      <w:pPr>
        <w:pStyle w:val="71"/>
        <w:shd w:val="clear"/>
        <w:kinsoku/>
        <w:overflowPunct/>
        <w:topLinePunct w:val="0"/>
        <w:bidi w:val="0"/>
        <w:spacing w:line="500" w:lineRule="exact"/>
        <w:rPr>
          <w:rFonts w:hint="eastAsia" w:ascii="宋体" w:hAnsi="宋体" w:eastAsia="宋体" w:cs="宋体"/>
          <w:b w:val="0"/>
          <w:bCs/>
          <w:color w:val="auto"/>
          <w:sz w:val="24"/>
          <w:szCs w:val="24"/>
          <w:highlight w:val="none"/>
        </w:rPr>
      </w:pPr>
    </w:p>
    <w:p w14:paraId="47B30642">
      <w:pPr>
        <w:pStyle w:val="71"/>
        <w:shd w:val="clear"/>
        <w:kinsoku/>
        <w:overflowPunct/>
        <w:topLinePunct w:val="0"/>
        <w:bidi w:val="0"/>
        <w:spacing w:line="500" w:lineRule="exact"/>
        <w:rPr>
          <w:rFonts w:hint="eastAsia" w:ascii="宋体" w:hAnsi="宋体" w:eastAsia="宋体" w:cs="宋体"/>
          <w:b w:val="0"/>
          <w:bCs/>
          <w:color w:val="auto"/>
          <w:sz w:val="24"/>
          <w:szCs w:val="24"/>
          <w:highlight w:val="none"/>
        </w:rPr>
      </w:pPr>
    </w:p>
    <w:p w14:paraId="2E8FDCA1">
      <w:pPr>
        <w:pStyle w:val="71"/>
        <w:shd w:val="clear"/>
        <w:kinsoku/>
        <w:overflowPunct/>
        <w:topLinePunct w:val="0"/>
        <w:bidi w:val="0"/>
        <w:spacing w:line="500" w:lineRule="exact"/>
        <w:rPr>
          <w:rFonts w:hint="eastAsia" w:ascii="宋体" w:hAnsi="宋体" w:eastAsia="宋体" w:cs="宋体"/>
          <w:b w:val="0"/>
          <w:bCs/>
          <w:color w:val="auto"/>
          <w:sz w:val="24"/>
          <w:szCs w:val="24"/>
          <w:highlight w:val="none"/>
        </w:rPr>
      </w:pPr>
    </w:p>
    <w:p w14:paraId="0830B877">
      <w:pPr>
        <w:pStyle w:val="71"/>
        <w:shd w:val="clear"/>
        <w:kinsoku/>
        <w:overflowPunct/>
        <w:topLinePunct w:val="0"/>
        <w:bidi w:val="0"/>
        <w:spacing w:line="500" w:lineRule="exact"/>
        <w:rPr>
          <w:rFonts w:hint="eastAsia" w:ascii="宋体" w:hAnsi="宋体" w:eastAsia="宋体" w:cs="宋体"/>
          <w:b w:val="0"/>
          <w:bCs/>
          <w:color w:val="auto"/>
          <w:sz w:val="24"/>
          <w:szCs w:val="24"/>
          <w:highlight w:val="none"/>
        </w:rPr>
      </w:pPr>
    </w:p>
    <w:p w14:paraId="534563D6">
      <w:pPr>
        <w:pStyle w:val="71"/>
        <w:shd w:val="clear"/>
        <w:kinsoku/>
        <w:overflowPunct/>
        <w:topLinePunct w:val="0"/>
        <w:bidi w:val="0"/>
        <w:spacing w:line="500" w:lineRule="exact"/>
        <w:rPr>
          <w:rFonts w:hint="eastAsia" w:ascii="宋体" w:hAnsi="宋体" w:eastAsia="宋体" w:cs="宋体"/>
          <w:b w:val="0"/>
          <w:bCs/>
          <w:color w:val="auto"/>
          <w:sz w:val="24"/>
          <w:szCs w:val="24"/>
          <w:highlight w:val="none"/>
        </w:rPr>
      </w:pPr>
    </w:p>
    <w:p w14:paraId="501F9A05">
      <w:pPr>
        <w:pStyle w:val="71"/>
        <w:shd w:val="clear"/>
        <w:kinsoku/>
        <w:overflowPunct/>
        <w:topLinePunct w:val="0"/>
        <w:bidi w:val="0"/>
        <w:spacing w:line="500" w:lineRule="exact"/>
        <w:rPr>
          <w:rFonts w:hint="eastAsia" w:ascii="宋体" w:hAnsi="宋体" w:eastAsia="宋体" w:cs="宋体"/>
          <w:b w:val="0"/>
          <w:bCs/>
          <w:color w:val="auto"/>
          <w:sz w:val="24"/>
          <w:szCs w:val="24"/>
          <w:highlight w:val="none"/>
        </w:rPr>
      </w:pPr>
    </w:p>
    <w:p w14:paraId="08092C9C">
      <w:pPr>
        <w:pStyle w:val="71"/>
        <w:shd w:val="clear"/>
        <w:kinsoku/>
        <w:overflowPunct/>
        <w:topLinePunct w:val="0"/>
        <w:bidi w:val="0"/>
        <w:spacing w:line="500" w:lineRule="exact"/>
        <w:rPr>
          <w:rFonts w:hint="eastAsia" w:ascii="宋体" w:hAnsi="宋体" w:eastAsia="宋体" w:cs="宋体"/>
          <w:b w:val="0"/>
          <w:bCs/>
          <w:color w:val="auto"/>
          <w:sz w:val="24"/>
          <w:szCs w:val="24"/>
          <w:highlight w:val="none"/>
        </w:rPr>
      </w:pPr>
    </w:p>
    <w:p w14:paraId="2C1F97AC">
      <w:pPr>
        <w:pStyle w:val="71"/>
        <w:shd w:val="clear"/>
        <w:kinsoku/>
        <w:overflowPunct/>
        <w:topLinePunct w:val="0"/>
        <w:bidi w:val="0"/>
        <w:spacing w:line="500" w:lineRule="exact"/>
        <w:rPr>
          <w:rFonts w:hint="eastAsia" w:ascii="宋体" w:hAnsi="宋体" w:eastAsia="宋体" w:cs="宋体"/>
          <w:b w:val="0"/>
          <w:bCs/>
          <w:color w:val="auto"/>
          <w:sz w:val="24"/>
          <w:szCs w:val="24"/>
          <w:highlight w:val="none"/>
        </w:rPr>
      </w:pPr>
    </w:p>
    <w:bookmarkEnd w:id="304"/>
    <w:bookmarkEnd w:id="305"/>
    <w:p w14:paraId="026CFD38">
      <w:pPr>
        <w:shd w:val="clear"/>
        <w:kinsoku/>
        <w:overflowPunct/>
        <w:topLinePunct w:val="0"/>
        <w:bidi w:val="0"/>
        <w:spacing w:line="500" w:lineRule="exac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三、</w:t>
      </w:r>
      <w:r>
        <w:rPr>
          <w:rFonts w:hint="eastAsia" w:ascii="宋体" w:hAnsi="宋体" w:eastAsia="宋体" w:cs="宋体"/>
          <w:b/>
          <w:bCs w:val="0"/>
          <w:color w:val="auto"/>
          <w:sz w:val="24"/>
          <w:szCs w:val="24"/>
          <w:highlight w:val="none"/>
        </w:rPr>
        <w:t>岗位及人员配置构成</w:t>
      </w:r>
    </w:p>
    <w:p w14:paraId="02C9B99F">
      <w:pPr>
        <w:shd w:val="clear"/>
        <w:tabs>
          <w:tab w:val="left" w:pos="5580"/>
        </w:tabs>
        <w:kinsoku/>
        <w:overflowPunct/>
        <w:topLinePunct w:val="0"/>
        <w:bidi w:val="0"/>
        <w:spacing w:before="156" w:beforeLines="50" w:after="156" w:afterLines="50" w:line="5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1.项目管理机构配备情况表</w:t>
      </w:r>
    </w:p>
    <w:tbl>
      <w:tblPr>
        <w:tblStyle w:val="34"/>
        <w:tblpPr w:leftFromText="180" w:rightFromText="180" w:vertAnchor="text" w:horzAnchor="page" w:tblpX="1106" w:tblpY="311"/>
        <w:tblOverlap w:val="never"/>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418"/>
        <w:gridCol w:w="709"/>
        <w:gridCol w:w="921"/>
        <w:gridCol w:w="855"/>
        <w:gridCol w:w="945"/>
        <w:gridCol w:w="1425"/>
        <w:gridCol w:w="2100"/>
      </w:tblGrid>
      <w:tr w14:paraId="600D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102" w:type="dxa"/>
            <w:noWrap w:val="0"/>
            <w:vAlign w:val="center"/>
          </w:tcPr>
          <w:p w14:paraId="7F5A58F8">
            <w:pPr>
              <w:keepNext w:val="0"/>
              <w:keepLines w:val="0"/>
              <w:suppressLineNumbers w:val="0"/>
              <w:bidi w:val="0"/>
              <w:adjustRightInd/>
              <w:snapToGrid/>
              <w:spacing w:before="0" w:beforeAutospacing="0" w:after="0" w:afterAutospacing="0" w:line="240" w:lineRule="auto"/>
              <w:ind w:left="0" w:leftChars="0" w:right="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p>
        </w:tc>
        <w:tc>
          <w:tcPr>
            <w:tcW w:w="1418" w:type="dxa"/>
            <w:noWrap w:val="0"/>
            <w:vAlign w:val="center"/>
          </w:tcPr>
          <w:p w14:paraId="7A438375">
            <w:pPr>
              <w:keepNext w:val="0"/>
              <w:keepLines w:val="0"/>
              <w:suppressLineNumbers w:val="0"/>
              <w:bidi w:val="0"/>
              <w:adjustRightInd/>
              <w:snapToGrid/>
              <w:spacing w:before="0" w:beforeAutospacing="0" w:after="0" w:afterAutospacing="0" w:line="240" w:lineRule="auto"/>
              <w:ind w:left="0" w:leftChars="0" w:right="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身份证号码</w:t>
            </w:r>
          </w:p>
        </w:tc>
        <w:tc>
          <w:tcPr>
            <w:tcW w:w="709" w:type="dxa"/>
            <w:noWrap w:val="0"/>
            <w:vAlign w:val="center"/>
          </w:tcPr>
          <w:p w14:paraId="7D8EBEDF">
            <w:pPr>
              <w:keepNext w:val="0"/>
              <w:keepLines w:val="0"/>
              <w:suppressLineNumbers w:val="0"/>
              <w:bidi w:val="0"/>
              <w:adjustRightInd/>
              <w:snapToGrid/>
              <w:spacing w:before="0" w:beforeAutospacing="0" w:after="0" w:afterAutospacing="0" w:line="240" w:lineRule="auto"/>
              <w:ind w:left="0" w:leftChars="0" w:right="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性别</w:t>
            </w:r>
          </w:p>
        </w:tc>
        <w:tc>
          <w:tcPr>
            <w:tcW w:w="921" w:type="dxa"/>
            <w:noWrap w:val="0"/>
            <w:vAlign w:val="center"/>
          </w:tcPr>
          <w:p w14:paraId="65770FBB">
            <w:pPr>
              <w:keepNext w:val="0"/>
              <w:keepLines w:val="0"/>
              <w:suppressLineNumbers w:val="0"/>
              <w:bidi w:val="0"/>
              <w:adjustRightInd/>
              <w:snapToGrid/>
              <w:spacing w:before="0" w:beforeAutospacing="0" w:after="0" w:afterAutospacing="0" w:line="240" w:lineRule="auto"/>
              <w:ind w:left="0" w:leftChars="0" w:right="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职称</w:t>
            </w:r>
          </w:p>
        </w:tc>
        <w:tc>
          <w:tcPr>
            <w:tcW w:w="855" w:type="dxa"/>
            <w:noWrap w:val="0"/>
            <w:vAlign w:val="center"/>
          </w:tcPr>
          <w:p w14:paraId="09684809">
            <w:pPr>
              <w:keepNext w:val="0"/>
              <w:keepLines w:val="0"/>
              <w:suppressLineNumbers w:val="0"/>
              <w:bidi w:val="0"/>
              <w:adjustRightInd/>
              <w:snapToGrid/>
              <w:spacing w:before="0" w:beforeAutospacing="0" w:after="0" w:afterAutospacing="0" w:line="240" w:lineRule="auto"/>
              <w:ind w:left="0" w:leftChars="0" w:right="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学历</w:t>
            </w:r>
          </w:p>
        </w:tc>
        <w:tc>
          <w:tcPr>
            <w:tcW w:w="945" w:type="dxa"/>
            <w:noWrap w:val="0"/>
            <w:vAlign w:val="center"/>
          </w:tcPr>
          <w:p w14:paraId="7136AB9C">
            <w:pPr>
              <w:keepNext w:val="0"/>
              <w:keepLines w:val="0"/>
              <w:suppressLineNumbers w:val="0"/>
              <w:bidi w:val="0"/>
              <w:adjustRightInd/>
              <w:snapToGrid/>
              <w:spacing w:before="0" w:beforeAutospacing="0" w:after="0" w:afterAutospacing="0" w:line="240" w:lineRule="auto"/>
              <w:ind w:left="0" w:leftChars="0" w:right="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专业</w:t>
            </w:r>
          </w:p>
        </w:tc>
        <w:tc>
          <w:tcPr>
            <w:tcW w:w="1425" w:type="dxa"/>
            <w:noWrap w:val="0"/>
            <w:vAlign w:val="center"/>
          </w:tcPr>
          <w:p w14:paraId="6A6F07A4">
            <w:pPr>
              <w:keepNext w:val="0"/>
              <w:keepLines w:val="0"/>
              <w:suppressLineNumbers w:val="0"/>
              <w:bidi w:val="0"/>
              <w:adjustRightInd/>
              <w:snapToGrid/>
              <w:spacing w:before="0" w:beforeAutospacing="0" w:after="0" w:afterAutospacing="0" w:line="240" w:lineRule="auto"/>
              <w:ind w:left="0" w:leftChars="0" w:right="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工作年限</w:t>
            </w:r>
          </w:p>
        </w:tc>
        <w:tc>
          <w:tcPr>
            <w:tcW w:w="2100" w:type="dxa"/>
            <w:noWrap w:val="0"/>
            <w:vAlign w:val="center"/>
          </w:tcPr>
          <w:p w14:paraId="54FF670C">
            <w:pPr>
              <w:keepNext w:val="0"/>
              <w:keepLines w:val="0"/>
              <w:suppressLineNumbers w:val="0"/>
              <w:bidi w:val="0"/>
              <w:adjustRightInd/>
              <w:snapToGrid/>
              <w:spacing w:before="0" w:beforeAutospacing="0" w:after="0" w:afterAutospacing="0" w:line="240" w:lineRule="auto"/>
              <w:ind w:left="0" w:leftChars="0" w:right="0" w:firstLine="0" w:firstLine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拟承担工作内容</w:t>
            </w:r>
          </w:p>
        </w:tc>
      </w:tr>
      <w:tr w14:paraId="4D80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02" w:type="dxa"/>
            <w:noWrap w:val="0"/>
            <w:vAlign w:val="top"/>
          </w:tcPr>
          <w:p w14:paraId="32583B82">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1418" w:type="dxa"/>
            <w:noWrap w:val="0"/>
            <w:vAlign w:val="top"/>
          </w:tcPr>
          <w:p w14:paraId="494027B4">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709" w:type="dxa"/>
            <w:noWrap w:val="0"/>
            <w:vAlign w:val="top"/>
          </w:tcPr>
          <w:p w14:paraId="75B728E7">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921" w:type="dxa"/>
            <w:noWrap w:val="0"/>
            <w:vAlign w:val="top"/>
          </w:tcPr>
          <w:p w14:paraId="702B282F">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855" w:type="dxa"/>
            <w:noWrap w:val="0"/>
            <w:vAlign w:val="top"/>
          </w:tcPr>
          <w:p w14:paraId="19B361F8">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945" w:type="dxa"/>
            <w:noWrap w:val="0"/>
            <w:vAlign w:val="top"/>
          </w:tcPr>
          <w:p w14:paraId="710A678E">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1425" w:type="dxa"/>
            <w:noWrap w:val="0"/>
            <w:vAlign w:val="top"/>
          </w:tcPr>
          <w:p w14:paraId="1E2DA79A">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2100" w:type="dxa"/>
            <w:noWrap w:val="0"/>
            <w:vAlign w:val="top"/>
          </w:tcPr>
          <w:p w14:paraId="31E0BF98">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r>
      <w:tr w14:paraId="7571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02" w:type="dxa"/>
            <w:noWrap w:val="0"/>
            <w:vAlign w:val="top"/>
          </w:tcPr>
          <w:p w14:paraId="2376B7A8">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1418" w:type="dxa"/>
            <w:noWrap w:val="0"/>
            <w:vAlign w:val="top"/>
          </w:tcPr>
          <w:p w14:paraId="483012A8">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709" w:type="dxa"/>
            <w:noWrap w:val="0"/>
            <w:vAlign w:val="top"/>
          </w:tcPr>
          <w:p w14:paraId="3E8B646F">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921" w:type="dxa"/>
            <w:noWrap w:val="0"/>
            <w:vAlign w:val="top"/>
          </w:tcPr>
          <w:p w14:paraId="049199DD">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855" w:type="dxa"/>
            <w:noWrap w:val="0"/>
            <w:vAlign w:val="top"/>
          </w:tcPr>
          <w:p w14:paraId="31D9FA25">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945" w:type="dxa"/>
            <w:noWrap w:val="0"/>
            <w:vAlign w:val="top"/>
          </w:tcPr>
          <w:p w14:paraId="3E18D569">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1425" w:type="dxa"/>
            <w:noWrap w:val="0"/>
            <w:vAlign w:val="top"/>
          </w:tcPr>
          <w:p w14:paraId="31E80CB4">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2100" w:type="dxa"/>
            <w:noWrap w:val="0"/>
            <w:vAlign w:val="top"/>
          </w:tcPr>
          <w:p w14:paraId="33B0ED02">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r>
      <w:tr w14:paraId="0123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02" w:type="dxa"/>
            <w:noWrap w:val="0"/>
            <w:vAlign w:val="top"/>
          </w:tcPr>
          <w:p w14:paraId="3ED3EA8A">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1418" w:type="dxa"/>
            <w:noWrap w:val="0"/>
            <w:vAlign w:val="top"/>
          </w:tcPr>
          <w:p w14:paraId="36525DE7">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709" w:type="dxa"/>
            <w:noWrap w:val="0"/>
            <w:vAlign w:val="top"/>
          </w:tcPr>
          <w:p w14:paraId="41CF1EBA">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921" w:type="dxa"/>
            <w:noWrap w:val="0"/>
            <w:vAlign w:val="top"/>
          </w:tcPr>
          <w:p w14:paraId="5DE3A16A">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855" w:type="dxa"/>
            <w:noWrap w:val="0"/>
            <w:vAlign w:val="top"/>
          </w:tcPr>
          <w:p w14:paraId="3E9EA239">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945" w:type="dxa"/>
            <w:noWrap w:val="0"/>
            <w:vAlign w:val="top"/>
          </w:tcPr>
          <w:p w14:paraId="49ACFFB0">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1425" w:type="dxa"/>
            <w:noWrap w:val="0"/>
            <w:vAlign w:val="top"/>
          </w:tcPr>
          <w:p w14:paraId="6D5E5EE1">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2100" w:type="dxa"/>
            <w:noWrap w:val="0"/>
            <w:vAlign w:val="top"/>
          </w:tcPr>
          <w:p w14:paraId="3228F938">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r>
      <w:tr w14:paraId="5058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02" w:type="dxa"/>
            <w:noWrap w:val="0"/>
            <w:vAlign w:val="top"/>
          </w:tcPr>
          <w:p w14:paraId="1B5130B9">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1418" w:type="dxa"/>
            <w:noWrap w:val="0"/>
            <w:vAlign w:val="top"/>
          </w:tcPr>
          <w:p w14:paraId="27EFB983">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709" w:type="dxa"/>
            <w:noWrap w:val="0"/>
            <w:vAlign w:val="top"/>
          </w:tcPr>
          <w:p w14:paraId="37887F01">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921" w:type="dxa"/>
            <w:noWrap w:val="0"/>
            <w:vAlign w:val="top"/>
          </w:tcPr>
          <w:p w14:paraId="1D90603B">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855" w:type="dxa"/>
            <w:noWrap w:val="0"/>
            <w:vAlign w:val="top"/>
          </w:tcPr>
          <w:p w14:paraId="214247CE">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945" w:type="dxa"/>
            <w:noWrap w:val="0"/>
            <w:vAlign w:val="top"/>
          </w:tcPr>
          <w:p w14:paraId="37BED20B">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1425" w:type="dxa"/>
            <w:noWrap w:val="0"/>
            <w:vAlign w:val="top"/>
          </w:tcPr>
          <w:p w14:paraId="3ECC3DD3">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2100" w:type="dxa"/>
            <w:noWrap w:val="0"/>
            <w:vAlign w:val="top"/>
          </w:tcPr>
          <w:p w14:paraId="09F7067C">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r>
      <w:tr w14:paraId="69AD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02" w:type="dxa"/>
            <w:noWrap w:val="0"/>
            <w:vAlign w:val="top"/>
          </w:tcPr>
          <w:p w14:paraId="09B9089B">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1418" w:type="dxa"/>
            <w:noWrap w:val="0"/>
            <w:vAlign w:val="top"/>
          </w:tcPr>
          <w:p w14:paraId="29CE67EF">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709" w:type="dxa"/>
            <w:noWrap w:val="0"/>
            <w:vAlign w:val="top"/>
          </w:tcPr>
          <w:p w14:paraId="5A7D7A54">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921" w:type="dxa"/>
            <w:noWrap w:val="0"/>
            <w:vAlign w:val="top"/>
          </w:tcPr>
          <w:p w14:paraId="4FEE2C07">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855" w:type="dxa"/>
            <w:noWrap w:val="0"/>
            <w:vAlign w:val="top"/>
          </w:tcPr>
          <w:p w14:paraId="303C7EEA">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945" w:type="dxa"/>
            <w:noWrap w:val="0"/>
            <w:vAlign w:val="top"/>
          </w:tcPr>
          <w:p w14:paraId="3D804D68">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1425" w:type="dxa"/>
            <w:noWrap w:val="0"/>
            <w:vAlign w:val="top"/>
          </w:tcPr>
          <w:p w14:paraId="7E9CD619">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2100" w:type="dxa"/>
            <w:noWrap w:val="0"/>
            <w:vAlign w:val="top"/>
          </w:tcPr>
          <w:p w14:paraId="292000B1">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r>
      <w:tr w14:paraId="48BE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02" w:type="dxa"/>
            <w:noWrap w:val="0"/>
            <w:vAlign w:val="top"/>
          </w:tcPr>
          <w:p w14:paraId="5C62A5B4">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1418" w:type="dxa"/>
            <w:noWrap w:val="0"/>
            <w:vAlign w:val="top"/>
          </w:tcPr>
          <w:p w14:paraId="42700317">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709" w:type="dxa"/>
            <w:noWrap w:val="0"/>
            <w:vAlign w:val="top"/>
          </w:tcPr>
          <w:p w14:paraId="6686045C">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921" w:type="dxa"/>
            <w:noWrap w:val="0"/>
            <w:vAlign w:val="top"/>
          </w:tcPr>
          <w:p w14:paraId="45D17B0F">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855" w:type="dxa"/>
            <w:noWrap w:val="0"/>
            <w:vAlign w:val="top"/>
          </w:tcPr>
          <w:p w14:paraId="7448DF00">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945" w:type="dxa"/>
            <w:noWrap w:val="0"/>
            <w:vAlign w:val="top"/>
          </w:tcPr>
          <w:p w14:paraId="2C16B740">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1425" w:type="dxa"/>
            <w:noWrap w:val="0"/>
            <w:vAlign w:val="top"/>
          </w:tcPr>
          <w:p w14:paraId="1081CE92">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2100" w:type="dxa"/>
            <w:noWrap w:val="0"/>
            <w:vAlign w:val="top"/>
          </w:tcPr>
          <w:p w14:paraId="5C1AE79A">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r>
      <w:tr w14:paraId="1907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102" w:type="dxa"/>
            <w:noWrap w:val="0"/>
            <w:vAlign w:val="top"/>
          </w:tcPr>
          <w:p w14:paraId="2E019C54">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1418" w:type="dxa"/>
            <w:noWrap w:val="0"/>
            <w:vAlign w:val="top"/>
          </w:tcPr>
          <w:p w14:paraId="5DCFB347">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709" w:type="dxa"/>
            <w:noWrap w:val="0"/>
            <w:vAlign w:val="top"/>
          </w:tcPr>
          <w:p w14:paraId="520A6E68">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921" w:type="dxa"/>
            <w:noWrap w:val="0"/>
            <w:vAlign w:val="top"/>
          </w:tcPr>
          <w:p w14:paraId="61461E73">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855" w:type="dxa"/>
            <w:noWrap w:val="0"/>
            <w:vAlign w:val="top"/>
          </w:tcPr>
          <w:p w14:paraId="69BFA989">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945" w:type="dxa"/>
            <w:noWrap w:val="0"/>
            <w:vAlign w:val="top"/>
          </w:tcPr>
          <w:p w14:paraId="4AA15747">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1425" w:type="dxa"/>
            <w:noWrap w:val="0"/>
            <w:vAlign w:val="top"/>
          </w:tcPr>
          <w:p w14:paraId="7ED6A18C">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c>
          <w:tcPr>
            <w:tcW w:w="2100" w:type="dxa"/>
            <w:noWrap w:val="0"/>
            <w:vAlign w:val="top"/>
          </w:tcPr>
          <w:p w14:paraId="5B8A4B25">
            <w:pPr>
              <w:keepNext w:val="0"/>
              <w:keepLines w:val="0"/>
              <w:suppressLineNumbers w:val="0"/>
              <w:bidi w:val="0"/>
              <w:adjustRightInd/>
              <w:snapToGrid/>
              <w:spacing w:before="0" w:beforeAutospacing="0" w:after="0" w:afterAutospacing="0" w:line="240" w:lineRule="auto"/>
              <w:ind w:left="0" w:right="0"/>
              <w:rPr>
                <w:rFonts w:hint="eastAsia" w:asciiTheme="minorEastAsia" w:hAnsiTheme="minorEastAsia" w:eastAsiaTheme="minorEastAsia" w:cstheme="minorEastAsia"/>
                <w:sz w:val="24"/>
                <w:szCs w:val="24"/>
                <w:highlight w:val="none"/>
              </w:rPr>
            </w:pPr>
          </w:p>
        </w:tc>
      </w:tr>
    </w:tbl>
    <w:p w14:paraId="6B7B8519">
      <w:pPr>
        <w:shd w:val="clear"/>
        <w:tabs>
          <w:tab w:val="left" w:pos="5580"/>
        </w:tabs>
        <w:kinsoku/>
        <w:overflowPunct/>
        <w:topLinePunct w:val="0"/>
        <w:bidi w:val="0"/>
        <w:spacing w:before="156" w:beforeLines="50" w:after="156" w:afterLines="50" w:line="500" w:lineRule="exact"/>
        <w:rPr>
          <w:rFonts w:hint="eastAsia" w:ascii="宋体" w:hAnsi="宋体" w:eastAsia="宋体" w:cs="宋体"/>
          <w:color w:val="auto"/>
          <w:sz w:val="24"/>
          <w:szCs w:val="24"/>
          <w:highlight w:val="none"/>
        </w:rPr>
      </w:pPr>
    </w:p>
    <w:p w14:paraId="6129F267">
      <w:pPr>
        <w:shd w:val="clear"/>
        <w:tabs>
          <w:tab w:val="left" w:pos="5580"/>
        </w:tabs>
        <w:kinsoku/>
        <w:overflowPunct/>
        <w:topLinePunct w:val="0"/>
        <w:bidi w:val="0"/>
        <w:spacing w:before="156" w:beforeLines="50" w:after="156" w:afterLines="50" w:line="50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说明：</w:t>
      </w:r>
      <w:r>
        <w:rPr>
          <w:rFonts w:hint="eastAsia" w:asciiTheme="minorEastAsia" w:hAnsiTheme="minorEastAsia" w:eastAsiaTheme="minorEastAsia" w:cstheme="minorEastAsia"/>
          <w:sz w:val="24"/>
          <w:szCs w:val="24"/>
          <w:highlight w:val="none"/>
        </w:rPr>
        <w:t>须附身份证、证书复印件及近3个月本单位的社保缴纳证明</w:t>
      </w:r>
      <w:r>
        <w:rPr>
          <w:rFonts w:hint="eastAsia" w:asciiTheme="minorEastAsia" w:hAnsiTheme="minorEastAsia" w:eastAsiaTheme="minorEastAsia" w:cstheme="minorEastAsia"/>
          <w:sz w:val="24"/>
          <w:szCs w:val="24"/>
          <w:highlight w:val="none"/>
          <w:lang w:val="en-US" w:eastAsia="zh-CN"/>
        </w:rPr>
        <w:t>或劳动合同</w:t>
      </w:r>
      <w:r>
        <w:rPr>
          <w:rFonts w:hint="eastAsia" w:asciiTheme="minorEastAsia" w:hAnsiTheme="minorEastAsia" w:eastAsiaTheme="minorEastAsia" w:cstheme="minorEastAsia"/>
          <w:sz w:val="24"/>
          <w:szCs w:val="24"/>
          <w:highlight w:val="none"/>
        </w:rPr>
        <w:t>。（退休人员须提供退休证及劳动合同证明）。</w:t>
      </w:r>
    </w:p>
    <w:p w14:paraId="637C22E5">
      <w:pPr>
        <w:shd w:val="clear"/>
        <w:tabs>
          <w:tab w:val="left" w:pos="5580"/>
        </w:tabs>
        <w:kinsoku/>
        <w:overflowPunct/>
        <w:topLinePunct w:val="0"/>
        <w:bidi w:val="0"/>
        <w:spacing w:before="156" w:beforeLines="50" w:after="156" w:afterLines="50" w:line="500" w:lineRule="exact"/>
        <w:rPr>
          <w:rFonts w:hint="eastAsia" w:ascii="宋体" w:hAnsi="宋体" w:eastAsia="宋体" w:cs="宋体"/>
          <w:color w:val="auto"/>
          <w:kern w:val="0"/>
          <w:sz w:val="24"/>
          <w:szCs w:val="24"/>
          <w:highlight w:val="none"/>
        </w:rPr>
      </w:pPr>
    </w:p>
    <w:p w14:paraId="1C859541">
      <w:pPr>
        <w:shd w:val="clear"/>
        <w:tabs>
          <w:tab w:val="left" w:pos="5580"/>
        </w:tabs>
        <w:kinsoku/>
        <w:overflowPunct/>
        <w:topLinePunct w:val="0"/>
        <w:bidi w:val="0"/>
        <w:spacing w:before="156" w:beforeLines="50" w:after="156" w:afterLines="50" w:line="500" w:lineRule="exact"/>
        <w:rPr>
          <w:rFonts w:hint="eastAsia" w:ascii="宋体" w:hAnsi="宋体" w:eastAsia="宋体" w:cs="宋体"/>
          <w:color w:val="auto"/>
          <w:kern w:val="0"/>
          <w:sz w:val="24"/>
          <w:szCs w:val="24"/>
          <w:highlight w:val="none"/>
        </w:rPr>
      </w:pPr>
    </w:p>
    <w:p w14:paraId="05F1B0DE">
      <w:pPr>
        <w:shd w:val="clear"/>
        <w:tabs>
          <w:tab w:val="left" w:pos="5580"/>
        </w:tabs>
        <w:kinsoku/>
        <w:overflowPunct/>
        <w:topLinePunct w:val="0"/>
        <w:bidi w:val="0"/>
        <w:spacing w:before="156" w:beforeLines="50" w:after="156" w:afterLines="50" w:line="500" w:lineRule="exact"/>
        <w:rPr>
          <w:rFonts w:hint="eastAsia" w:ascii="宋体" w:hAnsi="宋体" w:eastAsia="宋体" w:cs="宋体"/>
          <w:color w:val="auto"/>
          <w:kern w:val="0"/>
          <w:sz w:val="24"/>
          <w:szCs w:val="24"/>
          <w:highlight w:val="none"/>
        </w:rPr>
      </w:pPr>
    </w:p>
    <w:p w14:paraId="764DF042">
      <w:pPr>
        <w:pStyle w:val="15"/>
        <w:numPr>
          <w:ilvl w:val="0"/>
          <w:numId w:val="0"/>
        </w:numPr>
        <w:ind w:leftChars="0" w:right="0" w:rightChars="0"/>
        <w:rPr>
          <w:rFonts w:hint="eastAsia"/>
        </w:rPr>
      </w:pPr>
    </w:p>
    <w:p w14:paraId="0632427D">
      <w:pPr>
        <w:shd w:val="clear"/>
        <w:tabs>
          <w:tab w:val="left" w:pos="5580"/>
        </w:tabs>
        <w:kinsoku/>
        <w:overflowPunct/>
        <w:topLinePunct w:val="0"/>
        <w:bidi w:val="0"/>
        <w:spacing w:before="156" w:beforeLines="50" w:after="156" w:afterLines="50" w:line="500" w:lineRule="exact"/>
        <w:rPr>
          <w:rFonts w:hint="eastAsia" w:ascii="宋体" w:hAnsi="宋体" w:eastAsia="宋体" w:cs="宋体"/>
          <w:color w:val="auto"/>
          <w:kern w:val="0"/>
          <w:sz w:val="24"/>
          <w:szCs w:val="24"/>
          <w:highlight w:val="none"/>
        </w:rPr>
      </w:pPr>
    </w:p>
    <w:p w14:paraId="00A8BE37">
      <w:pPr>
        <w:shd w:val="clear"/>
        <w:tabs>
          <w:tab w:val="left" w:pos="5580"/>
        </w:tabs>
        <w:kinsoku/>
        <w:overflowPunct/>
        <w:topLinePunct w:val="0"/>
        <w:bidi w:val="0"/>
        <w:spacing w:before="156" w:beforeLines="50" w:after="156" w:afterLines="50" w:line="500" w:lineRule="exact"/>
        <w:rPr>
          <w:rFonts w:hint="eastAsia" w:ascii="宋体" w:hAnsi="宋体" w:eastAsia="宋体" w:cs="宋体"/>
          <w:color w:val="auto"/>
          <w:kern w:val="0"/>
          <w:sz w:val="24"/>
          <w:szCs w:val="24"/>
          <w:highlight w:val="none"/>
        </w:rPr>
      </w:pPr>
    </w:p>
    <w:p w14:paraId="25350B71">
      <w:pPr>
        <w:shd w:val="clear"/>
        <w:tabs>
          <w:tab w:val="left" w:pos="5580"/>
        </w:tabs>
        <w:kinsoku/>
        <w:overflowPunct/>
        <w:topLinePunct w:val="0"/>
        <w:bidi w:val="0"/>
        <w:spacing w:before="156" w:beforeLines="50" w:after="156" w:afterLines="50" w:line="500" w:lineRule="exact"/>
        <w:rPr>
          <w:rFonts w:hint="eastAsia" w:ascii="宋体" w:hAnsi="宋体" w:eastAsia="宋体" w:cs="宋体"/>
          <w:color w:val="auto"/>
          <w:kern w:val="0"/>
          <w:sz w:val="24"/>
          <w:szCs w:val="24"/>
          <w:highlight w:val="none"/>
        </w:rPr>
      </w:pPr>
    </w:p>
    <w:p w14:paraId="038709D4">
      <w:pPr>
        <w:shd w:val="clear"/>
        <w:tabs>
          <w:tab w:val="left" w:pos="5580"/>
        </w:tabs>
        <w:kinsoku/>
        <w:overflowPunct/>
        <w:topLinePunct w:val="0"/>
        <w:bidi w:val="0"/>
        <w:spacing w:before="156" w:beforeLines="50" w:after="156" w:afterLines="50" w:line="500" w:lineRule="exact"/>
        <w:rPr>
          <w:rFonts w:hint="eastAsia" w:ascii="宋体" w:hAnsi="宋体" w:eastAsia="宋体" w:cs="宋体"/>
          <w:color w:val="auto"/>
          <w:kern w:val="0"/>
          <w:sz w:val="24"/>
          <w:szCs w:val="24"/>
          <w:highlight w:val="none"/>
        </w:rPr>
      </w:pPr>
    </w:p>
    <w:p w14:paraId="7CD12189">
      <w:pPr>
        <w:shd w:val="clear"/>
        <w:tabs>
          <w:tab w:val="left" w:pos="5580"/>
        </w:tabs>
        <w:kinsoku/>
        <w:overflowPunct/>
        <w:topLinePunct w:val="0"/>
        <w:bidi w:val="0"/>
        <w:spacing w:before="156" w:beforeLines="50" w:after="156" w:afterLines="50" w:line="5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2.项目负责人简历表</w:t>
      </w:r>
    </w:p>
    <w:tbl>
      <w:tblPr>
        <w:tblStyle w:val="34"/>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610"/>
        <w:gridCol w:w="840"/>
        <w:gridCol w:w="540"/>
        <w:gridCol w:w="1140"/>
        <w:gridCol w:w="1080"/>
        <w:gridCol w:w="405"/>
        <w:gridCol w:w="1395"/>
      </w:tblGrid>
      <w:tr w14:paraId="15A8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2052BDAE">
            <w:pPr>
              <w:pStyle w:val="86"/>
              <w:shd w:val="clear"/>
              <w:kinsoku/>
              <w:overflowPunct/>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797640D8">
            <w:pPr>
              <w:pStyle w:val="86"/>
              <w:shd w:val="clear"/>
              <w:kinsoku/>
              <w:overflowPunct/>
              <w:topLinePunct w:val="0"/>
              <w:bidi w:val="0"/>
              <w:spacing w:line="500" w:lineRule="exact"/>
              <w:ind w:firstLine="210"/>
              <w:jc w:val="center"/>
              <w:rPr>
                <w:rFonts w:hint="eastAsia" w:ascii="宋体" w:hAnsi="宋体" w:eastAsia="宋体" w:cs="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F84DCD2">
            <w:pPr>
              <w:pStyle w:val="86"/>
              <w:shd w:val="clear"/>
              <w:kinsoku/>
              <w:overflowPunct/>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14:paraId="543C4730">
            <w:pPr>
              <w:pStyle w:val="86"/>
              <w:shd w:val="clear"/>
              <w:kinsoku/>
              <w:overflowPunct/>
              <w:topLinePunct w:val="0"/>
              <w:bidi w:val="0"/>
              <w:spacing w:line="500" w:lineRule="exact"/>
              <w:ind w:firstLine="210"/>
              <w:jc w:val="center"/>
              <w:rPr>
                <w:rFonts w:hint="eastAsia" w:ascii="宋体" w:hAnsi="宋体" w:eastAsia="宋体" w:cs="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2C63AB">
            <w:pPr>
              <w:pStyle w:val="86"/>
              <w:shd w:val="clear"/>
              <w:kinsoku/>
              <w:overflowPunct/>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7432EDD3">
            <w:pPr>
              <w:pStyle w:val="86"/>
              <w:shd w:val="clear"/>
              <w:kinsoku/>
              <w:overflowPunct/>
              <w:topLinePunct w:val="0"/>
              <w:bidi w:val="0"/>
              <w:spacing w:line="500" w:lineRule="exact"/>
              <w:ind w:firstLine="210"/>
              <w:jc w:val="center"/>
              <w:rPr>
                <w:rFonts w:hint="eastAsia" w:ascii="宋体" w:hAnsi="宋体" w:eastAsia="宋体" w:cs="宋体"/>
                <w:color w:val="auto"/>
                <w:sz w:val="24"/>
                <w:szCs w:val="24"/>
                <w:highlight w:val="none"/>
              </w:rPr>
            </w:pPr>
          </w:p>
        </w:tc>
      </w:tr>
      <w:tr w14:paraId="2A02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7BA729FB">
            <w:pPr>
              <w:pStyle w:val="86"/>
              <w:shd w:val="clear"/>
              <w:kinsoku/>
              <w:overflowPunct/>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0D8AEE2B">
            <w:pPr>
              <w:pStyle w:val="86"/>
              <w:shd w:val="clear"/>
              <w:kinsoku/>
              <w:overflowPunct/>
              <w:topLinePunct w:val="0"/>
              <w:bidi w:val="0"/>
              <w:spacing w:line="500" w:lineRule="exact"/>
              <w:ind w:firstLine="210"/>
              <w:jc w:val="center"/>
              <w:rPr>
                <w:rFonts w:hint="eastAsia" w:ascii="宋体" w:hAnsi="宋体" w:eastAsia="宋体" w:cs="宋体"/>
                <w:color w:val="auto"/>
                <w:sz w:val="24"/>
                <w:szCs w:val="24"/>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784BBFB">
            <w:pPr>
              <w:pStyle w:val="86"/>
              <w:shd w:val="clear"/>
              <w:kinsoku/>
              <w:overflowPunct/>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680" w:type="dxa"/>
            <w:gridSpan w:val="2"/>
            <w:tcBorders>
              <w:top w:val="single" w:color="auto" w:sz="4" w:space="0"/>
              <w:left w:val="single" w:color="auto" w:sz="4" w:space="0"/>
              <w:bottom w:val="single" w:color="auto" w:sz="4" w:space="0"/>
              <w:right w:val="single" w:color="auto" w:sz="4" w:space="0"/>
            </w:tcBorders>
            <w:noWrap w:val="0"/>
            <w:vAlign w:val="center"/>
          </w:tcPr>
          <w:p w14:paraId="1574F432">
            <w:pPr>
              <w:pStyle w:val="86"/>
              <w:shd w:val="clear"/>
              <w:kinsoku/>
              <w:overflowPunct/>
              <w:topLinePunct w:val="0"/>
              <w:bidi w:val="0"/>
              <w:spacing w:line="500" w:lineRule="exact"/>
              <w:ind w:firstLine="210"/>
              <w:jc w:val="center"/>
              <w:rPr>
                <w:rFonts w:hint="eastAsia" w:ascii="宋体" w:hAnsi="宋体" w:eastAsia="宋体" w:cs="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2E54DE">
            <w:pPr>
              <w:pStyle w:val="86"/>
              <w:shd w:val="clear"/>
              <w:kinsoku/>
              <w:overflowPunct/>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注册证书初始日期</w:t>
            </w: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14:paraId="21E24694">
            <w:pPr>
              <w:pStyle w:val="86"/>
              <w:shd w:val="clear"/>
              <w:kinsoku/>
              <w:overflowPunct/>
              <w:topLinePunct w:val="0"/>
              <w:bidi w:val="0"/>
              <w:spacing w:line="500" w:lineRule="exact"/>
              <w:ind w:firstLine="210"/>
              <w:jc w:val="center"/>
              <w:rPr>
                <w:rFonts w:hint="eastAsia" w:ascii="宋体" w:hAnsi="宋体" w:eastAsia="宋体" w:cs="宋体"/>
                <w:color w:val="auto"/>
                <w:sz w:val="24"/>
                <w:szCs w:val="24"/>
                <w:highlight w:val="none"/>
              </w:rPr>
            </w:pPr>
          </w:p>
        </w:tc>
      </w:tr>
      <w:tr w14:paraId="29BF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45" w:type="dxa"/>
            <w:gridSpan w:val="2"/>
            <w:tcBorders>
              <w:top w:val="single" w:color="auto" w:sz="4" w:space="0"/>
              <w:left w:val="single" w:color="auto" w:sz="4" w:space="0"/>
              <w:bottom w:val="single" w:color="auto" w:sz="4" w:space="0"/>
              <w:right w:val="single" w:color="auto" w:sz="4" w:space="0"/>
            </w:tcBorders>
            <w:noWrap w:val="0"/>
            <w:vAlign w:val="center"/>
          </w:tcPr>
          <w:p w14:paraId="40A15D0A">
            <w:pPr>
              <w:pStyle w:val="86"/>
              <w:shd w:val="clear"/>
              <w:kinsoku/>
              <w:overflowPunct/>
              <w:topLinePunct w:val="0"/>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参加工作时间</w:t>
            </w: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14:paraId="060FDC8A">
            <w:pPr>
              <w:pStyle w:val="86"/>
              <w:shd w:val="clear"/>
              <w:kinsoku/>
              <w:overflowPunct/>
              <w:topLinePunct w:val="0"/>
              <w:bidi w:val="0"/>
              <w:spacing w:line="500" w:lineRule="exact"/>
              <w:ind w:firstLine="210"/>
              <w:jc w:val="center"/>
              <w:rPr>
                <w:rFonts w:hint="eastAsia" w:ascii="宋体" w:hAnsi="宋体" w:eastAsia="宋体" w:cs="宋体"/>
                <w:color w:val="auto"/>
                <w:sz w:val="24"/>
                <w:szCs w:val="24"/>
                <w:highlight w:val="none"/>
              </w:rPr>
            </w:pPr>
          </w:p>
        </w:tc>
        <w:tc>
          <w:tcPr>
            <w:tcW w:w="2625" w:type="dxa"/>
            <w:gridSpan w:val="3"/>
            <w:tcBorders>
              <w:top w:val="single" w:color="auto" w:sz="4" w:space="0"/>
              <w:left w:val="single" w:color="auto" w:sz="4" w:space="0"/>
              <w:bottom w:val="single" w:color="auto" w:sz="4" w:space="0"/>
              <w:right w:val="single" w:color="auto" w:sz="4" w:space="0"/>
            </w:tcBorders>
            <w:noWrap w:val="0"/>
            <w:vAlign w:val="center"/>
          </w:tcPr>
          <w:p w14:paraId="295F22CF">
            <w:pPr>
              <w:pStyle w:val="86"/>
              <w:shd w:val="clear"/>
              <w:kinsoku/>
              <w:overflowPunct/>
              <w:topLinePunct w:val="0"/>
              <w:bidi w:val="0"/>
              <w:spacing w:line="500" w:lineRule="exact"/>
              <w:ind w:firstLine="2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担任项目负责人年限</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E2221CA">
            <w:pPr>
              <w:pStyle w:val="86"/>
              <w:shd w:val="clear"/>
              <w:kinsoku/>
              <w:overflowPunct/>
              <w:topLinePunct w:val="0"/>
              <w:bidi w:val="0"/>
              <w:spacing w:line="500" w:lineRule="exact"/>
              <w:ind w:firstLine="210"/>
              <w:jc w:val="left"/>
              <w:rPr>
                <w:rFonts w:hint="eastAsia" w:ascii="宋体" w:hAnsi="宋体" w:eastAsia="宋体" w:cs="宋体"/>
                <w:color w:val="auto"/>
                <w:sz w:val="24"/>
                <w:szCs w:val="24"/>
                <w:highlight w:val="none"/>
              </w:rPr>
            </w:pPr>
          </w:p>
        </w:tc>
      </w:tr>
    </w:tbl>
    <w:p w14:paraId="3FACDD36">
      <w:pPr>
        <w:shd w:val="clear"/>
        <w:tabs>
          <w:tab w:val="left" w:pos="5580"/>
        </w:tabs>
        <w:kinsoku/>
        <w:overflowPunct/>
        <w:topLinePunct w:val="0"/>
        <w:bidi w:val="0"/>
        <w:spacing w:before="156" w:beforeLines="50" w:after="156" w:afterLines="50"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说明：本表</w:t>
      </w:r>
      <w:r>
        <w:rPr>
          <w:rFonts w:hint="eastAsia" w:asciiTheme="minorEastAsia" w:hAnsiTheme="minorEastAsia" w:eastAsiaTheme="minorEastAsia" w:cstheme="minorEastAsia"/>
          <w:sz w:val="24"/>
          <w:szCs w:val="24"/>
          <w:highlight w:val="none"/>
        </w:rPr>
        <w:t>须附身份证、证书复印件及近3个月本单位的社保缴纳证明</w:t>
      </w:r>
      <w:r>
        <w:rPr>
          <w:rFonts w:hint="eastAsia" w:asciiTheme="minorEastAsia" w:hAnsiTheme="minorEastAsia" w:eastAsiaTheme="minorEastAsia" w:cstheme="minorEastAsia"/>
          <w:sz w:val="24"/>
          <w:szCs w:val="24"/>
          <w:highlight w:val="none"/>
          <w:lang w:val="en-US" w:eastAsia="zh-CN"/>
        </w:rPr>
        <w:t>或劳动合同</w:t>
      </w:r>
      <w:r>
        <w:rPr>
          <w:rFonts w:hint="eastAsia" w:asciiTheme="minorEastAsia" w:hAnsiTheme="minorEastAsia" w:eastAsiaTheme="minorEastAsia" w:cstheme="minorEastAsia"/>
          <w:sz w:val="24"/>
          <w:szCs w:val="24"/>
          <w:highlight w:val="none"/>
        </w:rPr>
        <w:t>。（退休人员须提供退休证及劳动合同证明</w:t>
      </w:r>
      <w:r>
        <w:rPr>
          <w:rFonts w:hint="eastAsia" w:asciiTheme="minorEastAsia" w:hAnsiTheme="minorEastAsia" w:eastAsiaTheme="minorEastAsia" w:cstheme="minorEastAsia"/>
          <w:sz w:val="24"/>
          <w:szCs w:val="24"/>
          <w:highlight w:val="none"/>
          <w:lang w:val="en-US" w:eastAsia="zh-CN"/>
        </w:rPr>
        <w:t>或返聘协议</w:t>
      </w:r>
      <w:r>
        <w:rPr>
          <w:rFonts w:hint="eastAsia" w:asciiTheme="minorEastAsia" w:hAnsiTheme="minorEastAsia" w:eastAsiaTheme="minorEastAsia" w:cstheme="minorEastAsia"/>
          <w:sz w:val="24"/>
          <w:szCs w:val="24"/>
          <w:highlight w:val="none"/>
        </w:rPr>
        <w:t>）</w:t>
      </w:r>
    </w:p>
    <w:p w14:paraId="17A96939">
      <w:pPr>
        <w:shd w:val="clear"/>
        <w:kinsoku/>
        <w:overflowPunct/>
        <w:topLinePunct w:val="0"/>
        <w:bidi w:val="0"/>
        <w:spacing w:line="500" w:lineRule="exact"/>
        <w:ind w:firstLine="480" w:firstLineChars="200"/>
        <w:rPr>
          <w:rFonts w:hint="eastAsia" w:ascii="宋体" w:hAnsi="宋体" w:eastAsia="宋体" w:cs="宋体"/>
          <w:color w:val="auto"/>
          <w:sz w:val="24"/>
          <w:szCs w:val="24"/>
          <w:highlight w:val="none"/>
        </w:rPr>
      </w:pPr>
    </w:p>
    <w:p w14:paraId="42699BF0">
      <w:pPr>
        <w:shd w:val="clear"/>
        <w:kinsoku/>
        <w:overflowPunct/>
        <w:topLinePunct w:val="0"/>
        <w:bidi w:val="0"/>
        <w:spacing w:line="500" w:lineRule="exact"/>
        <w:ind w:firstLine="5760" w:firstLineChars="2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 xml:space="preserve">名称（盖章）：                            </w:t>
      </w:r>
    </w:p>
    <w:p w14:paraId="5ABDA823">
      <w:pPr>
        <w:shd w:val="clear"/>
        <w:kinsoku/>
        <w:overflowPunct/>
        <w:topLinePunct w:val="0"/>
        <w:bidi w:val="0"/>
        <w:spacing w:line="500" w:lineRule="exact"/>
        <w:ind w:firstLine="5040" w:firstLineChars="2100"/>
        <w:rPr>
          <w:rFonts w:hint="eastAsia" w:ascii="宋体" w:hAnsi="宋体" w:eastAsia="宋体" w:cs="宋体"/>
          <w:color w:val="auto"/>
          <w:sz w:val="24"/>
          <w:szCs w:val="24"/>
          <w:highlight w:val="none"/>
        </w:rPr>
      </w:pPr>
    </w:p>
    <w:p w14:paraId="1035F4CD">
      <w:pPr>
        <w:shd w:val="clear"/>
        <w:kinsoku/>
        <w:overflowPunct/>
        <w:topLinePunct w:val="0"/>
        <w:bidi w:val="0"/>
        <w:snapToGrid w:val="0"/>
        <w:spacing w:before="50" w:after="50" w:line="500" w:lineRule="exact"/>
        <w:ind w:left="6434" w:leftChars="331" w:right="-934" w:rightChars="-389" w:hanging="5640" w:hangingChars="235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日期：    年   月   日</w:t>
      </w:r>
    </w:p>
    <w:p w14:paraId="161E0D57">
      <w:pPr>
        <w:shd w:val="clear"/>
        <w:kinsoku/>
        <w:overflowPunct/>
        <w:topLinePunct w:val="0"/>
        <w:bidi w:val="0"/>
        <w:spacing w:line="500" w:lineRule="exact"/>
        <w:rPr>
          <w:rFonts w:hint="eastAsia" w:ascii="宋体" w:hAnsi="宋体" w:eastAsia="宋体" w:cs="宋体"/>
          <w:b/>
          <w:color w:val="auto"/>
          <w:sz w:val="24"/>
          <w:szCs w:val="24"/>
          <w:highlight w:val="none"/>
        </w:rPr>
      </w:pPr>
    </w:p>
    <w:p w14:paraId="017D7290">
      <w:pPr>
        <w:pStyle w:val="10"/>
        <w:shd w:val="clear"/>
        <w:kinsoku/>
        <w:overflowPunct/>
        <w:topLinePunct w:val="0"/>
        <w:bidi w:val="0"/>
        <w:spacing w:line="500" w:lineRule="exact"/>
        <w:rPr>
          <w:rFonts w:hint="eastAsia" w:ascii="宋体" w:hAnsi="宋体" w:eastAsia="宋体" w:cs="宋体"/>
          <w:color w:val="auto"/>
          <w:sz w:val="24"/>
          <w:szCs w:val="24"/>
          <w:highlight w:val="none"/>
        </w:rPr>
      </w:pPr>
    </w:p>
    <w:p w14:paraId="4A7E23DD">
      <w:pPr>
        <w:shd w:val="clear"/>
        <w:kinsoku/>
        <w:overflowPunct/>
        <w:topLinePunct w:val="0"/>
        <w:bidi w:val="0"/>
        <w:spacing w:line="500" w:lineRule="exact"/>
        <w:rPr>
          <w:rFonts w:hint="eastAsia" w:ascii="宋体" w:hAnsi="宋体" w:eastAsia="宋体" w:cs="宋体"/>
          <w:b/>
          <w:color w:val="auto"/>
          <w:sz w:val="24"/>
          <w:szCs w:val="24"/>
          <w:highlight w:val="none"/>
        </w:rPr>
      </w:pPr>
    </w:p>
    <w:p w14:paraId="25C1D2B1">
      <w:pPr>
        <w:shd w:val="clear"/>
        <w:kinsoku/>
        <w:overflowPunct/>
        <w:topLinePunct w:val="0"/>
        <w:bidi w:val="0"/>
        <w:spacing w:line="500" w:lineRule="exact"/>
        <w:rPr>
          <w:rFonts w:hint="eastAsia" w:ascii="宋体" w:hAnsi="宋体" w:eastAsia="宋体" w:cs="宋体"/>
          <w:b/>
          <w:color w:val="auto"/>
          <w:sz w:val="24"/>
          <w:szCs w:val="24"/>
          <w:highlight w:val="none"/>
        </w:rPr>
      </w:pPr>
    </w:p>
    <w:p w14:paraId="31D698BD">
      <w:pPr>
        <w:shd w:val="clear"/>
        <w:kinsoku/>
        <w:overflowPunct/>
        <w:topLinePunct w:val="0"/>
        <w:bidi w:val="0"/>
        <w:spacing w:line="500" w:lineRule="exact"/>
        <w:rPr>
          <w:rFonts w:hint="eastAsia" w:ascii="宋体" w:hAnsi="宋体" w:eastAsia="宋体" w:cs="宋体"/>
          <w:b/>
          <w:color w:val="auto"/>
          <w:sz w:val="24"/>
          <w:szCs w:val="24"/>
          <w:highlight w:val="none"/>
        </w:rPr>
      </w:pPr>
    </w:p>
    <w:p w14:paraId="448134AE">
      <w:pPr>
        <w:shd w:val="clear"/>
        <w:kinsoku/>
        <w:overflowPunct/>
        <w:topLinePunct w:val="0"/>
        <w:bidi w:val="0"/>
        <w:spacing w:line="500" w:lineRule="exact"/>
        <w:rPr>
          <w:rFonts w:hint="eastAsia" w:ascii="宋体" w:hAnsi="宋体" w:eastAsia="宋体" w:cs="宋体"/>
          <w:b/>
          <w:color w:val="auto"/>
          <w:sz w:val="24"/>
          <w:szCs w:val="24"/>
          <w:highlight w:val="none"/>
        </w:rPr>
      </w:pPr>
    </w:p>
    <w:p w14:paraId="2056A5EE">
      <w:pPr>
        <w:pStyle w:val="15"/>
        <w:numPr>
          <w:ilvl w:val="0"/>
          <w:numId w:val="0"/>
        </w:numPr>
        <w:ind w:leftChars="0" w:right="0" w:rightChars="0"/>
        <w:rPr>
          <w:rFonts w:hint="eastAsia"/>
        </w:rPr>
      </w:pPr>
    </w:p>
    <w:p w14:paraId="6485F692">
      <w:pPr>
        <w:shd w:val="clear"/>
        <w:kinsoku/>
        <w:overflowPunct/>
        <w:topLinePunct w:val="0"/>
        <w:bidi w:val="0"/>
        <w:spacing w:line="500" w:lineRule="exact"/>
        <w:rPr>
          <w:rFonts w:hint="eastAsia" w:ascii="宋体" w:hAnsi="宋体" w:eastAsia="宋体" w:cs="宋体"/>
          <w:b/>
          <w:color w:val="auto"/>
          <w:sz w:val="24"/>
          <w:szCs w:val="24"/>
          <w:highlight w:val="none"/>
        </w:rPr>
      </w:pPr>
    </w:p>
    <w:p w14:paraId="1321E758">
      <w:pPr>
        <w:shd w:val="clear"/>
        <w:kinsoku/>
        <w:overflowPunct/>
        <w:topLinePunct w:val="0"/>
        <w:bidi w:val="0"/>
        <w:spacing w:line="500" w:lineRule="exact"/>
        <w:rPr>
          <w:rFonts w:hint="eastAsia" w:ascii="宋体" w:hAnsi="宋体" w:eastAsia="宋体" w:cs="宋体"/>
          <w:b/>
          <w:color w:val="auto"/>
          <w:sz w:val="24"/>
          <w:szCs w:val="24"/>
          <w:highlight w:val="none"/>
        </w:rPr>
      </w:pPr>
    </w:p>
    <w:p w14:paraId="4708F025">
      <w:pPr>
        <w:shd w:val="clear"/>
        <w:kinsoku/>
        <w:overflowPunct/>
        <w:topLinePunct w:val="0"/>
        <w:bidi w:val="0"/>
        <w:spacing w:line="500" w:lineRule="exact"/>
        <w:rPr>
          <w:rFonts w:hint="eastAsia" w:ascii="宋体" w:hAnsi="宋体" w:eastAsia="宋体" w:cs="宋体"/>
          <w:b/>
          <w:color w:val="auto"/>
          <w:sz w:val="24"/>
          <w:szCs w:val="24"/>
          <w:highlight w:val="none"/>
        </w:rPr>
      </w:pPr>
    </w:p>
    <w:p w14:paraId="60CDD98E">
      <w:pPr>
        <w:shd w:val="clear"/>
        <w:kinsoku/>
        <w:overflowPunct/>
        <w:topLinePunct w:val="0"/>
        <w:bidi w:val="0"/>
        <w:spacing w:line="500" w:lineRule="exact"/>
        <w:rPr>
          <w:rFonts w:hint="eastAsia" w:ascii="宋体" w:hAnsi="宋体" w:eastAsia="宋体" w:cs="宋体"/>
          <w:b/>
          <w:color w:val="auto"/>
          <w:sz w:val="24"/>
          <w:szCs w:val="24"/>
          <w:highlight w:val="none"/>
        </w:rPr>
      </w:pPr>
    </w:p>
    <w:p w14:paraId="5031052C">
      <w:pPr>
        <w:shd w:val="clear"/>
        <w:kinsoku/>
        <w:overflowPunct/>
        <w:topLinePunct w:val="0"/>
        <w:bidi w:val="0"/>
        <w:spacing w:line="500" w:lineRule="exact"/>
        <w:rPr>
          <w:rFonts w:hint="eastAsia" w:ascii="宋体" w:hAnsi="宋体" w:eastAsia="宋体" w:cs="宋体"/>
          <w:b/>
          <w:color w:val="auto"/>
          <w:sz w:val="24"/>
          <w:szCs w:val="24"/>
          <w:highlight w:val="none"/>
        </w:rPr>
      </w:pPr>
    </w:p>
    <w:p w14:paraId="705FBF80">
      <w:pPr>
        <w:pStyle w:val="2"/>
        <w:rPr>
          <w:rFonts w:hint="eastAsia" w:ascii="宋体" w:hAnsi="宋体" w:eastAsia="宋体" w:cs="宋体"/>
          <w:b/>
          <w:color w:val="auto"/>
          <w:sz w:val="24"/>
          <w:szCs w:val="24"/>
          <w:highlight w:val="none"/>
        </w:rPr>
      </w:pPr>
    </w:p>
    <w:p w14:paraId="45797ECB">
      <w:pPr>
        <w:pStyle w:val="2"/>
        <w:rPr>
          <w:rFonts w:hint="eastAsia" w:ascii="宋体" w:hAnsi="宋体" w:eastAsia="宋体" w:cs="宋体"/>
          <w:b/>
          <w:color w:val="auto"/>
          <w:sz w:val="24"/>
          <w:szCs w:val="24"/>
          <w:highlight w:val="none"/>
        </w:rPr>
      </w:pPr>
    </w:p>
    <w:p w14:paraId="0F30B096">
      <w:pPr>
        <w:shd w:val="clear"/>
        <w:kinsoku/>
        <w:overflowPunct/>
        <w:topLinePunct w:val="0"/>
        <w:bidi w:val="0"/>
        <w:spacing w:line="500" w:lineRule="exact"/>
        <w:rPr>
          <w:rFonts w:hint="eastAsia" w:ascii="宋体" w:hAnsi="宋体" w:eastAsia="宋体" w:cs="宋体"/>
          <w:b/>
          <w:color w:val="auto"/>
          <w:sz w:val="24"/>
          <w:szCs w:val="24"/>
          <w:highlight w:val="none"/>
        </w:rPr>
      </w:pPr>
    </w:p>
    <w:p w14:paraId="52E3A89C">
      <w:pPr>
        <w:shd w:val="clear"/>
        <w:kinsoku/>
        <w:overflowPunct/>
        <w:topLinePunct w:val="0"/>
        <w:bidi w:val="0"/>
        <w:spacing w:line="500" w:lineRule="exact"/>
        <w:outlineLvl w:val="0"/>
        <w:rPr>
          <w:rFonts w:hint="eastAsia" w:ascii="宋体" w:hAnsi="宋体" w:eastAsia="宋体" w:cs="宋体"/>
          <w:b/>
          <w:bCs w:val="0"/>
          <w:color w:val="auto"/>
          <w:sz w:val="24"/>
          <w:szCs w:val="24"/>
          <w:highlight w:val="none"/>
          <w:lang w:eastAsia="zh-CN"/>
        </w:rPr>
      </w:pPr>
      <w:bookmarkStart w:id="306" w:name="_Toc28982"/>
      <w:bookmarkStart w:id="307" w:name="_Toc15298"/>
      <w:bookmarkStart w:id="308" w:name="_Toc27212"/>
      <w:bookmarkStart w:id="309" w:name="_Toc2307"/>
      <w:r>
        <w:rPr>
          <w:rFonts w:hint="eastAsia" w:ascii="宋体" w:hAnsi="宋体" w:eastAsia="宋体" w:cs="宋体"/>
          <w:b/>
          <w:bCs w:val="0"/>
          <w:color w:val="auto"/>
          <w:sz w:val="24"/>
          <w:szCs w:val="24"/>
          <w:highlight w:val="none"/>
          <w:lang w:val="en-US" w:eastAsia="zh-CN"/>
        </w:rPr>
        <w:t>四</w:t>
      </w:r>
      <w:r>
        <w:rPr>
          <w:rFonts w:hint="eastAsia" w:ascii="宋体" w:hAnsi="宋体" w:eastAsia="宋体" w:cs="宋体"/>
          <w:b/>
          <w:bCs w:val="0"/>
          <w:color w:val="auto"/>
          <w:sz w:val="24"/>
          <w:szCs w:val="24"/>
          <w:highlight w:val="none"/>
        </w:rPr>
        <w:t>、其他服务承诺</w:t>
      </w:r>
      <w:bookmarkEnd w:id="306"/>
      <w:bookmarkEnd w:id="307"/>
      <w:bookmarkEnd w:id="308"/>
      <w:bookmarkEnd w:id="309"/>
    </w:p>
    <w:p w14:paraId="46A68FDB">
      <w:pPr>
        <w:pStyle w:val="8"/>
        <w:shd w:val="clear"/>
        <w:kinsoku/>
        <w:overflowPunct/>
        <w:topLinePunct w:val="0"/>
        <w:bidi w:val="0"/>
        <w:spacing w:line="500" w:lineRule="exact"/>
        <w:ind w:firstLine="480"/>
        <w:rPr>
          <w:rFonts w:hint="eastAsia" w:ascii="宋体" w:hAnsi="宋体" w:eastAsia="宋体" w:cs="宋体"/>
          <w:bCs/>
          <w:color w:val="auto"/>
          <w:sz w:val="24"/>
          <w:szCs w:val="24"/>
          <w:highlight w:val="none"/>
        </w:rPr>
      </w:pPr>
    </w:p>
    <w:p w14:paraId="7BD36986">
      <w:pPr>
        <w:shd w:val="clear"/>
        <w:kinsoku/>
        <w:overflowPunct/>
        <w:topLinePunct w:val="0"/>
        <w:bidi w:val="0"/>
        <w:spacing w:line="500" w:lineRule="exact"/>
        <w:rPr>
          <w:rFonts w:hint="eastAsia" w:ascii="宋体" w:hAnsi="宋体" w:eastAsia="宋体" w:cs="宋体"/>
          <w:b/>
          <w:color w:val="auto"/>
          <w:sz w:val="24"/>
          <w:szCs w:val="24"/>
          <w:highlight w:val="none"/>
        </w:rPr>
      </w:pPr>
    </w:p>
    <w:p w14:paraId="7A94FFDC">
      <w:pPr>
        <w:shd w:val="clear"/>
        <w:kinsoku/>
        <w:overflowPunct/>
        <w:topLinePunct w:val="0"/>
        <w:bidi w:val="0"/>
        <w:spacing w:line="500" w:lineRule="exact"/>
        <w:rPr>
          <w:rFonts w:hint="eastAsia" w:ascii="宋体" w:hAnsi="宋体" w:eastAsia="宋体" w:cs="宋体"/>
          <w:b/>
          <w:color w:val="auto"/>
          <w:sz w:val="24"/>
          <w:szCs w:val="24"/>
          <w:highlight w:val="none"/>
        </w:rPr>
      </w:pPr>
    </w:p>
    <w:p w14:paraId="3BFB19BA">
      <w:pPr>
        <w:shd w:val="clear"/>
        <w:kinsoku/>
        <w:overflowPunct/>
        <w:topLinePunct w:val="0"/>
        <w:bidi w:val="0"/>
        <w:spacing w:line="500" w:lineRule="exact"/>
        <w:rPr>
          <w:rFonts w:hint="eastAsia" w:ascii="宋体" w:hAnsi="宋体" w:eastAsia="宋体" w:cs="宋体"/>
          <w:b/>
          <w:color w:val="auto"/>
          <w:sz w:val="24"/>
          <w:szCs w:val="24"/>
          <w:highlight w:val="none"/>
        </w:rPr>
      </w:pPr>
    </w:p>
    <w:p w14:paraId="592C7A46">
      <w:pPr>
        <w:shd w:val="clear"/>
        <w:kinsoku/>
        <w:overflowPunct/>
        <w:topLinePunct w:val="0"/>
        <w:bidi w:val="0"/>
        <w:spacing w:line="500" w:lineRule="exact"/>
        <w:rPr>
          <w:rFonts w:hint="eastAsia" w:ascii="宋体" w:hAnsi="宋体" w:eastAsia="宋体" w:cs="宋体"/>
          <w:b/>
          <w:color w:val="auto"/>
          <w:sz w:val="24"/>
          <w:szCs w:val="24"/>
          <w:highlight w:val="none"/>
        </w:rPr>
      </w:pPr>
    </w:p>
    <w:p w14:paraId="521126C4">
      <w:pPr>
        <w:shd w:val="clear"/>
        <w:kinsoku/>
        <w:overflowPunct/>
        <w:topLinePunct w:val="0"/>
        <w:bidi w:val="0"/>
        <w:spacing w:line="500" w:lineRule="exact"/>
        <w:rPr>
          <w:rFonts w:hint="eastAsia" w:ascii="宋体" w:hAnsi="宋体" w:eastAsia="宋体" w:cs="宋体"/>
          <w:b/>
          <w:color w:val="auto"/>
          <w:sz w:val="24"/>
          <w:szCs w:val="24"/>
          <w:highlight w:val="none"/>
        </w:rPr>
      </w:pPr>
    </w:p>
    <w:p w14:paraId="0E9E56A5">
      <w:pPr>
        <w:shd w:val="clear"/>
        <w:kinsoku/>
        <w:overflowPunct/>
        <w:topLinePunct w:val="0"/>
        <w:bidi w:val="0"/>
        <w:spacing w:line="500" w:lineRule="exact"/>
        <w:rPr>
          <w:rFonts w:hint="eastAsia" w:ascii="宋体" w:hAnsi="宋体" w:eastAsia="宋体" w:cs="宋体"/>
          <w:b/>
          <w:color w:val="auto"/>
          <w:sz w:val="24"/>
          <w:szCs w:val="24"/>
          <w:highlight w:val="none"/>
        </w:rPr>
      </w:pPr>
    </w:p>
    <w:p w14:paraId="2402C785">
      <w:pPr>
        <w:shd w:val="clear"/>
        <w:kinsoku/>
        <w:overflowPunct/>
        <w:topLinePunct w:val="0"/>
        <w:bidi w:val="0"/>
        <w:spacing w:line="500" w:lineRule="exact"/>
        <w:rPr>
          <w:rFonts w:hint="eastAsia" w:ascii="宋体" w:hAnsi="宋体" w:eastAsia="宋体" w:cs="宋体"/>
          <w:b/>
          <w:color w:val="auto"/>
          <w:sz w:val="24"/>
          <w:szCs w:val="24"/>
          <w:highlight w:val="none"/>
        </w:rPr>
      </w:pPr>
    </w:p>
    <w:p w14:paraId="1FD51200">
      <w:pPr>
        <w:shd w:val="clear"/>
        <w:kinsoku/>
        <w:overflowPunct/>
        <w:topLinePunct w:val="0"/>
        <w:bidi w:val="0"/>
        <w:spacing w:line="500" w:lineRule="exact"/>
        <w:rPr>
          <w:rFonts w:hint="eastAsia" w:ascii="宋体" w:hAnsi="宋体" w:eastAsia="宋体" w:cs="宋体"/>
          <w:b/>
          <w:color w:val="auto"/>
          <w:sz w:val="24"/>
          <w:szCs w:val="24"/>
          <w:highlight w:val="none"/>
        </w:rPr>
      </w:pPr>
    </w:p>
    <w:p w14:paraId="73EEE405">
      <w:pPr>
        <w:shd w:val="clear"/>
        <w:kinsoku/>
        <w:overflowPunct/>
        <w:topLinePunct w:val="0"/>
        <w:bidi w:val="0"/>
        <w:spacing w:line="500" w:lineRule="exact"/>
        <w:rPr>
          <w:rFonts w:hint="eastAsia" w:ascii="宋体" w:hAnsi="宋体" w:eastAsia="宋体" w:cs="宋体"/>
          <w:b/>
          <w:color w:val="auto"/>
          <w:sz w:val="24"/>
          <w:szCs w:val="24"/>
          <w:highlight w:val="none"/>
        </w:rPr>
      </w:pPr>
    </w:p>
    <w:p w14:paraId="08407FC4">
      <w:pPr>
        <w:shd w:val="clear"/>
        <w:kinsoku/>
        <w:overflowPunct/>
        <w:topLinePunct w:val="0"/>
        <w:bidi w:val="0"/>
        <w:spacing w:line="500" w:lineRule="exact"/>
        <w:rPr>
          <w:rFonts w:hint="eastAsia" w:ascii="宋体" w:hAnsi="宋体" w:eastAsia="宋体" w:cs="宋体"/>
          <w:b/>
          <w:color w:val="auto"/>
          <w:sz w:val="24"/>
          <w:szCs w:val="24"/>
          <w:highlight w:val="none"/>
        </w:rPr>
      </w:pPr>
    </w:p>
    <w:p w14:paraId="7A876D20">
      <w:pPr>
        <w:shd w:val="clear"/>
        <w:kinsoku/>
        <w:overflowPunct/>
        <w:topLinePunct w:val="0"/>
        <w:bidi w:val="0"/>
        <w:spacing w:line="500" w:lineRule="exact"/>
        <w:rPr>
          <w:rFonts w:hint="eastAsia" w:ascii="宋体" w:hAnsi="宋体" w:eastAsia="宋体" w:cs="宋体"/>
          <w:b/>
          <w:color w:val="auto"/>
          <w:sz w:val="24"/>
          <w:szCs w:val="24"/>
          <w:highlight w:val="none"/>
        </w:rPr>
      </w:pPr>
    </w:p>
    <w:p w14:paraId="017C061C">
      <w:pPr>
        <w:shd w:val="clear"/>
        <w:kinsoku/>
        <w:overflowPunct/>
        <w:topLinePunct w:val="0"/>
        <w:bidi w:val="0"/>
        <w:spacing w:line="500" w:lineRule="exact"/>
        <w:rPr>
          <w:rFonts w:hint="eastAsia" w:ascii="宋体" w:hAnsi="宋体" w:eastAsia="宋体" w:cs="宋体"/>
          <w:b/>
          <w:color w:val="auto"/>
          <w:sz w:val="24"/>
          <w:szCs w:val="24"/>
          <w:highlight w:val="none"/>
        </w:rPr>
      </w:pPr>
    </w:p>
    <w:p w14:paraId="41E4D6E6">
      <w:pPr>
        <w:shd w:val="clear"/>
        <w:kinsoku/>
        <w:overflowPunct/>
        <w:topLinePunct w:val="0"/>
        <w:bidi w:val="0"/>
        <w:spacing w:line="500" w:lineRule="exact"/>
        <w:rPr>
          <w:rFonts w:hint="eastAsia" w:ascii="宋体" w:hAnsi="宋体" w:eastAsia="宋体" w:cs="宋体"/>
          <w:b/>
          <w:color w:val="auto"/>
          <w:sz w:val="24"/>
          <w:szCs w:val="24"/>
          <w:highlight w:val="none"/>
        </w:rPr>
      </w:pPr>
    </w:p>
    <w:p w14:paraId="6D0BAC9F">
      <w:pPr>
        <w:shd w:val="clear"/>
        <w:kinsoku/>
        <w:overflowPunct/>
        <w:topLinePunct w:val="0"/>
        <w:bidi w:val="0"/>
        <w:spacing w:line="500" w:lineRule="exact"/>
        <w:rPr>
          <w:rFonts w:hint="eastAsia" w:ascii="宋体" w:hAnsi="宋体" w:eastAsia="宋体" w:cs="宋体"/>
          <w:b/>
          <w:color w:val="auto"/>
          <w:sz w:val="24"/>
          <w:szCs w:val="24"/>
          <w:highlight w:val="none"/>
        </w:rPr>
      </w:pPr>
    </w:p>
    <w:p w14:paraId="7C80C745">
      <w:pPr>
        <w:shd w:val="clear"/>
        <w:kinsoku/>
        <w:overflowPunct/>
        <w:topLinePunct w:val="0"/>
        <w:bidi w:val="0"/>
        <w:spacing w:line="500" w:lineRule="exact"/>
        <w:rPr>
          <w:rFonts w:hint="eastAsia" w:ascii="宋体" w:hAnsi="宋体" w:eastAsia="宋体" w:cs="宋体"/>
          <w:b/>
          <w:color w:val="auto"/>
          <w:sz w:val="24"/>
          <w:szCs w:val="24"/>
          <w:highlight w:val="none"/>
        </w:rPr>
      </w:pPr>
    </w:p>
    <w:p w14:paraId="16F886BA">
      <w:pPr>
        <w:shd w:val="clear"/>
        <w:kinsoku/>
        <w:overflowPunct/>
        <w:topLinePunct w:val="0"/>
        <w:bidi w:val="0"/>
        <w:spacing w:line="500" w:lineRule="exact"/>
        <w:rPr>
          <w:rFonts w:hint="eastAsia" w:ascii="宋体" w:hAnsi="宋体" w:eastAsia="宋体" w:cs="宋体"/>
          <w:b/>
          <w:color w:val="auto"/>
          <w:sz w:val="24"/>
          <w:szCs w:val="24"/>
          <w:highlight w:val="none"/>
        </w:rPr>
      </w:pPr>
    </w:p>
    <w:p w14:paraId="560D367E">
      <w:pPr>
        <w:shd w:val="clear"/>
        <w:kinsoku/>
        <w:overflowPunct/>
        <w:topLinePunct w:val="0"/>
        <w:bidi w:val="0"/>
        <w:spacing w:line="500" w:lineRule="exact"/>
        <w:rPr>
          <w:rFonts w:hint="eastAsia" w:ascii="宋体" w:hAnsi="宋体" w:eastAsia="宋体" w:cs="宋体"/>
          <w:b/>
          <w:color w:val="auto"/>
          <w:sz w:val="24"/>
          <w:szCs w:val="24"/>
          <w:highlight w:val="none"/>
        </w:rPr>
      </w:pPr>
    </w:p>
    <w:p w14:paraId="23D17F1C">
      <w:pPr>
        <w:shd w:val="clear"/>
        <w:kinsoku/>
        <w:overflowPunct/>
        <w:topLinePunct w:val="0"/>
        <w:bidi w:val="0"/>
        <w:spacing w:line="500" w:lineRule="exact"/>
        <w:rPr>
          <w:rFonts w:hint="eastAsia" w:ascii="宋体" w:hAnsi="宋体" w:eastAsia="宋体" w:cs="宋体"/>
          <w:b/>
          <w:color w:val="auto"/>
          <w:sz w:val="24"/>
          <w:szCs w:val="24"/>
          <w:highlight w:val="none"/>
        </w:rPr>
      </w:pPr>
    </w:p>
    <w:p w14:paraId="0A9CFA16">
      <w:pPr>
        <w:shd w:val="clear"/>
        <w:kinsoku/>
        <w:overflowPunct/>
        <w:topLinePunct w:val="0"/>
        <w:bidi w:val="0"/>
        <w:spacing w:line="500" w:lineRule="exact"/>
        <w:rPr>
          <w:rFonts w:hint="eastAsia" w:ascii="宋体" w:hAnsi="宋体" w:eastAsia="宋体" w:cs="宋体"/>
          <w:b/>
          <w:color w:val="auto"/>
          <w:sz w:val="24"/>
          <w:szCs w:val="24"/>
          <w:highlight w:val="none"/>
        </w:rPr>
      </w:pPr>
    </w:p>
    <w:p w14:paraId="5CF24A62">
      <w:pPr>
        <w:shd w:val="clear"/>
        <w:kinsoku/>
        <w:overflowPunct/>
        <w:topLinePunct w:val="0"/>
        <w:bidi w:val="0"/>
        <w:spacing w:line="500" w:lineRule="exact"/>
        <w:rPr>
          <w:rFonts w:hint="eastAsia" w:ascii="宋体" w:hAnsi="宋体" w:eastAsia="宋体" w:cs="宋体"/>
          <w:b/>
          <w:color w:val="auto"/>
          <w:sz w:val="24"/>
          <w:szCs w:val="24"/>
          <w:highlight w:val="none"/>
        </w:rPr>
      </w:pPr>
    </w:p>
    <w:p w14:paraId="04A8AC8A">
      <w:pPr>
        <w:shd w:val="clear"/>
        <w:kinsoku/>
        <w:overflowPunct/>
        <w:topLinePunct w:val="0"/>
        <w:bidi w:val="0"/>
        <w:spacing w:line="500" w:lineRule="exact"/>
        <w:rPr>
          <w:rFonts w:hint="eastAsia" w:ascii="宋体" w:hAnsi="宋体" w:eastAsia="宋体" w:cs="宋体"/>
          <w:b/>
          <w:color w:val="auto"/>
          <w:sz w:val="24"/>
          <w:szCs w:val="24"/>
          <w:highlight w:val="none"/>
        </w:rPr>
      </w:pPr>
    </w:p>
    <w:p w14:paraId="184BDDD0">
      <w:pPr>
        <w:shd w:val="clear"/>
        <w:kinsoku/>
        <w:overflowPunct/>
        <w:topLinePunct w:val="0"/>
        <w:bidi w:val="0"/>
        <w:spacing w:line="500" w:lineRule="exact"/>
        <w:rPr>
          <w:rFonts w:hint="eastAsia" w:ascii="宋体" w:hAnsi="宋体" w:eastAsia="宋体" w:cs="宋体"/>
          <w:b/>
          <w:color w:val="auto"/>
          <w:sz w:val="24"/>
          <w:szCs w:val="24"/>
          <w:highlight w:val="none"/>
        </w:rPr>
      </w:pPr>
    </w:p>
    <w:p w14:paraId="1C504C04">
      <w:pPr>
        <w:shd w:val="clear"/>
        <w:kinsoku/>
        <w:overflowPunct/>
        <w:topLinePunct w:val="0"/>
        <w:bidi w:val="0"/>
        <w:spacing w:line="500" w:lineRule="exact"/>
        <w:rPr>
          <w:rFonts w:hint="eastAsia" w:ascii="宋体" w:hAnsi="宋体" w:eastAsia="宋体" w:cs="宋体"/>
          <w:b/>
          <w:color w:val="auto"/>
          <w:sz w:val="24"/>
          <w:szCs w:val="24"/>
          <w:highlight w:val="none"/>
        </w:rPr>
      </w:pPr>
    </w:p>
    <w:p w14:paraId="02370F6F">
      <w:pPr>
        <w:shd w:val="clear"/>
        <w:kinsoku/>
        <w:overflowPunct/>
        <w:topLinePunct w:val="0"/>
        <w:bidi w:val="0"/>
        <w:spacing w:line="500" w:lineRule="exact"/>
        <w:rPr>
          <w:rFonts w:hint="eastAsia" w:ascii="宋体" w:hAnsi="宋体" w:eastAsia="宋体" w:cs="宋体"/>
          <w:b/>
          <w:color w:val="auto"/>
          <w:sz w:val="24"/>
          <w:szCs w:val="24"/>
          <w:highlight w:val="none"/>
        </w:rPr>
      </w:pPr>
    </w:p>
    <w:p w14:paraId="5238F324">
      <w:pPr>
        <w:shd w:val="clear"/>
        <w:kinsoku/>
        <w:overflowPunct/>
        <w:topLinePunct w:val="0"/>
        <w:bidi w:val="0"/>
        <w:spacing w:line="500" w:lineRule="exact"/>
        <w:rPr>
          <w:rFonts w:hint="eastAsia" w:ascii="宋体" w:hAnsi="宋体" w:eastAsia="宋体" w:cs="宋体"/>
          <w:b/>
          <w:color w:val="auto"/>
          <w:sz w:val="24"/>
          <w:szCs w:val="24"/>
          <w:highlight w:val="none"/>
        </w:rPr>
      </w:pPr>
    </w:p>
    <w:p w14:paraId="15DFD7A3">
      <w:pPr>
        <w:shd w:val="clear"/>
        <w:kinsoku/>
        <w:overflowPunct/>
        <w:topLinePunct w:val="0"/>
        <w:bidi w:val="0"/>
        <w:spacing w:line="500" w:lineRule="exact"/>
        <w:outlineLvl w:val="0"/>
        <w:rPr>
          <w:rFonts w:hint="eastAsia" w:ascii="宋体" w:hAnsi="宋体" w:eastAsia="宋体" w:cs="宋体"/>
          <w:b/>
          <w:bCs w:val="0"/>
          <w:color w:val="auto"/>
          <w:sz w:val="24"/>
          <w:szCs w:val="24"/>
          <w:highlight w:val="none"/>
        </w:rPr>
      </w:pPr>
      <w:bookmarkStart w:id="310" w:name="_Toc8030"/>
      <w:bookmarkStart w:id="311" w:name="_Toc21096"/>
      <w:bookmarkStart w:id="312" w:name="_Toc4895"/>
      <w:bookmarkStart w:id="313" w:name="_Toc5862"/>
      <w:r>
        <w:rPr>
          <w:rFonts w:hint="eastAsia" w:ascii="宋体" w:hAnsi="宋体" w:eastAsia="宋体" w:cs="宋体"/>
          <w:b/>
          <w:bCs w:val="0"/>
          <w:color w:val="auto"/>
          <w:sz w:val="24"/>
          <w:szCs w:val="24"/>
          <w:highlight w:val="none"/>
          <w:lang w:val="en-US" w:eastAsia="zh-CN"/>
        </w:rPr>
        <w:t>五</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eastAsia="zh-CN"/>
        </w:rPr>
        <w:t>投标单位</w:t>
      </w:r>
      <w:r>
        <w:rPr>
          <w:rFonts w:hint="eastAsia" w:ascii="宋体" w:hAnsi="宋体" w:eastAsia="宋体" w:cs="宋体"/>
          <w:b/>
          <w:bCs w:val="0"/>
          <w:color w:val="auto"/>
          <w:sz w:val="24"/>
          <w:szCs w:val="24"/>
          <w:highlight w:val="none"/>
        </w:rPr>
        <w:t>认为需要提供的其他材料</w:t>
      </w:r>
      <w:bookmarkEnd w:id="310"/>
      <w:bookmarkEnd w:id="311"/>
      <w:bookmarkEnd w:id="312"/>
      <w:bookmarkEnd w:id="313"/>
    </w:p>
    <w:p w14:paraId="3FB555BA">
      <w:pPr>
        <w:pStyle w:val="8"/>
        <w:shd w:val="clear"/>
        <w:kinsoku/>
        <w:overflowPunct/>
        <w:topLinePunct w:val="0"/>
        <w:bidi w:val="0"/>
        <w:spacing w:line="500" w:lineRule="exact"/>
        <w:ind w:firstLine="48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（格式自拟）</w:t>
      </w:r>
    </w:p>
    <w:p w14:paraId="1F7C2DA0">
      <w:pPr>
        <w:pStyle w:val="10"/>
        <w:shd w:val="clear"/>
        <w:kinsoku/>
        <w:overflowPunct/>
        <w:topLinePunct w:val="0"/>
        <w:bidi w:val="0"/>
        <w:spacing w:line="500" w:lineRule="exact"/>
        <w:rPr>
          <w:rFonts w:hint="eastAsia" w:ascii="宋体" w:hAnsi="宋体" w:eastAsia="宋体" w:cs="宋体"/>
          <w:color w:val="auto"/>
          <w:sz w:val="24"/>
          <w:szCs w:val="24"/>
          <w:highlight w:val="none"/>
        </w:rPr>
      </w:pPr>
    </w:p>
    <w:p w14:paraId="7209A4AC">
      <w:pPr>
        <w:shd w:val="clear"/>
        <w:kinsoku/>
        <w:overflowPunct/>
        <w:topLinePunct w:val="0"/>
        <w:bidi w:val="0"/>
        <w:spacing w:line="500" w:lineRule="exact"/>
        <w:rPr>
          <w:rFonts w:hint="eastAsia" w:ascii="宋体" w:hAnsi="宋体" w:eastAsia="宋体" w:cs="宋体"/>
          <w:color w:val="auto"/>
          <w:sz w:val="24"/>
          <w:szCs w:val="24"/>
          <w:highlight w:val="none"/>
        </w:rPr>
      </w:pPr>
    </w:p>
    <w:p w14:paraId="399D2234">
      <w:pPr>
        <w:pStyle w:val="10"/>
        <w:shd w:val="clear"/>
        <w:kinsoku/>
        <w:overflowPunct/>
        <w:topLinePunct w:val="0"/>
        <w:bidi w:val="0"/>
        <w:spacing w:line="500" w:lineRule="exact"/>
        <w:rPr>
          <w:rFonts w:hint="eastAsia" w:ascii="宋体" w:hAnsi="宋体" w:eastAsia="宋体" w:cs="宋体"/>
          <w:color w:val="auto"/>
          <w:sz w:val="24"/>
          <w:szCs w:val="24"/>
          <w:highlight w:val="none"/>
        </w:rPr>
      </w:pPr>
    </w:p>
    <w:p w14:paraId="3E9EA39E">
      <w:pPr>
        <w:shd w:val="clear"/>
        <w:kinsoku/>
        <w:overflowPunct/>
        <w:topLinePunct w:val="0"/>
        <w:bidi w:val="0"/>
        <w:spacing w:line="500" w:lineRule="exact"/>
        <w:rPr>
          <w:rFonts w:hint="eastAsia" w:ascii="宋体" w:hAnsi="宋体" w:eastAsia="宋体" w:cs="宋体"/>
          <w:color w:val="auto"/>
          <w:sz w:val="24"/>
          <w:szCs w:val="24"/>
          <w:highlight w:val="none"/>
        </w:rPr>
      </w:pPr>
    </w:p>
    <w:p w14:paraId="6D6027B7">
      <w:pPr>
        <w:pStyle w:val="10"/>
        <w:shd w:val="clear"/>
        <w:kinsoku/>
        <w:overflowPunct/>
        <w:topLinePunct w:val="0"/>
        <w:bidi w:val="0"/>
        <w:spacing w:line="500" w:lineRule="exact"/>
        <w:rPr>
          <w:rFonts w:hint="eastAsia" w:ascii="宋体" w:hAnsi="宋体" w:eastAsia="宋体" w:cs="宋体"/>
          <w:color w:val="auto"/>
          <w:sz w:val="24"/>
          <w:szCs w:val="24"/>
          <w:highlight w:val="none"/>
        </w:rPr>
      </w:pPr>
    </w:p>
    <w:p w14:paraId="3198F502">
      <w:pPr>
        <w:pStyle w:val="23"/>
        <w:shd w:val="clear"/>
        <w:kinsoku/>
        <w:overflowPunct/>
        <w:topLinePunct w:val="0"/>
        <w:bidi w:val="0"/>
        <w:spacing w:line="500" w:lineRule="exact"/>
        <w:rPr>
          <w:rFonts w:hint="eastAsia" w:ascii="宋体" w:hAnsi="宋体" w:eastAsia="宋体" w:cs="宋体"/>
          <w:b/>
          <w:bCs/>
          <w:color w:val="auto"/>
          <w:sz w:val="24"/>
          <w:szCs w:val="24"/>
          <w:highlight w:val="none"/>
        </w:rPr>
      </w:pPr>
    </w:p>
    <w:p w14:paraId="6F24AE6F">
      <w:pPr>
        <w:shd w:val="clear"/>
        <w:kinsoku/>
        <w:overflowPunct/>
        <w:topLinePunct w:val="0"/>
        <w:bidi w:val="0"/>
        <w:spacing w:line="500" w:lineRule="exact"/>
        <w:rPr>
          <w:rFonts w:hint="eastAsia" w:ascii="宋体" w:hAnsi="宋体" w:eastAsia="宋体" w:cs="宋体"/>
          <w:color w:val="auto"/>
          <w:sz w:val="24"/>
          <w:szCs w:val="24"/>
          <w:highlight w:val="none"/>
        </w:rPr>
      </w:pPr>
    </w:p>
    <w:p w14:paraId="1F67A842">
      <w:pPr>
        <w:pStyle w:val="30"/>
        <w:shd w:val="clear"/>
        <w:kinsoku/>
        <w:overflowPunct/>
        <w:topLinePunct w:val="0"/>
        <w:bidi w:val="0"/>
        <w:spacing w:line="500" w:lineRule="exact"/>
        <w:rPr>
          <w:rFonts w:hint="eastAsia" w:ascii="宋体" w:hAnsi="宋体" w:eastAsia="宋体" w:cs="宋体"/>
          <w:color w:val="auto"/>
          <w:sz w:val="24"/>
          <w:szCs w:val="24"/>
          <w:highlight w:val="none"/>
        </w:rPr>
      </w:pPr>
    </w:p>
    <w:p w14:paraId="417DA494">
      <w:pPr>
        <w:rPr>
          <w:rFonts w:hint="eastAsia" w:ascii="宋体" w:hAnsi="宋体" w:eastAsia="宋体" w:cs="宋体"/>
          <w:color w:val="auto"/>
          <w:sz w:val="24"/>
          <w:szCs w:val="24"/>
          <w:highlight w:val="none"/>
        </w:rPr>
      </w:pPr>
    </w:p>
    <w:p w14:paraId="56A20A60">
      <w:pPr>
        <w:pStyle w:val="18"/>
        <w:rPr>
          <w:rFonts w:hint="eastAsia" w:ascii="宋体" w:hAnsi="宋体" w:eastAsia="宋体" w:cs="宋体"/>
          <w:color w:val="auto"/>
          <w:sz w:val="24"/>
          <w:szCs w:val="24"/>
          <w:highlight w:val="none"/>
        </w:rPr>
      </w:pPr>
    </w:p>
    <w:p w14:paraId="26E4DD1B">
      <w:pPr>
        <w:rPr>
          <w:rFonts w:hint="eastAsia" w:ascii="宋体" w:hAnsi="宋体" w:eastAsia="宋体" w:cs="宋体"/>
          <w:color w:val="auto"/>
          <w:sz w:val="24"/>
          <w:szCs w:val="24"/>
          <w:highlight w:val="none"/>
        </w:rPr>
      </w:pPr>
    </w:p>
    <w:p w14:paraId="7F8D2309">
      <w:pPr>
        <w:pStyle w:val="18"/>
        <w:rPr>
          <w:rFonts w:hint="eastAsia" w:ascii="宋体" w:hAnsi="宋体" w:eastAsia="宋体" w:cs="宋体"/>
          <w:color w:val="auto"/>
          <w:sz w:val="24"/>
          <w:szCs w:val="24"/>
          <w:highlight w:val="none"/>
        </w:rPr>
      </w:pPr>
    </w:p>
    <w:p w14:paraId="3342A9FA">
      <w:pPr>
        <w:rPr>
          <w:rFonts w:hint="eastAsia" w:ascii="宋体" w:hAnsi="宋体" w:eastAsia="宋体" w:cs="宋体"/>
          <w:color w:val="auto"/>
          <w:sz w:val="24"/>
          <w:szCs w:val="24"/>
          <w:highlight w:val="none"/>
        </w:rPr>
      </w:pPr>
    </w:p>
    <w:p w14:paraId="3FADDEE1">
      <w:pPr>
        <w:pStyle w:val="18"/>
        <w:rPr>
          <w:rFonts w:hint="eastAsia" w:ascii="宋体" w:hAnsi="宋体" w:eastAsia="宋体" w:cs="宋体"/>
          <w:color w:val="auto"/>
          <w:sz w:val="24"/>
          <w:szCs w:val="24"/>
          <w:highlight w:val="none"/>
        </w:rPr>
      </w:pPr>
    </w:p>
    <w:p w14:paraId="5A8146E7">
      <w:pPr>
        <w:rPr>
          <w:rFonts w:hint="eastAsia" w:ascii="宋体" w:hAnsi="宋体" w:eastAsia="宋体" w:cs="宋体"/>
          <w:color w:val="auto"/>
          <w:sz w:val="24"/>
          <w:szCs w:val="24"/>
          <w:highlight w:val="none"/>
        </w:rPr>
      </w:pPr>
    </w:p>
    <w:p w14:paraId="418EB43A">
      <w:pPr>
        <w:pStyle w:val="18"/>
        <w:rPr>
          <w:rFonts w:hint="eastAsia" w:ascii="宋体" w:hAnsi="宋体" w:eastAsia="宋体" w:cs="宋体"/>
          <w:color w:val="auto"/>
          <w:sz w:val="24"/>
          <w:szCs w:val="24"/>
          <w:highlight w:val="none"/>
        </w:rPr>
      </w:pPr>
    </w:p>
    <w:p w14:paraId="73AE606E">
      <w:pPr>
        <w:rPr>
          <w:rFonts w:hint="eastAsia" w:ascii="宋体" w:hAnsi="宋体" w:eastAsia="宋体" w:cs="宋体"/>
          <w:color w:val="auto"/>
          <w:sz w:val="24"/>
          <w:szCs w:val="24"/>
          <w:highlight w:val="none"/>
        </w:rPr>
      </w:pPr>
    </w:p>
    <w:p w14:paraId="1FD9C7D4">
      <w:pPr>
        <w:pStyle w:val="18"/>
        <w:rPr>
          <w:rFonts w:hint="eastAsia" w:ascii="宋体" w:hAnsi="宋体" w:eastAsia="宋体" w:cs="宋体"/>
          <w:color w:val="auto"/>
          <w:sz w:val="24"/>
          <w:szCs w:val="24"/>
          <w:highlight w:val="none"/>
        </w:rPr>
      </w:pPr>
    </w:p>
    <w:p w14:paraId="68217CC7">
      <w:pPr>
        <w:rPr>
          <w:rFonts w:hint="eastAsia" w:ascii="宋体" w:hAnsi="宋体" w:eastAsia="宋体" w:cs="宋体"/>
          <w:color w:val="auto"/>
          <w:sz w:val="24"/>
          <w:szCs w:val="24"/>
          <w:highlight w:val="none"/>
        </w:rPr>
      </w:pPr>
    </w:p>
    <w:p w14:paraId="752D053A">
      <w:pPr>
        <w:pStyle w:val="18"/>
        <w:rPr>
          <w:rFonts w:hint="eastAsia" w:ascii="宋体" w:hAnsi="宋体" w:eastAsia="宋体" w:cs="宋体"/>
          <w:color w:val="auto"/>
          <w:sz w:val="24"/>
          <w:szCs w:val="24"/>
          <w:highlight w:val="none"/>
        </w:rPr>
      </w:pPr>
    </w:p>
    <w:p w14:paraId="5E5C8E42">
      <w:pPr>
        <w:rPr>
          <w:rFonts w:hint="eastAsia" w:ascii="宋体" w:hAnsi="宋体" w:eastAsia="宋体" w:cs="宋体"/>
          <w:color w:val="auto"/>
          <w:sz w:val="24"/>
          <w:szCs w:val="24"/>
          <w:highlight w:val="none"/>
        </w:rPr>
      </w:pPr>
    </w:p>
    <w:p w14:paraId="17F794DA">
      <w:pPr>
        <w:pStyle w:val="18"/>
        <w:rPr>
          <w:rFonts w:hint="eastAsia" w:ascii="宋体" w:hAnsi="宋体" w:eastAsia="宋体" w:cs="宋体"/>
          <w:color w:val="auto"/>
          <w:sz w:val="24"/>
          <w:szCs w:val="24"/>
          <w:highlight w:val="none"/>
        </w:rPr>
      </w:pPr>
    </w:p>
    <w:p w14:paraId="2FC2DFCA">
      <w:pPr>
        <w:rPr>
          <w:rFonts w:hint="eastAsia" w:ascii="宋体" w:hAnsi="宋体" w:eastAsia="宋体" w:cs="宋体"/>
          <w:color w:val="auto"/>
          <w:sz w:val="24"/>
          <w:szCs w:val="24"/>
          <w:highlight w:val="none"/>
        </w:rPr>
      </w:pPr>
    </w:p>
    <w:p w14:paraId="6B2D6FBE">
      <w:pPr>
        <w:pStyle w:val="18"/>
        <w:rPr>
          <w:rFonts w:hint="eastAsia" w:ascii="宋体" w:hAnsi="宋体" w:eastAsia="宋体" w:cs="宋体"/>
          <w:color w:val="auto"/>
          <w:sz w:val="24"/>
          <w:szCs w:val="24"/>
          <w:highlight w:val="none"/>
        </w:rPr>
      </w:pPr>
    </w:p>
    <w:p w14:paraId="00B9933D">
      <w:pPr>
        <w:rPr>
          <w:rFonts w:hint="eastAsia" w:ascii="宋体" w:hAnsi="宋体" w:eastAsia="宋体" w:cs="宋体"/>
          <w:color w:val="auto"/>
          <w:sz w:val="24"/>
          <w:szCs w:val="24"/>
          <w:highlight w:val="none"/>
        </w:rPr>
      </w:pPr>
    </w:p>
    <w:p w14:paraId="52C77E83">
      <w:pPr>
        <w:pStyle w:val="18"/>
        <w:rPr>
          <w:rFonts w:hint="eastAsia" w:ascii="宋体" w:hAnsi="宋体" w:eastAsia="宋体" w:cs="宋体"/>
          <w:color w:val="auto"/>
          <w:sz w:val="24"/>
          <w:szCs w:val="24"/>
          <w:highlight w:val="none"/>
        </w:rPr>
      </w:pPr>
    </w:p>
    <w:p w14:paraId="4F6E51FA">
      <w:pPr>
        <w:rPr>
          <w:rFonts w:hint="eastAsia" w:ascii="宋体" w:hAnsi="宋体" w:eastAsia="宋体" w:cs="宋体"/>
          <w:color w:val="auto"/>
          <w:sz w:val="24"/>
          <w:szCs w:val="24"/>
          <w:highlight w:val="none"/>
        </w:rPr>
      </w:pPr>
    </w:p>
    <w:p w14:paraId="11893969">
      <w:pPr>
        <w:pStyle w:val="18"/>
        <w:rPr>
          <w:rFonts w:hint="eastAsia" w:ascii="宋体" w:hAnsi="宋体" w:eastAsia="宋体" w:cs="宋体"/>
          <w:color w:val="auto"/>
          <w:sz w:val="24"/>
          <w:szCs w:val="24"/>
          <w:highlight w:val="none"/>
        </w:rPr>
      </w:pPr>
    </w:p>
    <w:p w14:paraId="617D91B3">
      <w:pPr>
        <w:rPr>
          <w:rFonts w:hint="eastAsia" w:ascii="宋体" w:hAnsi="宋体" w:eastAsia="宋体" w:cs="宋体"/>
          <w:color w:val="auto"/>
          <w:sz w:val="24"/>
          <w:szCs w:val="24"/>
          <w:highlight w:val="none"/>
        </w:rPr>
      </w:pPr>
    </w:p>
    <w:p w14:paraId="26FF6E5D">
      <w:pPr>
        <w:pStyle w:val="18"/>
        <w:rPr>
          <w:rFonts w:hint="eastAsia" w:ascii="宋体" w:hAnsi="宋体" w:eastAsia="宋体" w:cs="宋体"/>
          <w:color w:val="auto"/>
          <w:sz w:val="24"/>
          <w:szCs w:val="24"/>
          <w:highlight w:val="none"/>
        </w:rPr>
      </w:pPr>
    </w:p>
    <w:p w14:paraId="0B64A93E">
      <w:pPr>
        <w:rPr>
          <w:rFonts w:hint="eastAsia" w:ascii="宋体" w:hAnsi="宋体" w:eastAsia="宋体" w:cs="宋体"/>
          <w:color w:val="auto"/>
          <w:sz w:val="24"/>
          <w:szCs w:val="24"/>
          <w:highlight w:val="none"/>
        </w:rPr>
      </w:pPr>
    </w:p>
    <w:p w14:paraId="779BC86C">
      <w:pPr>
        <w:pStyle w:val="15"/>
        <w:numPr>
          <w:ilvl w:val="0"/>
          <w:numId w:val="0"/>
        </w:numPr>
        <w:ind w:leftChars="0" w:right="0" w:rightChars="0"/>
        <w:rPr>
          <w:rFonts w:hint="eastAsia" w:ascii="宋体" w:hAnsi="宋体" w:eastAsia="宋体" w:cs="宋体"/>
          <w:b/>
          <w:bCs/>
          <w:sz w:val="28"/>
          <w:szCs w:val="32"/>
          <w:lang w:val="en-US" w:eastAsia="zh-CN"/>
        </w:rPr>
      </w:pPr>
      <w:r>
        <w:rPr>
          <w:rFonts w:hint="eastAsia" w:ascii="宋体" w:hAnsi="宋体" w:eastAsia="宋体" w:cs="宋体"/>
          <w:b/>
          <w:bCs/>
          <w:sz w:val="28"/>
          <w:szCs w:val="32"/>
          <w:lang w:val="en-US" w:eastAsia="zh-CN"/>
        </w:rPr>
        <w:t>第三部分 资格证明文件</w:t>
      </w:r>
    </w:p>
    <w:p w14:paraId="215FC2E3">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14" w:name="_Toc325"/>
      <w:bookmarkStart w:id="315" w:name="_Toc6767"/>
      <w:bookmarkStart w:id="316"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314"/>
      <w:bookmarkEnd w:id="315"/>
    </w:p>
    <w:bookmarkEnd w:id="316"/>
    <w:p w14:paraId="10697F2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bookmarkStart w:id="317" w:name="_Toc155185928"/>
      <w:bookmarkStart w:id="318" w:name="_Toc163492922"/>
      <w:r>
        <w:rPr>
          <w:rFonts w:hint="eastAsia" w:ascii="宋体" w:hAnsi="宋体" w:eastAsia="宋体" w:cs="宋体"/>
          <w:b/>
          <w:bCs/>
          <w:color w:val="auto"/>
          <w:kern w:val="2"/>
          <w:sz w:val="24"/>
          <w:szCs w:val="24"/>
          <w:highlight w:val="none"/>
          <w:lang w:val="en-US" w:eastAsia="zh-CN" w:bidi="ar-SA"/>
        </w:rPr>
        <w:t>（一）具有独立承担民事责任的能力；（提供合法有效的营业执照复印件/扫描件，并加盖单位公章）</w:t>
      </w:r>
    </w:p>
    <w:p w14:paraId="7E52E15E">
      <w:pPr>
        <w:pStyle w:val="26"/>
        <w:rPr>
          <w:rFonts w:hint="eastAsia"/>
          <w:lang w:val="en-US" w:eastAsia="zh-CN"/>
        </w:rPr>
      </w:pPr>
    </w:p>
    <w:p w14:paraId="14496D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DEF0351">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317"/>
    <w:bookmarkEnd w:id="318"/>
    <w:p w14:paraId="38A70C4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（二）具有良好的商业信誉和健全的财务会计制度；</w:t>
      </w:r>
    </w:p>
    <w:p w14:paraId="4C0BFE16">
      <w:pPr>
        <w:pStyle w:val="91"/>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b w:val="0"/>
          <w:bCs w:val="0"/>
          <w:i w:val="0"/>
          <w:iCs w:val="0"/>
          <w:color w:val="auto"/>
          <w:kern w:val="2"/>
          <w:sz w:val="24"/>
          <w:szCs w:val="24"/>
          <w:highlight w:val="none"/>
          <w:lang w:val="en-US" w:eastAsia="zh-CN" w:bidi="ar-SA"/>
        </w:rPr>
      </w:pPr>
      <w:bookmarkStart w:id="319" w:name="_Toc11370"/>
      <w:bookmarkStart w:id="320" w:name="_Toc28292"/>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提供2025年度财务审计报告，</w:t>
      </w:r>
      <w:r>
        <w:rPr>
          <w:rFonts w:hint="eastAsia" w:ascii="宋体" w:hAnsi="宋体" w:eastAsia="宋体" w:cs="Times New Roman"/>
          <w:color w:val="000000"/>
          <w:sz w:val="24"/>
          <w:szCs w:val="24"/>
          <w:lang w:val="en-US" w:eastAsia="zh-CN"/>
        </w:rPr>
        <w:t>包括资产负债表、现金流量表、损益表和财务报表附注。</w:t>
      </w:r>
      <w:r>
        <w:rPr>
          <w:rFonts w:hint="eastAsia" w:ascii="宋体" w:hAnsi="宋体" w:eastAsia="宋体" w:cs="宋体"/>
          <w:b w:val="0"/>
          <w:bCs w:val="0"/>
          <w:i w:val="0"/>
          <w:iCs w:val="0"/>
          <w:caps w:val="0"/>
          <w:color w:val="auto"/>
          <w:spacing w:val="0"/>
          <w:w w:val="100"/>
          <w:kern w:val="0"/>
          <w:position w:val="0"/>
          <w:sz w:val="24"/>
          <w:szCs w:val="24"/>
          <w:highlight w:val="none"/>
          <w:shd w:val="clear" w:color="auto" w:fill="auto"/>
          <w:lang w:val="en-US" w:eastAsia="zh-CN" w:bidi="ar"/>
        </w:rPr>
        <w:t>新成立不满一年的单位需提供基本开户银行出具的资信证明。</w:t>
      </w:r>
    </w:p>
    <w:p w14:paraId="04CEBAD8">
      <w:pPr>
        <w:pStyle w:val="91"/>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br w:type="page"/>
      </w:r>
    </w:p>
    <w:p w14:paraId="3823595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（三）有依法缴纳税收和社会保障资金的良好记录</w:t>
      </w:r>
      <w:bookmarkEnd w:id="319"/>
      <w:bookmarkEnd w:id="320"/>
    </w:p>
    <w:p w14:paraId="02AF0C6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sz w:val="21"/>
          <w:szCs w:val="21"/>
          <w:highlight w:val="none"/>
        </w:rPr>
      </w:pPr>
      <w:bookmarkStart w:id="321" w:name="_Toc7342"/>
      <w:bookmarkStart w:id="322" w:name="_Toc19442"/>
      <w:r>
        <w:rPr>
          <w:rFonts w:hint="eastAsia" w:ascii="宋体" w:hAnsi="宋体" w:cs="宋体"/>
          <w:color w:val="auto"/>
          <w:sz w:val="21"/>
          <w:szCs w:val="21"/>
          <w:highlight w:val="none"/>
        </w:rPr>
        <w:t>提供本企业近一年任意3个月完税证明及缴纳社保记录</w:t>
      </w:r>
    </w:p>
    <w:p w14:paraId="56C2DFC6">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6F316A7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（四）</w:t>
      </w:r>
      <w:r>
        <w:rPr>
          <w:rFonts w:hint="eastAsia" w:cs="宋体"/>
          <w:b/>
          <w:bCs/>
          <w:i w:val="0"/>
          <w:iCs w:val="0"/>
          <w:color w:val="auto"/>
          <w:kern w:val="2"/>
          <w:sz w:val="24"/>
          <w:szCs w:val="24"/>
          <w:highlight w:val="none"/>
          <w:lang w:val="en-US" w:eastAsia="zh-CN" w:bidi="ar-SA"/>
        </w:rPr>
        <w:t>投标人</w:t>
      </w:r>
      <w:r>
        <w:rPr>
          <w:rFonts w:hint="eastAsia" w:ascii="宋体" w:hAnsi="宋体" w:eastAsia="宋体" w:cs="宋体"/>
          <w:b/>
          <w:bCs/>
          <w:i w:val="0"/>
          <w:iCs w:val="0"/>
          <w:color w:val="auto"/>
          <w:kern w:val="2"/>
          <w:sz w:val="24"/>
          <w:szCs w:val="24"/>
          <w:highlight w:val="none"/>
          <w:lang w:val="en-US" w:eastAsia="zh-CN" w:bidi="ar-SA"/>
        </w:rPr>
        <w:t>须具有履行合同所必需的设备和专业技术能力</w:t>
      </w:r>
      <w:bookmarkEnd w:id="321"/>
      <w:bookmarkEnd w:id="322"/>
    </w:p>
    <w:p w14:paraId="53C20464">
      <w:pPr>
        <w:pStyle w:val="93"/>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格式：</w:t>
      </w:r>
    </w:p>
    <w:p w14:paraId="2ABBF4C1">
      <w:pPr>
        <w:pStyle w:val="93"/>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郑重声明：</w:t>
      </w:r>
    </w:p>
    <w:p w14:paraId="5A7AF1E5">
      <w:pPr>
        <w:pStyle w:val="93"/>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本公司（或单位）具备本项目履行合同所必需的设备和专业技术能力，特此承诺。 </w:t>
      </w:r>
    </w:p>
    <w:p w14:paraId="2928CD51">
      <w:pPr>
        <w:pStyle w:val="94"/>
        <w:adjustRightInd w:val="0"/>
        <w:snapToGrid w:val="0"/>
        <w:spacing w:line="500" w:lineRule="exact"/>
        <w:rPr>
          <w:rFonts w:hint="eastAsia" w:ascii="宋体" w:hAnsi="宋体" w:cs="宋体"/>
          <w:color w:val="auto"/>
          <w:sz w:val="24"/>
          <w:szCs w:val="24"/>
          <w:highlight w:val="none"/>
        </w:rPr>
      </w:pPr>
    </w:p>
    <w:p w14:paraId="0A8E487C">
      <w:pPr>
        <w:pStyle w:val="94"/>
        <w:adjustRightInd w:val="0"/>
        <w:snapToGrid w:val="0"/>
        <w:spacing w:line="500" w:lineRule="exact"/>
        <w:rPr>
          <w:rFonts w:hint="eastAsia" w:ascii="宋体" w:hAnsi="宋体" w:cs="宋体"/>
          <w:color w:val="auto"/>
          <w:sz w:val="24"/>
          <w:szCs w:val="24"/>
          <w:highlight w:val="none"/>
        </w:rPr>
      </w:pPr>
    </w:p>
    <w:p w14:paraId="3B4E0D78">
      <w:pPr>
        <w:pStyle w:val="94"/>
        <w:adjustRightInd w:val="0"/>
        <w:snapToGrid w:val="0"/>
        <w:spacing w:line="500" w:lineRule="exact"/>
        <w:rPr>
          <w:rFonts w:hint="eastAsia" w:ascii="宋体" w:hAnsi="宋体" w:cs="宋体"/>
          <w:color w:val="auto"/>
          <w:sz w:val="24"/>
          <w:szCs w:val="24"/>
          <w:highlight w:val="none"/>
        </w:rPr>
      </w:pPr>
    </w:p>
    <w:p w14:paraId="0055C44D">
      <w:pPr>
        <w:pStyle w:val="94"/>
        <w:adjustRightInd w:val="0"/>
        <w:snapToGrid w:val="0"/>
        <w:spacing w:line="500" w:lineRule="exact"/>
        <w:rPr>
          <w:rFonts w:hint="eastAsia" w:ascii="宋体" w:hAnsi="宋体" w:cs="宋体"/>
          <w:color w:val="auto"/>
          <w:sz w:val="24"/>
          <w:szCs w:val="24"/>
          <w:highlight w:val="none"/>
        </w:rPr>
      </w:pPr>
    </w:p>
    <w:p w14:paraId="748C6A17">
      <w:pPr>
        <w:pStyle w:val="94"/>
        <w:adjustRightInd w:val="0"/>
        <w:snapToGrid w:val="0"/>
        <w:spacing w:line="500" w:lineRule="exact"/>
        <w:rPr>
          <w:rFonts w:hint="eastAsia" w:ascii="宋体" w:hAnsi="宋体" w:cs="宋体"/>
          <w:color w:val="auto"/>
          <w:sz w:val="24"/>
          <w:szCs w:val="24"/>
          <w:highlight w:val="none"/>
        </w:rPr>
      </w:pPr>
    </w:p>
    <w:p w14:paraId="03367046">
      <w:pPr>
        <w:pStyle w:val="94"/>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6986A136">
      <w:pPr>
        <w:pStyle w:val="94"/>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名称（签章）：</w:t>
      </w:r>
      <w:r>
        <w:rPr>
          <w:rFonts w:hint="eastAsia" w:ascii="宋体" w:hAnsi="宋体" w:cs="宋体"/>
          <w:color w:val="auto"/>
          <w:sz w:val="24"/>
          <w:szCs w:val="24"/>
          <w:highlight w:val="none"/>
          <w:u w:val="single"/>
        </w:rPr>
        <w:t xml:space="preserve">                       </w:t>
      </w:r>
    </w:p>
    <w:p w14:paraId="56D46087">
      <w:pPr>
        <w:pStyle w:val="94"/>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5B78C284">
      <w:pPr>
        <w:pStyle w:val="93"/>
        <w:adjustRightInd w:val="0"/>
        <w:snapToGrid w:val="0"/>
        <w:spacing w:line="360" w:lineRule="auto"/>
        <w:jc w:val="left"/>
        <w:rPr>
          <w:rFonts w:hint="eastAsia" w:ascii="宋体" w:hAnsi="宋体" w:cs="宋体"/>
          <w:b/>
          <w:color w:val="auto"/>
          <w:sz w:val="24"/>
          <w:szCs w:val="24"/>
          <w:highlight w:val="none"/>
        </w:rPr>
      </w:pPr>
    </w:p>
    <w:p w14:paraId="6D9497CF">
      <w:pPr>
        <w:pStyle w:val="95"/>
        <w:outlineLvl w:val="2"/>
        <w:rPr>
          <w:rFonts w:hint="eastAsia" w:ascii="宋体" w:hAnsi="宋体" w:eastAsia="宋体" w:cs="宋体"/>
          <w:color w:val="auto"/>
          <w:highlight w:val="none"/>
        </w:rPr>
        <w:sectPr>
          <w:headerReference r:id="rId15" w:type="default"/>
          <w:footerReference r:id="rId16"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23FA26F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323" w:name="_Toc21544"/>
      <w:bookmarkStart w:id="324" w:name="_Toc16347"/>
      <w:r>
        <w:rPr>
          <w:rFonts w:hint="eastAsia" w:ascii="宋体" w:hAnsi="宋体" w:eastAsia="宋体" w:cs="宋体"/>
          <w:b/>
          <w:bCs/>
          <w:i w:val="0"/>
          <w:iCs w:val="0"/>
          <w:color w:val="auto"/>
          <w:kern w:val="2"/>
          <w:sz w:val="24"/>
          <w:szCs w:val="24"/>
          <w:highlight w:val="none"/>
          <w:lang w:val="en-US" w:eastAsia="zh-CN" w:bidi="ar-SA"/>
        </w:rPr>
        <w:t>（五）参加政府采购活动前三年内，在经营活动中没有重大违法记录的书面声明：</w:t>
      </w:r>
      <w:bookmarkEnd w:id="323"/>
      <w:bookmarkEnd w:id="324"/>
    </w:p>
    <w:p w14:paraId="0A14BF44">
      <w:pPr>
        <w:pStyle w:val="93"/>
        <w:adjustRightInd w:val="0"/>
        <w:snapToGrid w:val="0"/>
        <w:spacing w:line="360" w:lineRule="auto"/>
        <w:rPr>
          <w:rFonts w:hint="eastAsia" w:ascii="宋体" w:hAnsi="宋体" w:cs="宋体"/>
          <w:color w:val="auto"/>
          <w:sz w:val="24"/>
          <w:szCs w:val="24"/>
          <w:highlight w:val="none"/>
        </w:rPr>
      </w:pPr>
    </w:p>
    <w:p w14:paraId="5EF637EE">
      <w:pPr>
        <w:pStyle w:val="93"/>
        <w:adjustRightInd w:val="0"/>
        <w:snapToGrid w:val="0"/>
        <w:spacing w:line="360" w:lineRule="auto"/>
        <w:rPr>
          <w:rFonts w:hint="eastAsia" w:ascii="宋体" w:hAnsi="宋体" w:cs="宋体"/>
          <w:color w:val="auto"/>
          <w:sz w:val="24"/>
          <w:szCs w:val="24"/>
          <w:highlight w:val="none"/>
        </w:rPr>
      </w:pPr>
    </w:p>
    <w:p w14:paraId="263AE696">
      <w:pPr>
        <w:pStyle w:val="93"/>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格式：</w:t>
      </w:r>
    </w:p>
    <w:p w14:paraId="692666CD">
      <w:pPr>
        <w:pStyle w:val="96"/>
        <w:adjustRightInd w:val="0"/>
        <w:snapToGrid w:val="0"/>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无重大违法记录声明书</w:t>
      </w:r>
    </w:p>
    <w:p w14:paraId="5C6DD82E">
      <w:pPr>
        <w:pStyle w:val="93"/>
        <w:adjustRightInd w:val="0"/>
        <w:snapToGrid w:val="0"/>
        <w:spacing w:line="360" w:lineRule="auto"/>
        <w:rPr>
          <w:rFonts w:hint="eastAsia" w:ascii="宋体" w:hAnsi="宋体" w:cs="宋体"/>
          <w:color w:val="auto"/>
          <w:sz w:val="24"/>
          <w:szCs w:val="24"/>
          <w:highlight w:val="none"/>
        </w:rPr>
      </w:pPr>
    </w:p>
    <w:p w14:paraId="147754F7">
      <w:pPr>
        <w:pStyle w:val="93"/>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（采购人）         </w:t>
      </w:r>
      <w:r>
        <w:rPr>
          <w:rFonts w:hint="eastAsia" w:ascii="宋体" w:hAnsi="宋体" w:cs="宋体"/>
          <w:color w:val="auto"/>
          <w:sz w:val="24"/>
          <w:szCs w:val="24"/>
          <w:highlight w:val="none"/>
        </w:rPr>
        <w:t>：</w:t>
      </w:r>
    </w:p>
    <w:p w14:paraId="7E221E8F">
      <w:pPr>
        <w:pStyle w:val="93"/>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我公司参与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4CDE75D2">
      <w:pPr>
        <w:pStyle w:val="93"/>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特此声明  </w:t>
      </w:r>
    </w:p>
    <w:p w14:paraId="2EEA8437">
      <w:pPr>
        <w:pStyle w:val="94"/>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01CD48AC">
      <w:pPr>
        <w:pStyle w:val="94"/>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名称（签章）：</w:t>
      </w:r>
      <w:r>
        <w:rPr>
          <w:rFonts w:hint="eastAsia" w:ascii="宋体" w:hAnsi="宋体" w:cs="宋体"/>
          <w:color w:val="auto"/>
          <w:sz w:val="24"/>
          <w:szCs w:val="24"/>
          <w:highlight w:val="none"/>
          <w:u w:val="single"/>
        </w:rPr>
        <w:t xml:space="preserve">                       </w:t>
      </w:r>
    </w:p>
    <w:p w14:paraId="5A5017F6">
      <w:pPr>
        <w:pStyle w:val="94"/>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38428A86">
      <w:pPr>
        <w:pStyle w:val="93"/>
        <w:adjustRightInd w:val="0"/>
        <w:snapToGrid w:val="0"/>
        <w:spacing w:line="360" w:lineRule="auto"/>
        <w:jc w:val="left"/>
        <w:rPr>
          <w:rFonts w:hint="eastAsia" w:ascii="宋体" w:hAnsi="宋体" w:cs="宋体"/>
          <w:color w:val="auto"/>
          <w:sz w:val="24"/>
          <w:szCs w:val="24"/>
          <w:highlight w:val="none"/>
        </w:rPr>
      </w:pPr>
    </w:p>
    <w:p w14:paraId="753B8142">
      <w:pPr>
        <w:pStyle w:val="93"/>
        <w:adjustRightInd w:val="0"/>
        <w:snapToGrid w:val="0"/>
        <w:spacing w:line="360" w:lineRule="auto"/>
        <w:jc w:val="left"/>
        <w:rPr>
          <w:rFonts w:hint="eastAsia" w:ascii="宋体" w:hAnsi="宋体" w:cs="宋体"/>
          <w:b/>
          <w:color w:val="auto"/>
          <w:kern w:val="0"/>
          <w:sz w:val="32"/>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1EB4AC7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325" w:name="_Toc32053"/>
      <w:bookmarkStart w:id="326" w:name="_Toc31574"/>
      <w:r>
        <w:rPr>
          <w:rFonts w:hint="eastAsia" w:ascii="宋体" w:hAnsi="宋体" w:eastAsia="宋体" w:cs="宋体"/>
          <w:b/>
          <w:bCs/>
          <w:i w:val="0"/>
          <w:iCs w:val="0"/>
          <w:color w:val="auto"/>
          <w:kern w:val="2"/>
          <w:sz w:val="24"/>
          <w:szCs w:val="24"/>
          <w:highlight w:val="none"/>
          <w:lang w:val="en-US" w:eastAsia="zh-CN" w:bidi="ar-SA"/>
        </w:rPr>
        <w:t>（六）</w:t>
      </w:r>
      <w:r>
        <w:rPr>
          <w:rFonts w:hint="eastAsia" w:cs="宋体"/>
          <w:b/>
          <w:bCs/>
          <w:i w:val="0"/>
          <w:iCs w:val="0"/>
          <w:color w:val="auto"/>
          <w:kern w:val="2"/>
          <w:sz w:val="24"/>
          <w:szCs w:val="24"/>
          <w:highlight w:val="none"/>
          <w:lang w:val="en-US" w:eastAsia="zh-CN" w:bidi="ar-SA"/>
        </w:rPr>
        <w:t>投标人</w:t>
      </w:r>
      <w:r>
        <w:rPr>
          <w:rFonts w:hint="eastAsia" w:ascii="宋体" w:hAnsi="宋体" w:eastAsia="宋体" w:cs="宋体"/>
          <w:b/>
          <w:bCs/>
          <w:i w:val="0"/>
          <w:iCs w:val="0"/>
          <w:color w:val="auto"/>
          <w:kern w:val="2"/>
          <w:sz w:val="24"/>
          <w:szCs w:val="24"/>
          <w:highlight w:val="none"/>
          <w:lang w:val="en-US" w:eastAsia="zh-CN" w:bidi="ar-SA"/>
        </w:rPr>
        <w:t>未列入失信被执行人、重大税收违法案件当事人名单、政府采购严重违法失信行为记录名单</w:t>
      </w:r>
      <w:bookmarkEnd w:id="325"/>
      <w:bookmarkEnd w:id="326"/>
    </w:p>
    <w:p w14:paraId="4A6E5D9B">
      <w:pPr>
        <w:pStyle w:val="97"/>
        <w:spacing w:line="360" w:lineRule="auto"/>
        <w:ind w:firstLine="51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“信用中国”网站查询信息：</w:t>
      </w:r>
    </w:p>
    <w:p w14:paraId="0131AED7">
      <w:pPr>
        <w:pStyle w:val="97"/>
        <w:spacing w:line="360" w:lineRule="auto"/>
        <w:ind w:firstLine="51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①未被列入失信被执行人； </w:t>
      </w:r>
    </w:p>
    <w:p w14:paraId="654D1120">
      <w:pPr>
        <w:pStyle w:val="97"/>
        <w:spacing w:line="360" w:lineRule="auto"/>
        <w:ind w:firstLine="51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②不是重大税收违法案件当事人名单的</w:t>
      </w:r>
      <w:r>
        <w:rPr>
          <w:rFonts w:hint="eastAsia" w:ascii="宋体" w:hAnsi="宋体" w:cs="宋体"/>
          <w:color w:val="auto"/>
          <w:spacing w:val="6"/>
          <w:kern w:val="0"/>
          <w:sz w:val="24"/>
          <w:szCs w:val="24"/>
          <w:highlight w:val="none"/>
          <w:lang w:eastAsia="zh-CN"/>
        </w:rPr>
        <w:t>投标人</w:t>
      </w:r>
      <w:r>
        <w:rPr>
          <w:rFonts w:hint="eastAsia" w:ascii="宋体" w:hAnsi="宋体" w:cs="宋体"/>
          <w:color w:val="auto"/>
          <w:spacing w:val="6"/>
          <w:kern w:val="0"/>
          <w:sz w:val="24"/>
          <w:szCs w:val="24"/>
          <w:highlight w:val="none"/>
        </w:rPr>
        <w:t xml:space="preserve">； </w:t>
      </w:r>
    </w:p>
    <w:p w14:paraId="5FF9390F">
      <w:pPr>
        <w:pStyle w:val="97"/>
        <w:spacing w:line="360" w:lineRule="auto"/>
        <w:ind w:firstLine="514" w:firstLineChars="200"/>
        <w:jc w:val="left"/>
        <w:rPr>
          <w:rFonts w:hint="eastAsia" w:ascii="宋体" w:hAnsi="宋体" w:cs="宋体"/>
          <w:color w:val="auto"/>
          <w:spacing w:val="6"/>
          <w:kern w:val="0"/>
          <w:sz w:val="24"/>
          <w:szCs w:val="24"/>
          <w:highlight w:val="none"/>
        </w:rPr>
      </w:pPr>
    </w:p>
    <w:p w14:paraId="787D24E0">
      <w:pPr>
        <w:pStyle w:val="97"/>
        <w:spacing w:line="360" w:lineRule="auto"/>
        <w:ind w:firstLine="514" w:firstLineChars="200"/>
        <w:jc w:val="left"/>
        <w:rPr>
          <w:rFonts w:hint="eastAsia" w:ascii="宋体" w:hAnsi="宋体" w:cs="宋体"/>
          <w:color w:val="auto"/>
          <w:spacing w:val="6"/>
          <w:kern w:val="0"/>
          <w:sz w:val="24"/>
          <w:szCs w:val="24"/>
          <w:highlight w:val="none"/>
        </w:rPr>
      </w:pPr>
    </w:p>
    <w:p w14:paraId="3E784B0D">
      <w:pPr>
        <w:pStyle w:val="97"/>
        <w:spacing w:line="360" w:lineRule="auto"/>
        <w:ind w:firstLine="514" w:firstLineChars="200"/>
        <w:jc w:val="left"/>
        <w:rPr>
          <w:rFonts w:hint="eastAsia" w:ascii="宋体" w:hAnsi="宋体" w:cs="宋体"/>
          <w:color w:val="auto"/>
          <w:spacing w:val="6"/>
          <w:kern w:val="0"/>
          <w:sz w:val="24"/>
          <w:szCs w:val="24"/>
          <w:highlight w:val="none"/>
        </w:rPr>
      </w:pPr>
    </w:p>
    <w:p w14:paraId="27311A63">
      <w:pPr>
        <w:pStyle w:val="97"/>
        <w:spacing w:line="360" w:lineRule="auto"/>
        <w:ind w:firstLine="514" w:firstLineChars="200"/>
        <w:jc w:val="left"/>
        <w:rPr>
          <w:rFonts w:hint="eastAsia" w:ascii="宋体" w:hAnsi="宋体" w:eastAsia="宋体" w:cs="宋体"/>
          <w:color w:val="auto"/>
          <w:spacing w:val="6"/>
          <w:kern w:val="0"/>
          <w:sz w:val="24"/>
          <w:szCs w:val="24"/>
          <w:highlight w:val="none"/>
          <w:lang w:val="en-US" w:eastAsia="zh-CN"/>
        </w:rPr>
      </w:pPr>
      <w:r>
        <w:rPr>
          <w:rFonts w:hint="eastAsia" w:ascii="宋体" w:hAnsi="宋体" w:cs="宋体"/>
          <w:color w:val="auto"/>
          <w:spacing w:val="6"/>
          <w:kern w:val="0"/>
          <w:sz w:val="24"/>
          <w:szCs w:val="24"/>
          <w:highlight w:val="none"/>
          <w:lang w:val="en-US" w:eastAsia="zh-CN"/>
        </w:rPr>
        <w:t xml:space="preserve"> </w:t>
      </w:r>
    </w:p>
    <w:p w14:paraId="017F6BDB">
      <w:pPr>
        <w:pStyle w:val="97"/>
        <w:spacing w:line="360" w:lineRule="auto"/>
        <w:jc w:val="left"/>
        <w:rPr>
          <w:rFonts w:hint="eastAsia" w:ascii="宋体" w:hAnsi="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rPr>
        <w:t>“中国政府采购网”查询信息</w:t>
      </w:r>
      <w:r>
        <w:rPr>
          <w:rFonts w:hint="eastAsia" w:ascii="宋体" w:hAnsi="宋体" w:cs="宋体"/>
          <w:color w:val="auto"/>
          <w:spacing w:val="6"/>
          <w:kern w:val="0"/>
          <w:sz w:val="24"/>
          <w:szCs w:val="24"/>
          <w:highlight w:val="none"/>
          <w:lang w:eastAsia="zh-CN"/>
        </w:rPr>
        <w:t>：</w:t>
      </w:r>
    </w:p>
    <w:p w14:paraId="0ECAD3B0">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rPr>
        <w:t>政府采购严重违法失信行为信息记录</w:t>
      </w:r>
      <w:r>
        <w:rPr>
          <w:rFonts w:hint="eastAsia" w:ascii="宋体" w:hAnsi="宋体" w:cs="宋体"/>
          <w:color w:val="auto"/>
          <w:sz w:val="24"/>
          <w:szCs w:val="24"/>
          <w:highlight w:val="none"/>
          <w:lang w:eastAsia="zh-CN"/>
        </w:rPr>
        <w:t>：</w:t>
      </w:r>
    </w:p>
    <w:p w14:paraId="7FA1B22F">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br w:type="page"/>
      </w:r>
    </w:p>
    <w:p w14:paraId="4C5A5395">
      <w:pPr>
        <w:numPr>
          <w:ilvl w:val="0"/>
          <w:numId w:val="0"/>
        </w:numPr>
        <w:spacing w:line="360" w:lineRule="auto"/>
        <w:ind w:left="420"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（七）法律、行政法规规定的其他条件</w:t>
      </w:r>
    </w:p>
    <w:p w14:paraId="6BD9FB26">
      <w:pPr>
        <w:rPr>
          <w:rFonts w:hint="eastAsia" w:ascii="Arial" w:hAnsi="Arial" w:cs="Arial"/>
          <w:color w:val="auto"/>
          <w:szCs w:val="21"/>
          <w:highlight w:val="none"/>
          <w:lang w:val="en-US" w:eastAsia="zh-CN"/>
        </w:rPr>
      </w:pPr>
    </w:p>
    <w:p w14:paraId="02103427">
      <w:pPr>
        <w:jc w:val="center"/>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供应商可自行做出承诺，格式自拟。</w:t>
      </w:r>
    </w:p>
    <w:p w14:paraId="64B795E0">
      <w:pPr>
        <w:pStyle w:val="21"/>
        <w:rPr>
          <w:rFonts w:hint="eastAsia" w:ascii="Arial" w:hAnsi="Arial" w:cs="Arial"/>
          <w:color w:val="auto"/>
          <w:szCs w:val="21"/>
          <w:highlight w:val="none"/>
          <w:lang w:val="en-US" w:eastAsia="zh-CN"/>
        </w:rPr>
      </w:pPr>
    </w:p>
    <w:p w14:paraId="20CCD522">
      <w:pPr>
        <w:pStyle w:val="21"/>
        <w:rPr>
          <w:rFonts w:hint="eastAsia" w:ascii="Arial" w:hAnsi="Arial" w:cs="Arial"/>
          <w:color w:val="auto"/>
          <w:szCs w:val="21"/>
          <w:highlight w:val="none"/>
          <w:lang w:val="en-US" w:eastAsia="zh-CN"/>
        </w:rPr>
      </w:pPr>
    </w:p>
    <w:p w14:paraId="452E5EF7">
      <w:pPr>
        <w:pStyle w:val="21"/>
        <w:rPr>
          <w:rFonts w:hint="eastAsia" w:ascii="Arial" w:hAnsi="Arial" w:cs="Arial"/>
          <w:color w:val="auto"/>
          <w:szCs w:val="21"/>
          <w:highlight w:val="none"/>
          <w:lang w:val="en-US" w:eastAsia="zh-CN"/>
        </w:rPr>
      </w:pPr>
    </w:p>
    <w:p w14:paraId="12240AFA">
      <w:pPr>
        <w:pStyle w:val="21"/>
        <w:rPr>
          <w:rFonts w:hint="eastAsia" w:ascii="Arial" w:hAnsi="Arial" w:cs="Arial"/>
          <w:color w:val="auto"/>
          <w:szCs w:val="21"/>
          <w:highlight w:val="none"/>
          <w:lang w:val="en-US" w:eastAsia="zh-CN"/>
        </w:rPr>
      </w:pPr>
    </w:p>
    <w:p w14:paraId="39CB8BA8">
      <w:pPr>
        <w:pStyle w:val="21"/>
        <w:rPr>
          <w:rFonts w:hint="eastAsia" w:ascii="Arial" w:hAnsi="Arial" w:cs="Arial"/>
          <w:color w:val="auto"/>
          <w:szCs w:val="21"/>
          <w:highlight w:val="none"/>
          <w:lang w:val="en-US" w:eastAsia="zh-CN"/>
        </w:rPr>
      </w:pPr>
    </w:p>
    <w:p w14:paraId="65FAE79B">
      <w:pPr>
        <w:pStyle w:val="21"/>
        <w:rPr>
          <w:rFonts w:hint="eastAsia" w:ascii="Arial" w:hAnsi="Arial" w:cs="Arial"/>
          <w:color w:val="auto"/>
          <w:szCs w:val="21"/>
          <w:highlight w:val="none"/>
          <w:lang w:val="en-US" w:eastAsia="zh-CN"/>
        </w:rPr>
      </w:pPr>
    </w:p>
    <w:p w14:paraId="21168F49">
      <w:pPr>
        <w:pStyle w:val="21"/>
        <w:rPr>
          <w:rFonts w:hint="eastAsia" w:ascii="Arial" w:hAnsi="Arial" w:cs="Arial"/>
          <w:color w:val="auto"/>
          <w:szCs w:val="21"/>
          <w:highlight w:val="none"/>
          <w:lang w:val="en-US" w:eastAsia="zh-CN"/>
        </w:rPr>
      </w:pPr>
    </w:p>
    <w:p w14:paraId="70FC3B4E">
      <w:pPr>
        <w:pStyle w:val="21"/>
        <w:rPr>
          <w:rFonts w:hint="eastAsia" w:ascii="Arial" w:hAnsi="Arial" w:cs="Arial"/>
          <w:color w:val="auto"/>
          <w:szCs w:val="21"/>
          <w:highlight w:val="none"/>
          <w:lang w:val="en-US" w:eastAsia="zh-CN"/>
        </w:rPr>
      </w:pPr>
    </w:p>
    <w:p w14:paraId="0B59A627">
      <w:pPr>
        <w:pStyle w:val="21"/>
        <w:rPr>
          <w:rFonts w:hint="eastAsia" w:ascii="Arial" w:hAnsi="Arial" w:cs="Arial"/>
          <w:color w:val="auto"/>
          <w:szCs w:val="21"/>
          <w:highlight w:val="none"/>
          <w:lang w:val="en-US" w:eastAsia="zh-CN"/>
        </w:rPr>
      </w:pPr>
    </w:p>
    <w:p w14:paraId="671EAA9B">
      <w:pPr>
        <w:pStyle w:val="21"/>
        <w:rPr>
          <w:rFonts w:hint="eastAsia" w:ascii="Arial" w:hAnsi="Arial" w:cs="Arial"/>
          <w:color w:val="auto"/>
          <w:szCs w:val="21"/>
          <w:highlight w:val="none"/>
          <w:lang w:val="en-US" w:eastAsia="zh-CN"/>
        </w:rPr>
      </w:pPr>
    </w:p>
    <w:p w14:paraId="097BE8B0">
      <w:pPr>
        <w:pStyle w:val="21"/>
        <w:rPr>
          <w:rFonts w:hint="eastAsia" w:ascii="Arial" w:hAnsi="Arial" w:cs="Arial"/>
          <w:color w:val="auto"/>
          <w:szCs w:val="21"/>
          <w:highlight w:val="none"/>
          <w:lang w:val="en-US" w:eastAsia="zh-CN"/>
        </w:rPr>
      </w:pPr>
    </w:p>
    <w:p w14:paraId="39C8B077">
      <w:pPr>
        <w:pStyle w:val="21"/>
        <w:rPr>
          <w:rFonts w:hint="eastAsia" w:ascii="Arial" w:hAnsi="Arial" w:cs="Arial"/>
          <w:color w:val="auto"/>
          <w:szCs w:val="21"/>
          <w:highlight w:val="none"/>
          <w:lang w:val="en-US" w:eastAsia="zh-CN"/>
        </w:rPr>
      </w:pPr>
    </w:p>
    <w:p w14:paraId="6B1C15DC">
      <w:pPr>
        <w:pStyle w:val="21"/>
        <w:rPr>
          <w:rFonts w:hint="eastAsia" w:ascii="Arial" w:hAnsi="Arial" w:cs="Arial"/>
          <w:color w:val="auto"/>
          <w:szCs w:val="21"/>
          <w:highlight w:val="none"/>
          <w:lang w:val="en-US" w:eastAsia="zh-CN"/>
        </w:rPr>
      </w:pPr>
    </w:p>
    <w:p w14:paraId="50431307">
      <w:pPr>
        <w:pStyle w:val="21"/>
        <w:rPr>
          <w:rFonts w:hint="eastAsia" w:ascii="Arial" w:hAnsi="Arial" w:cs="Arial"/>
          <w:color w:val="auto"/>
          <w:szCs w:val="21"/>
          <w:highlight w:val="none"/>
          <w:lang w:val="en-US" w:eastAsia="zh-CN"/>
        </w:rPr>
      </w:pPr>
    </w:p>
    <w:p w14:paraId="713B86AA">
      <w:pPr>
        <w:pStyle w:val="21"/>
        <w:rPr>
          <w:rFonts w:hint="eastAsia" w:ascii="Arial" w:hAnsi="Arial" w:cs="Arial"/>
          <w:color w:val="auto"/>
          <w:szCs w:val="21"/>
          <w:highlight w:val="none"/>
          <w:lang w:val="en-US" w:eastAsia="zh-CN"/>
        </w:rPr>
      </w:pPr>
    </w:p>
    <w:p w14:paraId="7B945D81">
      <w:pPr>
        <w:pStyle w:val="21"/>
        <w:rPr>
          <w:rFonts w:hint="eastAsia" w:ascii="Arial" w:hAnsi="Arial" w:cs="Arial"/>
          <w:color w:val="auto"/>
          <w:szCs w:val="21"/>
          <w:highlight w:val="none"/>
          <w:lang w:val="en-US" w:eastAsia="zh-CN"/>
        </w:rPr>
      </w:pPr>
    </w:p>
    <w:p w14:paraId="54D1FD2C">
      <w:pPr>
        <w:pStyle w:val="21"/>
        <w:rPr>
          <w:rFonts w:hint="eastAsia" w:ascii="Arial" w:hAnsi="Arial" w:cs="Arial"/>
          <w:color w:val="auto"/>
          <w:szCs w:val="21"/>
          <w:highlight w:val="none"/>
          <w:lang w:val="en-US" w:eastAsia="zh-CN"/>
        </w:rPr>
      </w:pPr>
    </w:p>
    <w:p w14:paraId="7B8F2EF0">
      <w:pPr>
        <w:pStyle w:val="21"/>
        <w:rPr>
          <w:rFonts w:hint="eastAsia" w:ascii="Arial" w:hAnsi="Arial" w:cs="Arial"/>
          <w:color w:val="auto"/>
          <w:szCs w:val="21"/>
          <w:highlight w:val="none"/>
          <w:lang w:val="en-US" w:eastAsia="zh-CN"/>
        </w:rPr>
      </w:pPr>
    </w:p>
    <w:p w14:paraId="4E8AD5C5">
      <w:pPr>
        <w:pStyle w:val="21"/>
        <w:rPr>
          <w:rFonts w:hint="eastAsia" w:ascii="Arial" w:hAnsi="Arial" w:cs="Arial"/>
          <w:color w:val="auto"/>
          <w:szCs w:val="21"/>
          <w:highlight w:val="none"/>
          <w:lang w:val="en-US" w:eastAsia="zh-CN"/>
        </w:rPr>
      </w:pPr>
    </w:p>
    <w:p w14:paraId="54E4B70F">
      <w:pPr>
        <w:pStyle w:val="21"/>
        <w:rPr>
          <w:rFonts w:hint="eastAsia" w:ascii="Arial" w:hAnsi="Arial" w:cs="Arial"/>
          <w:color w:val="auto"/>
          <w:szCs w:val="21"/>
          <w:highlight w:val="none"/>
          <w:lang w:val="en-US" w:eastAsia="zh-CN"/>
        </w:rPr>
      </w:pPr>
    </w:p>
    <w:p w14:paraId="29E3368B">
      <w:pPr>
        <w:pStyle w:val="21"/>
        <w:rPr>
          <w:rFonts w:hint="eastAsia" w:ascii="Arial" w:hAnsi="Arial" w:cs="Arial"/>
          <w:color w:val="auto"/>
          <w:szCs w:val="21"/>
          <w:highlight w:val="none"/>
          <w:lang w:val="en-US" w:eastAsia="zh-CN"/>
        </w:rPr>
      </w:pPr>
    </w:p>
    <w:p w14:paraId="36AE5578">
      <w:pPr>
        <w:pStyle w:val="21"/>
        <w:rPr>
          <w:rFonts w:hint="eastAsia" w:ascii="Arial" w:hAnsi="Arial" w:cs="Arial"/>
          <w:color w:val="auto"/>
          <w:szCs w:val="21"/>
          <w:highlight w:val="none"/>
          <w:lang w:val="en-US" w:eastAsia="zh-CN"/>
        </w:rPr>
      </w:pPr>
    </w:p>
    <w:p w14:paraId="62A73415">
      <w:pPr>
        <w:pStyle w:val="21"/>
        <w:rPr>
          <w:rFonts w:hint="eastAsia" w:ascii="Arial" w:hAnsi="Arial" w:cs="Arial"/>
          <w:color w:val="auto"/>
          <w:szCs w:val="21"/>
          <w:highlight w:val="none"/>
          <w:lang w:val="en-US" w:eastAsia="zh-CN"/>
        </w:rPr>
      </w:pPr>
    </w:p>
    <w:p w14:paraId="39CB749F">
      <w:pPr>
        <w:pStyle w:val="21"/>
        <w:rPr>
          <w:rFonts w:hint="eastAsia" w:ascii="Arial" w:hAnsi="Arial" w:cs="Arial"/>
          <w:color w:val="auto"/>
          <w:szCs w:val="21"/>
          <w:highlight w:val="none"/>
          <w:lang w:val="en-US" w:eastAsia="zh-CN"/>
        </w:rPr>
      </w:pPr>
    </w:p>
    <w:p w14:paraId="3B85BAAB">
      <w:pPr>
        <w:pStyle w:val="21"/>
        <w:rPr>
          <w:rFonts w:hint="eastAsia" w:ascii="Arial" w:hAnsi="Arial" w:cs="Arial"/>
          <w:color w:val="auto"/>
          <w:szCs w:val="21"/>
          <w:highlight w:val="none"/>
          <w:lang w:val="en-US" w:eastAsia="zh-CN"/>
        </w:rPr>
      </w:pPr>
    </w:p>
    <w:p w14:paraId="28E55E04">
      <w:pPr>
        <w:pStyle w:val="21"/>
        <w:rPr>
          <w:rFonts w:hint="eastAsia" w:ascii="Arial" w:hAnsi="Arial" w:cs="Arial"/>
          <w:color w:val="auto"/>
          <w:szCs w:val="21"/>
          <w:highlight w:val="none"/>
          <w:lang w:val="en-US" w:eastAsia="zh-CN"/>
        </w:rPr>
      </w:pPr>
    </w:p>
    <w:p w14:paraId="4EAE4396">
      <w:pPr>
        <w:pStyle w:val="21"/>
        <w:rPr>
          <w:rFonts w:hint="eastAsia" w:ascii="Arial" w:hAnsi="Arial" w:cs="Arial"/>
          <w:color w:val="auto"/>
          <w:szCs w:val="21"/>
          <w:highlight w:val="none"/>
          <w:lang w:val="en-US" w:eastAsia="zh-CN"/>
        </w:rPr>
      </w:pPr>
    </w:p>
    <w:p w14:paraId="2B98DF96">
      <w:pPr>
        <w:pStyle w:val="21"/>
        <w:rPr>
          <w:rFonts w:hint="eastAsia" w:ascii="Arial" w:hAnsi="Arial" w:cs="Arial"/>
          <w:color w:val="auto"/>
          <w:szCs w:val="21"/>
          <w:highlight w:val="none"/>
          <w:lang w:val="en-US" w:eastAsia="zh-CN"/>
        </w:rPr>
      </w:pPr>
    </w:p>
    <w:p w14:paraId="0D761CF7">
      <w:pPr>
        <w:numPr>
          <w:ilvl w:val="0"/>
          <w:numId w:val="0"/>
        </w:numPr>
        <w:spacing w:line="360" w:lineRule="auto"/>
        <w:ind w:left="420"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（八）关于满足《中华人民共和国政府采购法》第二十二条的承诺</w:t>
      </w:r>
    </w:p>
    <w:p w14:paraId="7F5542E8">
      <w:pPr>
        <w:keepNext w:val="0"/>
        <w:keepLines w:val="0"/>
        <w:pageBreakBefore w:val="0"/>
        <w:kinsoku/>
        <w:wordWrap/>
        <w:overflowPunct/>
        <w:topLinePunct w:val="0"/>
        <w:autoSpaceDE/>
        <w:autoSpaceDN/>
        <w:bidi w:val="0"/>
        <w:adjustRightInd/>
        <w:snapToGrid/>
        <w:spacing w:line="360" w:lineRule="auto"/>
        <w:ind w:firstLine="570" w:firstLineChars="200"/>
        <w:textAlignment w:val="auto"/>
        <w:rPr>
          <w:rFonts w:hint="eastAsia" w:ascii="宋体" w:hAnsi="宋体" w:eastAsia="宋体" w:cs="宋体"/>
          <w:kern w:val="0"/>
          <w:sz w:val="28"/>
          <w:szCs w:val="28"/>
          <w:lang w:val="en-US" w:eastAsia="zh-CN" w:bidi="ar-SA"/>
        </w:rPr>
      </w:pPr>
    </w:p>
    <w:p w14:paraId="7D0F041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我公司作为本次采购项目的投标人，根据招标文件要求，现郑重承诺如下：</w:t>
      </w:r>
    </w:p>
    <w:p w14:paraId="6C45DF5D">
      <w:pPr>
        <w:keepNext w:val="0"/>
        <w:keepLines w:val="0"/>
        <w:pageBreakBefore w:val="0"/>
        <w:kinsoku/>
        <w:wordWrap/>
        <w:overflowPunct/>
        <w:topLinePunct w:val="0"/>
        <w:autoSpaceDE/>
        <w:autoSpaceDN/>
        <w:bidi w:val="0"/>
        <w:adjustRightInd/>
        <w:snapToGrid/>
        <w:spacing w:line="360" w:lineRule="auto"/>
        <w:ind w:firstLine="49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一、具备《中华人民共和国政府采购法》第二十二条的条件：</w:t>
      </w:r>
    </w:p>
    <w:p w14:paraId="36E3E600">
      <w:pPr>
        <w:keepNext w:val="0"/>
        <w:keepLines w:val="0"/>
        <w:pageBreakBefore w:val="0"/>
        <w:kinsoku/>
        <w:wordWrap/>
        <w:overflowPunct/>
        <w:topLinePunct w:val="0"/>
        <w:autoSpaceDE/>
        <w:autoSpaceDN/>
        <w:bidi w:val="0"/>
        <w:adjustRightInd/>
        <w:snapToGrid/>
        <w:spacing w:line="360" w:lineRule="auto"/>
        <w:ind w:firstLine="49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（一）具有独立承担民事责任的能力； </w:t>
      </w:r>
    </w:p>
    <w:p w14:paraId="09916F01">
      <w:pPr>
        <w:keepNext w:val="0"/>
        <w:keepLines w:val="0"/>
        <w:pageBreakBefore w:val="0"/>
        <w:kinsoku/>
        <w:wordWrap/>
        <w:overflowPunct/>
        <w:topLinePunct w:val="0"/>
        <w:autoSpaceDE/>
        <w:autoSpaceDN/>
        <w:bidi w:val="0"/>
        <w:adjustRightInd/>
        <w:snapToGrid/>
        <w:spacing w:line="360" w:lineRule="auto"/>
        <w:ind w:firstLine="49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（二）具有良好的商业信誉和健全的财务会计制度； </w:t>
      </w:r>
    </w:p>
    <w:p w14:paraId="359A6968">
      <w:pPr>
        <w:keepNext w:val="0"/>
        <w:keepLines w:val="0"/>
        <w:pageBreakBefore w:val="0"/>
        <w:kinsoku/>
        <w:wordWrap/>
        <w:overflowPunct/>
        <w:topLinePunct w:val="0"/>
        <w:autoSpaceDE/>
        <w:autoSpaceDN/>
        <w:bidi w:val="0"/>
        <w:adjustRightInd/>
        <w:snapToGrid/>
        <w:spacing w:line="360" w:lineRule="auto"/>
        <w:ind w:firstLine="49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（三）具有履行合同所必需的设备和专业技术能力； </w:t>
      </w:r>
    </w:p>
    <w:p w14:paraId="45BDC7B6">
      <w:pPr>
        <w:keepNext w:val="0"/>
        <w:keepLines w:val="0"/>
        <w:pageBreakBefore w:val="0"/>
        <w:kinsoku/>
        <w:wordWrap/>
        <w:overflowPunct/>
        <w:topLinePunct w:val="0"/>
        <w:autoSpaceDE/>
        <w:autoSpaceDN/>
        <w:bidi w:val="0"/>
        <w:adjustRightInd/>
        <w:snapToGrid/>
        <w:spacing w:line="360" w:lineRule="auto"/>
        <w:ind w:firstLine="49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（四）有依法缴纳税收和社会保障资金的良好记录； </w:t>
      </w:r>
    </w:p>
    <w:p w14:paraId="0B7768B5">
      <w:pPr>
        <w:keepNext w:val="0"/>
        <w:keepLines w:val="0"/>
        <w:pageBreakBefore w:val="0"/>
        <w:kinsoku/>
        <w:wordWrap/>
        <w:overflowPunct/>
        <w:topLinePunct w:val="0"/>
        <w:autoSpaceDE/>
        <w:autoSpaceDN/>
        <w:bidi w:val="0"/>
        <w:adjustRightInd/>
        <w:snapToGrid/>
        <w:spacing w:line="360" w:lineRule="auto"/>
        <w:ind w:firstLine="49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（五）在经营活动中没有重大违法记录；</w:t>
      </w:r>
    </w:p>
    <w:p w14:paraId="5C48A3CA">
      <w:pPr>
        <w:keepNext w:val="0"/>
        <w:keepLines w:val="0"/>
        <w:pageBreakBefore w:val="0"/>
        <w:kinsoku/>
        <w:wordWrap/>
        <w:overflowPunct/>
        <w:topLinePunct w:val="0"/>
        <w:autoSpaceDE/>
        <w:autoSpaceDN/>
        <w:bidi w:val="0"/>
        <w:adjustRightInd/>
        <w:snapToGrid/>
        <w:spacing w:line="360" w:lineRule="auto"/>
        <w:ind w:firstLine="49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（六）法律、行政法规规定的其他条件；</w:t>
      </w:r>
    </w:p>
    <w:p w14:paraId="303A8693">
      <w:pPr>
        <w:keepNext w:val="0"/>
        <w:keepLines w:val="0"/>
        <w:pageBreakBefore w:val="0"/>
        <w:kinsoku/>
        <w:wordWrap/>
        <w:overflowPunct/>
        <w:topLinePunct w:val="0"/>
        <w:autoSpaceDE/>
        <w:autoSpaceDN/>
        <w:bidi w:val="0"/>
        <w:adjustRightInd/>
        <w:snapToGrid/>
        <w:spacing w:line="360" w:lineRule="auto"/>
        <w:ind w:firstLine="49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本公司对上述承诺的内容事项真实性负责。如经查实上述承诺的内容事项存在虚假，我公司愿意接受以提供虚假材料谋取中标追究法律责任。</w:t>
      </w:r>
    </w:p>
    <w:p w14:paraId="1C179E6E">
      <w:pPr>
        <w:keepNext w:val="0"/>
        <w:keepLines w:val="0"/>
        <w:pageBreakBefore w:val="0"/>
        <w:kinsoku/>
        <w:wordWrap/>
        <w:overflowPunct/>
        <w:topLinePunct w:val="0"/>
        <w:autoSpaceDE/>
        <w:autoSpaceDN/>
        <w:bidi w:val="0"/>
        <w:adjustRightInd/>
        <w:snapToGrid/>
        <w:spacing w:line="360" w:lineRule="auto"/>
        <w:ind w:firstLine="49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企业名称(盖公章):</w:t>
      </w:r>
    </w:p>
    <w:p w14:paraId="4567E7BF">
      <w:pPr>
        <w:keepNext w:val="0"/>
        <w:keepLines w:val="0"/>
        <w:pageBreakBefore w:val="0"/>
        <w:kinsoku/>
        <w:wordWrap/>
        <w:overflowPunct/>
        <w:topLinePunct w:val="0"/>
        <w:autoSpaceDE/>
        <w:autoSpaceDN/>
        <w:bidi w:val="0"/>
        <w:adjustRightInd/>
        <w:snapToGrid/>
        <w:spacing w:line="360" w:lineRule="auto"/>
        <w:ind w:firstLine="49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法定代表人(负责人)或其授权代表(签字</w:t>
      </w:r>
      <w:r>
        <w:rPr>
          <w:rFonts w:hint="eastAsia" w:ascii="宋体" w:hAnsi="宋体" w:cs="宋体"/>
          <w:kern w:val="0"/>
          <w:sz w:val="24"/>
          <w:szCs w:val="24"/>
          <w:lang w:val="en-US" w:eastAsia="zh-CN" w:bidi="ar-SA"/>
        </w:rPr>
        <w:t>或盖章</w:t>
      </w:r>
      <w:r>
        <w:rPr>
          <w:rFonts w:hint="eastAsia" w:ascii="宋体" w:hAnsi="宋体" w:eastAsia="宋体" w:cs="宋体"/>
          <w:kern w:val="0"/>
          <w:sz w:val="24"/>
          <w:szCs w:val="24"/>
          <w:lang w:val="en-US" w:eastAsia="zh-CN" w:bidi="ar-SA"/>
        </w:rPr>
        <w:t>):</w:t>
      </w:r>
    </w:p>
    <w:p w14:paraId="52667F5E">
      <w:pPr>
        <w:keepNext w:val="0"/>
        <w:keepLines w:val="0"/>
        <w:pageBreakBefore w:val="0"/>
        <w:kinsoku/>
        <w:wordWrap/>
        <w:overflowPunct/>
        <w:topLinePunct w:val="0"/>
        <w:autoSpaceDE/>
        <w:autoSpaceDN/>
        <w:bidi w:val="0"/>
        <w:adjustRightInd/>
        <w:snapToGrid/>
        <w:spacing w:line="360" w:lineRule="auto"/>
        <w:ind w:firstLine="49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日期:</w:t>
      </w:r>
    </w:p>
    <w:p w14:paraId="0FD91FA0">
      <w:pPr>
        <w:widowControl/>
        <w:spacing w:line="560" w:lineRule="exact"/>
        <w:ind w:firstLine="630"/>
        <w:jc w:val="left"/>
        <w:rPr>
          <w:rFonts w:hint="eastAsia" w:ascii="宋体" w:hAnsi="宋体" w:eastAsia="宋体" w:cs="宋体"/>
          <w:color w:val="auto"/>
          <w:kern w:val="0"/>
          <w:sz w:val="24"/>
          <w:szCs w:val="24"/>
          <w:highlight w:val="none"/>
          <w:lang w:eastAsia="zh-CN"/>
        </w:rPr>
      </w:pPr>
    </w:p>
    <w:p w14:paraId="67DF1B87">
      <w:pPr>
        <w:rPr>
          <w:rFonts w:ascii="Arial" w:hAnsi="Arial" w:cs="Arial"/>
          <w:color w:val="auto"/>
          <w:szCs w:val="21"/>
          <w:highlight w:val="none"/>
        </w:rPr>
      </w:pPr>
      <w:r>
        <w:rPr>
          <w:rFonts w:ascii="Arial" w:hAnsi="Arial" w:cs="Arial"/>
          <w:color w:val="auto"/>
          <w:szCs w:val="21"/>
          <w:highlight w:val="none"/>
        </w:rPr>
        <w:br w:type="page"/>
      </w:r>
    </w:p>
    <w:p w14:paraId="27B17F7B">
      <w:pPr>
        <w:pStyle w:val="15"/>
        <w:numPr>
          <w:ilvl w:val="0"/>
          <w:numId w:val="0"/>
        </w:numPr>
        <w:ind w:leftChars="0" w:right="0" w:rightChars="0"/>
      </w:pPr>
      <w:r>
        <w:rPr>
          <w:rFonts w:hint="eastAsia" w:ascii="宋体" w:hAnsi="宋体" w:eastAsia="宋体" w:cs="宋体"/>
          <w:b/>
          <w:bCs/>
          <w:color w:val="auto"/>
          <w:sz w:val="24"/>
          <w:szCs w:val="24"/>
          <w:highlight w:val="none"/>
          <w:lang w:val="en-US" w:eastAsia="zh-CN"/>
        </w:rPr>
        <w:t>（九）投标人须具有主管部门颁发有效的会计师事务所执业资格证书</w:t>
      </w:r>
    </w:p>
    <w:p w14:paraId="069AE221">
      <w:pPr>
        <w:pStyle w:val="15"/>
        <w:numPr>
          <w:ilvl w:val="0"/>
          <w:numId w:val="0"/>
        </w:numPr>
        <w:ind w:leftChars="0" w:right="0" w:rightChars="0"/>
      </w:pPr>
    </w:p>
    <w:p w14:paraId="6297997A">
      <w:pPr>
        <w:bidi w:val="0"/>
      </w:pPr>
    </w:p>
    <w:p w14:paraId="5887F493">
      <w:pPr>
        <w:bidi w:val="0"/>
      </w:pPr>
    </w:p>
    <w:p w14:paraId="2AE3E4B7">
      <w:pPr>
        <w:bidi w:val="0"/>
      </w:pPr>
    </w:p>
    <w:p w14:paraId="6EFF2A95">
      <w:pPr>
        <w:bidi w:val="0"/>
      </w:pPr>
    </w:p>
    <w:p w14:paraId="269057D8">
      <w:pPr>
        <w:bidi w:val="0"/>
      </w:pPr>
    </w:p>
    <w:p w14:paraId="193F6CE3">
      <w:pPr>
        <w:bidi w:val="0"/>
      </w:pPr>
    </w:p>
    <w:p w14:paraId="2487F000">
      <w:pPr>
        <w:bidi w:val="0"/>
      </w:pPr>
    </w:p>
    <w:p w14:paraId="2C3A5097">
      <w:pPr>
        <w:bidi w:val="0"/>
      </w:pPr>
    </w:p>
    <w:p w14:paraId="3FE702B9">
      <w:pPr>
        <w:rPr>
          <w:rFonts w:hint="default"/>
          <w:lang w:val="en-US" w:eastAsia="zh-CN"/>
        </w:rPr>
      </w:pPr>
    </w:p>
    <w:p w14:paraId="7BD0A86B">
      <w:pPr>
        <w:pStyle w:val="26"/>
        <w:rPr>
          <w:rFonts w:hint="default"/>
          <w:lang w:val="en-US" w:eastAsia="zh-CN"/>
        </w:rPr>
      </w:pPr>
    </w:p>
    <w:p w14:paraId="0E1AC638">
      <w:pPr>
        <w:rPr>
          <w:rFonts w:hint="default"/>
          <w:lang w:val="en-US" w:eastAsia="zh-CN"/>
        </w:rPr>
      </w:pPr>
    </w:p>
    <w:p w14:paraId="70C0B600">
      <w:pPr>
        <w:pStyle w:val="26"/>
        <w:rPr>
          <w:rFonts w:hint="default"/>
          <w:lang w:val="en-US" w:eastAsia="zh-CN"/>
        </w:rPr>
      </w:pPr>
    </w:p>
    <w:p w14:paraId="4113F396">
      <w:pPr>
        <w:rPr>
          <w:rFonts w:hint="default"/>
          <w:lang w:val="en-US" w:eastAsia="zh-CN"/>
        </w:rPr>
      </w:pPr>
    </w:p>
    <w:p w14:paraId="24661F5E">
      <w:pPr>
        <w:pStyle w:val="26"/>
        <w:rPr>
          <w:rFonts w:hint="default"/>
          <w:lang w:val="en-US" w:eastAsia="zh-CN"/>
        </w:rPr>
      </w:pPr>
    </w:p>
    <w:p w14:paraId="4ED81F22">
      <w:pPr>
        <w:rPr>
          <w:rFonts w:hint="default"/>
          <w:lang w:val="en-US" w:eastAsia="zh-CN"/>
        </w:rPr>
      </w:pPr>
    </w:p>
    <w:p w14:paraId="19809F81">
      <w:pPr>
        <w:pStyle w:val="26"/>
        <w:rPr>
          <w:rFonts w:hint="default"/>
          <w:lang w:val="en-US" w:eastAsia="zh-CN"/>
        </w:rPr>
      </w:pPr>
    </w:p>
    <w:p w14:paraId="55CECBF5">
      <w:pPr>
        <w:rPr>
          <w:rFonts w:hint="default"/>
          <w:lang w:val="en-US" w:eastAsia="zh-CN"/>
        </w:rPr>
      </w:pPr>
    </w:p>
    <w:p w14:paraId="5F22B171">
      <w:pPr>
        <w:pStyle w:val="26"/>
        <w:rPr>
          <w:rFonts w:hint="default"/>
          <w:lang w:val="en-US" w:eastAsia="zh-CN"/>
        </w:rPr>
      </w:pPr>
    </w:p>
    <w:p w14:paraId="12E0D192">
      <w:pPr>
        <w:rPr>
          <w:rFonts w:hint="default"/>
          <w:lang w:val="en-US" w:eastAsia="zh-CN"/>
        </w:rPr>
      </w:pPr>
    </w:p>
    <w:p w14:paraId="7F4E3B49">
      <w:pPr>
        <w:pStyle w:val="26"/>
        <w:rPr>
          <w:rFonts w:hint="default"/>
          <w:lang w:val="en-US" w:eastAsia="zh-CN"/>
        </w:rPr>
      </w:pPr>
    </w:p>
    <w:p w14:paraId="3AA871C7">
      <w:pPr>
        <w:rPr>
          <w:rFonts w:hint="default"/>
          <w:lang w:val="en-US" w:eastAsia="zh-CN"/>
        </w:rPr>
      </w:pPr>
    </w:p>
    <w:p w14:paraId="44B243B4">
      <w:pPr>
        <w:pStyle w:val="26"/>
        <w:rPr>
          <w:rFonts w:hint="default"/>
          <w:lang w:val="en-US" w:eastAsia="zh-CN"/>
        </w:rPr>
      </w:pPr>
    </w:p>
    <w:p w14:paraId="07B02C2C">
      <w:pPr>
        <w:rPr>
          <w:rFonts w:hint="default"/>
          <w:lang w:val="en-US" w:eastAsia="zh-CN"/>
        </w:rPr>
      </w:pPr>
    </w:p>
    <w:p w14:paraId="6DF7D993">
      <w:pPr>
        <w:pStyle w:val="26"/>
        <w:rPr>
          <w:rFonts w:hint="default"/>
          <w:lang w:val="en-US" w:eastAsia="zh-CN"/>
        </w:rPr>
      </w:pPr>
    </w:p>
    <w:p w14:paraId="1A8B570F">
      <w:pPr>
        <w:rPr>
          <w:rFonts w:hint="default"/>
          <w:lang w:val="en-US" w:eastAsia="zh-CN"/>
        </w:rPr>
      </w:pPr>
    </w:p>
    <w:p w14:paraId="3D18C74B">
      <w:pPr>
        <w:pStyle w:val="26"/>
        <w:rPr>
          <w:rFonts w:hint="default"/>
          <w:lang w:val="en-US" w:eastAsia="zh-CN"/>
        </w:rPr>
      </w:pPr>
    </w:p>
    <w:p w14:paraId="68A013B2">
      <w:pPr>
        <w:rPr>
          <w:rFonts w:hint="default"/>
          <w:lang w:val="en-US" w:eastAsia="zh-CN"/>
        </w:rPr>
      </w:pPr>
    </w:p>
    <w:p w14:paraId="13B8E154">
      <w:pPr>
        <w:pStyle w:val="26"/>
        <w:rPr>
          <w:rFonts w:hint="default"/>
          <w:lang w:val="en-US" w:eastAsia="zh-CN"/>
        </w:rPr>
      </w:pPr>
    </w:p>
    <w:p w14:paraId="2EAA9EC8">
      <w:pPr>
        <w:rPr>
          <w:rFonts w:hint="default"/>
          <w:lang w:val="en-US" w:eastAsia="zh-CN"/>
        </w:rPr>
      </w:pPr>
    </w:p>
    <w:p w14:paraId="4B80A501">
      <w:pPr>
        <w:pStyle w:val="26"/>
        <w:rPr>
          <w:rFonts w:hint="default"/>
          <w:lang w:val="en-US" w:eastAsia="zh-CN"/>
        </w:rPr>
      </w:pPr>
    </w:p>
    <w:p w14:paraId="3D12E308">
      <w:pPr>
        <w:rPr>
          <w:rFonts w:hint="default"/>
          <w:lang w:val="en-US" w:eastAsia="zh-CN"/>
        </w:rPr>
      </w:pPr>
    </w:p>
    <w:p w14:paraId="78B13C40">
      <w:pPr>
        <w:pStyle w:val="26"/>
        <w:rPr>
          <w:rFonts w:hint="default"/>
          <w:lang w:val="en-US" w:eastAsia="zh-CN"/>
        </w:rPr>
      </w:pPr>
    </w:p>
    <w:p w14:paraId="46E0BEC3">
      <w:pPr>
        <w:rPr>
          <w:rFonts w:hint="default"/>
          <w:lang w:val="en-US" w:eastAsia="zh-CN"/>
        </w:rPr>
      </w:pPr>
    </w:p>
    <w:p w14:paraId="2C9ABEAE">
      <w:pPr>
        <w:pStyle w:val="26"/>
        <w:rPr>
          <w:rFonts w:hint="default"/>
          <w:lang w:val="en-US" w:eastAsia="zh-CN"/>
        </w:rPr>
      </w:pPr>
    </w:p>
    <w:p w14:paraId="51EE1679">
      <w:pPr>
        <w:rPr>
          <w:rFonts w:hint="default"/>
          <w:lang w:val="en-US" w:eastAsia="zh-CN"/>
        </w:rPr>
      </w:pPr>
    </w:p>
    <w:p w14:paraId="0EF13471">
      <w:pPr>
        <w:pStyle w:val="26"/>
        <w:rPr>
          <w:rFonts w:hint="default"/>
          <w:lang w:val="en-US" w:eastAsia="zh-CN"/>
        </w:rPr>
      </w:pPr>
    </w:p>
    <w:p w14:paraId="18B0A334">
      <w:pPr>
        <w:rPr>
          <w:rFonts w:hint="default"/>
          <w:lang w:val="en-US" w:eastAsia="zh-CN"/>
        </w:rPr>
      </w:pPr>
    </w:p>
    <w:p w14:paraId="1666B1A0">
      <w:pPr>
        <w:pStyle w:val="26"/>
        <w:rPr>
          <w:rFonts w:hint="default"/>
          <w:lang w:val="en-US" w:eastAsia="zh-CN"/>
        </w:rPr>
      </w:pPr>
    </w:p>
    <w:p w14:paraId="14B6652F">
      <w:pPr>
        <w:rPr>
          <w:rFonts w:hint="default"/>
          <w:lang w:val="en-US" w:eastAsia="zh-CN"/>
        </w:rPr>
      </w:pPr>
    </w:p>
    <w:p w14:paraId="6B4BF7CF">
      <w:pPr>
        <w:pStyle w:val="26"/>
        <w:rPr>
          <w:rFonts w:hint="default"/>
          <w:lang w:val="en-US" w:eastAsia="zh-CN"/>
        </w:rPr>
      </w:pPr>
    </w:p>
    <w:p w14:paraId="70BE810B">
      <w:pPr>
        <w:pStyle w:val="4"/>
        <w:bidi w:val="0"/>
        <w:jc w:val="center"/>
        <w:rPr>
          <w:rFonts w:hint="eastAsia" w:ascii="宋体" w:hAnsi="宋体" w:eastAsia="宋体" w:cs="宋体"/>
          <w:b/>
          <w:bCs/>
          <w:color w:val="auto"/>
          <w:spacing w:val="0"/>
          <w:w w:val="100"/>
          <w:position w:val="0"/>
          <w:sz w:val="24"/>
          <w:szCs w:val="24"/>
          <w:highlight w:val="none"/>
          <w:shd w:val="clear" w:color="auto" w:fill="auto"/>
          <w:lang w:val="zh-CN" w:eastAsia="zh-CN" w:bidi="en-US"/>
        </w:rPr>
      </w:pPr>
      <w:bookmarkStart w:id="327" w:name="_Toc155185931"/>
      <w:bookmarkStart w:id="328" w:name="_Toc21134"/>
      <w:bookmarkStart w:id="329" w:name="_Toc3502"/>
      <w:r>
        <w:rPr>
          <w:rFonts w:hint="eastAsia" w:ascii="宋体" w:hAnsi="宋体" w:eastAsia="宋体" w:cs="宋体"/>
          <w:b/>
          <w:bCs/>
          <w:color w:val="auto"/>
          <w:spacing w:val="0"/>
          <w:w w:val="100"/>
          <w:position w:val="0"/>
          <w:sz w:val="24"/>
          <w:szCs w:val="24"/>
          <w:highlight w:val="none"/>
          <w:shd w:val="clear" w:color="auto" w:fill="auto"/>
          <w:lang w:val="en-US" w:eastAsia="zh-CN" w:bidi="en-US"/>
        </w:rPr>
        <w:t>二、</w:t>
      </w:r>
      <w:r>
        <w:rPr>
          <w:rFonts w:hint="eastAsia" w:ascii="宋体" w:hAnsi="宋体" w:eastAsia="宋体" w:cs="宋体"/>
          <w:b/>
          <w:bCs/>
          <w:color w:val="auto"/>
          <w:spacing w:val="0"/>
          <w:w w:val="100"/>
          <w:position w:val="0"/>
          <w:sz w:val="24"/>
          <w:szCs w:val="24"/>
          <w:highlight w:val="none"/>
          <w:shd w:val="clear" w:color="auto" w:fill="auto"/>
          <w:lang w:val="zh-CN" w:eastAsia="zh-CN" w:bidi="en-US"/>
        </w:rPr>
        <w:t>联合体协议书</w:t>
      </w:r>
      <w:bookmarkEnd w:id="327"/>
      <w:r>
        <w:rPr>
          <w:rFonts w:hint="eastAsia" w:ascii="宋体" w:hAnsi="宋体" w:eastAsia="宋体" w:cs="宋体"/>
          <w:b/>
          <w:bCs/>
          <w:color w:val="auto"/>
          <w:spacing w:val="0"/>
          <w:w w:val="100"/>
          <w:position w:val="0"/>
          <w:sz w:val="24"/>
          <w:szCs w:val="24"/>
          <w:highlight w:val="none"/>
          <w:shd w:val="clear" w:color="auto" w:fill="auto"/>
          <w:lang w:val="zh-CN" w:eastAsia="zh-CN" w:bidi="en-US"/>
        </w:rPr>
        <w:t>【如适用】</w:t>
      </w:r>
      <w:bookmarkEnd w:id="328"/>
      <w:bookmarkEnd w:id="329"/>
    </w:p>
    <w:p w14:paraId="1D55F4F3">
      <w:pPr>
        <w:topLinePunct/>
        <w:bidi w:val="0"/>
        <w:adjustRightInd/>
        <w:snapToGrid/>
        <w:spacing w:line="360" w:lineRule="auto"/>
        <w:ind w:left="245" w:leftChars="100" w:firstLine="245" w:firstLineChars="1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（所有成员单位名称）自愿组成联合体，共同参加</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（项目名称）投标。现就联合体投标事宜订立如下协议。</w:t>
      </w:r>
    </w:p>
    <w:p w14:paraId="79101431">
      <w:pPr>
        <w:topLinePunct/>
        <w:bidi w:val="0"/>
        <w:adjustRightInd/>
        <w:snapToGrid/>
        <w:spacing w:line="360" w:lineRule="auto"/>
        <w:ind w:firstLine="49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（某成员单位名称）为牵头人。</w:t>
      </w:r>
    </w:p>
    <w:p w14:paraId="28D5B482">
      <w:pPr>
        <w:topLinePunct/>
        <w:bidi w:val="0"/>
        <w:adjustRightInd/>
        <w:snapToGrid/>
        <w:spacing w:line="360" w:lineRule="auto"/>
        <w:ind w:firstLine="49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4FE982C">
      <w:pPr>
        <w:topLinePunct/>
        <w:bidi w:val="0"/>
        <w:adjustRightInd/>
        <w:snapToGrid/>
        <w:spacing w:line="360" w:lineRule="auto"/>
        <w:ind w:firstLine="49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3、联合体将严格按照招标文件的各项要求，递交投标文件，履行合同，并对外承担连带责任。</w:t>
      </w:r>
    </w:p>
    <w:p w14:paraId="4DC96BBB">
      <w:pPr>
        <w:topLinePunct/>
        <w:bidi w:val="0"/>
        <w:adjustRightInd/>
        <w:snapToGrid/>
        <w:spacing w:line="360" w:lineRule="auto"/>
        <w:ind w:firstLine="49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4、联合体各成员单位内部的职责分工如下：</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14:paraId="3008852B">
      <w:pPr>
        <w:topLinePunct/>
        <w:bidi w:val="0"/>
        <w:adjustRightInd/>
        <w:snapToGrid/>
        <w:spacing w:line="360" w:lineRule="auto"/>
        <w:ind w:firstLine="490" w:firstLineChars="200"/>
        <w:outlineLvl w:val="1"/>
        <w:rPr>
          <w:rFonts w:hint="eastAsia" w:asciiTheme="minorEastAsia" w:hAnsiTheme="minorEastAsia" w:eastAsiaTheme="minorEastAsia" w:cstheme="minorEastAsia"/>
          <w:sz w:val="24"/>
          <w:highlight w:val="none"/>
        </w:rPr>
      </w:pPr>
      <w:bookmarkStart w:id="330" w:name="_Toc14243"/>
      <w:bookmarkStart w:id="331" w:name="_Toc32300"/>
      <w:r>
        <w:rPr>
          <w:rFonts w:hint="eastAsia" w:asciiTheme="minorEastAsia" w:hAnsiTheme="minorEastAsia" w:eastAsiaTheme="minorEastAsia" w:cstheme="minorEastAsia"/>
          <w:sz w:val="24"/>
          <w:highlight w:val="none"/>
        </w:rPr>
        <w:t>5、本协议书自签署之日起生效，合同履行完毕后自动失效。</w:t>
      </w:r>
      <w:bookmarkEnd w:id="330"/>
      <w:bookmarkEnd w:id="331"/>
      <w:r>
        <w:rPr>
          <w:rFonts w:hint="eastAsia" w:asciiTheme="minorEastAsia" w:hAnsiTheme="minorEastAsia" w:eastAsiaTheme="minorEastAsia" w:cstheme="minorEastAsia"/>
          <w:sz w:val="24"/>
          <w:highlight w:val="none"/>
        </w:rPr>
        <w:t xml:space="preserve"> </w:t>
      </w:r>
    </w:p>
    <w:p w14:paraId="1F0853B8">
      <w:pPr>
        <w:topLinePunct/>
        <w:bidi w:val="0"/>
        <w:adjustRightInd/>
        <w:snapToGrid/>
        <w:spacing w:line="360" w:lineRule="auto"/>
        <w:ind w:firstLine="49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6、本协议书一式</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份，联合体成员和招标人各执</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份。</w:t>
      </w:r>
    </w:p>
    <w:p w14:paraId="6CA15021">
      <w:pPr>
        <w:topLinePunct/>
        <w:bidi w:val="0"/>
        <w:adjustRightInd/>
        <w:snapToGrid/>
        <w:spacing w:line="360" w:lineRule="auto"/>
        <w:ind w:left="120" w:hanging="120"/>
        <w:rPr>
          <w:rFonts w:hint="eastAsia" w:asciiTheme="minorEastAsia" w:hAnsiTheme="minorEastAsia" w:eastAsiaTheme="minorEastAsia" w:cstheme="minorEastAsia"/>
          <w:sz w:val="24"/>
          <w:highlight w:val="none"/>
        </w:rPr>
      </w:pPr>
    </w:p>
    <w:p w14:paraId="06C8809E">
      <w:pPr>
        <w:topLinePunct/>
        <w:bidi w:val="0"/>
        <w:adjustRightInd/>
        <w:snapToGrid/>
        <w:spacing w:line="360" w:lineRule="auto"/>
        <w:ind w:firstLine="49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注：本协议书由委托代理人签字的，应附法定代表人签字的授权委托书。</w:t>
      </w:r>
    </w:p>
    <w:p w14:paraId="5D41003E">
      <w:pPr>
        <w:topLinePunct/>
        <w:bidi w:val="0"/>
        <w:adjustRightInd/>
        <w:snapToGrid/>
        <w:spacing w:line="360" w:lineRule="auto"/>
        <w:ind w:left="120" w:hanging="120"/>
        <w:rPr>
          <w:rFonts w:hint="eastAsia" w:asciiTheme="minorEastAsia" w:hAnsiTheme="minorEastAsia" w:eastAsiaTheme="minorEastAsia" w:cstheme="minorEastAsia"/>
          <w:sz w:val="24"/>
          <w:highlight w:val="none"/>
        </w:rPr>
      </w:pPr>
    </w:p>
    <w:p w14:paraId="244E56D8">
      <w:pPr>
        <w:topLinePunct/>
        <w:bidi w:val="0"/>
        <w:adjustRightInd/>
        <w:snapToGrid/>
        <w:spacing w:line="360" w:lineRule="auto"/>
        <w:ind w:left="120" w:hanging="1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牵头人名称：</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（盖章）</w:t>
      </w:r>
    </w:p>
    <w:p w14:paraId="365487C6">
      <w:pPr>
        <w:topLinePunct/>
        <w:bidi w:val="0"/>
        <w:adjustRightInd/>
        <w:snapToGrid/>
        <w:spacing w:line="360" w:lineRule="auto"/>
        <w:ind w:left="120" w:hanging="1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法定代表人或其委托代理人：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（签字或盖章）</w:t>
      </w:r>
    </w:p>
    <w:p w14:paraId="75B28A0B">
      <w:pPr>
        <w:topLinePunct/>
        <w:bidi w:val="0"/>
        <w:adjustRightInd/>
        <w:snapToGrid/>
        <w:spacing w:line="360" w:lineRule="auto"/>
        <w:ind w:left="120" w:hanging="120"/>
        <w:rPr>
          <w:rFonts w:hint="eastAsia" w:asciiTheme="minorEastAsia" w:hAnsiTheme="minorEastAsia" w:eastAsiaTheme="minorEastAsia" w:cstheme="minorEastAsia"/>
          <w:sz w:val="24"/>
          <w:highlight w:val="none"/>
        </w:rPr>
      </w:pPr>
    </w:p>
    <w:p w14:paraId="30592B29">
      <w:pPr>
        <w:topLinePunct/>
        <w:bidi w:val="0"/>
        <w:adjustRightInd/>
        <w:snapToGrid/>
        <w:spacing w:line="360" w:lineRule="auto"/>
        <w:ind w:left="120" w:hanging="1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成员一名称：</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（盖章）</w:t>
      </w:r>
    </w:p>
    <w:p w14:paraId="23C58D0E">
      <w:pPr>
        <w:topLinePunct/>
        <w:bidi w:val="0"/>
        <w:adjustRightInd/>
        <w:snapToGrid/>
        <w:spacing w:line="360" w:lineRule="auto"/>
        <w:ind w:left="120" w:hanging="1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法定代表人或其委托代理人：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（签字或盖章）</w:t>
      </w:r>
    </w:p>
    <w:p w14:paraId="7855F216">
      <w:pPr>
        <w:topLinePunct/>
        <w:bidi w:val="0"/>
        <w:adjustRightInd/>
        <w:snapToGrid/>
        <w:spacing w:line="360" w:lineRule="auto"/>
        <w:ind w:left="120" w:hanging="1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p>
    <w:p w14:paraId="3E0C6114">
      <w:pPr>
        <w:topLinePunct/>
        <w:bidi w:val="0"/>
        <w:adjustRightInd/>
        <w:snapToGrid/>
        <w:spacing w:line="360" w:lineRule="auto"/>
        <w:ind w:left="120" w:hanging="1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成员二名称：</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（盖章）</w:t>
      </w:r>
    </w:p>
    <w:p w14:paraId="50EAB34A">
      <w:pPr>
        <w:topLinePunct/>
        <w:bidi w:val="0"/>
        <w:adjustRightInd/>
        <w:snapToGrid/>
        <w:spacing w:line="360" w:lineRule="auto"/>
        <w:ind w:left="120" w:hanging="1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法定代表人或其委托代理人：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（签字或盖章）</w:t>
      </w:r>
    </w:p>
    <w:p w14:paraId="7BA39315">
      <w:pPr>
        <w:topLinePunct/>
        <w:bidi w:val="0"/>
        <w:adjustRightInd/>
        <w:snapToGrid/>
        <w:spacing w:line="360" w:lineRule="auto"/>
        <w:ind w:left="120" w:hanging="12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p>
    <w:p w14:paraId="529F9A40">
      <w:pPr>
        <w:topLinePunct/>
        <w:bidi w:val="0"/>
        <w:adjustRightInd/>
        <w:snapToGrid/>
        <w:spacing w:line="360" w:lineRule="auto"/>
        <w:ind w:left="120" w:hanging="120"/>
        <w:rPr>
          <w:rFonts w:hint="eastAsia" w:asciiTheme="minorEastAsia" w:hAnsiTheme="minorEastAsia" w:eastAsiaTheme="minorEastAsia" w:cstheme="minorEastAsia"/>
          <w:sz w:val="24"/>
          <w:highlight w:val="none"/>
        </w:rPr>
      </w:pPr>
    </w:p>
    <w:p w14:paraId="1C873A2E">
      <w:pPr>
        <w:rPr>
          <w:rFonts w:hint="eastAsia"/>
        </w:rPr>
      </w:pP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日</w:t>
      </w:r>
    </w:p>
    <w:sectPr>
      <w:headerReference r:id="rId17" w:type="default"/>
      <w:footerReference r:id="rId18" w:type="default"/>
      <w:pgSz w:w="11905" w:h="16838"/>
      <w:pgMar w:top="1440" w:right="1417" w:bottom="1440" w:left="1417" w:header="850" w:footer="992" w:gutter="0"/>
      <w:pgNumType w:fmt="decimal"/>
      <w:cols w:space="0" w:num="1"/>
      <w:rtlGutter w:val="0"/>
      <w:docGrid w:type="linesAndChars" w:linePitch="332" w:charSpace="10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Courier New"/>
    <w:panose1 w:val="00000000000000000000"/>
    <w:charset w:val="00"/>
    <w:family w:val="roman"/>
    <w:pitch w:val="default"/>
    <w:sig w:usb0="00000000" w:usb1="00000000" w:usb2="00000000"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73C98">
    <w:pPr>
      <w:pStyle w:val="23"/>
      <w:ind w:right="360"/>
      <w:jc w:val="both"/>
      <w:rPr>
        <w:rFonts w:hint="eastAsia"/>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02F77B"/>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14:paraId="2702F77B"/>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C65A1">
    <w:pPr>
      <w:pStyle w:val="23"/>
      <w:ind w:right="360"/>
      <w:jc w:val="both"/>
      <w:rPr>
        <w:rFonts w:hint="eastAsia"/>
      </w:rPr>
    </w:pPr>
    <w:r>
      <w:rPr>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4C8774">
                          <w:pPr>
                            <w:pStyle w:val="2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14:paraId="114C8774">
                    <w:pPr>
                      <w:pStyle w:val="2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13EF9">
    <w:pPr>
      <w:pStyle w:val="23"/>
      <w:ind w:right="360"/>
      <w:jc w:val="both"/>
      <w:rPr>
        <w:rFonts w:hint="default"/>
        <w:lang w:val="en-US"/>
      </w:rPr>
    </w:pP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06AEE">
                          <w:pPr>
                            <w:pStyle w:val="2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006AEE">
                    <w:pPr>
                      <w:pStyle w:val="23"/>
                    </w:pPr>
                    <w:r>
                      <w:fldChar w:fldCharType="begin"/>
                    </w:r>
                    <w:r>
                      <w:instrText xml:space="preserve"> PAGE  \* MERGEFORMAT </w:instrText>
                    </w:r>
                    <w:r>
                      <w:fldChar w:fldCharType="separate"/>
                    </w:r>
                    <w:r>
                      <w:t>3</w:t>
                    </w:r>
                    <w:r>
                      <w:fldChar w:fldCharType="end"/>
                    </w:r>
                  </w:p>
                </w:txbxContent>
              </v:textbox>
            </v:shape>
          </w:pict>
        </mc:Fallback>
      </mc:AlternateContent>
    </w:r>
    <w:r>
      <w:rPr>
        <w:sz w:val="1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87E01D">
                          <w:pPr>
                            <w:pStyle w:val="2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A87E01D">
                    <w:pPr>
                      <w:pStyle w:val="23"/>
                    </w:pPr>
                  </w:p>
                </w:txbxContent>
              </v:textbox>
            </v:shape>
          </w:pict>
        </mc:Fallback>
      </mc:AlternateContent>
    </w:r>
    <w:r>
      <w:rPr>
        <w:rFonts w:hint="eastAsia"/>
        <w:sz w:val="16"/>
        <w:szCs w:val="16"/>
      </w:rPr>
      <w:t xml:space="preserve"> </w:t>
    </w:r>
    <w:r>
      <w:rPr>
        <w:rFonts w:hint="eastAsia"/>
        <w:color w:val="800000"/>
        <w:sz w:val="16"/>
        <w:szCs w:val="20"/>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3AA13">
    <w:pPr>
      <w:pStyle w:val="23"/>
      <w:tabs>
        <w:tab w:val="center" w:pos="4320"/>
        <w:tab w:val="right" w:pos="8640"/>
        <w:tab w:val="clear" w:pos="4153"/>
        <w:tab w:val="clear" w:pos="8306"/>
      </w:tabs>
      <w:rPr>
        <w:rStyle w:val="3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D55CD">
                          <w:pPr>
                            <w:pStyle w:val="2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12D55CD">
                    <w:pPr>
                      <w:pStyle w:val="23"/>
                    </w:pPr>
                    <w:r>
                      <w:fldChar w:fldCharType="begin"/>
                    </w:r>
                    <w:r>
                      <w:instrText xml:space="preserve"> PAGE  \* MERGEFORMAT </w:instrText>
                    </w:r>
                    <w:r>
                      <w:fldChar w:fldCharType="separate"/>
                    </w:r>
                    <w:r>
                      <w:t>52</w:t>
                    </w:r>
                    <w:r>
                      <w:fldChar w:fldCharType="end"/>
                    </w:r>
                  </w:p>
                </w:txbxContent>
              </v:textbox>
            </v:shape>
          </w:pict>
        </mc:Fallback>
      </mc:AlternateContent>
    </w:r>
  </w:p>
  <w:p w14:paraId="162DCBF8">
    <w:pPr>
      <w:pStyle w:val="23"/>
      <w:tabs>
        <w:tab w:val="center" w:pos="4320"/>
        <w:tab w:val="right" w:pos="8640"/>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2B419">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DACE7">
    <w:pPr>
      <w:pStyle w:val="23"/>
      <w:tabs>
        <w:tab w:val="center" w:pos="4410"/>
        <w:tab w:val="clear" w:pos="4153"/>
        <w:tab w:val="clear" w:pos="8306"/>
      </w:tabs>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1503E">
                          <w:pPr>
                            <w:pStyle w:val="2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9E1503E">
                    <w:pPr>
                      <w:pStyle w:val="23"/>
                    </w:pPr>
                    <w:r>
                      <w:fldChar w:fldCharType="begin"/>
                    </w:r>
                    <w:r>
                      <w:instrText xml:space="preserve"> PAGE  \* MERGEFORMAT </w:instrText>
                    </w:r>
                    <w:r>
                      <w:fldChar w:fldCharType="separate"/>
                    </w:r>
                    <w:r>
                      <w:t>51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5BE4CB1">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sg2SHYAQAAsQ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2JYu8DBNO4jT2nqw4bIeJ&#10;6Na1R+TZ40I01OL+U6I/WdQ77c5shNnYzsbeB7Xr8nKlWuA/7C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6yDZIdgBAACxAwAADgAAAAAAAAAB&#10;ACAAAAAiAQAAZHJzL2Uyb0RvYy54bWxQSwUGAAAAAAYABgBZAQAAbAUAAAAA&#10;">
              <v:fill on="f" focussize="0,0"/>
              <v:stroke on="f" weight="1.25pt"/>
              <v:imagedata o:title=""/>
              <o:lock v:ext="edit" aspectratio="f"/>
              <v:textbox inset="0mm,0mm,0mm,0mm" style="mso-fit-shape-to-text:t;">
                <w:txbxContent>
                  <w:p w14:paraId="45BE4CB1">
                    <w:pPr>
                      <w:rPr>
                        <w:rFonts w:hint="eastAsia"/>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28067">
    <w:pPr>
      <w:pStyle w:val="2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5DDC7">
                          <w:pPr>
                            <w:pStyle w:val="23"/>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675DDC7">
                    <w:pPr>
                      <w:pStyle w:val="23"/>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07145">
    <w:pPr>
      <w:pStyle w:val="2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3F0A5">
                          <w:pPr>
                            <w:pStyle w:val="23"/>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BE3F0A5">
                    <w:pPr>
                      <w:pStyle w:val="23"/>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23BA1">
    <w:pPr>
      <w:pStyle w:val="2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AD08F">
                          <w:pPr>
                            <w:pStyle w:val="23"/>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CEAD08F">
                    <w:pPr>
                      <w:pStyle w:val="23"/>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EDD8F">
    <w:pPr>
      <w:pStyle w:val="25"/>
      <w:tabs>
        <w:tab w:val="left" w:pos="8118"/>
      </w:tabs>
      <w:jc w:val="left"/>
      <w:rPr>
        <w:rFonts w:hint="eastAsia" w:eastAsia="宋体"/>
        <w:lang w:eastAsia="zh-CN"/>
      </w:rPr>
    </w:pPr>
    <w:r>
      <w:rPr>
        <w:rFonts w:hint="eastAsia" w:eastAsia="宋体"/>
        <w:lang w:eastAsia="zh-CN"/>
      </w:rPr>
      <w:tab/>
    </w:r>
    <w:r>
      <w:rPr>
        <w:rFonts w:hint="eastAsia" w:eastAsia="宋体"/>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3EE5B">
    <w:pPr>
      <w:pStyle w:val="25"/>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038C4">
    <w:pPr>
      <w:pStyle w:val="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9F87F">
    <w:pPr>
      <w:pStyle w:val="25"/>
      <w:jc w:val="right"/>
      <w:rPr>
        <w:rFonts w:hint="eastAsia" w:ascii="宋体" w:hAnsi="宋体" w:eastAsia="宋体" w:cs="宋体"/>
        <w:sz w:val="20"/>
        <w:szCs w:val="20"/>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8B115"/>
    <w:multiLevelType w:val="singleLevel"/>
    <w:tmpl w:val="8698B115"/>
    <w:lvl w:ilvl="0" w:tentative="0">
      <w:start w:val="1"/>
      <w:numFmt w:val="decimal"/>
      <w:lvlText w:val="%1."/>
      <w:lvlJc w:val="left"/>
      <w:pPr>
        <w:tabs>
          <w:tab w:val="left" w:pos="312"/>
        </w:tabs>
      </w:pPr>
    </w:lvl>
  </w:abstractNum>
  <w:abstractNum w:abstractNumId="1">
    <w:nsid w:val="0000000D"/>
    <w:multiLevelType w:val="multilevel"/>
    <w:tmpl w:val="0000000D"/>
    <w:lvl w:ilvl="0" w:tentative="0">
      <w:start w:val="1"/>
      <w:numFmt w:val="decimal"/>
      <w:pStyle w:val="15"/>
      <w:lvlText w:val="%1."/>
      <w:lvlJc w:val="left"/>
      <w:pPr>
        <w:tabs>
          <w:tab w:val="left" w:pos="780"/>
        </w:tabs>
        <w:ind w:left="1035"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2">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2D0285C2"/>
    <w:multiLevelType w:val="singleLevel"/>
    <w:tmpl w:val="2D0285C2"/>
    <w:lvl w:ilvl="0" w:tentative="0">
      <w:start w:val="2"/>
      <w:numFmt w:val="chineseCounting"/>
      <w:suff w:val="space"/>
      <w:lvlText w:val="第%1部分"/>
      <w:lvlJc w:val="left"/>
      <w:rPr>
        <w:rFonts w:hint="eastAsia"/>
      </w:rPr>
    </w:lvl>
  </w:abstractNum>
  <w:abstractNum w:abstractNumId="4">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5">
    <w:nsid w:val="7D66145C"/>
    <w:multiLevelType w:val="singleLevel"/>
    <w:tmpl w:val="7D66145C"/>
    <w:lvl w:ilvl="0" w:tentative="0">
      <w:start w:val="1"/>
      <w:numFmt w:val="decimal"/>
      <w:suff w:val="nothing"/>
      <w:lvlText w:val="（%1）"/>
      <w:lvlJc w:val="left"/>
    </w:lvl>
  </w:abstractNum>
  <w:abstractNum w:abstractNumId="6">
    <w:nsid w:val="7E725675"/>
    <w:multiLevelType w:val="singleLevel"/>
    <w:tmpl w:val="7E725675"/>
    <w:lvl w:ilvl="0" w:tentative="0">
      <w:start w:val="1"/>
      <w:numFmt w:val="bullet"/>
      <w:pStyle w:val="14"/>
      <w:lvlText w:val=""/>
      <w:lvlJc w:val="left"/>
      <w:pPr>
        <w:tabs>
          <w:tab w:val="left" w:pos="1200"/>
        </w:tabs>
        <w:ind w:left="1200" w:hanging="360"/>
      </w:pPr>
      <w:rPr>
        <w:rFonts w:hint="default" w:ascii="Wingdings" w:hAnsi="Wingdings"/>
      </w:rPr>
    </w:lvl>
  </w:abstractNum>
  <w:abstractNum w:abstractNumId="7">
    <w:nsid w:val="7F108EB5"/>
    <w:multiLevelType w:val="singleLevel"/>
    <w:tmpl w:val="7F108EB5"/>
    <w:lvl w:ilvl="0" w:tentative="0">
      <w:start w:val="2"/>
      <w:numFmt w:val="decimal"/>
      <w:lvlText w:val="%1."/>
      <w:lvlJc w:val="left"/>
      <w:pPr>
        <w:tabs>
          <w:tab w:val="left" w:pos="312"/>
        </w:tabs>
      </w:pPr>
    </w:lvl>
  </w:abstractNum>
  <w:abstractNum w:abstractNumId="8">
    <w:nsid w:val="7FC5D1A0"/>
    <w:multiLevelType w:val="singleLevel"/>
    <w:tmpl w:val="7FC5D1A0"/>
    <w:lvl w:ilvl="0" w:tentative="0">
      <w:start w:val="1"/>
      <w:numFmt w:val="decimal"/>
      <w:pStyle w:val="28"/>
      <w:lvlText w:val="%1."/>
      <w:lvlJc w:val="left"/>
      <w:pPr>
        <w:tabs>
          <w:tab w:val="left" w:pos="2040"/>
        </w:tabs>
        <w:ind w:left="2040" w:hanging="360"/>
      </w:pPr>
    </w:lvl>
  </w:abstractNum>
  <w:num w:numId="1">
    <w:abstractNumId w:val="6"/>
  </w:num>
  <w:num w:numId="2">
    <w:abstractNumId w:val="1"/>
  </w:num>
  <w:num w:numId="3">
    <w:abstractNumId w:val="8"/>
  </w:num>
  <w:num w:numId="4">
    <w:abstractNumId w:val="0"/>
  </w:num>
  <w:num w:numId="5">
    <w:abstractNumId w:val="2"/>
  </w:num>
  <w:num w:numId="6">
    <w:abstractNumId w:val="4"/>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isplayBackgroundShape w:val="1"/>
  <w:embedSystemFonts/>
  <w:bordersDoNotSurroundHeader w:val="0"/>
  <w:bordersDoNotSurroundFooter w:val="0"/>
  <w:documentProtection w:enforcement="0"/>
  <w:defaultTabStop w:val="420"/>
  <w:drawingGridHorizontalSpacing w:val="123"/>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WI1N2IwYjczOGVkNmZiYjMzYWMxMzU5Y2Q2NmYifQ=="/>
  </w:docVars>
  <w:rsids>
    <w:rsidRoot w:val="430832B2"/>
    <w:rsid w:val="00036274"/>
    <w:rsid w:val="001815E8"/>
    <w:rsid w:val="001E33B2"/>
    <w:rsid w:val="004D4054"/>
    <w:rsid w:val="006140F3"/>
    <w:rsid w:val="00825537"/>
    <w:rsid w:val="00AD6BF1"/>
    <w:rsid w:val="00BC5ECE"/>
    <w:rsid w:val="00DF3300"/>
    <w:rsid w:val="00FA4BD4"/>
    <w:rsid w:val="011D2710"/>
    <w:rsid w:val="0123584C"/>
    <w:rsid w:val="01A77FF3"/>
    <w:rsid w:val="01CA3F1A"/>
    <w:rsid w:val="01DA6404"/>
    <w:rsid w:val="01E44B68"/>
    <w:rsid w:val="01F77D03"/>
    <w:rsid w:val="021A6C4F"/>
    <w:rsid w:val="022E7E43"/>
    <w:rsid w:val="023C35FE"/>
    <w:rsid w:val="02493EC4"/>
    <w:rsid w:val="0250441F"/>
    <w:rsid w:val="0270210E"/>
    <w:rsid w:val="02750329"/>
    <w:rsid w:val="029702A0"/>
    <w:rsid w:val="02B152F4"/>
    <w:rsid w:val="02E53EBC"/>
    <w:rsid w:val="02F73C38"/>
    <w:rsid w:val="02FC6355"/>
    <w:rsid w:val="03084FC6"/>
    <w:rsid w:val="03120DC1"/>
    <w:rsid w:val="0312238C"/>
    <w:rsid w:val="03247659"/>
    <w:rsid w:val="03250913"/>
    <w:rsid w:val="03351867"/>
    <w:rsid w:val="03435D32"/>
    <w:rsid w:val="03591445"/>
    <w:rsid w:val="035E0DBD"/>
    <w:rsid w:val="036D7D9A"/>
    <w:rsid w:val="03821D6C"/>
    <w:rsid w:val="038329E4"/>
    <w:rsid w:val="03920A67"/>
    <w:rsid w:val="039F146F"/>
    <w:rsid w:val="03AD6B3B"/>
    <w:rsid w:val="03C80B0A"/>
    <w:rsid w:val="03CE5F43"/>
    <w:rsid w:val="03E43E92"/>
    <w:rsid w:val="03E868D9"/>
    <w:rsid w:val="03E91161"/>
    <w:rsid w:val="04020AD7"/>
    <w:rsid w:val="0406720F"/>
    <w:rsid w:val="04201537"/>
    <w:rsid w:val="042913CB"/>
    <w:rsid w:val="042A106A"/>
    <w:rsid w:val="04511EA2"/>
    <w:rsid w:val="045E35EB"/>
    <w:rsid w:val="046A1A43"/>
    <w:rsid w:val="047A1DCF"/>
    <w:rsid w:val="04B30C95"/>
    <w:rsid w:val="04B862AB"/>
    <w:rsid w:val="04D806FC"/>
    <w:rsid w:val="04DA26C6"/>
    <w:rsid w:val="04DF1D99"/>
    <w:rsid w:val="04E60A17"/>
    <w:rsid w:val="0513261D"/>
    <w:rsid w:val="053D42F2"/>
    <w:rsid w:val="05563801"/>
    <w:rsid w:val="055F77CB"/>
    <w:rsid w:val="05646273"/>
    <w:rsid w:val="05747309"/>
    <w:rsid w:val="057B562E"/>
    <w:rsid w:val="058B5484"/>
    <w:rsid w:val="05942874"/>
    <w:rsid w:val="05C23886"/>
    <w:rsid w:val="05CE725F"/>
    <w:rsid w:val="05E31007"/>
    <w:rsid w:val="060F6C7C"/>
    <w:rsid w:val="06141E47"/>
    <w:rsid w:val="061761CF"/>
    <w:rsid w:val="063B7194"/>
    <w:rsid w:val="06865E81"/>
    <w:rsid w:val="06936FD0"/>
    <w:rsid w:val="069A035E"/>
    <w:rsid w:val="06D17EE2"/>
    <w:rsid w:val="06E33B5C"/>
    <w:rsid w:val="06E710CA"/>
    <w:rsid w:val="076369A2"/>
    <w:rsid w:val="07905B50"/>
    <w:rsid w:val="07C51B2C"/>
    <w:rsid w:val="07F10452"/>
    <w:rsid w:val="0808579C"/>
    <w:rsid w:val="08323FEC"/>
    <w:rsid w:val="083E3C3C"/>
    <w:rsid w:val="085D5AE7"/>
    <w:rsid w:val="087B0530"/>
    <w:rsid w:val="08847D2B"/>
    <w:rsid w:val="088E7A4F"/>
    <w:rsid w:val="08A954E5"/>
    <w:rsid w:val="08B36871"/>
    <w:rsid w:val="08C064EE"/>
    <w:rsid w:val="08C6543B"/>
    <w:rsid w:val="08D0181D"/>
    <w:rsid w:val="08D12C20"/>
    <w:rsid w:val="08F32260"/>
    <w:rsid w:val="090E3FE5"/>
    <w:rsid w:val="091D420B"/>
    <w:rsid w:val="09231976"/>
    <w:rsid w:val="093F2ABC"/>
    <w:rsid w:val="09436A8B"/>
    <w:rsid w:val="097F51FE"/>
    <w:rsid w:val="09CE0801"/>
    <w:rsid w:val="09EC23D5"/>
    <w:rsid w:val="09F33C46"/>
    <w:rsid w:val="09F45FD8"/>
    <w:rsid w:val="0A0505FE"/>
    <w:rsid w:val="0A193C90"/>
    <w:rsid w:val="0A742C74"/>
    <w:rsid w:val="0A8A6A4D"/>
    <w:rsid w:val="0A982D0F"/>
    <w:rsid w:val="0AB55BB0"/>
    <w:rsid w:val="0AB633E7"/>
    <w:rsid w:val="0AC92FC0"/>
    <w:rsid w:val="0AD025FD"/>
    <w:rsid w:val="0AEC1713"/>
    <w:rsid w:val="0B213EE8"/>
    <w:rsid w:val="0B2F3756"/>
    <w:rsid w:val="0B30303F"/>
    <w:rsid w:val="0B316F09"/>
    <w:rsid w:val="0B9E39F1"/>
    <w:rsid w:val="0BCB36A3"/>
    <w:rsid w:val="0BE34A57"/>
    <w:rsid w:val="0BEC17AE"/>
    <w:rsid w:val="0BF26C44"/>
    <w:rsid w:val="0C6E7ED8"/>
    <w:rsid w:val="0C7F1555"/>
    <w:rsid w:val="0CCD0967"/>
    <w:rsid w:val="0CDE709B"/>
    <w:rsid w:val="0CE324F3"/>
    <w:rsid w:val="0CEA36C2"/>
    <w:rsid w:val="0D2210AE"/>
    <w:rsid w:val="0D2B33CB"/>
    <w:rsid w:val="0D3037CB"/>
    <w:rsid w:val="0D4B23B2"/>
    <w:rsid w:val="0D5D663C"/>
    <w:rsid w:val="0D9000C1"/>
    <w:rsid w:val="0D907DC5"/>
    <w:rsid w:val="0D94295D"/>
    <w:rsid w:val="0DA9532B"/>
    <w:rsid w:val="0DC41A2D"/>
    <w:rsid w:val="0DC92590"/>
    <w:rsid w:val="0DCB7D5D"/>
    <w:rsid w:val="0DDA3736"/>
    <w:rsid w:val="0DE46363"/>
    <w:rsid w:val="0DE97ED5"/>
    <w:rsid w:val="0DEB5944"/>
    <w:rsid w:val="0E4C51DE"/>
    <w:rsid w:val="0E4D5CB6"/>
    <w:rsid w:val="0E512943"/>
    <w:rsid w:val="0E670F34"/>
    <w:rsid w:val="0E862433"/>
    <w:rsid w:val="0E982F0A"/>
    <w:rsid w:val="0EA96746"/>
    <w:rsid w:val="0EAE0E4B"/>
    <w:rsid w:val="0EBB42D2"/>
    <w:rsid w:val="0EC32D75"/>
    <w:rsid w:val="0ECE329B"/>
    <w:rsid w:val="0EE41B4B"/>
    <w:rsid w:val="0EFE5203"/>
    <w:rsid w:val="0F111837"/>
    <w:rsid w:val="0F277D6F"/>
    <w:rsid w:val="0F4E1CE6"/>
    <w:rsid w:val="0F6153DB"/>
    <w:rsid w:val="0F706100"/>
    <w:rsid w:val="0F876B0D"/>
    <w:rsid w:val="0FBA4BF0"/>
    <w:rsid w:val="0FC14530"/>
    <w:rsid w:val="0FCA2F71"/>
    <w:rsid w:val="0FDA4779"/>
    <w:rsid w:val="10321608"/>
    <w:rsid w:val="104444E2"/>
    <w:rsid w:val="10685029"/>
    <w:rsid w:val="107847B5"/>
    <w:rsid w:val="10895821"/>
    <w:rsid w:val="10947BCD"/>
    <w:rsid w:val="109612F2"/>
    <w:rsid w:val="10A1053B"/>
    <w:rsid w:val="10AA3894"/>
    <w:rsid w:val="10B25F64"/>
    <w:rsid w:val="10F36FE9"/>
    <w:rsid w:val="10F87D6A"/>
    <w:rsid w:val="11036B00"/>
    <w:rsid w:val="110D6DCA"/>
    <w:rsid w:val="110E25D3"/>
    <w:rsid w:val="117965CF"/>
    <w:rsid w:val="117A5C31"/>
    <w:rsid w:val="11835756"/>
    <w:rsid w:val="118B74C4"/>
    <w:rsid w:val="11912D22"/>
    <w:rsid w:val="11967974"/>
    <w:rsid w:val="119836EC"/>
    <w:rsid w:val="11A227BD"/>
    <w:rsid w:val="11B20FC6"/>
    <w:rsid w:val="11D24E50"/>
    <w:rsid w:val="11DC5CCF"/>
    <w:rsid w:val="11DF30C9"/>
    <w:rsid w:val="11EE77B0"/>
    <w:rsid w:val="12062D4C"/>
    <w:rsid w:val="120E4A05"/>
    <w:rsid w:val="123F18BA"/>
    <w:rsid w:val="12437373"/>
    <w:rsid w:val="126857B5"/>
    <w:rsid w:val="12747CB6"/>
    <w:rsid w:val="129F3033"/>
    <w:rsid w:val="12AF5192"/>
    <w:rsid w:val="12EC4CE0"/>
    <w:rsid w:val="130308CA"/>
    <w:rsid w:val="134B4C7E"/>
    <w:rsid w:val="135B3A09"/>
    <w:rsid w:val="135B5E4C"/>
    <w:rsid w:val="136F67F4"/>
    <w:rsid w:val="13725EDE"/>
    <w:rsid w:val="138639D2"/>
    <w:rsid w:val="13937098"/>
    <w:rsid w:val="139B1B3C"/>
    <w:rsid w:val="139D323C"/>
    <w:rsid w:val="13A445F0"/>
    <w:rsid w:val="13B000A5"/>
    <w:rsid w:val="13B62550"/>
    <w:rsid w:val="13BF1404"/>
    <w:rsid w:val="13DD7524"/>
    <w:rsid w:val="13EE3A98"/>
    <w:rsid w:val="141C0501"/>
    <w:rsid w:val="14307B9A"/>
    <w:rsid w:val="14726477"/>
    <w:rsid w:val="147F77B9"/>
    <w:rsid w:val="148075AE"/>
    <w:rsid w:val="14A64372"/>
    <w:rsid w:val="14BC1DE8"/>
    <w:rsid w:val="14D14C52"/>
    <w:rsid w:val="14E57769"/>
    <w:rsid w:val="14E749DB"/>
    <w:rsid w:val="150373E8"/>
    <w:rsid w:val="150F1F18"/>
    <w:rsid w:val="15164F4C"/>
    <w:rsid w:val="151B6B0E"/>
    <w:rsid w:val="15250C2F"/>
    <w:rsid w:val="1525173B"/>
    <w:rsid w:val="153C6A85"/>
    <w:rsid w:val="154922D0"/>
    <w:rsid w:val="155E2E9F"/>
    <w:rsid w:val="1563062B"/>
    <w:rsid w:val="156A33CD"/>
    <w:rsid w:val="15A05265"/>
    <w:rsid w:val="15A765F4"/>
    <w:rsid w:val="15AE1060"/>
    <w:rsid w:val="15AE10E1"/>
    <w:rsid w:val="15AF7257"/>
    <w:rsid w:val="15E839EB"/>
    <w:rsid w:val="15F247CC"/>
    <w:rsid w:val="15F333FA"/>
    <w:rsid w:val="16096413"/>
    <w:rsid w:val="16111CBF"/>
    <w:rsid w:val="161B58FA"/>
    <w:rsid w:val="162B0FD3"/>
    <w:rsid w:val="163C7ED3"/>
    <w:rsid w:val="167B61DA"/>
    <w:rsid w:val="16897AA8"/>
    <w:rsid w:val="168D3A3C"/>
    <w:rsid w:val="16997E76"/>
    <w:rsid w:val="16A35DEE"/>
    <w:rsid w:val="16BC1C2B"/>
    <w:rsid w:val="16E958D4"/>
    <w:rsid w:val="17155BCA"/>
    <w:rsid w:val="171952CF"/>
    <w:rsid w:val="171F0B4E"/>
    <w:rsid w:val="174329DF"/>
    <w:rsid w:val="174B4A7A"/>
    <w:rsid w:val="175E2CE2"/>
    <w:rsid w:val="17AB593A"/>
    <w:rsid w:val="17B02605"/>
    <w:rsid w:val="17C8149B"/>
    <w:rsid w:val="17E366DE"/>
    <w:rsid w:val="17EB3771"/>
    <w:rsid w:val="17F07367"/>
    <w:rsid w:val="17F91257"/>
    <w:rsid w:val="182C2DE0"/>
    <w:rsid w:val="182C643A"/>
    <w:rsid w:val="183028D1"/>
    <w:rsid w:val="18333FC9"/>
    <w:rsid w:val="183D345E"/>
    <w:rsid w:val="183F1C44"/>
    <w:rsid w:val="18420856"/>
    <w:rsid w:val="18560D81"/>
    <w:rsid w:val="18606B07"/>
    <w:rsid w:val="186E33F9"/>
    <w:rsid w:val="186F1F0F"/>
    <w:rsid w:val="18D15C85"/>
    <w:rsid w:val="18DC572E"/>
    <w:rsid w:val="18EE61AA"/>
    <w:rsid w:val="18FE29CF"/>
    <w:rsid w:val="1901426D"/>
    <w:rsid w:val="190E24E6"/>
    <w:rsid w:val="1910625E"/>
    <w:rsid w:val="191570D1"/>
    <w:rsid w:val="193463F1"/>
    <w:rsid w:val="194D74B2"/>
    <w:rsid w:val="19520625"/>
    <w:rsid w:val="195E2A96"/>
    <w:rsid w:val="19791440"/>
    <w:rsid w:val="1985636E"/>
    <w:rsid w:val="19857259"/>
    <w:rsid w:val="198D3D53"/>
    <w:rsid w:val="198E4871"/>
    <w:rsid w:val="19921369"/>
    <w:rsid w:val="19AC3061"/>
    <w:rsid w:val="1A192827"/>
    <w:rsid w:val="1A1B4EBB"/>
    <w:rsid w:val="1A3C3B56"/>
    <w:rsid w:val="1A43097D"/>
    <w:rsid w:val="1A444411"/>
    <w:rsid w:val="1A6F1112"/>
    <w:rsid w:val="1A930EF5"/>
    <w:rsid w:val="1A9E0361"/>
    <w:rsid w:val="1AA14F3E"/>
    <w:rsid w:val="1AA67A22"/>
    <w:rsid w:val="1AA71426"/>
    <w:rsid w:val="1AFA15B8"/>
    <w:rsid w:val="1B000D7A"/>
    <w:rsid w:val="1B012302"/>
    <w:rsid w:val="1B0267BC"/>
    <w:rsid w:val="1B1D59A9"/>
    <w:rsid w:val="1B1F4E7E"/>
    <w:rsid w:val="1B624AEB"/>
    <w:rsid w:val="1BBF7C5E"/>
    <w:rsid w:val="1BE65325"/>
    <w:rsid w:val="1BF754B3"/>
    <w:rsid w:val="1BF94ADA"/>
    <w:rsid w:val="1C0C71B1"/>
    <w:rsid w:val="1C395ACC"/>
    <w:rsid w:val="1C3D736A"/>
    <w:rsid w:val="1C62362A"/>
    <w:rsid w:val="1C6D4E46"/>
    <w:rsid w:val="1C901646"/>
    <w:rsid w:val="1C940F54"/>
    <w:rsid w:val="1CB667EC"/>
    <w:rsid w:val="1CBF2505"/>
    <w:rsid w:val="1CC01B4D"/>
    <w:rsid w:val="1CFF2E93"/>
    <w:rsid w:val="1D1F1D68"/>
    <w:rsid w:val="1D28001A"/>
    <w:rsid w:val="1D2E30A9"/>
    <w:rsid w:val="1D38710D"/>
    <w:rsid w:val="1DA65E17"/>
    <w:rsid w:val="1DA80806"/>
    <w:rsid w:val="1DAA2EFB"/>
    <w:rsid w:val="1DBD70AE"/>
    <w:rsid w:val="1E0C2929"/>
    <w:rsid w:val="1E2F53D8"/>
    <w:rsid w:val="1E320A25"/>
    <w:rsid w:val="1E3918DC"/>
    <w:rsid w:val="1E414B6E"/>
    <w:rsid w:val="1E46372A"/>
    <w:rsid w:val="1E4C75DC"/>
    <w:rsid w:val="1E4F7829"/>
    <w:rsid w:val="1E6813A9"/>
    <w:rsid w:val="1E864215"/>
    <w:rsid w:val="1E9F6ED6"/>
    <w:rsid w:val="1EA62FF8"/>
    <w:rsid w:val="1EAE439F"/>
    <w:rsid w:val="1EC2624D"/>
    <w:rsid w:val="1ECE4F82"/>
    <w:rsid w:val="1EDD4E34"/>
    <w:rsid w:val="1EE5064C"/>
    <w:rsid w:val="1EE64021"/>
    <w:rsid w:val="1EF96CF2"/>
    <w:rsid w:val="1F232690"/>
    <w:rsid w:val="1F26058A"/>
    <w:rsid w:val="1F354C71"/>
    <w:rsid w:val="1F382D0E"/>
    <w:rsid w:val="1F464788"/>
    <w:rsid w:val="1F5B26D6"/>
    <w:rsid w:val="1F6007D8"/>
    <w:rsid w:val="1F7313AF"/>
    <w:rsid w:val="1F7C289F"/>
    <w:rsid w:val="1F813A12"/>
    <w:rsid w:val="1FB042F7"/>
    <w:rsid w:val="1FBC369C"/>
    <w:rsid w:val="1FBF7012"/>
    <w:rsid w:val="1FC41B50"/>
    <w:rsid w:val="1FDC6E9A"/>
    <w:rsid w:val="1FE40979"/>
    <w:rsid w:val="20012DA5"/>
    <w:rsid w:val="20081274"/>
    <w:rsid w:val="20626BAD"/>
    <w:rsid w:val="207202B1"/>
    <w:rsid w:val="2080160F"/>
    <w:rsid w:val="20904739"/>
    <w:rsid w:val="2099122F"/>
    <w:rsid w:val="20B06CA3"/>
    <w:rsid w:val="21442F49"/>
    <w:rsid w:val="21464F13"/>
    <w:rsid w:val="21622D58"/>
    <w:rsid w:val="21645399"/>
    <w:rsid w:val="217E2FE3"/>
    <w:rsid w:val="2188552B"/>
    <w:rsid w:val="218E39C2"/>
    <w:rsid w:val="2197751D"/>
    <w:rsid w:val="21C076B9"/>
    <w:rsid w:val="21C54EF1"/>
    <w:rsid w:val="2236180E"/>
    <w:rsid w:val="22510509"/>
    <w:rsid w:val="227A5600"/>
    <w:rsid w:val="22965E6B"/>
    <w:rsid w:val="2297354C"/>
    <w:rsid w:val="229B028D"/>
    <w:rsid w:val="22DC795D"/>
    <w:rsid w:val="22F917C9"/>
    <w:rsid w:val="22FA14C0"/>
    <w:rsid w:val="23021720"/>
    <w:rsid w:val="230F7587"/>
    <w:rsid w:val="23286126"/>
    <w:rsid w:val="23375CDA"/>
    <w:rsid w:val="233F2014"/>
    <w:rsid w:val="235A5E8C"/>
    <w:rsid w:val="23874BA3"/>
    <w:rsid w:val="23B343B6"/>
    <w:rsid w:val="23D277F4"/>
    <w:rsid w:val="23E12EFF"/>
    <w:rsid w:val="2426102C"/>
    <w:rsid w:val="24495B76"/>
    <w:rsid w:val="244F597E"/>
    <w:rsid w:val="247B1377"/>
    <w:rsid w:val="249271CF"/>
    <w:rsid w:val="24B90C3A"/>
    <w:rsid w:val="24D004EB"/>
    <w:rsid w:val="24D80E4E"/>
    <w:rsid w:val="24D97E4C"/>
    <w:rsid w:val="25002F8D"/>
    <w:rsid w:val="252815EE"/>
    <w:rsid w:val="25546BA5"/>
    <w:rsid w:val="25550156"/>
    <w:rsid w:val="2560231B"/>
    <w:rsid w:val="25903188"/>
    <w:rsid w:val="25916979"/>
    <w:rsid w:val="259A5274"/>
    <w:rsid w:val="25D3395B"/>
    <w:rsid w:val="25DD6958"/>
    <w:rsid w:val="25E22D30"/>
    <w:rsid w:val="26127F70"/>
    <w:rsid w:val="26676882"/>
    <w:rsid w:val="267D2FA7"/>
    <w:rsid w:val="26866C74"/>
    <w:rsid w:val="268835DB"/>
    <w:rsid w:val="26AF355A"/>
    <w:rsid w:val="26B85990"/>
    <w:rsid w:val="26C16DEA"/>
    <w:rsid w:val="26C2328E"/>
    <w:rsid w:val="26CA2E91"/>
    <w:rsid w:val="26D37563"/>
    <w:rsid w:val="26E45926"/>
    <w:rsid w:val="26F1465A"/>
    <w:rsid w:val="26F855D5"/>
    <w:rsid w:val="27161DF2"/>
    <w:rsid w:val="2729553E"/>
    <w:rsid w:val="272D2C04"/>
    <w:rsid w:val="274928D9"/>
    <w:rsid w:val="274978CE"/>
    <w:rsid w:val="27537304"/>
    <w:rsid w:val="27654DE2"/>
    <w:rsid w:val="278E0648"/>
    <w:rsid w:val="279861FB"/>
    <w:rsid w:val="27AE0581"/>
    <w:rsid w:val="27B31319"/>
    <w:rsid w:val="27C333F8"/>
    <w:rsid w:val="27D35027"/>
    <w:rsid w:val="27D72414"/>
    <w:rsid w:val="2819185B"/>
    <w:rsid w:val="28246616"/>
    <w:rsid w:val="283D072F"/>
    <w:rsid w:val="285C7E68"/>
    <w:rsid w:val="28697739"/>
    <w:rsid w:val="286B44D3"/>
    <w:rsid w:val="28852F5D"/>
    <w:rsid w:val="28AE5882"/>
    <w:rsid w:val="28CE770B"/>
    <w:rsid w:val="28EF7C3E"/>
    <w:rsid w:val="290870F3"/>
    <w:rsid w:val="291B0A33"/>
    <w:rsid w:val="291C049E"/>
    <w:rsid w:val="291E0C65"/>
    <w:rsid w:val="29370FFC"/>
    <w:rsid w:val="296616D3"/>
    <w:rsid w:val="296F5223"/>
    <w:rsid w:val="297B5976"/>
    <w:rsid w:val="299912AB"/>
    <w:rsid w:val="299F2BD7"/>
    <w:rsid w:val="29A67671"/>
    <w:rsid w:val="29BC3991"/>
    <w:rsid w:val="29BE59D9"/>
    <w:rsid w:val="29C410CB"/>
    <w:rsid w:val="29DF73C0"/>
    <w:rsid w:val="29EC750E"/>
    <w:rsid w:val="2A062DE5"/>
    <w:rsid w:val="2A181417"/>
    <w:rsid w:val="2A2953D2"/>
    <w:rsid w:val="2A403E4C"/>
    <w:rsid w:val="2A603DC4"/>
    <w:rsid w:val="2A6F2C28"/>
    <w:rsid w:val="2A7A0E29"/>
    <w:rsid w:val="2A861757"/>
    <w:rsid w:val="2AAD1B5F"/>
    <w:rsid w:val="2AB303AA"/>
    <w:rsid w:val="2AF552B4"/>
    <w:rsid w:val="2B124D22"/>
    <w:rsid w:val="2B125E66"/>
    <w:rsid w:val="2B27151F"/>
    <w:rsid w:val="2B602FCC"/>
    <w:rsid w:val="2B684ED5"/>
    <w:rsid w:val="2B6F20AB"/>
    <w:rsid w:val="2B7102E5"/>
    <w:rsid w:val="2B762634"/>
    <w:rsid w:val="2B817C7B"/>
    <w:rsid w:val="2B960845"/>
    <w:rsid w:val="2B9F2E3B"/>
    <w:rsid w:val="2BBF5366"/>
    <w:rsid w:val="2BD17ACF"/>
    <w:rsid w:val="2BF35C97"/>
    <w:rsid w:val="2BF67536"/>
    <w:rsid w:val="2C047AD0"/>
    <w:rsid w:val="2C11436F"/>
    <w:rsid w:val="2C2422F5"/>
    <w:rsid w:val="2C25339F"/>
    <w:rsid w:val="2C4C731E"/>
    <w:rsid w:val="2C661E1B"/>
    <w:rsid w:val="2C7C300F"/>
    <w:rsid w:val="2C7C4FC9"/>
    <w:rsid w:val="2CA378DD"/>
    <w:rsid w:val="2CDA728E"/>
    <w:rsid w:val="2D017449"/>
    <w:rsid w:val="2D0F28A8"/>
    <w:rsid w:val="2D1B0C53"/>
    <w:rsid w:val="2D2105E2"/>
    <w:rsid w:val="2D636E4D"/>
    <w:rsid w:val="2D6F134E"/>
    <w:rsid w:val="2D713318"/>
    <w:rsid w:val="2D7B4196"/>
    <w:rsid w:val="2DA17451"/>
    <w:rsid w:val="2DBD2BF0"/>
    <w:rsid w:val="2DD8668F"/>
    <w:rsid w:val="2DE158AD"/>
    <w:rsid w:val="2DE22DE7"/>
    <w:rsid w:val="2DF06B27"/>
    <w:rsid w:val="2DF1140A"/>
    <w:rsid w:val="2E045F3A"/>
    <w:rsid w:val="2E132621"/>
    <w:rsid w:val="2E144D73"/>
    <w:rsid w:val="2E177561"/>
    <w:rsid w:val="2E1B0C2F"/>
    <w:rsid w:val="2E374561"/>
    <w:rsid w:val="2E3B56D4"/>
    <w:rsid w:val="2E587571"/>
    <w:rsid w:val="2E764B34"/>
    <w:rsid w:val="2EA72D69"/>
    <w:rsid w:val="2EB122C1"/>
    <w:rsid w:val="2EC212EC"/>
    <w:rsid w:val="2EC569C1"/>
    <w:rsid w:val="2EE21CA0"/>
    <w:rsid w:val="2F0B3E30"/>
    <w:rsid w:val="2F1A79DF"/>
    <w:rsid w:val="2F2A0BE4"/>
    <w:rsid w:val="2F653614"/>
    <w:rsid w:val="2F947791"/>
    <w:rsid w:val="2F9C6646"/>
    <w:rsid w:val="2FA50B1C"/>
    <w:rsid w:val="2FDD432A"/>
    <w:rsid w:val="2FF002CE"/>
    <w:rsid w:val="3014442E"/>
    <w:rsid w:val="30197C97"/>
    <w:rsid w:val="301D4299"/>
    <w:rsid w:val="30393E95"/>
    <w:rsid w:val="30476212"/>
    <w:rsid w:val="30562C99"/>
    <w:rsid w:val="30BA481A"/>
    <w:rsid w:val="30BF3730"/>
    <w:rsid w:val="30DC4F4C"/>
    <w:rsid w:val="31286C3D"/>
    <w:rsid w:val="31586A25"/>
    <w:rsid w:val="316B4D20"/>
    <w:rsid w:val="317909ED"/>
    <w:rsid w:val="31795F8B"/>
    <w:rsid w:val="317B3EEC"/>
    <w:rsid w:val="31946A47"/>
    <w:rsid w:val="31950990"/>
    <w:rsid w:val="31AD5007"/>
    <w:rsid w:val="31B817A7"/>
    <w:rsid w:val="31C3435E"/>
    <w:rsid w:val="31C54436"/>
    <w:rsid w:val="31CA43CC"/>
    <w:rsid w:val="327F0285"/>
    <w:rsid w:val="328722D8"/>
    <w:rsid w:val="32A30425"/>
    <w:rsid w:val="32C11015"/>
    <w:rsid w:val="32CD2B7E"/>
    <w:rsid w:val="32DA370D"/>
    <w:rsid w:val="32F4471A"/>
    <w:rsid w:val="33180F62"/>
    <w:rsid w:val="331D62F7"/>
    <w:rsid w:val="335C76C1"/>
    <w:rsid w:val="336B2DEA"/>
    <w:rsid w:val="338213DC"/>
    <w:rsid w:val="33974E7C"/>
    <w:rsid w:val="339F2127"/>
    <w:rsid w:val="33B95A18"/>
    <w:rsid w:val="33DE547F"/>
    <w:rsid w:val="33E7789E"/>
    <w:rsid w:val="33FC74D8"/>
    <w:rsid w:val="3422536C"/>
    <w:rsid w:val="34282E08"/>
    <w:rsid w:val="344B06D3"/>
    <w:rsid w:val="34531721"/>
    <w:rsid w:val="3464452F"/>
    <w:rsid w:val="346661C1"/>
    <w:rsid w:val="34AC63E7"/>
    <w:rsid w:val="34C04BB5"/>
    <w:rsid w:val="34C861AC"/>
    <w:rsid w:val="34ED149E"/>
    <w:rsid w:val="34FE5559"/>
    <w:rsid w:val="35076310"/>
    <w:rsid w:val="35427B0F"/>
    <w:rsid w:val="355636FD"/>
    <w:rsid w:val="356D0868"/>
    <w:rsid w:val="3575596F"/>
    <w:rsid w:val="35864A56"/>
    <w:rsid w:val="35BE10C4"/>
    <w:rsid w:val="35C66178"/>
    <w:rsid w:val="360E2803"/>
    <w:rsid w:val="361231BE"/>
    <w:rsid w:val="363027C5"/>
    <w:rsid w:val="364A0BAA"/>
    <w:rsid w:val="365657A0"/>
    <w:rsid w:val="36637D2C"/>
    <w:rsid w:val="367B7442"/>
    <w:rsid w:val="3689653D"/>
    <w:rsid w:val="368F5B5E"/>
    <w:rsid w:val="369938DF"/>
    <w:rsid w:val="369C2AC2"/>
    <w:rsid w:val="369E2CA4"/>
    <w:rsid w:val="36AA5E0A"/>
    <w:rsid w:val="36AF4EB1"/>
    <w:rsid w:val="36D27D8D"/>
    <w:rsid w:val="36DA1F2E"/>
    <w:rsid w:val="36FD166A"/>
    <w:rsid w:val="3704103B"/>
    <w:rsid w:val="37114E3A"/>
    <w:rsid w:val="37184629"/>
    <w:rsid w:val="371F2036"/>
    <w:rsid w:val="37265E2A"/>
    <w:rsid w:val="373E35FE"/>
    <w:rsid w:val="37415551"/>
    <w:rsid w:val="379D1FB2"/>
    <w:rsid w:val="379F4F25"/>
    <w:rsid w:val="37A13659"/>
    <w:rsid w:val="37A20571"/>
    <w:rsid w:val="37CB1876"/>
    <w:rsid w:val="37CD261C"/>
    <w:rsid w:val="37D42E21"/>
    <w:rsid w:val="37D44BCF"/>
    <w:rsid w:val="37DA3C8C"/>
    <w:rsid w:val="37E1109A"/>
    <w:rsid w:val="37FA1570"/>
    <w:rsid w:val="38083993"/>
    <w:rsid w:val="3814321D"/>
    <w:rsid w:val="383241B8"/>
    <w:rsid w:val="386C12AB"/>
    <w:rsid w:val="386D0B7F"/>
    <w:rsid w:val="38917CBE"/>
    <w:rsid w:val="38975CE2"/>
    <w:rsid w:val="38C56C0D"/>
    <w:rsid w:val="38EE5C56"/>
    <w:rsid w:val="38F54DA7"/>
    <w:rsid w:val="38FB3B53"/>
    <w:rsid w:val="38FB43DD"/>
    <w:rsid w:val="38FC64B2"/>
    <w:rsid w:val="39301A51"/>
    <w:rsid w:val="39646937"/>
    <w:rsid w:val="3993694A"/>
    <w:rsid w:val="39951BD0"/>
    <w:rsid w:val="39A44A75"/>
    <w:rsid w:val="39AF656A"/>
    <w:rsid w:val="39B747A8"/>
    <w:rsid w:val="39DE1D35"/>
    <w:rsid w:val="3A020BF3"/>
    <w:rsid w:val="3A1273C6"/>
    <w:rsid w:val="3A207DA2"/>
    <w:rsid w:val="3A283852"/>
    <w:rsid w:val="3A8E450E"/>
    <w:rsid w:val="3AA05170"/>
    <w:rsid w:val="3AAD7959"/>
    <w:rsid w:val="3AB27E77"/>
    <w:rsid w:val="3AE06945"/>
    <w:rsid w:val="3B051543"/>
    <w:rsid w:val="3B196D9D"/>
    <w:rsid w:val="3B5F50F7"/>
    <w:rsid w:val="3B662B12"/>
    <w:rsid w:val="3B677B08"/>
    <w:rsid w:val="3B7F139D"/>
    <w:rsid w:val="3BA124F7"/>
    <w:rsid w:val="3BB05BE6"/>
    <w:rsid w:val="3BC14CA0"/>
    <w:rsid w:val="3BD776F8"/>
    <w:rsid w:val="3C035752"/>
    <w:rsid w:val="3C601127"/>
    <w:rsid w:val="3C813FCC"/>
    <w:rsid w:val="3CA17318"/>
    <w:rsid w:val="3CA827C1"/>
    <w:rsid w:val="3CAD59EE"/>
    <w:rsid w:val="3CC52D38"/>
    <w:rsid w:val="3CED6733"/>
    <w:rsid w:val="3D3710F7"/>
    <w:rsid w:val="3D681E63"/>
    <w:rsid w:val="3D751F42"/>
    <w:rsid w:val="3D780746"/>
    <w:rsid w:val="3D9B618F"/>
    <w:rsid w:val="3DA037A5"/>
    <w:rsid w:val="3DAE50C0"/>
    <w:rsid w:val="3DAF4B27"/>
    <w:rsid w:val="3DD07BE6"/>
    <w:rsid w:val="3DD27517"/>
    <w:rsid w:val="3DED75AB"/>
    <w:rsid w:val="3E642A25"/>
    <w:rsid w:val="3E7C7D6E"/>
    <w:rsid w:val="3EC764D4"/>
    <w:rsid w:val="3ED26025"/>
    <w:rsid w:val="3EDA3957"/>
    <w:rsid w:val="3EE42EB1"/>
    <w:rsid w:val="3F0B2EA0"/>
    <w:rsid w:val="3F0F08B8"/>
    <w:rsid w:val="3F205AD9"/>
    <w:rsid w:val="3F380531"/>
    <w:rsid w:val="3F3B7691"/>
    <w:rsid w:val="3F421D64"/>
    <w:rsid w:val="3F4D7A4D"/>
    <w:rsid w:val="3FA86886"/>
    <w:rsid w:val="3FE87F1C"/>
    <w:rsid w:val="40117CB8"/>
    <w:rsid w:val="40310F0D"/>
    <w:rsid w:val="40706583"/>
    <w:rsid w:val="407F58F4"/>
    <w:rsid w:val="408E72C3"/>
    <w:rsid w:val="408E7BCF"/>
    <w:rsid w:val="40970E8F"/>
    <w:rsid w:val="409C326C"/>
    <w:rsid w:val="40A351EE"/>
    <w:rsid w:val="40B26236"/>
    <w:rsid w:val="40B61304"/>
    <w:rsid w:val="40BC115C"/>
    <w:rsid w:val="40C94EC3"/>
    <w:rsid w:val="40F736DC"/>
    <w:rsid w:val="41065E86"/>
    <w:rsid w:val="413A315B"/>
    <w:rsid w:val="413F4415"/>
    <w:rsid w:val="41597EF3"/>
    <w:rsid w:val="41681350"/>
    <w:rsid w:val="416B7C26"/>
    <w:rsid w:val="416F668A"/>
    <w:rsid w:val="41720FB5"/>
    <w:rsid w:val="41742F7F"/>
    <w:rsid w:val="419F22BB"/>
    <w:rsid w:val="419F6662"/>
    <w:rsid w:val="41A72D03"/>
    <w:rsid w:val="41B765E4"/>
    <w:rsid w:val="41BC55E0"/>
    <w:rsid w:val="41BE5A2A"/>
    <w:rsid w:val="41C2018E"/>
    <w:rsid w:val="41DB2529"/>
    <w:rsid w:val="4202196D"/>
    <w:rsid w:val="420B7389"/>
    <w:rsid w:val="423563C7"/>
    <w:rsid w:val="4267417B"/>
    <w:rsid w:val="42B25272"/>
    <w:rsid w:val="42C57370"/>
    <w:rsid w:val="42D218FB"/>
    <w:rsid w:val="42D27A76"/>
    <w:rsid w:val="42E14644"/>
    <w:rsid w:val="430832B2"/>
    <w:rsid w:val="43161C4E"/>
    <w:rsid w:val="43370708"/>
    <w:rsid w:val="433A3D54"/>
    <w:rsid w:val="4345321B"/>
    <w:rsid w:val="43487623"/>
    <w:rsid w:val="437B176D"/>
    <w:rsid w:val="43951EC4"/>
    <w:rsid w:val="43A47D4A"/>
    <w:rsid w:val="43F47D80"/>
    <w:rsid w:val="43F81C45"/>
    <w:rsid w:val="4415656C"/>
    <w:rsid w:val="44444E8A"/>
    <w:rsid w:val="445769C9"/>
    <w:rsid w:val="44695BC4"/>
    <w:rsid w:val="44740DA7"/>
    <w:rsid w:val="447633DE"/>
    <w:rsid w:val="44951B21"/>
    <w:rsid w:val="44B0582A"/>
    <w:rsid w:val="44C04AED"/>
    <w:rsid w:val="44E1092B"/>
    <w:rsid w:val="44ED5522"/>
    <w:rsid w:val="45116D37"/>
    <w:rsid w:val="451341CF"/>
    <w:rsid w:val="45266135"/>
    <w:rsid w:val="452840A2"/>
    <w:rsid w:val="453217AF"/>
    <w:rsid w:val="454815E5"/>
    <w:rsid w:val="457C2033"/>
    <w:rsid w:val="45B20519"/>
    <w:rsid w:val="45CA5863"/>
    <w:rsid w:val="45CB49F3"/>
    <w:rsid w:val="45EF2F8C"/>
    <w:rsid w:val="461853D4"/>
    <w:rsid w:val="4678706D"/>
    <w:rsid w:val="46791459"/>
    <w:rsid w:val="467E0A66"/>
    <w:rsid w:val="4699366B"/>
    <w:rsid w:val="46A95479"/>
    <w:rsid w:val="46AC0EB9"/>
    <w:rsid w:val="46B702DB"/>
    <w:rsid w:val="46BA43CC"/>
    <w:rsid w:val="46C23174"/>
    <w:rsid w:val="46CE1383"/>
    <w:rsid w:val="46F77B89"/>
    <w:rsid w:val="4706296E"/>
    <w:rsid w:val="4743767B"/>
    <w:rsid w:val="47460F19"/>
    <w:rsid w:val="478832E0"/>
    <w:rsid w:val="47B67F9E"/>
    <w:rsid w:val="47BF3551"/>
    <w:rsid w:val="47CD0146"/>
    <w:rsid w:val="47D46525"/>
    <w:rsid w:val="481F7BCC"/>
    <w:rsid w:val="482C18A3"/>
    <w:rsid w:val="48533A6B"/>
    <w:rsid w:val="485A051A"/>
    <w:rsid w:val="485C1B1F"/>
    <w:rsid w:val="486C49B0"/>
    <w:rsid w:val="48A57EC2"/>
    <w:rsid w:val="48AD51DE"/>
    <w:rsid w:val="48CC18F2"/>
    <w:rsid w:val="48CC544E"/>
    <w:rsid w:val="48EE3617"/>
    <w:rsid w:val="4904108C"/>
    <w:rsid w:val="490D4267"/>
    <w:rsid w:val="491339E7"/>
    <w:rsid w:val="49192308"/>
    <w:rsid w:val="49224F88"/>
    <w:rsid w:val="493F3E72"/>
    <w:rsid w:val="49697FDD"/>
    <w:rsid w:val="49726A4B"/>
    <w:rsid w:val="49D34D40"/>
    <w:rsid w:val="49D40A5E"/>
    <w:rsid w:val="4A001853"/>
    <w:rsid w:val="4A0D2D7D"/>
    <w:rsid w:val="4A406A94"/>
    <w:rsid w:val="4A4B2CCE"/>
    <w:rsid w:val="4A5D5984"/>
    <w:rsid w:val="4A83134F"/>
    <w:rsid w:val="4AC011BE"/>
    <w:rsid w:val="4AD10789"/>
    <w:rsid w:val="4B0F73DE"/>
    <w:rsid w:val="4B296B88"/>
    <w:rsid w:val="4B6776B0"/>
    <w:rsid w:val="4B697B8F"/>
    <w:rsid w:val="4B6C78F9"/>
    <w:rsid w:val="4B8B15F1"/>
    <w:rsid w:val="4BB73B85"/>
    <w:rsid w:val="4BCC2B87"/>
    <w:rsid w:val="4BE15206"/>
    <w:rsid w:val="4BE6091A"/>
    <w:rsid w:val="4BEB64CF"/>
    <w:rsid w:val="4BF478AD"/>
    <w:rsid w:val="4BF50141"/>
    <w:rsid w:val="4C0A0B5C"/>
    <w:rsid w:val="4C17384D"/>
    <w:rsid w:val="4C257A37"/>
    <w:rsid w:val="4C2C7C1F"/>
    <w:rsid w:val="4C4D23B6"/>
    <w:rsid w:val="4C760FD5"/>
    <w:rsid w:val="4C967FBD"/>
    <w:rsid w:val="4CAC5CC3"/>
    <w:rsid w:val="4CAF2344"/>
    <w:rsid w:val="4CC30E44"/>
    <w:rsid w:val="4CD24EC9"/>
    <w:rsid w:val="4CEF5757"/>
    <w:rsid w:val="4CF5766A"/>
    <w:rsid w:val="4D0C495B"/>
    <w:rsid w:val="4D565C2E"/>
    <w:rsid w:val="4D5A6EB8"/>
    <w:rsid w:val="4D6E6B7F"/>
    <w:rsid w:val="4D9549A9"/>
    <w:rsid w:val="4DCE3A17"/>
    <w:rsid w:val="4DDC09B0"/>
    <w:rsid w:val="4DE615D3"/>
    <w:rsid w:val="4DEA4CF4"/>
    <w:rsid w:val="4DF50B78"/>
    <w:rsid w:val="4E197069"/>
    <w:rsid w:val="4E4E4ACD"/>
    <w:rsid w:val="4E5403C0"/>
    <w:rsid w:val="4E585091"/>
    <w:rsid w:val="4E6938E7"/>
    <w:rsid w:val="4E701DC0"/>
    <w:rsid w:val="4EAD5292"/>
    <w:rsid w:val="4EF94AC3"/>
    <w:rsid w:val="4EFB3317"/>
    <w:rsid w:val="4EFF7FF5"/>
    <w:rsid w:val="4F006719"/>
    <w:rsid w:val="4F063322"/>
    <w:rsid w:val="4F1F044E"/>
    <w:rsid w:val="4F2E489B"/>
    <w:rsid w:val="4F5166AD"/>
    <w:rsid w:val="4F585C8E"/>
    <w:rsid w:val="4F5D25FD"/>
    <w:rsid w:val="4F695F23"/>
    <w:rsid w:val="4F756FAF"/>
    <w:rsid w:val="4FB41D44"/>
    <w:rsid w:val="4FBE00A6"/>
    <w:rsid w:val="4FD5108C"/>
    <w:rsid w:val="4FE43EA2"/>
    <w:rsid w:val="4FED4628"/>
    <w:rsid w:val="4FF359B6"/>
    <w:rsid w:val="5012408F"/>
    <w:rsid w:val="50125E3D"/>
    <w:rsid w:val="50203BCE"/>
    <w:rsid w:val="502245A8"/>
    <w:rsid w:val="50395ABF"/>
    <w:rsid w:val="5085139E"/>
    <w:rsid w:val="50877DE9"/>
    <w:rsid w:val="509C604E"/>
    <w:rsid w:val="50A15412"/>
    <w:rsid w:val="50BF6E81"/>
    <w:rsid w:val="50CB6A37"/>
    <w:rsid w:val="50ED412B"/>
    <w:rsid w:val="510C4F82"/>
    <w:rsid w:val="51141368"/>
    <w:rsid w:val="513F080C"/>
    <w:rsid w:val="51430FA4"/>
    <w:rsid w:val="514A7858"/>
    <w:rsid w:val="51905BB3"/>
    <w:rsid w:val="520B6FE7"/>
    <w:rsid w:val="522462FB"/>
    <w:rsid w:val="523B2375"/>
    <w:rsid w:val="523F1387"/>
    <w:rsid w:val="52532D0A"/>
    <w:rsid w:val="52654DCD"/>
    <w:rsid w:val="5270097A"/>
    <w:rsid w:val="52733BD7"/>
    <w:rsid w:val="527E0828"/>
    <w:rsid w:val="52846D9A"/>
    <w:rsid w:val="528F4619"/>
    <w:rsid w:val="52997189"/>
    <w:rsid w:val="52C23008"/>
    <w:rsid w:val="52CA0C50"/>
    <w:rsid w:val="52CF36C0"/>
    <w:rsid w:val="52E76B50"/>
    <w:rsid w:val="52F51152"/>
    <w:rsid w:val="53021ACF"/>
    <w:rsid w:val="5306542C"/>
    <w:rsid w:val="5316496B"/>
    <w:rsid w:val="53252BCE"/>
    <w:rsid w:val="532837EA"/>
    <w:rsid w:val="533662E6"/>
    <w:rsid w:val="53377290"/>
    <w:rsid w:val="53390376"/>
    <w:rsid w:val="534502DF"/>
    <w:rsid w:val="536270DB"/>
    <w:rsid w:val="53634C01"/>
    <w:rsid w:val="53746819"/>
    <w:rsid w:val="53786F73"/>
    <w:rsid w:val="53940122"/>
    <w:rsid w:val="539B083F"/>
    <w:rsid w:val="53EA66CB"/>
    <w:rsid w:val="53EC703D"/>
    <w:rsid w:val="53F00B8B"/>
    <w:rsid w:val="53FB5DC1"/>
    <w:rsid w:val="54074726"/>
    <w:rsid w:val="54196611"/>
    <w:rsid w:val="542869B7"/>
    <w:rsid w:val="5437274A"/>
    <w:rsid w:val="54435BDD"/>
    <w:rsid w:val="545033D7"/>
    <w:rsid w:val="546334E6"/>
    <w:rsid w:val="546E7D01"/>
    <w:rsid w:val="547F6CE6"/>
    <w:rsid w:val="547F7350"/>
    <w:rsid w:val="548E3F00"/>
    <w:rsid w:val="54AA3F3C"/>
    <w:rsid w:val="54B24092"/>
    <w:rsid w:val="54D1675D"/>
    <w:rsid w:val="54D222B5"/>
    <w:rsid w:val="54D44008"/>
    <w:rsid w:val="54D933CD"/>
    <w:rsid w:val="54F505B3"/>
    <w:rsid w:val="5536450D"/>
    <w:rsid w:val="553813F1"/>
    <w:rsid w:val="553E5926"/>
    <w:rsid w:val="55466588"/>
    <w:rsid w:val="554F7B33"/>
    <w:rsid w:val="558F0074"/>
    <w:rsid w:val="55CF657E"/>
    <w:rsid w:val="55EA33B8"/>
    <w:rsid w:val="560C6365"/>
    <w:rsid w:val="56186177"/>
    <w:rsid w:val="5621327D"/>
    <w:rsid w:val="56492E55"/>
    <w:rsid w:val="56493792"/>
    <w:rsid w:val="56861332"/>
    <w:rsid w:val="568D446F"/>
    <w:rsid w:val="56D95906"/>
    <w:rsid w:val="56E322E1"/>
    <w:rsid w:val="56FB1494"/>
    <w:rsid w:val="57131FC5"/>
    <w:rsid w:val="57153E21"/>
    <w:rsid w:val="571B7CCD"/>
    <w:rsid w:val="57342F09"/>
    <w:rsid w:val="57494534"/>
    <w:rsid w:val="57594ACB"/>
    <w:rsid w:val="575E2331"/>
    <w:rsid w:val="576C31FA"/>
    <w:rsid w:val="576E4F6A"/>
    <w:rsid w:val="57710879"/>
    <w:rsid w:val="57BF23DA"/>
    <w:rsid w:val="581F1B49"/>
    <w:rsid w:val="58347710"/>
    <w:rsid w:val="584E40D2"/>
    <w:rsid w:val="58650EF0"/>
    <w:rsid w:val="58A83ABB"/>
    <w:rsid w:val="58BF0311"/>
    <w:rsid w:val="58DA3BB7"/>
    <w:rsid w:val="58DC16DE"/>
    <w:rsid w:val="58ED6741"/>
    <w:rsid w:val="58EE1647"/>
    <w:rsid w:val="591475E2"/>
    <w:rsid w:val="591C4437"/>
    <w:rsid w:val="5943175D"/>
    <w:rsid w:val="597639D8"/>
    <w:rsid w:val="59934492"/>
    <w:rsid w:val="59AC684E"/>
    <w:rsid w:val="59B057FF"/>
    <w:rsid w:val="59B951FB"/>
    <w:rsid w:val="59BD150F"/>
    <w:rsid w:val="59EA29D4"/>
    <w:rsid w:val="59F24212"/>
    <w:rsid w:val="5A012B26"/>
    <w:rsid w:val="5A04337A"/>
    <w:rsid w:val="5A584D94"/>
    <w:rsid w:val="5A5C0B7B"/>
    <w:rsid w:val="5A5D05FC"/>
    <w:rsid w:val="5A625C12"/>
    <w:rsid w:val="5A7E608A"/>
    <w:rsid w:val="5A7F2F6B"/>
    <w:rsid w:val="5AAC412A"/>
    <w:rsid w:val="5AE0581C"/>
    <w:rsid w:val="5AF80325"/>
    <w:rsid w:val="5AF95DD8"/>
    <w:rsid w:val="5B091F40"/>
    <w:rsid w:val="5B0B1E06"/>
    <w:rsid w:val="5B4A4A82"/>
    <w:rsid w:val="5B5A2D8E"/>
    <w:rsid w:val="5B9D6810"/>
    <w:rsid w:val="5BAD6997"/>
    <w:rsid w:val="5BB06B7B"/>
    <w:rsid w:val="5BB20E73"/>
    <w:rsid w:val="5BE241AA"/>
    <w:rsid w:val="5BE43388"/>
    <w:rsid w:val="5BE56AFB"/>
    <w:rsid w:val="5BFD3706"/>
    <w:rsid w:val="5C0035C2"/>
    <w:rsid w:val="5C0F3B78"/>
    <w:rsid w:val="5C266410"/>
    <w:rsid w:val="5C3214F6"/>
    <w:rsid w:val="5C337866"/>
    <w:rsid w:val="5C3C3751"/>
    <w:rsid w:val="5C563555"/>
    <w:rsid w:val="5C6E089F"/>
    <w:rsid w:val="5CD53D28"/>
    <w:rsid w:val="5D05007D"/>
    <w:rsid w:val="5D2366CB"/>
    <w:rsid w:val="5D3331A6"/>
    <w:rsid w:val="5D3513BC"/>
    <w:rsid w:val="5D4F780C"/>
    <w:rsid w:val="5D533B73"/>
    <w:rsid w:val="5D5C103F"/>
    <w:rsid w:val="5D5E6B65"/>
    <w:rsid w:val="5D6F5A1A"/>
    <w:rsid w:val="5DD5494D"/>
    <w:rsid w:val="5DD96DB8"/>
    <w:rsid w:val="5E0B0134"/>
    <w:rsid w:val="5E135BA1"/>
    <w:rsid w:val="5E1D07CE"/>
    <w:rsid w:val="5E1D1079"/>
    <w:rsid w:val="5E3A13EB"/>
    <w:rsid w:val="5E5F24E9"/>
    <w:rsid w:val="5E62569F"/>
    <w:rsid w:val="5E633983"/>
    <w:rsid w:val="5E6A153A"/>
    <w:rsid w:val="5E6A778C"/>
    <w:rsid w:val="5E875C48"/>
    <w:rsid w:val="5E923CE1"/>
    <w:rsid w:val="5EDA6373"/>
    <w:rsid w:val="5EEA7950"/>
    <w:rsid w:val="5F0C00BF"/>
    <w:rsid w:val="5F1D0C71"/>
    <w:rsid w:val="5F28262C"/>
    <w:rsid w:val="5F2C67EF"/>
    <w:rsid w:val="5F8936CD"/>
    <w:rsid w:val="5F972BB6"/>
    <w:rsid w:val="5F9745B0"/>
    <w:rsid w:val="5FCF3D4A"/>
    <w:rsid w:val="5FDA624B"/>
    <w:rsid w:val="5FE45AD9"/>
    <w:rsid w:val="5FF61782"/>
    <w:rsid w:val="600D5798"/>
    <w:rsid w:val="60107EBF"/>
    <w:rsid w:val="60161979"/>
    <w:rsid w:val="601B4AB2"/>
    <w:rsid w:val="601F4136"/>
    <w:rsid w:val="6031773D"/>
    <w:rsid w:val="60392C69"/>
    <w:rsid w:val="6054424F"/>
    <w:rsid w:val="608D39CB"/>
    <w:rsid w:val="60B0214C"/>
    <w:rsid w:val="60B120AF"/>
    <w:rsid w:val="60B2418B"/>
    <w:rsid w:val="60C94E40"/>
    <w:rsid w:val="616E1356"/>
    <w:rsid w:val="61F16AFB"/>
    <w:rsid w:val="62123B3B"/>
    <w:rsid w:val="621E7546"/>
    <w:rsid w:val="6221571E"/>
    <w:rsid w:val="622D3D77"/>
    <w:rsid w:val="62535A4C"/>
    <w:rsid w:val="62E23D94"/>
    <w:rsid w:val="62EE391D"/>
    <w:rsid w:val="62FC41EB"/>
    <w:rsid w:val="634265E1"/>
    <w:rsid w:val="634A483E"/>
    <w:rsid w:val="63903423"/>
    <w:rsid w:val="63AF6454"/>
    <w:rsid w:val="63D027BA"/>
    <w:rsid w:val="640E2967"/>
    <w:rsid w:val="642B45E0"/>
    <w:rsid w:val="643007E6"/>
    <w:rsid w:val="643F4E94"/>
    <w:rsid w:val="644545DB"/>
    <w:rsid w:val="64604EAC"/>
    <w:rsid w:val="646547D3"/>
    <w:rsid w:val="64740A1C"/>
    <w:rsid w:val="64BE5B12"/>
    <w:rsid w:val="64C319A4"/>
    <w:rsid w:val="64DA648D"/>
    <w:rsid w:val="64DF79CD"/>
    <w:rsid w:val="650B687C"/>
    <w:rsid w:val="652C7549"/>
    <w:rsid w:val="653B3C30"/>
    <w:rsid w:val="65500277"/>
    <w:rsid w:val="65562818"/>
    <w:rsid w:val="657449B3"/>
    <w:rsid w:val="65E24A31"/>
    <w:rsid w:val="66195D1F"/>
    <w:rsid w:val="661C71B0"/>
    <w:rsid w:val="662C1BCF"/>
    <w:rsid w:val="66383CCB"/>
    <w:rsid w:val="66457796"/>
    <w:rsid w:val="66523B9D"/>
    <w:rsid w:val="66715AA7"/>
    <w:rsid w:val="66911D59"/>
    <w:rsid w:val="669C06FE"/>
    <w:rsid w:val="66A5387A"/>
    <w:rsid w:val="66E005EB"/>
    <w:rsid w:val="66E63E21"/>
    <w:rsid w:val="66E70059"/>
    <w:rsid w:val="66EE541F"/>
    <w:rsid w:val="66F069F8"/>
    <w:rsid w:val="67000C8D"/>
    <w:rsid w:val="671E2091"/>
    <w:rsid w:val="672D1356"/>
    <w:rsid w:val="672F41F6"/>
    <w:rsid w:val="6752584F"/>
    <w:rsid w:val="67656B1B"/>
    <w:rsid w:val="67717495"/>
    <w:rsid w:val="678E6299"/>
    <w:rsid w:val="67964C60"/>
    <w:rsid w:val="679F491B"/>
    <w:rsid w:val="67AE419D"/>
    <w:rsid w:val="67B22635"/>
    <w:rsid w:val="67BB2656"/>
    <w:rsid w:val="67BC2E06"/>
    <w:rsid w:val="67C738AF"/>
    <w:rsid w:val="680B4215"/>
    <w:rsid w:val="681F29BA"/>
    <w:rsid w:val="68330BEE"/>
    <w:rsid w:val="683769EB"/>
    <w:rsid w:val="68A84A6E"/>
    <w:rsid w:val="68BC3CF0"/>
    <w:rsid w:val="68D62BB4"/>
    <w:rsid w:val="691152BF"/>
    <w:rsid w:val="69344C1E"/>
    <w:rsid w:val="6941642C"/>
    <w:rsid w:val="6953779A"/>
    <w:rsid w:val="69540E1C"/>
    <w:rsid w:val="69605F84"/>
    <w:rsid w:val="69762E0E"/>
    <w:rsid w:val="698663AF"/>
    <w:rsid w:val="698C50B9"/>
    <w:rsid w:val="69B75707"/>
    <w:rsid w:val="69D47128"/>
    <w:rsid w:val="69DA57C5"/>
    <w:rsid w:val="69EA30F4"/>
    <w:rsid w:val="69FF522C"/>
    <w:rsid w:val="6A524071"/>
    <w:rsid w:val="6A6001B6"/>
    <w:rsid w:val="6A7E1191"/>
    <w:rsid w:val="6A8B30F9"/>
    <w:rsid w:val="6AA83ECD"/>
    <w:rsid w:val="6AAB4860"/>
    <w:rsid w:val="6ADC731B"/>
    <w:rsid w:val="6ADE7537"/>
    <w:rsid w:val="6B170353"/>
    <w:rsid w:val="6B221B0E"/>
    <w:rsid w:val="6B237BBE"/>
    <w:rsid w:val="6B4D3C4B"/>
    <w:rsid w:val="6B506044"/>
    <w:rsid w:val="6B6320BC"/>
    <w:rsid w:val="6BA32DD2"/>
    <w:rsid w:val="6BB838E4"/>
    <w:rsid w:val="6C046B2A"/>
    <w:rsid w:val="6C1A643E"/>
    <w:rsid w:val="6C2C42D2"/>
    <w:rsid w:val="6C4B4B3C"/>
    <w:rsid w:val="6C527E9B"/>
    <w:rsid w:val="6C7543E1"/>
    <w:rsid w:val="6C755C79"/>
    <w:rsid w:val="6C963B87"/>
    <w:rsid w:val="6CA96079"/>
    <w:rsid w:val="6CAC1F8A"/>
    <w:rsid w:val="6CC519EE"/>
    <w:rsid w:val="6CC81EA4"/>
    <w:rsid w:val="6CD3474E"/>
    <w:rsid w:val="6CE72502"/>
    <w:rsid w:val="6D192AA9"/>
    <w:rsid w:val="6D292993"/>
    <w:rsid w:val="6D2A353D"/>
    <w:rsid w:val="6D3756D1"/>
    <w:rsid w:val="6D37776E"/>
    <w:rsid w:val="6D825975"/>
    <w:rsid w:val="6D917A4F"/>
    <w:rsid w:val="6DA305C4"/>
    <w:rsid w:val="6DA44B49"/>
    <w:rsid w:val="6DBA43E2"/>
    <w:rsid w:val="6DBD66CF"/>
    <w:rsid w:val="6DCA04D9"/>
    <w:rsid w:val="6DCA5B51"/>
    <w:rsid w:val="6DCF3167"/>
    <w:rsid w:val="6DD37F37"/>
    <w:rsid w:val="6DDC22D2"/>
    <w:rsid w:val="6E2D56D1"/>
    <w:rsid w:val="6E51722B"/>
    <w:rsid w:val="6E5C76E2"/>
    <w:rsid w:val="6E622052"/>
    <w:rsid w:val="6E85711B"/>
    <w:rsid w:val="6EB5235D"/>
    <w:rsid w:val="6EC235F7"/>
    <w:rsid w:val="6EE13152"/>
    <w:rsid w:val="6EE76482"/>
    <w:rsid w:val="6EFA0D31"/>
    <w:rsid w:val="6F0A08FB"/>
    <w:rsid w:val="6F3F2C86"/>
    <w:rsid w:val="6F457B85"/>
    <w:rsid w:val="6FA27437"/>
    <w:rsid w:val="6FA6623A"/>
    <w:rsid w:val="6FAD1DAD"/>
    <w:rsid w:val="6FAF3250"/>
    <w:rsid w:val="6FFB0243"/>
    <w:rsid w:val="6FFC5967"/>
    <w:rsid w:val="70166645"/>
    <w:rsid w:val="701E297D"/>
    <w:rsid w:val="702E686B"/>
    <w:rsid w:val="703419A7"/>
    <w:rsid w:val="70343755"/>
    <w:rsid w:val="7036052D"/>
    <w:rsid w:val="703A75A4"/>
    <w:rsid w:val="704838FD"/>
    <w:rsid w:val="70627164"/>
    <w:rsid w:val="706B45B3"/>
    <w:rsid w:val="70812E3F"/>
    <w:rsid w:val="70820965"/>
    <w:rsid w:val="708C4F75"/>
    <w:rsid w:val="709119F6"/>
    <w:rsid w:val="709A02F9"/>
    <w:rsid w:val="709B2401"/>
    <w:rsid w:val="70C608E3"/>
    <w:rsid w:val="70F93C19"/>
    <w:rsid w:val="70FC6B0C"/>
    <w:rsid w:val="71063344"/>
    <w:rsid w:val="71265794"/>
    <w:rsid w:val="713A2FED"/>
    <w:rsid w:val="714A6C19"/>
    <w:rsid w:val="715B71FA"/>
    <w:rsid w:val="7185070D"/>
    <w:rsid w:val="71B27028"/>
    <w:rsid w:val="71C43A67"/>
    <w:rsid w:val="71CD5C10"/>
    <w:rsid w:val="71F7318A"/>
    <w:rsid w:val="720B7C2F"/>
    <w:rsid w:val="721A3870"/>
    <w:rsid w:val="72241247"/>
    <w:rsid w:val="725515E6"/>
    <w:rsid w:val="726A345E"/>
    <w:rsid w:val="7284307C"/>
    <w:rsid w:val="728A3B01"/>
    <w:rsid w:val="72D40EC3"/>
    <w:rsid w:val="72DB435C"/>
    <w:rsid w:val="72F53670"/>
    <w:rsid w:val="732E6B82"/>
    <w:rsid w:val="73302D5B"/>
    <w:rsid w:val="737473EC"/>
    <w:rsid w:val="739641CD"/>
    <w:rsid w:val="739A3F53"/>
    <w:rsid w:val="73EF7DCA"/>
    <w:rsid w:val="7407216B"/>
    <w:rsid w:val="740F250F"/>
    <w:rsid w:val="741D2E7E"/>
    <w:rsid w:val="741E2752"/>
    <w:rsid w:val="74393A30"/>
    <w:rsid w:val="744F3E92"/>
    <w:rsid w:val="74502B97"/>
    <w:rsid w:val="74530449"/>
    <w:rsid w:val="746335E0"/>
    <w:rsid w:val="746B7053"/>
    <w:rsid w:val="74844CAB"/>
    <w:rsid w:val="749913BC"/>
    <w:rsid w:val="74B1717B"/>
    <w:rsid w:val="74E219D2"/>
    <w:rsid w:val="74F53239"/>
    <w:rsid w:val="75066BC6"/>
    <w:rsid w:val="75070109"/>
    <w:rsid w:val="751E0D04"/>
    <w:rsid w:val="754C749B"/>
    <w:rsid w:val="75882579"/>
    <w:rsid w:val="758E3908"/>
    <w:rsid w:val="7592164A"/>
    <w:rsid w:val="75983CEF"/>
    <w:rsid w:val="75AB1C93"/>
    <w:rsid w:val="75E31EA6"/>
    <w:rsid w:val="75ED35E4"/>
    <w:rsid w:val="75FB557B"/>
    <w:rsid w:val="761756AB"/>
    <w:rsid w:val="761B163F"/>
    <w:rsid w:val="76810114"/>
    <w:rsid w:val="76951554"/>
    <w:rsid w:val="76982C90"/>
    <w:rsid w:val="76B00A6D"/>
    <w:rsid w:val="76D37824"/>
    <w:rsid w:val="76E41762"/>
    <w:rsid w:val="76F13850"/>
    <w:rsid w:val="77163BB5"/>
    <w:rsid w:val="7717316E"/>
    <w:rsid w:val="771A18F7"/>
    <w:rsid w:val="77216056"/>
    <w:rsid w:val="77404A94"/>
    <w:rsid w:val="77603777"/>
    <w:rsid w:val="77901BB9"/>
    <w:rsid w:val="77984F4C"/>
    <w:rsid w:val="77C7479C"/>
    <w:rsid w:val="77DD0A83"/>
    <w:rsid w:val="78236589"/>
    <w:rsid w:val="782B18E2"/>
    <w:rsid w:val="786F5CE7"/>
    <w:rsid w:val="787239F2"/>
    <w:rsid w:val="788D60F9"/>
    <w:rsid w:val="788E3223"/>
    <w:rsid w:val="78970D25"/>
    <w:rsid w:val="78A7540C"/>
    <w:rsid w:val="78D60D2D"/>
    <w:rsid w:val="78E06AB0"/>
    <w:rsid w:val="78FC2232"/>
    <w:rsid w:val="7908485F"/>
    <w:rsid w:val="791F1447"/>
    <w:rsid w:val="79222CE5"/>
    <w:rsid w:val="79271FB1"/>
    <w:rsid w:val="79694470"/>
    <w:rsid w:val="797616F9"/>
    <w:rsid w:val="79870D9A"/>
    <w:rsid w:val="798A0C42"/>
    <w:rsid w:val="798E0318"/>
    <w:rsid w:val="799B705C"/>
    <w:rsid w:val="79B41F80"/>
    <w:rsid w:val="79EB0483"/>
    <w:rsid w:val="79EC7E67"/>
    <w:rsid w:val="79FD4C0A"/>
    <w:rsid w:val="7A395F10"/>
    <w:rsid w:val="7A630025"/>
    <w:rsid w:val="7A65732D"/>
    <w:rsid w:val="7A767C71"/>
    <w:rsid w:val="7A7C5C51"/>
    <w:rsid w:val="7A825E22"/>
    <w:rsid w:val="7AA32CA1"/>
    <w:rsid w:val="7AC07E9C"/>
    <w:rsid w:val="7AD324E9"/>
    <w:rsid w:val="7AD8029A"/>
    <w:rsid w:val="7AD93877"/>
    <w:rsid w:val="7AFB37ED"/>
    <w:rsid w:val="7B0F7299"/>
    <w:rsid w:val="7B187EFC"/>
    <w:rsid w:val="7B2E3BC3"/>
    <w:rsid w:val="7B47611D"/>
    <w:rsid w:val="7BFC0690"/>
    <w:rsid w:val="7C682397"/>
    <w:rsid w:val="7C865EDA"/>
    <w:rsid w:val="7C8E5650"/>
    <w:rsid w:val="7CA83501"/>
    <w:rsid w:val="7CBB32C3"/>
    <w:rsid w:val="7CC540BD"/>
    <w:rsid w:val="7CDC22BB"/>
    <w:rsid w:val="7CEE4788"/>
    <w:rsid w:val="7D0C1CE2"/>
    <w:rsid w:val="7D1170C1"/>
    <w:rsid w:val="7D1868D9"/>
    <w:rsid w:val="7D423759"/>
    <w:rsid w:val="7D4D28C5"/>
    <w:rsid w:val="7D6103B5"/>
    <w:rsid w:val="7D6531A0"/>
    <w:rsid w:val="7D695F1A"/>
    <w:rsid w:val="7D9A36B6"/>
    <w:rsid w:val="7DA30807"/>
    <w:rsid w:val="7DA84FE4"/>
    <w:rsid w:val="7DD956AA"/>
    <w:rsid w:val="7E1D1CCD"/>
    <w:rsid w:val="7E2D5B39"/>
    <w:rsid w:val="7E3239CA"/>
    <w:rsid w:val="7E394D59"/>
    <w:rsid w:val="7E482253"/>
    <w:rsid w:val="7E5B04CB"/>
    <w:rsid w:val="7E745D91"/>
    <w:rsid w:val="7EC35F78"/>
    <w:rsid w:val="7ED160D1"/>
    <w:rsid w:val="7EFF672B"/>
    <w:rsid w:val="7F3C37B5"/>
    <w:rsid w:val="7F3E7D14"/>
    <w:rsid w:val="7F427C3D"/>
    <w:rsid w:val="7F5C05D3"/>
    <w:rsid w:val="7F940068"/>
    <w:rsid w:val="7FC325FB"/>
    <w:rsid w:val="7FCA2E3E"/>
    <w:rsid w:val="7FD00B3B"/>
    <w:rsid w:val="7FDE3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qFormat="1" w:unhideWhenUsed="0" w:uiPriority="99" w:semiHidden="0" w:name="index 6"/>
    <w:lsdException w:qFormat="1"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3">
    <w:name w:val="heading 1"/>
    <w:basedOn w:val="1"/>
    <w:next w:val="1"/>
    <w:autoRedefine/>
    <w:qFormat/>
    <w:uiPriority w:val="0"/>
    <w:pPr>
      <w:keepNext/>
      <w:keepLines/>
      <w:spacing w:line="360" w:lineRule="auto"/>
      <w:jc w:val="center"/>
      <w:outlineLvl w:val="0"/>
    </w:pPr>
    <w:rPr>
      <w:b/>
      <w:bCs/>
      <w:kern w:val="44"/>
      <w:sz w:val="44"/>
      <w:szCs w:val="44"/>
    </w:rPr>
  </w:style>
  <w:style w:type="paragraph" w:styleId="4">
    <w:name w:val="heading 2"/>
    <w:basedOn w:val="1"/>
    <w:next w:val="1"/>
    <w:autoRedefine/>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5"/>
    <w:basedOn w:val="1"/>
    <w:next w:val="1"/>
    <w:autoRedefine/>
    <w:qFormat/>
    <w:uiPriority w:val="0"/>
    <w:pPr>
      <w:keepNext/>
      <w:adjustRightInd w:val="0"/>
      <w:spacing w:line="360" w:lineRule="auto"/>
      <w:jc w:val="left"/>
      <w:textAlignment w:val="baseline"/>
      <w:outlineLvl w:val="4"/>
    </w:pPr>
    <w:rPr>
      <w:rFonts w:ascii="宋体"/>
      <w:b/>
      <w:kern w:val="0"/>
      <w:sz w:val="28"/>
    </w:rPr>
  </w:style>
  <w:style w:type="character" w:default="1" w:styleId="36">
    <w:name w:val="Default Paragraph Font"/>
    <w:autoRedefine/>
    <w:semiHidden/>
    <w:qFormat/>
    <w:uiPriority w:val="0"/>
  </w:style>
  <w:style w:type="table" w:default="1" w:styleId="34">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color w:val="000000"/>
      <w:szCs w:val="20"/>
      <w:u w:val="none" w:color="000000"/>
    </w:rPr>
  </w:style>
  <w:style w:type="paragraph" w:styleId="7">
    <w:name w:val="index 8"/>
    <w:basedOn w:val="1"/>
    <w:next w:val="1"/>
    <w:unhideWhenUsed/>
    <w:qFormat/>
    <w:uiPriority w:val="99"/>
    <w:pPr>
      <w:ind w:left="1400" w:leftChars="1400"/>
    </w:pPr>
  </w:style>
  <w:style w:type="paragraph" w:styleId="8">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9">
    <w:name w:val="index 5"/>
    <w:basedOn w:val="1"/>
    <w:next w:val="1"/>
    <w:autoRedefine/>
    <w:unhideWhenUsed/>
    <w:qFormat/>
    <w:uiPriority w:val="99"/>
    <w:pPr>
      <w:ind w:left="1680"/>
    </w:pPr>
  </w:style>
  <w:style w:type="paragraph" w:styleId="10">
    <w:name w:val="toa heading"/>
    <w:basedOn w:val="1"/>
    <w:next w:val="1"/>
    <w:autoRedefine/>
    <w:qFormat/>
    <w:uiPriority w:val="0"/>
    <w:pPr>
      <w:spacing w:before="120"/>
    </w:pPr>
    <w:rPr>
      <w:rFonts w:ascii="Cambria" w:hAnsi="Cambria"/>
      <w:sz w:val="24"/>
      <w:szCs w:val="20"/>
    </w:rPr>
  </w:style>
  <w:style w:type="paragraph" w:styleId="11">
    <w:name w:val="annotation text"/>
    <w:basedOn w:val="1"/>
    <w:autoRedefine/>
    <w:qFormat/>
    <w:uiPriority w:val="0"/>
    <w:pPr>
      <w:jc w:val="left"/>
    </w:pPr>
  </w:style>
  <w:style w:type="paragraph" w:styleId="12">
    <w:name w:val="index 6"/>
    <w:basedOn w:val="1"/>
    <w:next w:val="1"/>
    <w:autoRedefine/>
    <w:qFormat/>
    <w:uiPriority w:val="99"/>
    <w:pPr>
      <w:ind w:left="2100"/>
    </w:pPr>
  </w:style>
  <w:style w:type="paragraph" w:styleId="13">
    <w:name w:val="Body Text 3"/>
    <w:basedOn w:val="1"/>
    <w:next w:val="1"/>
    <w:autoRedefine/>
    <w:qFormat/>
    <w:uiPriority w:val="0"/>
    <w:pPr>
      <w:spacing w:after="120" w:line="540" w:lineRule="exact"/>
      <w:ind w:firstLine="200" w:firstLineChars="200"/>
    </w:pPr>
    <w:rPr>
      <w:rFonts w:eastAsia="仿宋_GB2312"/>
      <w:sz w:val="16"/>
      <w:szCs w:val="16"/>
    </w:rPr>
  </w:style>
  <w:style w:type="paragraph" w:styleId="14">
    <w:name w:val="List Bullet 3"/>
    <w:basedOn w:val="1"/>
    <w:autoRedefine/>
    <w:qFormat/>
    <w:uiPriority w:val="0"/>
    <w:pPr>
      <w:numPr>
        <w:ilvl w:val="0"/>
        <w:numId w:val="1"/>
      </w:numPr>
    </w:pPr>
  </w:style>
  <w:style w:type="paragraph" w:styleId="15">
    <w:name w:val="Body Text"/>
    <w:basedOn w:val="1"/>
    <w:next w:val="16"/>
    <w:autoRedefine/>
    <w:qFormat/>
    <w:uiPriority w:val="99"/>
    <w:pPr>
      <w:numPr>
        <w:ilvl w:val="0"/>
        <w:numId w:val="2"/>
      </w:numPr>
      <w:tabs>
        <w:tab w:val="clear" w:pos="780"/>
      </w:tabs>
      <w:ind w:left="0" w:firstLine="0"/>
    </w:pPr>
    <w:rPr>
      <w:rFonts w:ascii="黑体" w:eastAsia="黑体"/>
      <w:sz w:val="22"/>
    </w:rPr>
  </w:style>
  <w:style w:type="paragraph" w:styleId="16">
    <w:name w:val="Body Text 2"/>
    <w:basedOn w:val="1"/>
    <w:autoRedefine/>
    <w:qFormat/>
    <w:uiPriority w:val="0"/>
    <w:pPr>
      <w:tabs>
        <w:tab w:val="left" w:pos="0"/>
      </w:tabs>
      <w:spacing w:line="400" w:lineRule="atLeast"/>
    </w:pPr>
    <w:rPr>
      <w:rFonts w:ascii="Arial" w:hAnsi="Arial"/>
      <w:color w:val="000000"/>
    </w:rPr>
  </w:style>
  <w:style w:type="paragraph" w:styleId="17">
    <w:name w:val="Body Text Indent"/>
    <w:basedOn w:val="1"/>
    <w:next w:val="18"/>
    <w:autoRedefine/>
    <w:qFormat/>
    <w:uiPriority w:val="0"/>
    <w:pPr>
      <w:spacing w:after="120"/>
      <w:ind w:left="200" w:leftChars="200"/>
    </w:pPr>
  </w:style>
  <w:style w:type="paragraph" w:customStyle="1" w:styleId="18">
    <w:name w:val="Default"/>
    <w:basedOn w:val="19"/>
    <w:next w:val="2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9">
    <w:name w:val="Title"/>
    <w:basedOn w:val="1"/>
    <w:next w:val="1"/>
    <w:link w:val="98"/>
    <w:autoRedefine/>
    <w:qFormat/>
    <w:uiPriority w:val="10"/>
    <w:pPr>
      <w:spacing w:before="60" w:after="60"/>
      <w:jc w:val="center"/>
      <w:outlineLvl w:val="0"/>
    </w:pPr>
    <w:rPr>
      <w:rFonts w:ascii="Cambria" w:hAnsi="Cambria" w:cs="Times New Roman"/>
      <w:b/>
      <w:bCs/>
      <w:szCs w:val="32"/>
    </w:rPr>
  </w:style>
  <w:style w:type="paragraph" w:customStyle="1" w:styleId="20">
    <w:name w:val="大标题"/>
    <w:basedOn w:val="1"/>
    <w:next w:val="21"/>
    <w:qFormat/>
    <w:uiPriority w:val="0"/>
    <w:pPr>
      <w:jc w:val="center"/>
    </w:pPr>
    <w:rPr>
      <w:rFonts w:ascii="Arial" w:hAnsi="Arial"/>
      <w:b/>
      <w:sz w:val="28"/>
    </w:rPr>
  </w:style>
  <w:style w:type="paragraph" w:styleId="21">
    <w:name w:val="Body Text First Indent 2"/>
    <w:basedOn w:val="17"/>
    <w:next w:val="1"/>
    <w:autoRedefine/>
    <w:semiHidden/>
    <w:unhideWhenUsed/>
    <w:qFormat/>
    <w:uiPriority w:val="99"/>
    <w:pPr>
      <w:ind w:firstLine="420" w:firstLineChars="200"/>
    </w:pPr>
  </w:style>
  <w:style w:type="paragraph" w:styleId="22">
    <w:name w:val="toc 3"/>
    <w:basedOn w:val="1"/>
    <w:next w:val="1"/>
    <w:autoRedefine/>
    <w:qFormat/>
    <w:uiPriority w:val="0"/>
    <w:pPr>
      <w:spacing w:line="320" w:lineRule="atLeast"/>
      <w:jc w:val="center"/>
    </w:pPr>
    <w:rPr>
      <w:szCs w:val="20"/>
    </w:rPr>
  </w:style>
  <w:style w:type="paragraph" w:styleId="23">
    <w:name w:val="footer"/>
    <w:basedOn w:val="1"/>
    <w:autoRedefine/>
    <w:qFormat/>
    <w:uiPriority w:val="0"/>
    <w:pPr>
      <w:tabs>
        <w:tab w:val="center" w:pos="4153"/>
        <w:tab w:val="right" w:pos="8306"/>
      </w:tabs>
      <w:snapToGrid w:val="0"/>
      <w:jc w:val="left"/>
    </w:pPr>
    <w:rPr>
      <w:sz w:val="18"/>
    </w:rPr>
  </w:style>
  <w:style w:type="paragraph" w:styleId="24">
    <w:name w:val="envelope return"/>
    <w:basedOn w:val="1"/>
    <w:qFormat/>
    <w:uiPriority w:val="0"/>
    <w:pPr>
      <w:snapToGrid w:val="0"/>
    </w:pPr>
    <w:rPr>
      <w:rFonts w:ascii="Arial" w:hAnsi="Arial" w:cs="Arial"/>
    </w:rPr>
  </w:style>
  <w:style w:type="paragraph" w:styleId="2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6">
    <w:name w:val="toc 1"/>
    <w:basedOn w:val="1"/>
    <w:next w:val="1"/>
    <w:autoRedefine/>
    <w:qFormat/>
    <w:uiPriority w:val="0"/>
  </w:style>
  <w:style w:type="paragraph" w:styleId="27">
    <w:name w:val="Subtitle"/>
    <w:basedOn w:val="1"/>
    <w:next w:val="1"/>
    <w:link w:val="99"/>
    <w:autoRedefine/>
    <w:qFormat/>
    <w:uiPriority w:val="0"/>
    <w:pPr>
      <w:spacing w:before="240" w:after="60" w:line="312" w:lineRule="auto"/>
      <w:jc w:val="center"/>
      <w:outlineLvl w:val="1"/>
    </w:pPr>
    <w:rPr>
      <w:rFonts w:ascii="Arial" w:hAnsi="Arial"/>
      <w:b/>
      <w:kern w:val="28"/>
      <w:sz w:val="32"/>
    </w:rPr>
  </w:style>
  <w:style w:type="paragraph" w:styleId="28">
    <w:name w:val="List Number 5"/>
    <w:basedOn w:val="1"/>
    <w:autoRedefine/>
    <w:qFormat/>
    <w:uiPriority w:val="0"/>
    <w:pPr>
      <w:numPr>
        <w:ilvl w:val="0"/>
        <w:numId w:val="3"/>
      </w:numPr>
    </w:pPr>
  </w:style>
  <w:style w:type="paragraph" w:styleId="29">
    <w:name w:val="footnote text"/>
    <w:basedOn w:val="1"/>
    <w:next w:val="9"/>
    <w:autoRedefine/>
    <w:semiHidden/>
    <w:unhideWhenUsed/>
    <w:qFormat/>
    <w:uiPriority w:val="99"/>
    <w:pPr>
      <w:snapToGrid w:val="0"/>
      <w:jc w:val="left"/>
    </w:pPr>
    <w:rPr>
      <w:sz w:val="18"/>
      <w:szCs w:val="18"/>
    </w:rPr>
  </w:style>
  <w:style w:type="paragraph" w:styleId="30">
    <w:name w:val="index 7"/>
    <w:basedOn w:val="1"/>
    <w:next w:val="1"/>
    <w:autoRedefine/>
    <w:qFormat/>
    <w:uiPriority w:val="0"/>
    <w:pPr>
      <w:autoSpaceDE/>
      <w:autoSpaceDN/>
      <w:adjustRightInd/>
      <w:ind w:left="1200" w:leftChars="1200"/>
    </w:pPr>
    <w:rPr>
      <w:color w:val="auto"/>
      <w:kern w:val="2"/>
      <w:szCs w:val="24"/>
    </w:rPr>
  </w:style>
  <w:style w:type="paragraph" w:styleId="31">
    <w:name w:val="HTML Preformatted"/>
    <w:basedOn w:val="1"/>
    <w:unhideWhenUsed/>
    <w:qFormat/>
    <w:uiPriority w:val="99"/>
    <w:rPr>
      <w:rFonts w:ascii="Courier New" w:hAnsi="Courier New" w:cs="Courier New"/>
      <w:sz w:val="20"/>
      <w:szCs w:val="20"/>
    </w:rPr>
  </w:style>
  <w:style w:type="paragraph" w:styleId="32">
    <w:name w:val="Normal (Web)"/>
    <w:basedOn w:val="1"/>
    <w:autoRedefine/>
    <w:qFormat/>
    <w:uiPriority w:val="99"/>
    <w:pPr>
      <w:widowControl/>
      <w:jc w:val="left"/>
    </w:pPr>
    <w:rPr>
      <w:rFonts w:ascii="宋体" w:hAnsi="宋体" w:eastAsia="宋体" w:cs="宋体"/>
      <w:kern w:val="0"/>
      <w:sz w:val="24"/>
      <w:szCs w:val="24"/>
    </w:rPr>
  </w:style>
  <w:style w:type="paragraph" w:styleId="33">
    <w:name w:val="Body Text First Indent"/>
    <w:basedOn w:val="1"/>
    <w:next w:val="1"/>
    <w:autoRedefine/>
    <w:qFormat/>
    <w:uiPriority w:val="0"/>
    <w:pPr>
      <w:tabs>
        <w:tab w:val="left" w:pos="780"/>
      </w:tabs>
      <w:spacing w:line="540" w:lineRule="exact"/>
      <w:ind w:firstLine="420" w:firstLineChars="100"/>
    </w:pPr>
    <w:rPr>
      <w:rFonts w:eastAsia="仿宋_GB2312"/>
      <w:sz w:val="28"/>
      <w:szCs w:val="24"/>
    </w:rPr>
  </w:style>
  <w:style w:type="table" w:styleId="35">
    <w:name w:val="Table Grid"/>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0"/>
    <w:rPr>
      <w:b/>
      <w:bCs/>
    </w:rPr>
  </w:style>
  <w:style w:type="character" w:styleId="38">
    <w:name w:val="page number"/>
    <w:basedOn w:val="36"/>
    <w:qFormat/>
    <w:uiPriority w:val="99"/>
    <w:rPr>
      <w:rFonts w:cs="Times New Roman"/>
    </w:rPr>
  </w:style>
  <w:style w:type="character" w:styleId="39">
    <w:name w:val="Hyperlink"/>
    <w:autoRedefine/>
    <w:qFormat/>
    <w:uiPriority w:val="99"/>
    <w:rPr>
      <w:color w:val="0000FF"/>
      <w:u w:val="single"/>
    </w:rPr>
  </w:style>
  <w:style w:type="character" w:styleId="40">
    <w:name w:val="footnote reference"/>
    <w:basedOn w:val="36"/>
    <w:autoRedefine/>
    <w:semiHidden/>
    <w:unhideWhenUsed/>
    <w:qFormat/>
    <w:uiPriority w:val="99"/>
    <w:rPr>
      <w:vertAlign w:val="superscript"/>
    </w:rPr>
  </w:style>
  <w:style w:type="paragraph" w:customStyle="1" w:styleId="41">
    <w:name w:val="表格文字"/>
    <w:basedOn w:val="1"/>
    <w:next w:val="15"/>
    <w:qFormat/>
    <w:uiPriority w:val="0"/>
    <w:pPr>
      <w:jc w:val="left"/>
    </w:pPr>
    <w:rPr>
      <w:bCs/>
      <w:spacing w:val="10"/>
      <w:sz w:val="24"/>
    </w:rPr>
  </w:style>
  <w:style w:type="paragraph" w:customStyle="1" w:styleId="42">
    <w:name w:val="_Style 2"/>
    <w:basedOn w:val="3"/>
    <w:next w:val="1"/>
    <w:autoRedefine/>
    <w:qFormat/>
    <w:uiPriority w:val="39"/>
    <w:pPr>
      <w:widowControl/>
      <w:tabs>
        <w:tab w:val="left" w:pos="715"/>
      </w:tabs>
      <w:spacing w:before="480" w:after="0" w:line="276" w:lineRule="auto"/>
      <w:jc w:val="left"/>
      <w:outlineLvl w:val="9"/>
    </w:pPr>
    <w:rPr>
      <w:rFonts w:ascii="Cambria" w:hAnsi="Cambria" w:eastAsia="宋体" w:cs="Times New Roman"/>
      <w:color w:val="365F91"/>
      <w:kern w:val="0"/>
      <w:sz w:val="28"/>
      <w:szCs w:val="28"/>
    </w:rPr>
  </w:style>
  <w:style w:type="paragraph" w:customStyle="1" w:styleId="43">
    <w:name w:val="正文格式"/>
    <w:basedOn w:val="1"/>
    <w:autoRedefine/>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44">
    <w:name w:val="文档正文"/>
    <w:basedOn w:val="8"/>
    <w:autoRedefine/>
    <w:qFormat/>
    <w:uiPriority w:val="0"/>
    <w:pPr>
      <w:spacing w:line="360" w:lineRule="auto"/>
    </w:pPr>
    <w:rPr>
      <w:rFonts w:ascii="宋体" w:hAnsi="宋体"/>
      <w:b/>
      <w:bCs/>
    </w:rPr>
  </w:style>
  <w:style w:type="paragraph" w:customStyle="1" w:styleId="45">
    <w:name w:val="Heading #2|1"/>
    <w:basedOn w:val="1"/>
    <w:autoRedefine/>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46">
    <w:name w:val="Body text|2"/>
    <w:basedOn w:val="1"/>
    <w:autoRedefine/>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47">
    <w:name w:val="Body text|1"/>
    <w:basedOn w:val="1"/>
    <w:autoRedefine/>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48">
    <w:name w:val="Other|1"/>
    <w:basedOn w:val="1"/>
    <w:qFormat/>
    <w:uiPriority w:val="0"/>
    <w:pPr>
      <w:widowControl w:val="0"/>
      <w:shd w:val="clear" w:color="auto" w:fill="auto"/>
      <w:spacing w:line="454" w:lineRule="auto"/>
      <w:ind w:firstLine="140"/>
    </w:pPr>
    <w:rPr>
      <w:rFonts w:ascii="宋体" w:hAnsi="宋体" w:eastAsia="宋体" w:cs="宋体"/>
      <w:sz w:val="22"/>
      <w:szCs w:val="22"/>
      <w:u w:val="none"/>
      <w:shd w:val="clear" w:color="auto" w:fill="auto"/>
      <w:lang w:val="zh-TW" w:eastAsia="zh-TW" w:bidi="zh-TW"/>
    </w:rPr>
  </w:style>
  <w:style w:type="paragraph" w:customStyle="1" w:styleId="49">
    <w:name w:val="Table caption|1"/>
    <w:basedOn w:val="1"/>
    <w:autoRedefine/>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50">
    <w:name w:val="Table Paragraph"/>
    <w:basedOn w:val="1"/>
    <w:autoRedefine/>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51">
    <w:name w:val="black1"/>
    <w:basedOn w:val="1"/>
    <w:autoRedefine/>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52">
    <w:name w:val="图例"/>
    <w:basedOn w:val="1"/>
    <w:autoRedefine/>
    <w:qFormat/>
    <w:uiPriority w:val="0"/>
    <w:pPr>
      <w:spacing w:before="120" w:beforeLines="0" w:after="120" w:afterLines="0" w:line="360" w:lineRule="auto"/>
      <w:jc w:val="center"/>
    </w:pPr>
    <w:rPr>
      <w:rFonts w:eastAsia="仿宋_GB2312"/>
      <w:b/>
      <w:sz w:val="24"/>
    </w:rPr>
  </w:style>
  <w:style w:type="paragraph" w:customStyle="1" w:styleId="53">
    <w:name w:val="WPS Plain"/>
    <w:autoRedefine/>
    <w:qFormat/>
    <w:uiPriority w:val="0"/>
    <w:rPr>
      <w:rFonts w:ascii="Times New Roman" w:hAnsi="Times New Roman" w:eastAsia="宋体" w:cs="Times New Roman"/>
      <w:lang w:val="en-US" w:eastAsia="zh-CN" w:bidi="ar-SA"/>
    </w:rPr>
  </w:style>
  <w:style w:type="paragraph" w:customStyle="1" w:styleId="54">
    <w:name w:val="样式 左侧:  0 厘米 悬挂缩进: 2.5 字符"/>
    <w:basedOn w:val="1"/>
    <w:autoRedefine/>
    <w:qFormat/>
    <w:uiPriority w:val="0"/>
    <w:pPr>
      <w:ind w:left="525" w:hanging="525" w:hangingChars="250"/>
    </w:pPr>
    <w:rPr>
      <w:szCs w:val="20"/>
    </w:rPr>
  </w:style>
  <w:style w:type="character" w:customStyle="1" w:styleId="55">
    <w:name w:val="font11"/>
    <w:basedOn w:val="36"/>
    <w:autoRedefine/>
    <w:qFormat/>
    <w:uiPriority w:val="0"/>
    <w:rPr>
      <w:rFonts w:ascii="Calibri" w:hAnsi="Calibri" w:cs="Calibri"/>
      <w:color w:val="000000"/>
      <w:sz w:val="20"/>
      <w:szCs w:val="20"/>
      <w:u w:val="none"/>
    </w:rPr>
  </w:style>
  <w:style w:type="paragraph" w:customStyle="1" w:styleId="56">
    <w:name w:val="Normal"/>
    <w:autoRedefine/>
    <w:qFormat/>
    <w:uiPriority w:val="0"/>
    <w:rPr>
      <w:rFonts w:ascii="Times New Roman" w:hAnsi="Times New Roman" w:eastAsia="Times New Roman" w:cs="Times New Roman"/>
      <w:sz w:val="24"/>
      <w:szCs w:val="24"/>
      <w:lang w:bidi="ar-SA"/>
    </w:rPr>
  </w:style>
  <w:style w:type="paragraph" w:customStyle="1" w:styleId="57">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rPr>
  </w:style>
  <w:style w:type="paragraph" w:customStyle="1" w:styleId="58">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59">
    <w:name w:val="font31"/>
    <w:basedOn w:val="36"/>
    <w:autoRedefine/>
    <w:qFormat/>
    <w:uiPriority w:val="0"/>
    <w:rPr>
      <w:rFonts w:hint="eastAsia" w:ascii="宋体" w:hAnsi="宋体" w:eastAsia="宋体" w:cs="宋体"/>
      <w:color w:val="000000"/>
      <w:sz w:val="12"/>
      <w:szCs w:val="12"/>
      <w:u w:val="none"/>
    </w:rPr>
  </w:style>
  <w:style w:type="character" w:customStyle="1" w:styleId="60">
    <w:name w:val="font131"/>
    <w:basedOn w:val="36"/>
    <w:autoRedefine/>
    <w:qFormat/>
    <w:uiPriority w:val="0"/>
    <w:rPr>
      <w:rFonts w:hint="eastAsia" w:ascii="宋体" w:hAnsi="宋体" w:eastAsia="宋体" w:cs="宋体"/>
      <w:color w:val="FF0000"/>
      <w:sz w:val="12"/>
      <w:szCs w:val="12"/>
      <w:u w:val="none"/>
    </w:rPr>
  </w:style>
  <w:style w:type="character" w:customStyle="1" w:styleId="61">
    <w:name w:val="font51"/>
    <w:basedOn w:val="36"/>
    <w:autoRedefine/>
    <w:qFormat/>
    <w:uiPriority w:val="0"/>
    <w:rPr>
      <w:rFonts w:hint="eastAsia" w:ascii="宋体" w:hAnsi="宋体" w:eastAsia="宋体" w:cs="宋体"/>
      <w:color w:val="000000"/>
      <w:sz w:val="12"/>
      <w:szCs w:val="12"/>
      <w:u w:val="none"/>
    </w:rPr>
  </w:style>
  <w:style w:type="character" w:customStyle="1" w:styleId="62">
    <w:name w:val="font171"/>
    <w:basedOn w:val="36"/>
    <w:autoRedefine/>
    <w:qFormat/>
    <w:uiPriority w:val="0"/>
    <w:rPr>
      <w:rFonts w:hint="eastAsia" w:ascii="宋体" w:hAnsi="宋体" w:eastAsia="宋体" w:cs="宋体"/>
      <w:color w:val="FF0000"/>
      <w:sz w:val="12"/>
      <w:szCs w:val="12"/>
      <w:u w:val="none"/>
    </w:rPr>
  </w:style>
  <w:style w:type="character" w:customStyle="1" w:styleId="63">
    <w:name w:val="font41"/>
    <w:basedOn w:val="36"/>
    <w:autoRedefine/>
    <w:qFormat/>
    <w:uiPriority w:val="0"/>
    <w:rPr>
      <w:rFonts w:hint="eastAsia" w:ascii="宋体" w:hAnsi="宋体" w:eastAsia="宋体" w:cs="宋体"/>
      <w:b/>
      <w:bCs/>
      <w:color w:val="0D0D0D"/>
      <w:sz w:val="18"/>
      <w:szCs w:val="18"/>
      <w:u w:val="none"/>
    </w:rPr>
  </w:style>
  <w:style w:type="character" w:customStyle="1" w:styleId="64">
    <w:name w:val="font71"/>
    <w:basedOn w:val="36"/>
    <w:autoRedefine/>
    <w:qFormat/>
    <w:uiPriority w:val="0"/>
    <w:rPr>
      <w:rFonts w:hint="eastAsia" w:ascii="宋体" w:hAnsi="宋体" w:eastAsia="宋体" w:cs="宋体"/>
      <w:b/>
      <w:bCs/>
      <w:color w:val="000000"/>
      <w:sz w:val="18"/>
      <w:szCs w:val="18"/>
      <w:u w:val="none"/>
    </w:rPr>
  </w:style>
  <w:style w:type="paragraph" w:customStyle="1" w:styleId="65">
    <w:name w:val="List Paragraph"/>
    <w:basedOn w:val="1"/>
    <w:autoRedefine/>
    <w:qFormat/>
    <w:uiPriority w:val="0"/>
    <w:pPr>
      <w:ind w:firstLine="420" w:firstLineChars="200"/>
    </w:pPr>
    <w:rPr>
      <w:szCs w:val="24"/>
    </w:rPr>
  </w:style>
  <w:style w:type="paragraph" w:customStyle="1" w:styleId="66">
    <w:name w:val="段"/>
    <w:next w:val="1"/>
    <w:autoRedefine/>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67">
    <w:name w:val="Char"/>
    <w:basedOn w:val="1"/>
    <w:autoRedefine/>
    <w:qFormat/>
    <w:uiPriority w:val="0"/>
    <w:rPr>
      <w:szCs w:val="21"/>
    </w:rPr>
  </w:style>
  <w:style w:type="character" w:customStyle="1" w:styleId="68">
    <w:name w:val="NormalCharacter"/>
    <w:autoRedefine/>
    <w:qFormat/>
    <w:uiPriority w:val="0"/>
  </w:style>
  <w:style w:type="paragraph" w:customStyle="1" w:styleId="69">
    <w:name w:val="BodyText1I2"/>
    <w:basedOn w:val="70"/>
    <w:autoRedefine/>
    <w:qFormat/>
    <w:uiPriority w:val="0"/>
    <w:pPr>
      <w:spacing w:before="0" w:after="120"/>
      <w:ind w:left="200" w:leftChars="200" w:firstLine="200" w:firstLineChars="200"/>
      <w:jc w:val="both"/>
      <w:textAlignment w:val="baseline"/>
    </w:pPr>
    <w:rPr>
      <w:rFonts w:ascii="Times New Roman" w:hAnsi="Times New Roman" w:eastAsia="宋体"/>
      <w:kern w:val="2"/>
      <w:sz w:val="21"/>
      <w:szCs w:val="24"/>
      <w:lang w:val="en-US" w:eastAsia="zh-CN" w:bidi="ar-SA"/>
    </w:rPr>
  </w:style>
  <w:style w:type="paragraph" w:customStyle="1" w:styleId="70">
    <w:name w:val="BodyTextIndent"/>
    <w:basedOn w:val="1"/>
    <w:autoRedefine/>
    <w:qFormat/>
    <w:uiPriority w:val="0"/>
    <w:pPr>
      <w:widowControl/>
      <w:spacing w:before="100" w:beforeAutospacing="1" w:after="100" w:afterAutospacing="1"/>
      <w:jc w:val="left"/>
      <w:textAlignment w:val="baseline"/>
    </w:pPr>
    <w:rPr>
      <w:rFonts w:ascii="宋体" w:eastAsia="宋体"/>
      <w:kern w:val="2"/>
      <w:sz w:val="24"/>
      <w:szCs w:val="24"/>
      <w:lang w:val="en-US" w:eastAsia="zh-CN" w:bidi="ar-SA"/>
    </w:rPr>
  </w:style>
  <w:style w:type="paragraph" w:customStyle="1" w:styleId="71">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2">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73">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74">
    <w:name w:val="列出段落1"/>
    <w:basedOn w:val="1"/>
    <w:autoRedefine/>
    <w:qFormat/>
    <w:uiPriority w:val="0"/>
    <w:pPr>
      <w:ind w:firstLine="420" w:firstLineChars="200"/>
    </w:pPr>
    <w:rPr>
      <w:szCs w:val="24"/>
    </w:rPr>
  </w:style>
  <w:style w:type="character" w:customStyle="1" w:styleId="75">
    <w:name w:val="font01"/>
    <w:basedOn w:val="36"/>
    <w:autoRedefine/>
    <w:qFormat/>
    <w:uiPriority w:val="0"/>
    <w:rPr>
      <w:rFonts w:hint="eastAsia" w:ascii="宋体" w:hAnsi="宋体" w:eastAsia="宋体" w:cs="宋体"/>
      <w:color w:val="000000"/>
      <w:sz w:val="16"/>
      <w:szCs w:val="16"/>
      <w:u w:val="none"/>
    </w:rPr>
  </w:style>
  <w:style w:type="character" w:customStyle="1" w:styleId="76">
    <w:name w:val="font21"/>
    <w:basedOn w:val="36"/>
    <w:autoRedefine/>
    <w:qFormat/>
    <w:uiPriority w:val="0"/>
    <w:rPr>
      <w:rFonts w:hint="eastAsia" w:ascii="宋体" w:hAnsi="宋体" w:eastAsia="宋体" w:cs="宋体"/>
      <w:color w:val="000000"/>
      <w:sz w:val="18"/>
      <w:szCs w:val="18"/>
      <w:u w:val="none"/>
    </w:rPr>
  </w:style>
  <w:style w:type="paragraph" w:customStyle="1" w:styleId="77">
    <w:name w:val="zhang"/>
    <w:basedOn w:val="1"/>
    <w:autoRedefine/>
    <w:qFormat/>
    <w:uiPriority w:val="0"/>
    <w:pPr>
      <w:spacing w:before="100" w:beforeLines="0" w:beforeAutospacing="1" w:after="100" w:afterLines="0" w:afterAutospacing="1"/>
    </w:pPr>
    <w:rPr>
      <w:b/>
      <w:bCs/>
      <w:smallCaps/>
      <w:color w:val="000000"/>
      <w:sz w:val="20"/>
      <w:szCs w:val="20"/>
    </w:rPr>
  </w:style>
  <w:style w:type="paragraph" w:customStyle="1" w:styleId="78">
    <w:name w:val="_Style 10"/>
    <w:basedOn w:val="3"/>
    <w:next w:val="1"/>
    <w:autoRedefine/>
    <w:qFormat/>
    <w:uiPriority w:val="0"/>
    <w:pPr>
      <w:widowControl w:val="0"/>
      <w:spacing w:line="576" w:lineRule="auto"/>
      <w:jc w:val="both"/>
      <w:outlineLvl w:val="9"/>
    </w:pPr>
    <w:rPr>
      <w:rFonts w:ascii="Calibri" w:hAnsi="Calibri" w:cs="Times New Roman"/>
    </w:rPr>
  </w:style>
  <w:style w:type="paragraph" w:customStyle="1" w:styleId="79">
    <w:name w:val="p0"/>
    <w:basedOn w:val="1"/>
    <w:autoRedefine/>
    <w:qFormat/>
    <w:uiPriority w:val="0"/>
    <w:pPr>
      <w:jc w:val="both"/>
    </w:pPr>
    <w:rPr>
      <w:rFonts w:ascii="Times New Roman" w:hAnsi="Times New Roman" w:cs="Times New Roman"/>
      <w:sz w:val="21"/>
      <w:szCs w:val="21"/>
    </w:rPr>
  </w:style>
  <w:style w:type="character" w:customStyle="1" w:styleId="80">
    <w:name w:val="15"/>
    <w:qFormat/>
    <w:uiPriority w:val="0"/>
    <w:rPr>
      <w:rFonts w:hint="default" w:ascii="Times New Roman" w:hAnsi="Times New Roman" w:cs="Times New Roman"/>
      <w:color w:val="464445"/>
      <w:u w:val="none"/>
    </w:rPr>
  </w:style>
  <w:style w:type="character" w:customStyle="1" w:styleId="81">
    <w:name w:val="标题 Char"/>
    <w:link w:val="19"/>
    <w:autoRedefine/>
    <w:qFormat/>
    <w:uiPriority w:val="10"/>
    <w:rPr>
      <w:rFonts w:ascii="Cambria" w:hAnsi="Cambria" w:cs="Times New Roman"/>
      <w:b/>
      <w:bCs/>
      <w:szCs w:val="32"/>
    </w:rPr>
  </w:style>
  <w:style w:type="character" w:customStyle="1" w:styleId="82">
    <w:name w:val="副标题 Char"/>
    <w:link w:val="27"/>
    <w:autoRedefine/>
    <w:qFormat/>
    <w:uiPriority w:val="11"/>
    <w:rPr>
      <w:rFonts w:ascii="Arial" w:hAnsi="Arial"/>
      <w:b/>
      <w:kern w:val="28"/>
      <w:sz w:val="32"/>
    </w:rPr>
  </w:style>
  <w:style w:type="paragraph" w:customStyle="1" w:styleId="83">
    <w:name w:val="正文缩进_3"/>
    <w:basedOn w:val="84"/>
    <w:autoRedefine/>
    <w:unhideWhenUsed/>
    <w:qFormat/>
    <w:uiPriority w:val="0"/>
    <w:pPr>
      <w:ind w:firstLine="420" w:firstLineChars="200"/>
    </w:pPr>
  </w:style>
  <w:style w:type="paragraph" w:customStyle="1" w:styleId="84">
    <w:name w:val="正文_7"/>
    <w:next w:val="8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样式 标题 2 + Times New Roman 四号 非加粗 段前: 5 磅 段后: 0 磅 行距: 固定值 20..."/>
    <w:basedOn w:val="4"/>
    <w:autoRedefine/>
    <w:qFormat/>
    <w:uiPriority w:val="0"/>
    <w:pPr>
      <w:spacing w:before="100" w:line="400" w:lineRule="exact"/>
    </w:pPr>
    <w:rPr>
      <w:rFonts w:ascii="Times New Roman" w:hAnsi="Times New Roman" w:cs="宋体"/>
      <w:sz w:val="28"/>
    </w:rPr>
  </w:style>
  <w:style w:type="paragraph" w:customStyle="1" w:styleId="86">
    <w:name w:val="正文3"/>
    <w:autoRedefine/>
    <w:qFormat/>
    <w:uiPriority w:val="0"/>
    <w:pPr>
      <w:widowControl w:val="0"/>
      <w:adjustRightInd w:val="0"/>
      <w:spacing w:line="312" w:lineRule="atLeast"/>
      <w:jc w:val="both"/>
    </w:pPr>
    <w:rPr>
      <w:rFonts w:ascii="宋体" w:hAnsi="Calibri" w:eastAsia="宋体" w:cs="Times New Roman"/>
      <w:sz w:val="24"/>
      <w:lang w:val="en-US" w:eastAsia="zh-CN" w:bidi="ar-SA"/>
    </w:rPr>
  </w:style>
  <w:style w:type="paragraph" w:customStyle="1" w:styleId="87">
    <w:name w:val="WPSOffice手动目录 1"/>
    <w:autoRedefine/>
    <w:qFormat/>
    <w:uiPriority w:val="0"/>
    <w:pPr>
      <w:ind w:leftChars="0"/>
    </w:pPr>
    <w:rPr>
      <w:rFonts w:ascii="Times New Roman" w:hAnsi="Times New Roman" w:eastAsia="宋体" w:cs="Times New Roman"/>
      <w:sz w:val="20"/>
      <w:szCs w:val="20"/>
    </w:rPr>
  </w:style>
  <w:style w:type="paragraph" w:customStyle="1" w:styleId="88">
    <w:name w:val="Table Text"/>
    <w:basedOn w:val="1"/>
    <w:semiHidden/>
    <w:qFormat/>
    <w:uiPriority w:val="0"/>
    <w:rPr>
      <w:rFonts w:ascii="宋体" w:hAnsi="宋体" w:eastAsia="宋体" w:cs="宋体"/>
      <w:sz w:val="24"/>
      <w:szCs w:val="24"/>
    </w:rPr>
  </w:style>
  <w:style w:type="table" w:customStyle="1" w:styleId="89">
    <w:name w:val="Table Normal"/>
    <w:unhideWhenUsed/>
    <w:qFormat/>
    <w:uiPriority w:val="0"/>
    <w:tblPr>
      <w:tblCellMar>
        <w:top w:w="0" w:type="dxa"/>
        <w:left w:w="0" w:type="dxa"/>
        <w:bottom w:w="0" w:type="dxa"/>
        <w:right w:w="0" w:type="dxa"/>
      </w:tblCellMar>
    </w:tblPr>
  </w:style>
  <w:style w:type="paragraph" w:customStyle="1" w:styleId="90">
    <w:name w:val="Plain Text"/>
    <w:basedOn w:val="1"/>
    <w:qFormat/>
    <w:uiPriority w:val="0"/>
    <w:rPr>
      <w:rFonts w:ascii="宋体" w:hAnsi="Courier New"/>
      <w:sz w:val="21"/>
    </w:rPr>
  </w:style>
  <w:style w:type="paragraph" w:styleId="91">
    <w:name w:val="No Spacing"/>
    <w:autoRedefine/>
    <w:qFormat/>
    <w:uiPriority w:val="1"/>
    <w:pPr>
      <w:widowControl w:val="0"/>
    </w:pPr>
    <w:rPr>
      <w:rFonts w:ascii="宋体" w:hAnsi="宋体" w:eastAsia="宋体" w:cstheme="minorBidi"/>
      <w:kern w:val="2"/>
      <w:sz w:val="24"/>
      <w:szCs w:val="22"/>
      <w:lang w:val="en-US" w:eastAsia="zh-CN" w:bidi="ar-SA"/>
    </w:rPr>
  </w:style>
  <w:style w:type="paragraph" w:customStyle="1" w:styleId="92">
    <w:name w:val="NormalIndent"/>
    <w:basedOn w:val="1"/>
    <w:next w:val="1"/>
    <w:qFormat/>
    <w:uiPriority w:val="0"/>
    <w:pPr>
      <w:widowControl/>
      <w:ind w:firstLine="420"/>
      <w:jc w:val="left"/>
      <w:textAlignment w:val="baseline"/>
    </w:pPr>
    <w:rPr>
      <w:rFonts w:ascii="Calibri" w:hAnsi="Calibri" w:eastAsia="宋体"/>
      <w:kern w:val="0"/>
      <w:sz w:val="20"/>
      <w:szCs w:val="20"/>
      <w:lang w:val="en-US" w:eastAsia="zh-CN" w:bidi="ar-SA"/>
    </w:rPr>
  </w:style>
  <w:style w:type="paragraph" w:customStyle="1" w:styleId="93">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95">
    <w:name w:val="Normal_3"/>
    <w:autoRedefine/>
    <w:qFormat/>
    <w:uiPriority w:val="0"/>
    <w:rPr>
      <w:rFonts w:ascii="黑体" w:hAnsi="黑体" w:eastAsia="黑体" w:cs="Times New Roman"/>
      <w:b/>
      <w:sz w:val="32"/>
      <w:szCs w:val="24"/>
      <w:lang w:val="en-US" w:eastAsia="zh-CN" w:bidi="ar-SA"/>
    </w:rPr>
  </w:style>
  <w:style w:type="paragraph" w:customStyle="1" w:styleId="96">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98">
    <w:name w:val="标题 字符"/>
    <w:link w:val="19"/>
    <w:qFormat/>
    <w:uiPriority w:val="0"/>
    <w:rPr>
      <w:rFonts w:ascii="Cambria" w:hAnsi="Cambria"/>
      <w:b/>
      <w:bCs/>
      <w:kern w:val="0"/>
      <w:sz w:val="32"/>
      <w:szCs w:val="32"/>
    </w:rPr>
  </w:style>
  <w:style w:type="character" w:customStyle="1" w:styleId="99">
    <w:name w:val="副标题 字符"/>
    <w:link w:val="27"/>
    <w:qFormat/>
    <w:uiPriority w:val="0"/>
    <w:rPr>
      <w:rFonts w:ascii="Cambria" w:hAnsi="Cambria"/>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116</Pages>
  <Words>4625</Words>
  <Characters>5309</Characters>
  <Lines>0</Lines>
  <Paragraphs>0</Paragraphs>
  <TotalTime>3</TotalTime>
  <ScaleCrop>false</ScaleCrop>
  <LinksUpToDate>false</LinksUpToDate>
  <CharactersWithSpaces>5415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月色温柔i</cp:lastModifiedBy>
  <cp:lastPrinted>2023-05-09T11:17:00Z</cp:lastPrinted>
  <dcterms:modified xsi:type="dcterms:W3CDTF">2026-06-05T08:05:10Z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9F3EA4EDDAFF424DBEB34F7FDBB346DA_13</vt:lpwstr>
  </property>
  <property fmtid="{D5CDD505-2E9C-101B-9397-08002B2CF9AE}" pid="4" name="KSOTemplateDocerSaveRecord">
    <vt:lpwstr>eyJoZGlkIjoiZTc2OGNlN2Q3YThkMTA5ZjJmMWNiYmU0ZjBiMTYxMDAiLCJ1c2VySWQiOiIzMzMzNzYyMjgifQ==</vt:lpwstr>
  </property>
</Properties>
</file>