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3B2B7"/>
    <w:p w14:paraId="73C71805">
      <w:pPr>
        <w:jc w:val="center"/>
        <w:rPr>
          <w:b/>
          <w:sz w:val="84"/>
          <w:szCs w:val="84"/>
        </w:rPr>
      </w:pPr>
    </w:p>
    <w:p w14:paraId="7763D3BD">
      <w:pPr>
        <w:jc w:val="center"/>
        <w:rPr>
          <w:b/>
          <w:sz w:val="84"/>
          <w:szCs w:val="84"/>
        </w:rPr>
      </w:pPr>
    </w:p>
    <w:p w14:paraId="78EC735B">
      <w:pPr>
        <w:jc w:val="center"/>
        <w:rPr>
          <w:b/>
          <w:sz w:val="84"/>
          <w:szCs w:val="84"/>
        </w:rPr>
      </w:pPr>
    </w:p>
    <w:p w14:paraId="78BA6F6E">
      <w:pPr>
        <w:jc w:val="center"/>
        <w:rPr>
          <w:b/>
          <w:sz w:val="120"/>
          <w:szCs w:val="120"/>
        </w:rPr>
      </w:pPr>
      <w:r>
        <w:rPr>
          <w:rFonts w:hint="eastAsia"/>
          <w:b/>
          <w:sz w:val="120"/>
          <w:szCs w:val="120"/>
        </w:rPr>
        <w:t>政府采购</w:t>
      </w:r>
    </w:p>
    <w:p w14:paraId="0795B1B2">
      <w:pPr>
        <w:jc w:val="center"/>
        <w:rPr>
          <w:b/>
          <w:sz w:val="120"/>
          <w:szCs w:val="120"/>
        </w:rPr>
      </w:pPr>
      <w:r>
        <w:rPr>
          <w:rFonts w:hint="eastAsia"/>
          <w:b/>
          <w:sz w:val="120"/>
          <w:szCs w:val="120"/>
        </w:rPr>
        <w:t>招标文件</w:t>
      </w:r>
    </w:p>
    <w:p w14:paraId="09387663"/>
    <w:p w14:paraId="0D343DC4"/>
    <w:p w14:paraId="4653092E"/>
    <w:p w14:paraId="7B555BFC"/>
    <w:p w14:paraId="77D29F8B"/>
    <w:p w14:paraId="2C7211FC"/>
    <w:p w14:paraId="725A8D17"/>
    <w:p w14:paraId="611DACC2"/>
    <w:p w14:paraId="642AABD7"/>
    <w:p w14:paraId="4E131044"/>
    <w:p w14:paraId="5E795857"/>
    <w:p w14:paraId="323CD436"/>
    <w:p w14:paraId="56878995">
      <w:pPr>
        <w:jc w:val="center"/>
        <w:rPr>
          <w:rFonts w:hint="eastAsia" w:eastAsia="宋体"/>
          <w:b/>
          <w:sz w:val="44"/>
          <w:szCs w:val="44"/>
          <w:lang w:eastAsia="zh-CN"/>
        </w:rPr>
      </w:pPr>
      <w:r>
        <w:rPr>
          <w:rFonts w:hint="eastAsia" w:eastAsia="宋体"/>
          <w:b/>
          <w:sz w:val="44"/>
          <w:szCs w:val="44"/>
          <w:lang w:eastAsia="zh-CN"/>
        </w:rPr>
        <w:t>喀什市招投标中心</w:t>
      </w:r>
    </w:p>
    <w:p w14:paraId="4C4C2E3C">
      <w:pPr>
        <w:keepNext/>
        <w:keepLines/>
        <w:spacing w:before="340" w:after="60" w:afterLines="25" w:line="578" w:lineRule="auto"/>
        <w:jc w:val="center"/>
        <w:outlineLvl w:val="0"/>
        <w:rPr>
          <w:rFonts w:hint="eastAsia" w:ascii="Arial" w:hAnsi="Arial" w:eastAsia="宋体"/>
          <w:b/>
          <w:bCs/>
          <w:kern w:val="44"/>
          <w:sz w:val="32"/>
          <w:szCs w:val="32"/>
        </w:rPr>
        <w:sectPr>
          <w:footerReference r:id="rId3" w:type="default"/>
          <w:pgSz w:w="11906" w:h="16838"/>
          <w:pgMar w:top="1440" w:right="1797" w:bottom="1440" w:left="1797" w:header="851" w:footer="992" w:gutter="0"/>
          <w:pgNumType w:fmt="decimal" w:start="1"/>
          <w:cols w:space="720" w:num="1"/>
          <w:docGrid w:type="linesAndChars" w:linePitch="312" w:charSpace="0"/>
        </w:sectPr>
      </w:pPr>
    </w:p>
    <w:p w14:paraId="6DB7FC4B">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14:paraId="6FAD01EF">
      <w:pPr>
        <w:outlineLvl w:val="0"/>
        <w:rPr>
          <w:b/>
        </w:rPr>
      </w:pPr>
      <w:r>
        <w:rPr>
          <w:rFonts w:hint="eastAsia"/>
          <w:b/>
        </w:rPr>
        <w:t>第一册专用条款</w:t>
      </w:r>
    </w:p>
    <w:p w14:paraId="133DD0F7">
      <w:pPr>
        <w:rPr>
          <w:b/>
        </w:rPr>
      </w:pPr>
      <w:r>
        <w:rPr>
          <w:rFonts w:hint="eastAsia"/>
          <w:b/>
        </w:rPr>
        <w:tab/>
      </w:r>
      <w:r>
        <w:rPr>
          <w:rFonts w:hint="eastAsia"/>
          <w:b/>
        </w:rPr>
        <w:t>关键信息</w:t>
      </w:r>
    </w:p>
    <w:p w14:paraId="7034C7ED">
      <w:pPr>
        <w:ind w:left="720" w:leftChars="300" w:firstLine="470" w:firstLineChars="196"/>
        <w:rPr>
          <w:rFonts w:ascii="宋体" w:hAnsi="宋体"/>
          <w:szCs w:val="21"/>
        </w:rPr>
      </w:pPr>
      <w:r>
        <w:rPr>
          <w:rFonts w:hint="eastAsia" w:ascii="宋体" w:hAnsi="宋体"/>
          <w:szCs w:val="21"/>
        </w:rPr>
        <w:t>第一章  招标公告</w:t>
      </w:r>
    </w:p>
    <w:p w14:paraId="1E6AA82D">
      <w:pPr>
        <w:ind w:left="720" w:leftChars="300" w:firstLine="470" w:firstLineChars="196"/>
        <w:rPr>
          <w:rFonts w:ascii="宋体" w:hAnsi="宋体"/>
          <w:szCs w:val="21"/>
        </w:rPr>
      </w:pPr>
      <w:r>
        <w:rPr>
          <w:rFonts w:hint="eastAsia" w:ascii="宋体" w:hAnsi="宋体"/>
          <w:szCs w:val="21"/>
        </w:rPr>
        <w:t>第二章  对通用条款的补充内容及其他关键信息</w:t>
      </w:r>
    </w:p>
    <w:p w14:paraId="142D2282">
      <w:pPr>
        <w:ind w:left="720" w:leftChars="300" w:firstLine="470" w:firstLineChars="196"/>
        <w:rPr>
          <w:rFonts w:ascii="宋体" w:hAnsi="宋体"/>
          <w:szCs w:val="21"/>
        </w:rPr>
      </w:pPr>
      <w:r>
        <w:rPr>
          <w:rFonts w:hint="eastAsia" w:ascii="宋体" w:hAnsi="宋体"/>
          <w:szCs w:val="21"/>
        </w:rPr>
        <w:t>第三章 用户需求书</w:t>
      </w:r>
    </w:p>
    <w:p w14:paraId="4982B332">
      <w:pPr>
        <w:ind w:left="720" w:leftChars="300" w:firstLine="470" w:firstLineChars="196"/>
        <w:rPr>
          <w:rFonts w:ascii="宋体" w:hAnsi="宋体"/>
          <w:szCs w:val="21"/>
        </w:rPr>
      </w:pPr>
      <w:r>
        <w:rPr>
          <w:rFonts w:hint="eastAsia" w:ascii="宋体" w:hAnsi="宋体"/>
          <w:szCs w:val="21"/>
        </w:rPr>
        <w:t>第四章 投标文件组成要求及格式</w:t>
      </w:r>
    </w:p>
    <w:p w14:paraId="3638FF51">
      <w:pPr>
        <w:ind w:left="720" w:leftChars="300" w:firstLine="470" w:firstLineChars="196"/>
        <w:rPr>
          <w:rFonts w:ascii="宋体" w:hAnsi="宋体"/>
          <w:szCs w:val="21"/>
        </w:rPr>
      </w:pPr>
      <w:r>
        <w:rPr>
          <w:rFonts w:hint="eastAsia" w:ascii="宋体" w:hAnsi="宋体"/>
          <w:szCs w:val="21"/>
        </w:rPr>
        <w:t>第五章  合同条款及格式</w:t>
      </w:r>
    </w:p>
    <w:p w14:paraId="5E800368">
      <w:pPr>
        <w:rPr>
          <w:b/>
        </w:rPr>
      </w:pPr>
    </w:p>
    <w:p w14:paraId="7DC7483D">
      <w:pPr>
        <w:outlineLvl w:val="0"/>
        <w:rPr>
          <w:b/>
        </w:rPr>
      </w:pPr>
      <w:r>
        <w:rPr>
          <w:rFonts w:hint="eastAsia"/>
          <w:b/>
        </w:rPr>
        <w:t>第二册通用条款</w:t>
      </w:r>
    </w:p>
    <w:p w14:paraId="1F12FA4B">
      <w:pPr>
        <w:ind w:left="720" w:leftChars="300" w:firstLine="470" w:firstLineChars="196"/>
        <w:rPr>
          <w:rFonts w:ascii="宋体" w:hAnsi="宋体"/>
          <w:szCs w:val="21"/>
        </w:rPr>
      </w:pPr>
      <w:r>
        <w:rPr>
          <w:rFonts w:hint="eastAsia" w:ascii="宋体" w:hAnsi="宋体"/>
          <w:szCs w:val="21"/>
        </w:rPr>
        <w:t>第一章  总则</w:t>
      </w:r>
    </w:p>
    <w:p w14:paraId="78468994">
      <w:pPr>
        <w:ind w:left="720" w:leftChars="300" w:firstLine="470" w:firstLineChars="196"/>
        <w:rPr>
          <w:rFonts w:ascii="宋体" w:hAnsi="宋体"/>
          <w:szCs w:val="21"/>
        </w:rPr>
      </w:pPr>
      <w:r>
        <w:rPr>
          <w:rFonts w:hint="eastAsia" w:ascii="宋体" w:hAnsi="宋体"/>
          <w:szCs w:val="21"/>
        </w:rPr>
        <w:t>第二章  招标文件</w:t>
      </w:r>
    </w:p>
    <w:p w14:paraId="77A5CF3C">
      <w:pPr>
        <w:ind w:left="720" w:leftChars="300" w:firstLine="470" w:firstLineChars="196"/>
        <w:rPr>
          <w:rFonts w:ascii="宋体" w:hAnsi="宋体"/>
          <w:szCs w:val="21"/>
        </w:rPr>
      </w:pPr>
      <w:r>
        <w:rPr>
          <w:rFonts w:hint="eastAsia" w:ascii="宋体" w:hAnsi="宋体"/>
          <w:szCs w:val="21"/>
        </w:rPr>
        <w:t>第三章  投标文件的编制</w:t>
      </w:r>
    </w:p>
    <w:p w14:paraId="28D218DC">
      <w:pPr>
        <w:ind w:left="720" w:leftChars="300" w:firstLine="470" w:firstLineChars="196"/>
        <w:rPr>
          <w:rFonts w:ascii="宋体" w:hAnsi="宋体"/>
          <w:szCs w:val="21"/>
        </w:rPr>
      </w:pPr>
      <w:r>
        <w:rPr>
          <w:rFonts w:hint="eastAsia" w:ascii="宋体" w:hAnsi="宋体"/>
          <w:szCs w:val="21"/>
        </w:rPr>
        <w:t>第四章  投标文件的递交</w:t>
      </w:r>
    </w:p>
    <w:p w14:paraId="0E2DC245">
      <w:pPr>
        <w:ind w:left="720" w:leftChars="300" w:firstLine="470" w:firstLineChars="196"/>
        <w:rPr>
          <w:rFonts w:ascii="宋体" w:hAnsi="宋体"/>
          <w:szCs w:val="21"/>
        </w:rPr>
      </w:pPr>
      <w:r>
        <w:rPr>
          <w:rFonts w:hint="eastAsia" w:ascii="宋体" w:hAnsi="宋体"/>
          <w:szCs w:val="21"/>
        </w:rPr>
        <w:t>第五章  开标</w:t>
      </w:r>
    </w:p>
    <w:p w14:paraId="03F3B4B1">
      <w:pPr>
        <w:ind w:left="720" w:leftChars="300" w:firstLine="470" w:firstLineChars="196"/>
        <w:rPr>
          <w:rFonts w:ascii="宋体" w:hAnsi="宋体"/>
          <w:szCs w:val="21"/>
        </w:rPr>
      </w:pPr>
      <w:r>
        <w:rPr>
          <w:rFonts w:hint="eastAsia" w:ascii="宋体" w:hAnsi="宋体"/>
          <w:szCs w:val="21"/>
        </w:rPr>
        <w:t>第六章  评审要求</w:t>
      </w:r>
    </w:p>
    <w:p w14:paraId="03B0F64E">
      <w:pPr>
        <w:ind w:left="720" w:leftChars="300" w:firstLine="470" w:firstLineChars="196"/>
        <w:rPr>
          <w:rFonts w:ascii="宋体" w:hAnsi="宋体"/>
          <w:szCs w:val="21"/>
        </w:rPr>
      </w:pPr>
      <w:r>
        <w:rPr>
          <w:rFonts w:hint="eastAsia" w:ascii="宋体" w:hAnsi="宋体"/>
          <w:szCs w:val="21"/>
        </w:rPr>
        <w:t>第七章  评审程序及评审方法</w:t>
      </w:r>
    </w:p>
    <w:p w14:paraId="0B37BA94">
      <w:pPr>
        <w:ind w:left="720" w:leftChars="300" w:firstLine="470" w:firstLineChars="196"/>
        <w:rPr>
          <w:rFonts w:ascii="宋体" w:hAnsi="宋体"/>
          <w:szCs w:val="21"/>
        </w:rPr>
      </w:pPr>
      <w:r>
        <w:rPr>
          <w:rFonts w:hint="eastAsia" w:ascii="宋体" w:hAnsi="宋体"/>
          <w:szCs w:val="21"/>
        </w:rPr>
        <w:t>第八章  定标及公示</w:t>
      </w:r>
    </w:p>
    <w:p w14:paraId="0423A5FB">
      <w:pPr>
        <w:ind w:left="720" w:leftChars="300" w:firstLine="470" w:firstLineChars="196"/>
        <w:rPr>
          <w:rFonts w:ascii="宋体" w:hAnsi="宋体"/>
          <w:szCs w:val="21"/>
        </w:rPr>
      </w:pPr>
      <w:r>
        <w:rPr>
          <w:rFonts w:hint="eastAsia" w:ascii="宋体" w:hAnsi="宋体"/>
          <w:szCs w:val="21"/>
        </w:rPr>
        <w:t>第九章  公开招标失败的后续处理</w:t>
      </w:r>
    </w:p>
    <w:p w14:paraId="4966C6CE">
      <w:pPr>
        <w:ind w:left="720" w:leftChars="300" w:firstLine="470" w:firstLineChars="196"/>
        <w:rPr>
          <w:rFonts w:ascii="宋体" w:hAnsi="宋体"/>
          <w:szCs w:val="21"/>
        </w:rPr>
      </w:pPr>
      <w:r>
        <w:rPr>
          <w:rFonts w:hint="eastAsia" w:ascii="宋体" w:hAnsi="宋体"/>
          <w:szCs w:val="21"/>
        </w:rPr>
        <w:t>第十章  合同的授予与备案</w:t>
      </w:r>
    </w:p>
    <w:p w14:paraId="25D9F7CB">
      <w:r>
        <w:rPr>
          <w:rFonts w:hint="eastAsia"/>
        </w:rPr>
        <w:t>第十一章质疑处理</w:t>
      </w:r>
    </w:p>
    <w:p w14:paraId="24936AD9"/>
    <w:p w14:paraId="78CE2DD5"/>
    <w:p w14:paraId="21A9F6B5">
      <w:pPr>
        <w:pStyle w:val="23"/>
        <w:spacing w:after="60"/>
        <w:jc w:val="center"/>
        <w:rPr>
          <w:rFonts w:hint="eastAsia"/>
          <w:sz w:val="32"/>
          <w:szCs w:val="32"/>
        </w:rPr>
        <w:sectPr>
          <w:footerReference r:id="rId4" w:type="default"/>
          <w:pgSz w:w="11906" w:h="16838"/>
          <w:pgMar w:top="1440" w:right="1797" w:bottom="1440" w:left="1797" w:header="851" w:footer="992" w:gutter="0"/>
          <w:pgNumType w:fmt="decimal" w:start="1"/>
          <w:cols w:space="720" w:num="1"/>
          <w:docGrid w:type="linesAndChars" w:linePitch="312" w:charSpace="0"/>
        </w:sectPr>
      </w:pPr>
    </w:p>
    <w:p w14:paraId="5C9F53E7">
      <w:pPr>
        <w:pStyle w:val="23"/>
        <w:spacing w:after="60"/>
        <w:jc w:val="center"/>
        <w:rPr>
          <w:sz w:val="32"/>
          <w:szCs w:val="32"/>
        </w:rPr>
      </w:pPr>
      <w:r>
        <w:rPr>
          <w:rFonts w:hint="eastAsia"/>
          <w:sz w:val="32"/>
          <w:szCs w:val="32"/>
        </w:rPr>
        <w:t>第一册专用条款</w:t>
      </w:r>
    </w:p>
    <w:p w14:paraId="09F4BB60">
      <w:pPr>
        <w:tabs>
          <w:tab w:val="left" w:pos="2790"/>
        </w:tabs>
        <w:snapToGrid w:val="0"/>
        <w:jc w:val="center"/>
        <w:rPr>
          <w:b/>
        </w:rPr>
      </w:pPr>
      <w:r>
        <w:rPr>
          <w:rFonts w:hint="eastAsia"/>
          <w:b/>
        </w:rPr>
        <w:t>关键信息</w:t>
      </w:r>
    </w:p>
    <w:p w14:paraId="3B6C74A3">
      <w:pPr>
        <w:tabs>
          <w:tab w:val="left" w:pos="2790"/>
        </w:tabs>
        <w:snapToGrid w:val="0"/>
        <w:rPr>
          <w:rFonts w:hint="eastAsia" w:eastAsia="宋体"/>
          <w:lang w:eastAsia="zh-CN"/>
        </w:rPr>
      </w:pPr>
      <w:r>
        <w:t>项目编号：</w:t>
      </w:r>
      <w:r>
        <w:rPr>
          <w:rFonts w:hint="eastAsia" w:eastAsia="宋体"/>
          <w:lang w:eastAsia="zh-CN"/>
        </w:rPr>
        <w:t>KSS(GK)2026-028</w:t>
      </w:r>
    </w:p>
    <w:p w14:paraId="40DAF5E6">
      <w:pPr>
        <w:tabs>
          <w:tab w:val="left" w:pos="2790"/>
        </w:tabs>
        <w:snapToGrid w:val="0"/>
        <w:rPr>
          <w:rFonts w:hint="eastAsia" w:eastAsia="宋体"/>
          <w:lang w:eastAsia="zh-CN"/>
        </w:rPr>
      </w:pPr>
      <w:r>
        <w:t>项目名称：</w:t>
      </w:r>
      <w:r>
        <w:rPr>
          <w:rFonts w:hint="eastAsia" w:ascii="宋体" w:hAnsi="宋体" w:eastAsia="宋体" w:cs="宋体"/>
          <w:lang w:eastAsia="zh-CN"/>
        </w:rPr>
        <w:t>喀什市第五中学功能教室设备采购项目</w:t>
      </w:r>
    </w:p>
    <w:p w14:paraId="2EFF4F1C">
      <w:pPr>
        <w:tabs>
          <w:tab w:val="left" w:pos="2790"/>
        </w:tabs>
        <w:snapToGrid w:val="0"/>
        <w:rPr>
          <w:rFonts w:hint="eastAsia" w:eastAsia="宋体"/>
          <w:lang w:eastAsia="zh-CN"/>
        </w:rPr>
      </w:pPr>
      <w:r>
        <w:t>采购</w:t>
      </w:r>
      <w:r>
        <w:rPr>
          <w:rFonts w:hint="eastAsia"/>
        </w:rPr>
        <w:t>单位</w:t>
      </w:r>
      <w:r>
        <w:t>：</w:t>
      </w:r>
      <w:r>
        <w:rPr>
          <w:rFonts w:hint="eastAsia" w:ascii="Arial" w:hAnsi="Arial" w:eastAsia="宋体" w:cs="Arial"/>
          <w:u w:val="single"/>
          <w:lang w:eastAsia="zh-CN"/>
        </w:rPr>
        <w:t>喀什市教育局</w:t>
      </w:r>
    </w:p>
    <w:p w14:paraId="413A2432">
      <w:pPr>
        <w:tabs>
          <w:tab w:val="left" w:pos="2790"/>
        </w:tabs>
        <w:snapToGrid w:val="0"/>
      </w:pPr>
      <w:r>
        <w:rPr>
          <w:rFonts w:hint="eastAsia"/>
        </w:rPr>
        <w:t>项目类型：</w:t>
      </w:r>
      <w:r>
        <w:rPr>
          <w:rFonts w:hint="eastAsia" w:eastAsia="宋体"/>
          <w:lang w:eastAsia="zh-CN"/>
        </w:rPr>
        <w:t>货物类</w:t>
      </w:r>
    </w:p>
    <w:p w14:paraId="681CD3F5">
      <w:pPr>
        <w:tabs>
          <w:tab w:val="left" w:pos="2790"/>
        </w:tabs>
        <w:snapToGrid w:val="0"/>
      </w:pPr>
      <w:r>
        <w:rPr>
          <w:rFonts w:hint="eastAsia"/>
        </w:rPr>
        <w:t>评审方法：综合评分法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3F9A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2AB9453E">
            <w:pPr>
              <w:jc w:val="center"/>
              <w:rPr>
                <w:rFonts w:ascii="Calibri" w:hAnsi="Calibri" w:eastAsia="宋体"/>
                <w:b/>
              </w:rPr>
            </w:pPr>
            <w:r>
              <w:rPr>
                <w:rFonts w:hint="eastAsia" w:ascii="Calibri" w:hAnsi="Calibri" w:eastAsia="宋体"/>
                <w:b/>
              </w:rPr>
              <w:t>资格性检查表</w:t>
            </w:r>
          </w:p>
        </w:tc>
      </w:tr>
      <w:tr w14:paraId="2092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88633C0">
            <w:pPr>
              <w:rPr>
                <w:rFonts w:ascii="Calibri" w:hAnsi="Calibri" w:eastAsia="宋体"/>
              </w:rPr>
            </w:pPr>
            <w:r>
              <w:rPr>
                <w:rFonts w:ascii="Calibri" w:hAnsi="Calibri" w:eastAsia="宋体"/>
              </w:rPr>
              <w:t>1</w:t>
            </w:r>
          </w:p>
        </w:tc>
        <w:tc>
          <w:tcPr>
            <w:tcW w:w="8229" w:type="dxa"/>
          </w:tcPr>
          <w:p w14:paraId="025086A6">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14:paraId="3D5A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5B0EF563">
            <w:pPr>
              <w:jc w:val="center"/>
              <w:rPr>
                <w:rFonts w:ascii="Calibri" w:hAnsi="Calibri" w:eastAsia="宋体"/>
                <w:b/>
              </w:rPr>
            </w:pPr>
            <w:r>
              <w:rPr>
                <w:rFonts w:hint="eastAsia" w:ascii="Calibri" w:hAnsi="Calibri" w:eastAsia="宋体"/>
                <w:b/>
              </w:rPr>
              <w:t>符合性检查表</w:t>
            </w:r>
          </w:p>
        </w:tc>
      </w:tr>
      <w:tr w14:paraId="07AA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DC507BA">
            <w:pPr>
              <w:rPr>
                <w:rFonts w:ascii="Calibri" w:hAnsi="Calibri" w:eastAsia="宋体"/>
              </w:rPr>
            </w:pPr>
            <w:r>
              <w:rPr>
                <w:rFonts w:ascii="Calibri" w:hAnsi="Calibri" w:eastAsia="宋体"/>
              </w:rPr>
              <w:t>1</w:t>
            </w:r>
          </w:p>
        </w:tc>
        <w:tc>
          <w:tcPr>
            <w:tcW w:w="8229" w:type="dxa"/>
          </w:tcPr>
          <w:p w14:paraId="60530D82">
            <w:pPr>
              <w:rPr>
                <w:rFonts w:ascii="Calibri" w:hAnsi="Calibri" w:eastAsia="宋体"/>
              </w:rPr>
            </w:pPr>
            <w:r>
              <w:rPr>
                <w:rFonts w:ascii="Calibri" w:hAnsi="Calibri" w:eastAsia="宋体"/>
              </w:rPr>
              <w:t>按要求提供法定代表人证明书及法定代表人授权书。</w:t>
            </w:r>
          </w:p>
        </w:tc>
      </w:tr>
      <w:tr w14:paraId="6349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1630F92">
            <w:pPr>
              <w:rPr>
                <w:rFonts w:ascii="Calibri" w:hAnsi="Calibri" w:eastAsia="宋体"/>
              </w:rPr>
            </w:pPr>
            <w:r>
              <w:rPr>
                <w:rFonts w:ascii="Calibri" w:hAnsi="Calibri" w:eastAsia="宋体"/>
              </w:rPr>
              <w:t>2</w:t>
            </w:r>
          </w:p>
        </w:tc>
        <w:tc>
          <w:tcPr>
            <w:tcW w:w="8229" w:type="dxa"/>
          </w:tcPr>
          <w:p w14:paraId="38BF04AF">
            <w:pPr>
              <w:rPr>
                <w:rFonts w:ascii="Calibri" w:hAnsi="Calibri" w:eastAsia="宋体"/>
              </w:rPr>
            </w:pPr>
            <w:r>
              <w:rPr>
                <w:rFonts w:hint="eastAsia" w:ascii="Calibri" w:hAnsi="Calibri" w:eastAsia="宋体"/>
              </w:rPr>
              <w:t>按要求提供《投标函》</w:t>
            </w:r>
            <w:r>
              <w:rPr>
                <w:rFonts w:ascii="Calibri" w:hAnsi="Calibri" w:eastAsia="宋体"/>
              </w:rPr>
              <w:t>。</w:t>
            </w:r>
          </w:p>
        </w:tc>
      </w:tr>
      <w:tr w14:paraId="1022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56284E0">
            <w:pPr>
              <w:rPr>
                <w:rFonts w:ascii="Calibri" w:hAnsi="Calibri" w:eastAsia="宋体"/>
              </w:rPr>
            </w:pPr>
            <w:r>
              <w:rPr>
                <w:rFonts w:ascii="Calibri" w:hAnsi="Calibri" w:eastAsia="宋体"/>
              </w:rPr>
              <w:t>3</w:t>
            </w:r>
          </w:p>
        </w:tc>
        <w:tc>
          <w:tcPr>
            <w:tcW w:w="8229" w:type="dxa"/>
          </w:tcPr>
          <w:p w14:paraId="6709FDD9">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14:paraId="20C7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45B864AC">
            <w:pPr>
              <w:rPr>
                <w:rFonts w:ascii="Calibri" w:hAnsi="Calibri" w:eastAsia="宋体"/>
              </w:rPr>
            </w:pPr>
            <w:r>
              <w:rPr>
                <w:rFonts w:ascii="Calibri" w:hAnsi="Calibri" w:eastAsia="宋体"/>
              </w:rPr>
              <w:t>4</w:t>
            </w:r>
          </w:p>
        </w:tc>
        <w:tc>
          <w:tcPr>
            <w:tcW w:w="8229" w:type="dxa"/>
          </w:tcPr>
          <w:p w14:paraId="3ABC38A6">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11F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B9A4422">
            <w:pPr>
              <w:rPr>
                <w:rFonts w:ascii="Calibri" w:hAnsi="Calibri" w:eastAsia="宋体"/>
              </w:rPr>
            </w:pPr>
            <w:r>
              <w:rPr>
                <w:rFonts w:ascii="Calibri" w:hAnsi="Calibri" w:eastAsia="宋体"/>
              </w:rPr>
              <w:t>5</w:t>
            </w:r>
          </w:p>
        </w:tc>
        <w:tc>
          <w:tcPr>
            <w:tcW w:w="8229" w:type="dxa"/>
          </w:tcPr>
          <w:p w14:paraId="55D79781">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14:paraId="53C1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2D5C6D5">
            <w:pPr>
              <w:rPr>
                <w:rFonts w:ascii="Calibri" w:hAnsi="Calibri" w:eastAsia="宋体"/>
              </w:rPr>
            </w:pPr>
            <w:r>
              <w:rPr>
                <w:rFonts w:ascii="Calibri" w:hAnsi="Calibri" w:eastAsia="宋体"/>
              </w:rPr>
              <w:t>6</w:t>
            </w:r>
          </w:p>
        </w:tc>
        <w:tc>
          <w:tcPr>
            <w:tcW w:w="8229" w:type="dxa"/>
          </w:tcPr>
          <w:p w14:paraId="5DBCD1BC">
            <w:pPr>
              <w:rPr>
                <w:rFonts w:ascii="Calibri" w:hAnsi="Calibri" w:eastAsia="宋体"/>
              </w:rPr>
            </w:pPr>
            <w:r>
              <w:rPr>
                <w:rFonts w:ascii="Calibri" w:hAnsi="Calibri" w:eastAsia="宋体"/>
              </w:rPr>
              <w:t>可只对其中一个包或几个包内容进行投标（如有的话），但不得将一个包中的内容拆开投标。</w:t>
            </w:r>
          </w:p>
        </w:tc>
      </w:tr>
      <w:tr w14:paraId="704D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7F1E369F">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14:paraId="649237AB">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14:paraId="6ED92BE9">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14:paraId="7C3D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9453746">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14:paraId="589320CA">
            <w:pPr>
              <w:rPr>
                <w:rFonts w:ascii="Calibri" w:hAnsi="Calibri" w:eastAsia="宋体"/>
              </w:rPr>
            </w:pPr>
            <w:r>
              <w:rPr>
                <w:rFonts w:hint="eastAsia" w:ascii="Calibri" w:hAnsi="Calibri" w:eastAsia="宋体"/>
              </w:rPr>
              <w:t>投标文件电子文档不得携带病毒。</w:t>
            </w:r>
          </w:p>
        </w:tc>
      </w:tr>
      <w:tr w14:paraId="46BA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23A6A643">
            <w:pPr>
              <w:rPr>
                <w:rFonts w:ascii="Calibri" w:hAnsi="Calibri" w:eastAsia="宋体"/>
              </w:rPr>
            </w:pPr>
            <w:r>
              <w:rPr>
                <w:rFonts w:ascii="Calibri" w:hAnsi="Calibri" w:eastAsia="宋体"/>
              </w:rPr>
              <w:t>9</w:t>
            </w:r>
          </w:p>
        </w:tc>
        <w:tc>
          <w:tcPr>
            <w:tcW w:w="8229" w:type="dxa"/>
          </w:tcPr>
          <w:p w14:paraId="2A6ED0DB">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14:paraId="12FB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78A497F9">
            <w:pPr>
              <w:rPr>
                <w:rFonts w:ascii="Calibri" w:hAnsi="Calibri" w:eastAsia="宋体"/>
              </w:rPr>
            </w:pPr>
            <w:r>
              <w:rPr>
                <w:rFonts w:ascii="Calibri" w:hAnsi="Calibri" w:eastAsia="宋体"/>
              </w:rPr>
              <w:t>10</w:t>
            </w:r>
          </w:p>
        </w:tc>
        <w:tc>
          <w:tcPr>
            <w:tcW w:w="8229" w:type="dxa"/>
          </w:tcPr>
          <w:p w14:paraId="050F2AFA">
            <w:pPr>
              <w:rPr>
                <w:rFonts w:ascii="Calibri" w:hAnsi="Calibri" w:eastAsia="宋体"/>
              </w:rPr>
            </w:pPr>
            <w:r>
              <w:rPr>
                <w:rFonts w:ascii="Calibri" w:hAnsi="Calibri" w:eastAsia="宋体"/>
              </w:rPr>
              <w:t>无招标文件中列明导致投标无效的其他因素。</w:t>
            </w:r>
          </w:p>
        </w:tc>
      </w:tr>
      <w:tr w14:paraId="6129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3289ADDB">
            <w:pPr>
              <w:rPr>
                <w:rFonts w:ascii="Calibri" w:hAnsi="Calibri" w:eastAsia="宋体"/>
              </w:rPr>
            </w:pPr>
            <w:r>
              <w:rPr>
                <w:rFonts w:ascii="Calibri" w:hAnsi="Calibri" w:eastAsia="宋体"/>
              </w:rPr>
              <w:t>11</w:t>
            </w:r>
          </w:p>
        </w:tc>
        <w:tc>
          <w:tcPr>
            <w:tcW w:w="8229" w:type="dxa"/>
          </w:tcPr>
          <w:p w14:paraId="3A6CD40F">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14:paraId="489908F7">
      <w:pPr>
        <w:jc w:val="center"/>
        <w:rPr>
          <w:b/>
        </w:rPr>
      </w:pPr>
      <w:r>
        <w:rPr>
          <w:rFonts w:hint="eastAsia"/>
          <w:b/>
        </w:rPr>
        <w:t>评标信息</w:t>
      </w:r>
    </w:p>
    <w:p w14:paraId="172040B6">
      <w:pPr>
        <w:pStyle w:val="15"/>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14:paraId="68A7CA6F">
      <w:pPr>
        <w:pStyle w:val="15"/>
        <w:snapToGrid w:val="0"/>
        <w:spacing w:before="0" w:beforeAutospacing="0" w:afterAutospacing="0"/>
        <w:ind w:firstLine="420"/>
        <w:rPr>
          <w:sz w:val="21"/>
          <w:szCs w:val="21"/>
        </w:rPr>
      </w:pPr>
      <w:r>
        <w:rPr>
          <w:sz w:val="21"/>
          <w:szCs w:val="21"/>
        </w:rPr>
        <w:t>价格分计算方法：</w:t>
      </w:r>
    </w:p>
    <w:p w14:paraId="5EA20EC1">
      <w:pPr>
        <w:snapToGrid w:val="0"/>
        <w:rPr>
          <w:rFonts w:hint="eastAsia" w:eastAsia="宋体"/>
          <w:szCs w:val="21"/>
          <w:lang w:eastAsia="zh-CN"/>
        </w:rPr>
      </w:pPr>
      <w:r>
        <w:rPr>
          <w:szCs w:val="21"/>
        </w:rPr>
        <w:t>采用低价优先法计算，即满足招标文件要求且投标价格最低的投标报价为评标基准价，其价格分为满分。其他投标人的价格分统一按照下列公式计算：</w:t>
      </w:r>
    </w:p>
    <w:p w14:paraId="213C5665">
      <w:pPr>
        <w:snapToGrid w:val="0"/>
        <w:rPr>
          <w:rFonts w:hint="eastAsia" w:eastAsia="宋体"/>
          <w:szCs w:val="21"/>
          <w:lang w:eastAsia="zh-CN"/>
        </w:rPr>
      </w:pPr>
      <w:r>
        <w:rPr>
          <w:szCs w:val="21"/>
        </w:rPr>
        <w:t xml:space="preserve">投标报价得分=(评标基准价／投标报价)×100 </w:t>
      </w:r>
    </w:p>
    <w:p w14:paraId="494C4E84">
      <w:pPr>
        <w:snapToGrid w:val="0"/>
        <w:rPr>
          <w:rFonts w:hint="eastAsia" w:eastAsia="宋体"/>
          <w:szCs w:val="21"/>
          <w:lang w:eastAsia="zh-CN"/>
        </w:rPr>
      </w:pPr>
      <w:r>
        <w:rPr>
          <w:szCs w:val="21"/>
        </w:rPr>
        <w:t xml:space="preserve">评标总得分＝F1×A1＋F2×A2＋……＋Fn×An </w:t>
      </w:r>
    </w:p>
    <w:p w14:paraId="4AAA51E5">
      <w:pPr>
        <w:snapToGrid w:val="0"/>
        <w:rPr>
          <w:rFonts w:hint="eastAsia" w:eastAsia="宋体"/>
          <w:szCs w:val="21"/>
          <w:lang w:eastAsia="zh-CN"/>
        </w:rPr>
      </w:pPr>
      <w:r>
        <w:rPr>
          <w:szCs w:val="21"/>
        </w:rPr>
        <w:t>F1、F2……Fn分别为各项评审因素的得分；</w:t>
      </w:r>
    </w:p>
    <w:p w14:paraId="4D8FC13C">
      <w:pPr>
        <w:snapToGrid w:val="0"/>
        <w:rPr>
          <w:rFonts w:hint="eastAsia" w:eastAsia="宋体"/>
          <w:szCs w:val="21"/>
          <w:lang w:eastAsia="zh-CN"/>
        </w:rPr>
      </w:pPr>
      <w:r>
        <w:rPr>
          <w:szCs w:val="21"/>
        </w:rPr>
        <w:t>A1、A2、……An 分别为各项评审因素所占的权重(A1＋A2＋……＋An＝1)。</w:t>
      </w:r>
    </w:p>
    <w:p w14:paraId="14CC797B">
      <w:pPr>
        <w:snapToGrid w:val="0"/>
        <w:rPr>
          <w:rFonts w:hint="eastAsia" w:eastAsia="宋体"/>
          <w:szCs w:val="21"/>
          <w:lang w:eastAsia="zh-CN"/>
        </w:rPr>
      </w:pPr>
      <w:r>
        <w:rPr>
          <w:szCs w:val="21"/>
        </w:rPr>
        <w:t>评标过程中，不得去掉报价中的最高报价和最低报价。</w:t>
      </w:r>
    </w:p>
    <w:p w14:paraId="6519CAE8">
      <w:pPr>
        <w:snapToGrid w:val="0"/>
      </w:pPr>
      <w:r>
        <w:rPr>
          <w:szCs w:val="21"/>
        </w:rPr>
        <w:t>此方法适用于</w:t>
      </w:r>
      <w:r>
        <w:rPr>
          <w:rFonts w:hint="eastAsia" w:eastAsia="宋体"/>
          <w:szCs w:val="21"/>
          <w:lang w:eastAsia="zh-CN"/>
        </w:rPr>
        <w:t>货物类、工程类、服务类</w:t>
      </w:r>
      <w:r>
        <w:rPr>
          <w:szCs w:val="21"/>
        </w:rPr>
        <w:t>项目。</w:t>
      </w:r>
    </w:p>
    <w:p w14:paraId="14DFD211">
      <w:pPr>
        <w:autoSpaceDE w:val="0"/>
        <w:autoSpaceDN w:val="0"/>
        <w:adjustRightInd w:val="0"/>
        <w:snapToGrid w:val="0"/>
        <w:spacing w:line="400" w:lineRule="exact"/>
        <w:jc w:val="both"/>
        <w:outlineLvl w:val="1"/>
        <w:rPr>
          <w:rFonts w:hint="eastAsia" w:ascii="宋体" w:cs="仿宋_GB2312"/>
          <w:b/>
          <w:sz w:val="28"/>
          <w:szCs w:val="28"/>
          <w:lang w:val="zh-CN"/>
        </w:rPr>
      </w:pPr>
    </w:p>
    <w:p w14:paraId="401DEA3A">
      <w:pPr>
        <w:spacing w:line="440" w:lineRule="exact"/>
        <w:jc w:val="center"/>
        <w:outlineLvl w:val="0"/>
        <w:rPr>
          <w:rFonts w:ascii="Arial" w:hAnsi="Arial" w:cs="Arial"/>
          <w:b/>
          <w:sz w:val="24"/>
        </w:rPr>
      </w:pPr>
      <w:bookmarkStart w:id="0" w:name="_Toc523257134"/>
      <w:r>
        <w:rPr>
          <w:rFonts w:hint="eastAsia" w:ascii="宋体" w:hAnsi="宋体"/>
          <w:b/>
          <w:sz w:val="28"/>
          <w:szCs w:val="28"/>
        </w:rPr>
        <w:t>综合评分表</w:t>
      </w:r>
      <w:bookmarkEnd w:id="0"/>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732"/>
        <w:gridCol w:w="6243"/>
        <w:gridCol w:w="777"/>
      </w:tblGrid>
      <w:tr w14:paraId="53FB1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0EA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综合评分表</w:t>
            </w:r>
          </w:p>
        </w:tc>
      </w:tr>
      <w:tr w14:paraId="4B68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CC1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内容</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399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评分项目</w:t>
            </w:r>
          </w:p>
        </w:tc>
        <w:tc>
          <w:tcPr>
            <w:tcW w:w="3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F8B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子项及分值</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AE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分值</w:t>
            </w:r>
          </w:p>
        </w:tc>
      </w:tr>
      <w:tr w14:paraId="07729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50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（30分）</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85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投标总价</w:t>
            </w:r>
          </w:p>
        </w:tc>
        <w:tc>
          <w:tcPr>
            <w:tcW w:w="3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E6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低价优先法计算，即满足招标文件要求且投标价格最低的投标报价为评标基准价，其价格分为满分30分。其他投标人的价格分按照下列公式计算：投标报价得分=(评标基准价／投标报价)×价格权值×100，计算分数时四舍五入取小数点后两位,分数最高不超过30分，由评标委员会负责核准合格供应商的价格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注：因落实政府采购政策需进行价格调整的，则以调整后的价格计算评标基准价和投标报价及得分。</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D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0939D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99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（40分）</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1D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产品的技术性能指标、技术参数</w:t>
            </w:r>
          </w:p>
        </w:tc>
        <w:tc>
          <w:tcPr>
            <w:tcW w:w="3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E5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产品的技术性能指标、技术参数阐述详细，完全满足招标要求的得20分，负偏离一项扣0.5分，扣完为止。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1、各投标人针对采购需求在投标文件中需详尽真实的提供投标产品的技术响应偏差表，由评标委员会根据技术要求细则，对各投标单位投标产品的技术响应情况进行评比打分。2、采购参数里规定了偏差范围的，投标参数超出偏差范围视为负偏离。3、采购参数里内容为基础参数，优于此参数可视作属于正偏离，但需在技术响应偏差表详尽真实的提供偏差情况说明。</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E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3D727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0EBB6">
            <w:pPr>
              <w:jc w:val="center"/>
              <w:rPr>
                <w:rFonts w:hint="eastAsia" w:ascii="宋体" w:hAnsi="宋体" w:eastAsia="宋体" w:cs="宋体"/>
                <w:i w:val="0"/>
                <w:iCs w:val="0"/>
                <w:color w:val="000000"/>
                <w:sz w:val="24"/>
                <w:szCs w:val="24"/>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3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产品质量</w:t>
            </w:r>
          </w:p>
        </w:tc>
        <w:tc>
          <w:tcPr>
            <w:tcW w:w="3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D9E4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提供以下产品的相关印证材料：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1、“智慧黑板”，内容需包含:外观设计、触控技术、护眼模式、内置电脑的cpu、内存、硬盘等。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2、“学生实验桌”，内容需包含:外观、力学性能、有害物质甲醛释放量等。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3、“生物显微镜”，内容需包含:外观质量、放大率准确度等。</w:t>
            </w:r>
          </w:p>
          <w:p w14:paraId="0FAF792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4、“智能吊装集成箱体”，内容需包含:外观性能要求、安全性能要求、有害物质等。</w:t>
            </w:r>
          </w:p>
          <w:p w14:paraId="20686D5A">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5、“给排水系统模块”，内容需包含:外观性能要求、安全性能要求、整体运行功能检测等。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注：为确保产品质量，提供检测报告；每提供一个，得4分，不超过20分,不提供不得分。</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E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6F462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DF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（30分）</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C4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类似业绩</w:t>
            </w:r>
          </w:p>
        </w:tc>
        <w:tc>
          <w:tcPr>
            <w:tcW w:w="3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034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投标人提供2023年6月至今的类似业绩，每提供1项业绩得2分，最多得8分。需提供中标通知书、合同（甲乙双方签字盖章后正式生效的合同）、验收报告，材料提供不全不得分，上下游/分包合同无效。</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4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41459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285FD">
            <w:pPr>
              <w:jc w:val="center"/>
              <w:rPr>
                <w:rFonts w:hint="eastAsia" w:ascii="宋体" w:hAnsi="宋体" w:eastAsia="宋体" w:cs="宋体"/>
                <w:i w:val="0"/>
                <w:iCs w:val="0"/>
                <w:color w:val="000000"/>
                <w:sz w:val="24"/>
                <w:szCs w:val="24"/>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D2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项目实施方案</w:t>
            </w:r>
          </w:p>
        </w:tc>
        <w:tc>
          <w:tcPr>
            <w:tcW w:w="3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BF7A2">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根据投标人提供的项目实施方案进行评审，需包含但不限于以下几方面内容：①项目实施进度计划及保障措施；②项目安全措施；③使用操作及维护保养；④质量保证措施等。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上述4项内容，每项内容完整，可行性较强、且具有针对性的，得2分；每缺一项内容或内容有缺陷的（缺陷是指：存在不适用项目实际情况的情形、凭空编造、内容不完整、逻辑不清、涉及的规范及标准错误、地点区域错误、内容遗漏、不符合采购需求等），扣1分；扣完为止。未提供不得分。</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2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7105F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BB0EC">
            <w:pPr>
              <w:jc w:val="center"/>
              <w:rPr>
                <w:rFonts w:hint="eastAsia" w:ascii="宋体" w:hAnsi="宋体" w:eastAsia="宋体" w:cs="宋体"/>
                <w:i w:val="0"/>
                <w:iCs w:val="0"/>
                <w:color w:val="000000"/>
                <w:sz w:val="24"/>
                <w:szCs w:val="24"/>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2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售后服务方案</w:t>
            </w:r>
          </w:p>
        </w:tc>
        <w:tc>
          <w:tcPr>
            <w:tcW w:w="3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E77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包含但不限于以下内容：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①售后及应急服务场所设立情况；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②应急配送和节假日配送保障、响应时间、到场时间；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③人员调配；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④配送登记和服务流程及配送可追溯性；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⑤售后承诺及退换货承诺等；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上述5项内容，每项内容完整，可行性较强、且具有针对性的，得5分；每缺一项内容或内容有缺陷的（缺陷是指：存在不适用项目实际情况的情形、凭空编造、内容不完整、逻辑不清、涉及的规范及标准错误、地点区域错误、内容遗漏、不符合采购需求等），扣1分；扣完为止。</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F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67B4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F0C78">
            <w:pPr>
              <w:jc w:val="center"/>
              <w:rPr>
                <w:rFonts w:hint="eastAsia" w:ascii="宋体" w:hAnsi="宋体" w:eastAsia="宋体" w:cs="宋体"/>
                <w:i w:val="0"/>
                <w:iCs w:val="0"/>
                <w:color w:val="000000"/>
                <w:sz w:val="24"/>
                <w:szCs w:val="24"/>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6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培训方案</w:t>
            </w:r>
          </w:p>
        </w:tc>
        <w:tc>
          <w:tcPr>
            <w:tcW w:w="3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C0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提供针对本项目详细的培训方案，根据培训计划情况，详细合理的培训方案进行综合评审，至少包括：①培训时间、②培训地点、③培训产品基本原理、④操作使用和保养维修、⑤培训方式等内容。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上述5项内容，每项内容完整，可行性较强、且具有针对性的，得5分；每缺一项内容或内容有缺陷的（缺陷是指：存在不适用项目实际情况的情形、凭空编造、内容不完整、逻辑不清、涉及的规范及标准错误、地点区域错误、内容遗漏、不符合采购需求等），扣1分；扣完为止。</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1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23236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F19B5">
            <w:pPr>
              <w:jc w:val="center"/>
              <w:rPr>
                <w:rFonts w:hint="eastAsia" w:ascii="宋体" w:hAnsi="宋体" w:eastAsia="宋体" w:cs="宋体"/>
                <w:i w:val="0"/>
                <w:iCs w:val="0"/>
                <w:color w:val="000000"/>
                <w:sz w:val="24"/>
                <w:szCs w:val="24"/>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9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项目人员保障</w:t>
            </w:r>
          </w:p>
        </w:tc>
        <w:tc>
          <w:tcPr>
            <w:tcW w:w="3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CBC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根据本项目实际情况，提供不少于1名投入本项目的现场管理人员，需提供在投标企业近6个月任意一个月的社保缴纳凭证，人员及社保证明齐全得2分，否则不得分。</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8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CD26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92732">
            <w:pPr>
              <w:jc w:val="center"/>
              <w:rPr>
                <w:rFonts w:hint="eastAsia" w:ascii="宋体" w:hAnsi="宋体" w:eastAsia="宋体" w:cs="宋体"/>
                <w:i w:val="0"/>
                <w:iCs w:val="0"/>
                <w:color w:val="000000"/>
                <w:sz w:val="24"/>
                <w:szCs w:val="24"/>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4E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质保期</w:t>
            </w:r>
          </w:p>
        </w:tc>
        <w:tc>
          <w:tcPr>
            <w:tcW w:w="3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502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满足招标文件要求质保1年的基础上，每延长1年得1分，最高得2分。</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B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bl>
    <w:p w14:paraId="34345C71">
      <w:pPr>
        <w:spacing w:line="69" w:lineRule="exact"/>
      </w:pPr>
    </w:p>
    <w:p w14:paraId="09D474EA">
      <w:pPr>
        <w:spacing w:line="360" w:lineRule="auto"/>
        <w:rPr>
          <w:rFonts w:ascii="宋体" w:hAnsi="宋体"/>
          <w:szCs w:val="21"/>
        </w:rPr>
      </w:pPr>
      <w:r>
        <w:rPr>
          <w:rFonts w:hint="eastAsia" w:ascii="宋体" w:hAnsi="宋体"/>
          <w:szCs w:val="21"/>
        </w:rPr>
        <w:t>备注：</w:t>
      </w:r>
      <w:r>
        <w:rPr>
          <w:rFonts w:ascii="宋体" w:hAnsi="宋体"/>
          <w:szCs w:val="21"/>
        </w:rPr>
        <w:t>1</w:t>
      </w:r>
      <w:r>
        <w:rPr>
          <w:rFonts w:hint="eastAsia" w:ascii="宋体" w:hAnsi="宋体"/>
          <w:szCs w:val="21"/>
        </w:rPr>
        <w:t>、评委应在认真理解本招标文件和项目有关情况后，做出需自己负责的按上述内容对投标人进行评审。</w:t>
      </w:r>
    </w:p>
    <w:p w14:paraId="443431CD">
      <w:pPr>
        <w:spacing w:line="360" w:lineRule="auto"/>
        <w:ind w:firstLine="480" w:firstLineChars="200"/>
        <w:rPr>
          <w:rFonts w:hint="eastAsia" w:ascii="宋体" w:hAnsi="宋体"/>
          <w:szCs w:val="21"/>
        </w:rPr>
      </w:pPr>
      <w:r>
        <w:rPr>
          <w:rFonts w:hint="eastAsia" w:ascii="宋体" w:hAnsi="宋体"/>
          <w:szCs w:val="21"/>
        </w:rPr>
        <w:t>2、技术、商务部分权重</w:t>
      </w:r>
      <w:r>
        <w:rPr>
          <w:rFonts w:hint="eastAsia" w:ascii="宋体" w:hAnsi="宋体" w:eastAsia="宋体"/>
          <w:szCs w:val="21"/>
          <w:lang w:val="en-US" w:eastAsia="zh-CN"/>
        </w:rPr>
        <w:t>70</w:t>
      </w:r>
      <w:r>
        <w:rPr>
          <w:rFonts w:ascii="宋体" w:hAnsi="宋体"/>
          <w:szCs w:val="21"/>
        </w:rPr>
        <w:t>%</w:t>
      </w:r>
      <w:r>
        <w:rPr>
          <w:rFonts w:hint="eastAsia" w:ascii="宋体" w:hAnsi="宋体"/>
          <w:szCs w:val="21"/>
        </w:rPr>
        <w:t>；投标投标报价部分权重</w:t>
      </w:r>
      <w:r>
        <w:rPr>
          <w:rFonts w:hint="eastAsia" w:ascii="宋体" w:hAnsi="宋体" w:eastAsia="宋体"/>
          <w:szCs w:val="21"/>
          <w:lang w:val="en-US" w:eastAsia="zh-CN"/>
        </w:rPr>
        <w:t>30</w:t>
      </w:r>
      <w:r>
        <w:rPr>
          <w:rFonts w:ascii="宋体" w:hAnsi="宋体"/>
          <w:szCs w:val="21"/>
        </w:rPr>
        <w:t>%</w:t>
      </w:r>
    </w:p>
    <w:p w14:paraId="53543060">
      <w:pPr>
        <w:spacing w:line="360" w:lineRule="auto"/>
        <w:ind w:firstLine="480" w:firstLineChars="200"/>
        <w:rPr>
          <w:rFonts w:ascii="宋体" w:hAnsi="宋体"/>
          <w:szCs w:val="21"/>
        </w:rPr>
      </w:pPr>
      <w:r>
        <w:rPr>
          <w:rFonts w:hint="eastAsia" w:ascii="宋体" w:hAnsi="宋体"/>
          <w:szCs w:val="21"/>
        </w:rPr>
        <w:t>3、投标人最终得分等于技术、商务部分、报价得分之和。</w:t>
      </w:r>
    </w:p>
    <w:p w14:paraId="689286AB">
      <w:pPr>
        <w:pStyle w:val="8"/>
        <w:tabs>
          <w:tab w:val="clear" w:pos="567"/>
        </w:tabs>
        <w:spacing w:before="0" w:line="360" w:lineRule="auto"/>
        <w:ind w:left="-206" w:leftChars="-86" w:firstLine="660" w:firstLineChars="275"/>
        <w:rPr>
          <w:rFonts w:hint="eastAsia"/>
        </w:rPr>
      </w:pPr>
      <w:r>
        <w:rPr>
          <w:rFonts w:hint="eastAsia"/>
          <w:szCs w:val="21"/>
        </w:rPr>
        <w:t>4、评标委员会按照投标人最终得分由高到底顺序确定出各投标人排名顺序。</w:t>
      </w:r>
    </w:p>
    <w:p w14:paraId="1F2BB543">
      <w:r>
        <w:br w:type="page"/>
      </w:r>
    </w:p>
    <w:p w14:paraId="66DC80EC">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14:paraId="772F7A0A">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14:paraId="69BD0FDB">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14:paraId="06BFC6E1">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14:paraId="1571B805">
      <w:pPr>
        <w:snapToGrid w:val="0"/>
        <w:spacing w:line="300" w:lineRule="exact"/>
        <w:ind w:firstLine="465"/>
        <w:rPr>
          <w:bCs/>
          <w:highlight w:val="green"/>
        </w:rPr>
      </w:pPr>
      <w:r>
        <w:rPr>
          <w:rFonts w:hint="eastAsia" w:eastAsia="宋体"/>
          <w:bCs/>
          <w:highlight w:val="green"/>
          <w:lang w:val="en-US" w:eastAsia="zh-CN"/>
        </w:rPr>
        <w:t>3</w:t>
      </w:r>
      <w:r>
        <w:rPr>
          <w:rFonts w:hint="eastAsia"/>
          <w:bCs/>
          <w:highlight w:val="green"/>
        </w:rPr>
        <w:t>）未被列入失信被执行人、重大税收违法案件当事人名单、政府采购严重违法失信行为记录名单（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14:paraId="0D65091B">
      <w:pPr>
        <w:snapToGrid w:val="0"/>
        <w:spacing w:line="300" w:lineRule="exact"/>
        <w:ind w:firstLine="465"/>
        <w:rPr>
          <w:rFonts w:hint="eastAsia"/>
          <w:bCs/>
          <w:highlight w:val="green"/>
        </w:rPr>
      </w:pPr>
      <w:r>
        <w:rPr>
          <w:rFonts w:hint="eastAsia" w:eastAsia="宋体"/>
          <w:bCs/>
          <w:highlight w:val="green"/>
          <w:lang w:val="en-US" w:eastAsia="zh-CN"/>
        </w:rPr>
        <w:t>4</w:t>
      </w:r>
      <w:r>
        <w:rPr>
          <w:rFonts w:hint="eastAsia"/>
          <w:bCs/>
          <w:highlight w:val="green"/>
        </w:rPr>
        <w:t>）具有良好的商业信誉和健全的财务会计制度（会计事务所出具的</w:t>
      </w:r>
      <w:r>
        <w:rPr>
          <w:rFonts w:hint="eastAsia" w:eastAsia="宋体"/>
          <w:bCs/>
          <w:highlight w:val="green"/>
          <w:lang w:val="en-US" w:eastAsia="zh-CN"/>
        </w:rPr>
        <w:t>2024-2025年度任意一年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14:paraId="2C27E908">
      <w:pPr>
        <w:snapToGrid w:val="0"/>
        <w:spacing w:line="300" w:lineRule="exact"/>
        <w:ind w:firstLine="465"/>
        <w:rPr>
          <w:bCs/>
          <w:highlight w:val="green"/>
        </w:rPr>
      </w:pPr>
      <w:r>
        <w:rPr>
          <w:rFonts w:hint="eastAsia" w:eastAsia="宋体"/>
          <w:bCs/>
          <w:highlight w:val="green"/>
          <w:lang w:val="en-US" w:eastAsia="zh-CN"/>
        </w:rPr>
        <w:t>5</w:t>
      </w:r>
      <w:r>
        <w:rPr>
          <w:rFonts w:hint="eastAsia"/>
          <w:bCs/>
          <w:highlight w:val="green"/>
        </w:rPr>
        <w:t>）有依法缴纳税收和社会保障资金的良好记录（近6个月内任意一个月的完税证明扫描件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。注：1.无需提供委托人代理人或被授权委托人社保明细。2.若供应商某月税收为零申报，须提供当月加盖税务局公章的无欠税证明。3.完税证明中“税种”非养老保险、医疗保险、失业保险、工伤保险和生育保险</w:t>
      </w:r>
      <w:r>
        <w:rPr>
          <w:rFonts w:hint="eastAsia"/>
          <w:bCs/>
          <w:highlight w:val="green"/>
        </w:rPr>
        <w:t>））；</w:t>
      </w:r>
    </w:p>
    <w:p w14:paraId="32C9C579">
      <w:pPr>
        <w:snapToGrid w:val="0"/>
        <w:spacing w:line="300" w:lineRule="exact"/>
        <w:ind w:firstLine="465"/>
        <w:rPr>
          <w:bCs/>
          <w:highlight w:val="green"/>
        </w:rPr>
      </w:pPr>
      <w:r>
        <w:rPr>
          <w:rFonts w:hint="eastAsia" w:eastAsia="宋体"/>
          <w:b/>
          <w:bCs w:val="0"/>
          <w:highlight w:val="green"/>
          <w:lang w:val="en-US" w:eastAsia="zh-CN"/>
        </w:rPr>
        <w:t>6</w:t>
      </w:r>
      <w:r>
        <w:rPr>
          <w:rFonts w:hint="eastAsia"/>
          <w:b/>
          <w:bCs w:val="0"/>
          <w:highlight w:val="green"/>
        </w:rPr>
        <w:t>）</w:t>
      </w:r>
      <w:r>
        <w:rPr>
          <w:rFonts w:hint="eastAsia" w:eastAsia="宋体"/>
          <w:b/>
          <w:bCs w:val="0"/>
          <w:highlight w:val="green"/>
          <w:lang w:eastAsia="zh-CN"/>
        </w:rPr>
        <w:t>本项目不接受联合体投标及不允许进口产品参与投标</w:t>
      </w:r>
      <w:r>
        <w:rPr>
          <w:rFonts w:hint="eastAsia"/>
          <w:b/>
          <w:bCs w:val="0"/>
          <w:highlight w:val="green"/>
        </w:rPr>
        <w:t>（提供非联合体</w:t>
      </w:r>
      <w:r>
        <w:rPr>
          <w:rFonts w:hint="eastAsia" w:eastAsia="宋体"/>
          <w:b/>
          <w:bCs w:val="0"/>
          <w:highlight w:val="green"/>
          <w:lang w:eastAsia="zh-CN"/>
        </w:rPr>
        <w:t>及</w:t>
      </w:r>
      <w:r>
        <w:rPr>
          <w:rFonts w:hint="eastAsia"/>
          <w:b/>
          <w:highlight w:val="green"/>
        </w:rPr>
        <w:t>非进口产品投标承诺函</w:t>
      </w:r>
      <w:r>
        <w:rPr>
          <w:rFonts w:hint="eastAsia"/>
          <w:b/>
          <w:bCs w:val="0"/>
          <w:highlight w:val="green"/>
        </w:rPr>
        <w:t>投标承诺函，承诺函格式自拟）；</w:t>
      </w:r>
    </w:p>
    <w:p w14:paraId="41099D04">
      <w:pPr>
        <w:keepNext w:val="0"/>
        <w:keepLines w:val="0"/>
        <w:pageBreakBefore w:val="0"/>
        <w:widowControl/>
        <w:kinsoku/>
        <w:wordWrap/>
        <w:overflowPunct/>
        <w:topLinePunct w:val="0"/>
        <w:autoSpaceDE/>
        <w:autoSpaceDN/>
        <w:bidi w:val="0"/>
        <w:adjustRightInd/>
        <w:snapToGrid w:val="0"/>
        <w:spacing w:line="300" w:lineRule="exact"/>
        <w:ind w:left="0" w:leftChars="0" w:firstLine="480" w:firstLineChars="200"/>
        <w:jc w:val="both"/>
        <w:textAlignment w:val="auto"/>
        <w:rPr>
          <w:rFonts w:hint="eastAsia" w:eastAsia="宋体"/>
          <w:b/>
          <w:highlight w:val="green"/>
          <w:lang w:eastAsia="zh-CN"/>
        </w:rPr>
      </w:pPr>
      <w:r>
        <w:rPr>
          <w:rFonts w:hint="eastAsia" w:eastAsia="宋体"/>
          <w:b/>
          <w:highlight w:val="green"/>
          <w:lang w:val="en-US" w:eastAsia="zh-CN"/>
        </w:rPr>
        <w:t>7</w:t>
      </w:r>
      <w:r>
        <w:rPr>
          <w:rFonts w:hint="eastAsia"/>
          <w:b/>
          <w:highlight w:val="green"/>
        </w:rPr>
        <w:t>）</w:t>
      </w:r>
      <w:r>
        <w:rPr>
          <w:rFonts w:hint="eastAsia" w:eastAsia="宋体"/>
          <w:b/>
          <w:highlight w:val="green"/>
          <w:lang w:eastAsia="zh-CN"/>
        </w:rPr>
        <w:t>本项目为非专门面向中小微企业采购项目。</w:t>
      </w:r>
    </w:p>
    <w:p w14:paraId="6FD7D1EB">
      <w:pPr>
        <w:pStyle w:val="6"/>
      </w:pPr>
    </w:p>
    <w:p w14:paraId="49042764">
      <w:pPr>
        <w:snapToGrid w:val="0"/>
        <w:spacing w:line="300" w:lineRule="exact"/>
        <w:ind w:firstLine="465"/>
        <w:rPr>
          <w:b/>
          <w:highlight w:val="green"/>
        </w:rPr>
      </w:pPr>
    </w:p>
    <w:p w14:paraId="6BB59BF8">
      <w:pPr>
        <w:snapToGrid w:val="0"/>
        <w:spacing w:line="300" w:lineRule="exact"/>
        <w:ind w:firstLine="465"/>
        <w:rPr>
          <w:rFonts w:ascii="Arial" w:hAnsi="Arial" w:eastAsia="宋体"/>
        </w:rPr>
      </w:pPr>
    </w:p>
    <w:p w14:paraId="63E50435">
      <w:pPr>
        <w:rPr>
          <w:rFonts w:ascii="Arial" w:hAnsi="Arial" w:eastAsia="宋体"/>
        </w:rPr>
      </w:pPr>
      <w:r>
        <w:rPr>
          <w:rFonts w:ascii="Arial" w:hAnsi="Arial" w:eastAsia="宋体"/>
        </w:rPr>
        <w:br w:type="page"/>
      </w:r>
    </w:p>
    <w:p w14:paraId="1FD82C72">
      <w:pPr>
        <w:snapToGrid w:val="0"/>
        <w:spacing w:line="300" w:lineRule="exact"/>
        <w:ind w:firstLine="465"/>
        <w:rPr>
          <w:rFonts w:ascii="Arial" w:hAnsi="Arial" w:eastAsia="宋体"/>
        </w:rPr>
      </w:pPr>
    </w:p>
    <w:p w14:paraId="3DC8DABC">
      <w:pPr>
        <w:snapToGrid w:val="0"/>
        <w:spacing w:line="300" w:lineRule="exact"/>
        <w:ind w:firstLine="465"/>
        <w:rPr>
          <w:rFonts w:ascii="Arial" w:hAnsi="Arial" w:eastAsia="宋体"/>
        </w:rPr>
      </w:pPr>
    </w:p>
    <w:p w14:paraId="39FD983A">
      <w:pPr>
        <w:snapToGrid w:val="0"/>
        <w:spacing w:line="300" w:lineRule="exact"/>
        <w:ind w:firstLine="465"/>
        <w:rPr>
          <w:rFonts w:ascii="Arial" w:hAnsi="Arial" w:eastAsia="宋体"/>
        </w:rPr>
      </w:pPr>
    </w:p>
    <w:p w14:paraId="174757CF">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189299EF">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267FBC54">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51D0457E">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015B22A1">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73E7A376">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04931B20">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5E4119CB">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A57DC91">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6FB53DDC">
            <w:pPr>
              <w:jc w:val="center"/>
              <w:rPr>
                <w:rFonts w:hint="eastAsia" w:ascii="宋体" w:hAnsi="宋体"/>
                <w:bCs/>
              </w:rPr>
            </w:pPr>
            <w:r>
              <w:rPr>
                <w:rFonts w:hint="eastAsia" w:eastAsia="宋体"/>
                <w:lang w:eastAsia="zh-CN"/>
              </w:rPr>
              <w:t>KSS(GK)2026-028</w:t>
            </w:r>
          </w:p>
        </w:tc>
        <w:tc>
          <w:tcPr>
            <w:tcW w:w="2906" w:type="dxa"/>
            <w:tcBorders>
              <w:top w:val="single" w:color="auto" w:sz="4" w:space="0"/>
              <w:left w:val="single" w:color="000000" w:sz="4" w:space="0"/>
              <w:bottom w:val="single" w:color="auto" w:sz="4" w:space="0"/>
              <w:right w:val="single" w:color="000000" w:sz="4" w:space="0"/>
            </w:tcBorders>
            <w:vAlign w:val="center"/>
          </w:tcPr>
          <w:p w14:paraId="35863C98">
            <w:pPr>
              <w:jc w:val="center"/>
              <w:rPr>
                <w:b/>
                <w:bCs/>
              </w:rPr>
            </w:pPr>
            <w:r>
              <w:rPr>
                <w:rFonts w:hint="eastAsia" w:eastAsia="宋体" w:cs="Times New Roman"/>
                <w:lang w:eastAsia="zh-CN"/>
              </w:rPr>
              <w:t>喀什市第五学功能教室设备采购项目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3B25660F">
            <w:pPr>
              <w:jc w:val="center"/>
              <w:rPr>
                <w:rFonts w:hint="eastAsia" w:ascii="宋体" w:hAnsi="宋体" w:eastAsia="宋体"/>
                <w:bCs/>
                <w:lang w:eastAsia="zh-CN"/>
              </w:rPr>
            </w:pPr>
            <w:r>
              <w:rPr>
                <w:rFonts w:hint="eastAsia" w:ascii="宋体" w:hAnsi="宋体" w:eastAsia="宋体"/>
                <w:bCs/>
                <w:lang w:eastAsia="zh-CN"/>
              </w:rPr>
              <w:t>1829240元（壹佰捌拾贰万玖仟贰佰肆拾）</w:t>
            </w:r>
          </w:p>
        </w:tc>
        <w:tc>
          <w:tcPr>
            <w:tcW w:w="2622" w:type="dxa"/>
            <w:tcBorders>
              <w:top w:val="single" w:color="000000" w:sz="4" w:space="0"/>
              <w:left w:val="single" w:color="000000" w:sz="4" w:space="0"/>
              <w:bottom w:val="single" w:color="000000" w:sz="4" w:space="0"/>
              <w:right w:val="single" w:color="000000" w:sz="4" w:space="0"/>
            </w:tcBorders>
            <w:vAlign w:val="center"/>
          </w:tcPr>
          <w:p w14:paraId="22BED023">
            <w:pPr>
              <w:jc w:val="center"/>
              <w:rPr>
                <w:rFonts w:hint="eastAsia" w:ascii="宋体" w:hAnsi="宋体" w:eastAsia="宋体"/>
                <w:bCs/>
                <w:lang w:eastAsia="zh-CN"/>
              </w:rPr>
            </w:pPr>
            <w:r>
              <w:rPr>
                <w:rFonts w:hint="eastAsia" w:ascii="宋体" w:hAnsi="宋体" w:eastAsia="宋体"/>
                <w:bCs/>
                <w:lang w:eastAsia="zh-CN"/>
              </w:rPr>
              <w:t>工业</w:t>
            </w:r>
          </w:p>
        </w:tc>
      </w:tr>
    </w:tbl>
    <w:p w14:paraId="194C71A2">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14:paraId="42412814">
      <w:pPr>
        <w:pStyle w:val="6"/>
        <w:rPr>
          <w:rFonts w:hint="eastAsia"/>
          <w:lang w:val="en-US" w:eastAsia="zh-CN"/>
        </w:rPr>
      </w:pPr>
    </w:p>
    <w:p w14:paraId="3A56CB59">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14:paraId="1B9A1004">
      <w:pPr>
        <w:spacing w:line="560" w:lineRule="exact"/>
        <w:ind w:firstLine="560" w:firstLineChars="200"/>
        <w:rPr>
          <w:rFonts w:ascii="仿宋" w:hAnsi="仿宋" w:eastAsia="仿宋"/>
          <w:color w:val="FF0000"/>
          <w:sz w:val="28"/>
          <w:szCs w:val="28"/>
        </w:rPr>
      </w:pPr>
      <w:r>
        <w:rPr>
          <w:rFonts w:hint="eastAsia" w:ascii="仿宋" w:hAnsi="仿宋" w:eastAsia="仿宋"/>
          <w:color w:val="FF0000"/>
          <w:sz w:val="28"/>
          <w:szCs w:val="28"/>
        </w:rPr>
        <w:t>时间：</w:t>
      </w:r>
      <w:r>
        <w:rPr>
          <w:rFonts w:hint="eastAsia" w:ascii="仿宋" w:hAnsi="仿宋" w:eastAsia="仿宋"/>
          <w:color w:val="FF0000"/>
          <w:sz w:val="28"/>
          <w:szCs w:val="28"/>
          <w:lang w:eastAsia="zh-CN"/>
        </w:rPr>
        <w:t>202</w:t>
      </w:r>
      <w:r>
        <w:rPr>
          <w:rFonts w:hint="eastAsia" w:ascii="仿宋" w:hAnsi="仿宋" w:eastAsia="仿宋"/>
          <w:color w:val="FF0000"/>
          <w:sz w:val="28"/>
          <w:szCs w:val="28"/>
          <w:lang w:val="en-US" w:eastAsia="zh-CN"/>
        </w:rPr>
        <w:t>6</w:t>
      </w:r>
      <w:r>
        <w:rPr>
          <w:rFonts w:hint="eastAsia" w:ascii="仿宋" w:hAnsi="仿宋" w:eastAsia="仿宋"/>
          <w:color w:val="FF0000"/>
          <w:sz w:val="28"/>
          <w:szCs w:val="28"/>
          <w:lang w:eastAsia="zh-CN"/>
        </w:rPr>
        <w:t>年</w:t>
      </w:r>
      <w:r>
        <w:rPr>
          <w:rFonts w:hint="eastAsia" w:ascii="仿宋" w:hAnsi="仿宋" w:eastAsia="仿宋"/>
          <w:color w:val="FF0000"/>
          <w:sz w:val="28"/>
          <w:szCs w:val="28"/>
          <w:lang w:val="en-US" w:eastAsia="zh-CN"/>
        </w:rPr>
        <w:t>6</w:t>
      </w:r>
      <w:r>
        <w:rPr>
          <w:rFonts w:hint="eastAsia" w:ascii="仿宋" w:hAnsi="仿宋" w:eastAsia="仿宋"/>
          <w:color w:val="FF0000"/>
          <w:sz w:val="28"/>
          <w:szCs w:val="28"/>
          <w:lang w:eastAsia="zh-CN"/>
        </w:rPr>
        <w:t>月</w:t>
      </w:r>
      <w:r>
        <w:rPr>
          <w:rFonts w:hint="eastAsia" w:ascii="仿宋" w:hAnsi="仿宋" w:eastAsia="仿宋"/>
          <w:color w:val="FF0000"/>
          <w:sz w:val="28"/>
          <w:szCs w:val="28"/>
          <w:lang w:val="en-US" w:eastAsia="zh-CN"/>
        </w:rPr>
        <w:t>3</w:t>
      </w:r>
      <w:r>
        <w:rPr>
          <w:rFonts w:hint="eastAsia" w:ascii="仿宋" w:hAnsi="仿宋" w:eastAsia="仿宋"/>
          <w:color w:val="FF0000"/>
          <w:sz w:val="28"/>
          <w:szCs w:val="28"/>
          <w:lang w:eastAsia="zh-CN"/>
        </w:rPr>
        <w:t>日至202</w:t>
      </w:r>
      <w:r>
        <w:rPr>
          <w:rFonts w:hint="eastAsia" w:ascii="仿宋" w:hAnsi="仿宋" w:eastAsia="仿宋"/>
          <w:color w:val="FF0000"/>
          <w:sz w:val="28"/>
          <w:szCs w:val="28"/>
          <w:lang w:val="en-US" w:eastAsia="zh-CN"/>
        </w:rPr>
        <w:t>6</w:t>
      </w:r>
      <w:r>
        <w:rPr>
          <w:rFonts w:hint="eastAsia" w:ascii="仿宋" w:hAnsi="仿宋" w:eastAsia="仿宋"/>
          <w:color w:val="FF0000"/>
          <w:sz w:val="28"/>
          <w:szCs w:val="28"/>
          <w:lang w:eastAsia="zh-CN"/>
        </w:rPr>
        <w:t>年6月</w:t>
      </w:r>
      <w:r>
        <w:rPr>
          <w:rFonts w:hint="eastAsia" w:ascii="仿宋" w:hAnsi="仿宋" w:eastAsia="仿宋"/>
          <w:color w:val="FF0000"/>
          <w:sz w:val="28"/>
          <w:szCs w:val="28"/>
          <w:lang w:val="en-US" w:eastAsia="zh-CN"/>
        </w:rPr>
        <w:t>30</w:t>
      </w:r>
      <w:r>
        <w:rPr>
          <w:rFonts w:hint="eastAsia" w:ascii="仿宋" w:hAnsi="仿宋" w:eastAsia="仿宋"/>
          <w:color w:val="FF0000"/>
          <w:sz w:val="28"/>
          <w:szCs w:val="28"/>
          <w:lang w:eastAsia="zh-CN"/>
        </w:rPr>
        <w:t>日11:00:00</w:t>
      </w:r>
      <w:r>
        <w:rPr>
          <w:rFonts w:hint="eastAsia" w:ascii="仿宋" w:hAnsi="仿宋" w:eastAsia="仿宋"/>
          <w:color w:val="FF0000"/>
          <w:sz w:val="28"/>
          <w:szCs w:val="28"/>
        </w:rPr>
        <w:t>（法定节假日除外）</w:t>
      </w:r>
    </w:p>
    <w:p w14:paraId="59F29D86">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14:paraId="61BBD772">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14:paraId="5A9FF0A0">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14:paraId="446974C0">
      <w:pPr>
        <w:spacing w:line="500" w:lineRule="exact"/>
        <w:ind w:firstLine="638" w:firstLineChars="228"/>
        <w:rPr>
          <w:rFonts w:hint="eastAsia" w:ascii="仿宋" w:hAnsi="仿宋" w:eastAsia="仿宋"/>
          <w:color w:val="FF0000"/>
          <w:sz w:val="28"/>
          <w:szCs w:val="28"/>
        </w:rPr>
      </w:pPr>
      <w:r>
        <w:rPr>
          <w:rFonts w:hint="eastAsia" w:ascii="仿宋" w:hAnsi="仿宋" w:eastAsia="仿宋"/>
          <w:color w:val="FF0000"/>
          <w:sz w:val="28"/>
          <w:szCs w:val="28"/>
        </w:rPr>
        <w:t>截止时间</w:t>
      </w:r>
      <w:r>
        <w:rPr>
          <w:rFonts w:hint="eastAsia" w:ascii="仿宋" w:hAnsi="仿宋" w:eastAsia="仿宋"/>
          <w:color w:val="FF0000"/>
          <w:sz w:val="28"/>
          <w:szCs w:val="28"/>
          <w:lang w:eastAsia="zh-CN"/>
        </w:rPr>
        <w:t>、开标时间</w:t>
      </w:r>
      <w:r>
        <w:rPr>
          <w:rFonts w:hint="eastAsia" w:ascii="仿宋" w:hAnsi="仿宋" w:eastAsia="仿宋"/>
          <w:color w:val="FF0000"/>
          <w:sz w:val="28"/>
          <w:szCs w:val="28"/>
        </w:rPr>
        <w:t>：</w:t>
      </w:r>
      <w:r>
        <w:rPr>
          <w:rFonts w:hint="eastAsia" w:ascii="仿宋" w:hAnsi="仿宋" w:eastAsia="仿宋"/>
          <w:color w:val="FF0000"/>
          <w:sz w:val="28"/>
          <w:szCs w:val="28"/>
          <w:lang w:eastAsia="zh-CN"/>
        </w:rPr>
        <w:t>202</w:t>
      </w:r>
      <w:r>
        <w:rPr>
          <w:rFonts w:hint="eastAsia" w:ascii="仿宋" w:hAnsi="仿宋" w:eastAsia="仿宋"/>
          <w:color w:val="FF0000"/>
          <w:sz w:val="28"/>
          <w:szCs w:val="28"/>
          <w:lang w:val="en-US" w:eastAsia="zh-CN"/>
        </w:rPr>
        <w:t>6</w:t>
      </w:r>
      <w:r>
        <w:rPr>
          <w:rFonts w:hint="eastAsia" w:ascii="仿宋" w:hAnsi="仿宋" w:eastAsia="仿宋"/>
          <w:color w:val="FF0000"/>
          <w:sz w:val="28"/>
          <w:szCs w:val="28"/>
          <w:lang w:eastAsia="zh-CN"/>
        </w:rPr>
        <w:t>年</w:t>
      </w:r>
      <w:r>
        <w:rPr>
          <w:rFonts w:hint="eastAsia" w:ascii="仿宋" w:hAnsi="仿宋" w:eastAsia="仿宋"/>
          <w:color w:val="FF0000"/>
          <w:sz w:val="28"/>
          <w:szCs w:val="28"/>
          <w:lang w:val="en-US" w:eastAsia="zh-CN"/>
        </w:rPr>
        <w:t>7</w:t>
      </w:r>
      <w:r>
        <w:rPr>
          <w:rFonts w:hint="eastAsia" w:ascii="仿宋" w:hAnsi="仿宋" w:eastAsia="仿宋"/>
          <w:color w:val="FF0000"/>
          <w:sz w:val="28"/>
          <w:szCs w:val="28"/>
          <w:lang w:eastAsia="zh-CN"/>
        </w:rPr>
        <w:t>月</w:t>
      </w:r>
      <w:r>
        <w:rPr>
          <w:rFonts w:hint="eastAsia" w:ascii="仿宋" w:hAnsi="仿宋" w:eastAsia="仿宋"/>
          <w:color w:val="FF0000"/>
          <w:sz w:val="28"/>
          <w:szCs w:val="28"/>
          <w:lang w:val="en-US" w:eastAsia="zh-CN"/>
        </w:rPr>
        <w:t>9</w:t>
      </w:r>
      <w:r>
        <w:rPr>
          <w:rFonts w:hint="eastAsia" w:ascii="仿宋" w:hAnsi="仿宋" w:eastAsia="仿宋"/>
          <w:color w:val="FF0000"/>
          <w:sz w:val="28"/>
          <w:szCs w:val="28"/>
          <w:lang w:eastAsia="zh-CN"/>
        </w:rPr>
        <w:t>日11:00:00</w:t>
      </w:r>
    </w:p>
    <w:p w14:paraId="7A302F00">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14:paraId="0A0734FE">
      <w:pPr>
        <w:pStyle w:val="14"/>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14:paraId="52BF93A9">
      <w:pPr>
        <w:pStyle w:val="14"/>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p w14:paraId="6332978C">
      <w:pPr>
        <w:snapToGrid w:val="0"/>
        <w:spacing w:line="300" w:lineRule="exact"/>
        <w:outlineLvl w:val="2"/>
        <w:rPr>
          <w:rFonts w:hint="eastAsia" w:ascii="Arial" w:hAnsi="Arial" w:eastAsia="宋体" w:cs="Times New Roman"/>
          <w:b/>
          <w:bCs/>
          <w:color w:val="FF0000"/>
          <w:szCs w:val="21"/>
          <w:lang w:eastAsia="zh-CN"/>
        </w:rPr>
      </w:pPr>
      <w:r>
        <w:rPr>
          <w:rFonts w:hint="eastAsia" w:ascii="Arial" w:hAnsi="Arial" w:eastAsia="宋体" w:cs="Times New Roman"/>
          <w:b/>
          <w:bCs/>
          <w:color w:val="FF0000"/>
          <w:szCs w:val="21"/>
          <w:lang w:eastAsia="zh-CN"/>
        </w:rPr>
        <w:t>本项目不收取投标保证金，无需提供此项。</w:t>
      </w:r>
    </w:p>
    <w:p w14:paraId="09078205">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14:paraId="70256A28">
      <w:pPr>
        <w:pStyle w:val="14"/>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14:paraId="7452F10B">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14:paraId="40CB4219">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14:paraId="18FE6965">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14:paraId="1EDCB4CB">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2"/>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14:paraId="6BE3445A">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，或咨询政采云客服95763或在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14:paraId="2AFFC26D">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14:paraId="1258FA45">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14:paraId="2F9DE983">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14:paraId="5617AE7D">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喀什市教育局</w:t>
      </w:r>
    </w:p>
    <w:p w14:paraId="52081B17">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喀什市教育局</w:t>
      </w:r>
    </w:p>
    <w:p w14:paraId="2A0CEACB">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伏亮亮 18409825821</w:t>
      </w:r>
    </w:p>
    <w:p w14:paraId="2CF8B9F7">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14:paraId="3BBF13C1">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14:paraId="28135810">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喀什市行政服务中心4楼</w:t>
      </w:r>
    </w:p>
    <w:p w14:paraId="5D731329">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14:paraId="3649B6B3">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14:paraId="0506BC53">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14:paraId="1DE432EF">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喀什市行政服务中心</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14:paraId="5645EFC6">
      <w:pPr>
        <w:numPr>
          <w:ilvl w:val="0"/>
          <w:numId w:val="0"/>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14:paraId="127AA170">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14:paraId="52D4043D">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eastAsia="zh-CN"/>
        </w:rPr>
        <w:t>伏亮亮 18409825821</w:t>
      </w:r>
    </w:p>
    <w:p w14:paraId="3E9A1167">
      <w:pPr>
        <w:spacing w:line="560" w:lineRule="exact"/>
        <w:ind w:firstLine="560" w:firstLineChars="200"/>
        <w:rPr>
          <w:rFonts w:hint="eastAsia" w:ascii="仿宋" w:hAnsi="仿宋" w:eastAsia="仿宋"/>
          <w:color w:val="000000"/>
          <w:sz w:val="28"/>
          <w:szCs w:val="28"/>
        </w:rPr>
      </w:pPr>
    </w:p>
    <w:p w14:paraId="7DA00343">
      <w:pPr>
        <w:pStyle w:val="14"/>
        <w:spacing w:after="0" w:line="560" w:lineRule="exact"/>
        <w:rPr>
          <w:rFonts w:hint="eastAsia" w:ascii="仿宋" w:hAnsi="仿宋" w:eastAsia="仿宋"/>
          <w:color w:val="000000"/>
          <w:sz w:val="28"/>
          <w:szCs w:val="28"/>
        </w:rPr>
      </w:pPr>
    </w:p>
    <w:p w14:paraId="7361BF84">
      <w:pPr>
        <w:rPr>
          <w:rFonts w:ascii="Arial" w:hAnsi="Arial" w:eastAsia="宋体"/>
          <w:b/>
          <w:color w:val="FF0000"/>
          <w:sz w:val="32"/>
          <w:szCs w:val="32"/>
        </w:rPr>
      </w:pPr>
      <w:r>
        <w:br w:type="page"/>
      </w:r>
    </w:p>
    <w:p w14:paraId="164E74AE">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14:paraId="6E375BE2">
      <w:pPr>
        <w:keepNext/>
        <w:keepLines/>
        <w:adjustRightInd w:val="0"/>
        <w:spacing w:before="120" w:beforeLines="50" w:after="120" w:afterLines="50"/>
        <w:jc w:val="center"/>
        <w:textAlignment w:val="baseline"/>
        <w:outlineLvl w:val="2"/>
        <w:rPr>
          <w:rFonts w:ascii="宋体" w:hAnsi="宋体" w:eastAsia="宋体"/>
          <w:b/>
          <w:bCs/>
        </w:rPr>
      </w:pPr>
      <w:bookmarkStart w:id="2" w:name="_Toc73521635"/>
      <w:bookmarkStart w:id="3" w:name="_Toc73517639"/>
      <w:bookmarkStart w:id="4" w:name="_Toc73518117"/>
      <w:bookmarkStart w:id="5" w:name="_Toc100052364"/>
      <w:bookmarkStart w:id="6" w:name="_Toc60631620"/>
      <w:bookmarkStart w:id="7" w:name="_Toc101074876"/>
      <w:bookmarkStart w:id="8" w:name="_Toc60560625"/>
      <w:bookmarkStart w:id="9" w:name="_Toc73521547"/>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14:paraId="069E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222256AC">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14:paraId="3E371852">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14:paraId="222D9D43">
            <w:pPr>
              <w:snapToGrid w:val="0"/>
              <w:jc w:val="center"/>
              <w:rPr>
                <w:rFonts w:ascii="宋体" w:hAnsi="宋体" w:eastAsia="宋体" w:cs="Arial"/>
                <w:b/>
                <w:szCs w:val="21"/>
              </w:rPr>
            </w:pPr>
            <w:r>
              <w:rPr>
                <w:rFonts w:hint="eastAsia" w:ascii="宋体" w:hAnsi="宋体" w:eastAsia="宋体" w:cs="Arial"/>
                <w:b/>
                <w:szCs w:val="21"/>
              </w:rPr>
              <w:t>具体补充内容</w:t>
            </w:r>
          </w:p>
        </w:tc>
      </w:tr>
      <w:tr w14:paraId="1E52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7498B438">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14:paraId="335AAE06">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14:paraId="7DA48D2F">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喀什市教育局</w:t>
            </w:r>
          </w:p>
        </w:tc>
      </w:tr>
      <w:tr w14:paraId="6306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14:paraId="70CB6ABF">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14:paraId="4A05DCB8">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14:paraId="406DA393">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14:paraId="0482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8841E87">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14:paraId="40E3B653">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14:paraId="6CD8FB57">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14:paraId="0F40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3AB0ED3">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14:paraId="09EE1F3F">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14:paraId="3ABECA92">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w:t>
            </w:r>
            <w:r>
              <w:rPr>
                <w:rFonts w:hint="eastAsia" w:ascii="宋体" w:hAnsi="宋体" w:eastAsia="宋体"/>
                <w:b/>
                <w:color w:val="0000FF"/>
                <w:u w:val="single"/>
                <w:lang w:val="en-US" w:eastAsia="zh-CN"/>
              </w:rPr>
              <w:t>90</w:t>
            </w:r>
            <w:r>
              <w:rPr>
                <w:rFonts w:hint="eastAsia" w:ascii="宋体" w:hAnsi="宋体" w:eastAsia="宋体"/>
                <w:b/>
                <w:color w:val="0000FF"/>
                <w:u w:val="single"/>
              </w:rPr>
              <w:t xml:space="preserve"> </w:t>
            </w:r>
            <w:r>
              <w:rPr>
                <w:rFonts w:hint="eastAsia" w:ascii="宋体" w:hAnsi="宋体" w:eastAsia="宋体" w:cs="Arial"/>
                <w:szCs w:val="21"/>
              </w:rPr>
              <w:t>个日历日。</w:t>
            </w:r>
          </w:p>
        </w:tc>
      </w:tr>
      <w:tr w14:paraId="1D1F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415A576D">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14:paraId="036D856D">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14:paraId="46AF583B">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14:paraId="562F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20DC420">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14:paraId="6566672B">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14:paraId="041D679E">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14:paraId="4560D5AD">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14:paraId="3D35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5589C78">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14:paraId="281B146E">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14:paraId="76E2ABB2">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14:paraId="3474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9120AE1">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14:paraId="66A65D7C">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14:paraId="31AA5EF2">
            <w:pPr>
              <w:spacing w:line="240" w:lineRule="atLeast"/>
              <w:ind w:left="814" w:hanging="814" w:hangingChars="354"/>
              <w:rPr>
                <w:rFonts w:hint="eastAsia" w:ascii="宋体" w:hAnsi="宋体" w:cs="宋体"/>
                <w:b/>
                <w:bCs/>
                <w:color w:val="auto"/>
                <w:sz w:val="23"/>
                <w:szCs w:val="23"/>
                <w:u w:val="single"/>
                <w:shd w:val="clear" w:color="auto" w:fill="auto"/>
              </w:rPr>
            </w:pPr>
          </w:p>
          <w:p w14:paraId="72217531">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5</w:t>
            </w:r>
            <w:r>
              <w:rPr>
                <w:rFonts w:hint="eastAsia" w:ascii="宋体" w:hAnsi="宋体" w:eastAsia="宋体"/>
                <w:szCs w:val="21"/>
              </w:rPr>
              <w:t>名）</w:t>
            </w:r>
          </w:p>
          <w:p w14:paraId="6B62031A">
            <w:pPr>
              <w:snapToGrid w:val="0"/>
              <w:jc w:val="center"/>
              <w:rPr>
                <w:rFonts w:hint="eastAsia" w:ascii="宋体" w:hAnsi="宋体" w:eastAsia="宋体" w:cs="Arial"/>
                <w:sz w:val="24"/>
                <w:szCs w:val="21"/>
              </w:rPr>
            </w:pPr>
          </w:p>
        </w:tc>
      </w:tr>
      <w:tr w14:paraId="13AD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55380B42">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14:paraId="462AE2F2">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14:paraId="53003EC4">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14:paraId="1BB481AE">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14:paraId="75189659">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14:paraId="15B547AE">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14:paraId="50BF3D23">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14:paraId="771EFD99">
      <w:pPr>
        <w:tabs>
          <w:tab w:val="left" w:pos="720"/>
        </w:tabs>
        <w:rPr>
          <w:rFonts w:ascii="黑体" w:hAnsi="宋体" w:eastAsia="黑体"/>
          <w:bCs/>
        </w:rPr>
      </w:pPr>
      <w:r>
        <w:rPr>
          <w:rFonts w:hint="eastAsia" w:ascii="黑体" w:hAnsi="宋体" w:eastAsia="黑体"/>
          <w:bCs/>
        </w:rPr>
        <w:t>1、关于标项的定义</w:t>
      </w:r>
    </w:p>
    <w:p w14:paraId="002ACC6F">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14:paraId="5E273AFE">
      <w:pPr>
        <w:tabs>
          <w:tab w:val="left" w:pos="720"/>
        </w:tabs>
        <w:rPr>
          <w:rFonts w:ascii="黑体" w:hAnsi="宋体" w:eastAsia="黑体"/>
        </w:rPr>
      </w:pPr>
      <w:r>
        <w:rPr>
          <w:rFonts w:hint="eastAsia" w:ascii="黑体" w:hAnsi="宋体" w:eastAsia="黑体"/>
        </w:rPr>
        <w:t>（二）其他事项</w:t>
      </w:r>
    </w:p>
    <w:p w14:paraId="0BF98E66">
      <w:pPr>
        <w:tabs>
          <w:tab w:val="left" w:pos="720"/>
        </w:tabs>
        <w:rPr>
          <w:rFonts w:ascii="黑体" w:hAnsi="宋体" w:eastAsia="黑体"/>
        </w:rPr>
      </w:pPr>
      <w:r>
        <w:rPr>
          <w:rFonts w:hint="eastAsia" w:ascii="黑体" w:hAnsi="宋体" w:eastAsia="黑体"/>
        </w:rPr>
        <w:t>1、关于享受优惠政策的主体及价格扣除比例</w:t>
      </w:r>
    </w:p>
    <w:p w14:paraId="6D1D0CF1">
      <w:pPr>
        <w:tabs>
          <w:tab w:val="left" w:pos="720"/>
        </w:tabs>
        <w:rPr>
          <w:rFonts w:ascii="黑体" w:hAnsi="宋体" w:eastAsia="黑体"/>
        </w:rPr>
      </w:pPr>
    </w:p>
    <w:p w14:paraId="783DBE3D">
      <w:pPr>
        <w:tabs>
          <w:tab w:val="left" w:pos="720"/>
        </w:tabs>
        <w:rPr>
          <w:rFonts w:ascii="黑体" w:hAnsi="宋体" w:eastAsia="黑体"/>
        </w:rPr>
      </w:pPr>
    </w:p>
    <w:p w14:paraId="67229F07">
      <w:pPr>
        <w:rPr>
          <w:rFonts w:ascii="宋体" w:hAnsi="宋体" w:eastAsia="黑体"/>
          <w:bCs/>
          <w:kern w:val="44"/>
          <w:sz w:val="28"/>
          <w:szCs w:val="44"/>
        </w:rPr>
      </w:pPr>
      <w:r>
        <w:br w:type="page"/>
      </w:r>
    </w:p>
    <w:p w14:paraId="3DFD730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14:paraId="281246A5">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47A7CBEE">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28D385C5">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418206B7">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7AD23A3C">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CEEA4F5">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DA99EB0">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05F5CEB6">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2FBFB1C3">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38B91A99">
            <w:pPr>
              <w:jc w:val="center"/>
              <w:rPr>
                <w:rFonts w:hint="eastAsia" w:ascii="宋体" w:hAnsi="宋体"/>
                <w:bCs/>
              </w:rPr>
            </w:pPr>
            <w:r>
              <w:rPr>
                <w:rFonts w:hint="eastAsia" w:eastAsia="宋体"/>
                <w:lang w:eastAsia="zh-CN"/>
              </w:rPr>
              <w:t>KSS(GK)2026-028</w:t>
            </w:r>
          </w:p>
        </w:tc>
        <w:tc>
          <w:tcPr>
            <w:tcW w:w="2906" w:type="dxa"/>
            <w:tcBorders>
              <w:top w:val="single" w:color="auto" w:sz="4" w:space="0"/>
              <w:left w:val="single" w:color="000000" w:sz="4" w:space="0"/>
              <w:bottom w:val="single" w:color="auto" w:sz="4" w:space="0"/>
              <w:right w:val="single" w:color="000000" w:sz="4" w:space="0"/>
            </w:tcBorders>
            <w:vAlign w:val="center"/>
          </w:tcPr>
          <w:p w14:paraId="7D72AFE4">
            <w:pPr>
              <w:jc w:val="center"/>
              <w:rPr>
                <w:b/>
                <w:bCs/>
              </w:rPr>
            </w:pPr>
            <w:r>
              <w:rPr>
                <w:rFonts w:hint="eastAsia" w:eastAsia="宋体" w:cs="Times New Roman"/>
                <w:lang w:eastAsia="zh-CN"/>
              </w:rPr>
              <w:t>喀什市第五中学功能教室设备采购项目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51CB115A">
            <w:pPr>
              <w:jc w:val="center"/>
              <w:rPr>
                <w:rFonts w:hint="eastAsia" w:ascii="宋体" w:hAnsi="宋体" w:eastAsia="宋体"/>
                <w:bCs/>
                <w:lang w:eastAsia="zh-CN"/>
              </w:rPr>
            </w:pPr>
            <w:r>
              <w:rPr>
                <w:rFonts w:hint="eastAsia" w:ascii="宋体" w:hAnsi="宋体" w:eastAsia="宋体"/>
                <w:bCs/>
                <w:lang w:eastAsia="zh-CN"/>
              </w:rPr>
              <w:t>1829240元（壹佰捌拾贰万玖仟贰佰肆拾）</w:t>
            </w:r>
          </w:p>
        </w:tc>
        <w:tc>
          <w:tcPr>
            <w:tcW w:w="2622" w:type="dxa"/>
            <w:tcBorders>
              <w:top w:val="single" w:color="000000" w:sz="4" w:space="0"/>
              <w:left w:val="single" w:color="000000" w:sz="4" w:space="0"/>
              <w:bottom w:val="single" w:color="000000" w:sz="4" w:space="0"/>
              <w:right w:val="single" w:color="000000" w:sz="4" w:space="0"/>
            </w:tcBorders>
            <w:vAlign w:val="center"/>
          </w:tcPr>
          <w:p w14:paraId="7FC24C7E">
            <w:pPr>
              <w:jc w:val="center"/>
              <w:rPr>
                <w:rFonts w:hint="eastAsia" w:ascii="宋体" w:hAnsi="宋体" w:eastAsia="宋体"/>
                <w:bCs/>
                <w:lang w:eastAsia="zh-CN"/>
              </w:rPr>
            </w:pPr>
            <w:r>
              <w:rPr>
                <w:rFonts w:hint="eastAsia" w:ascii="宋体" w:hAnsi="宋体" w:eastAsia="宋体"/>
                <w:bCs/>
                <w:lang w:eastAsia="zh-CN"/>
              </w:rPr>
              <w:t>工业</w:t>
            </w:r>
          </w:p>
        </w:tc>
      </w:tr>
    </w:tbl>
    <w:p w14:paraId="252C47C6">
      <w:pPr>
        <w:rPr>
          <w:rFonts w:hint="eastAsia" w:ascii="Arial" w:hAnsi="Arial" w:eastAsia="宋体"/>
          <w:b/>
          <w:color w:val="FF0000"/>
        </w:rPr>
      </w:pPr>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1829240元（壹佰捌拾贰万玖仟贰佰肆拾）</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14:paraId="7BE0230B">
      <w:pPr>
        <w:rPr>
          <w:rFonts w:hint="default" w:eastAsia="宋体"/>
          <w:color w:val="FF0000"/>
          <w:sz w:val="32"/>
          <w:szCs w:val="32"/>
          <w:lang w:val="en-US" w:eastAsia="zh-CN"/>
        </w:rPr>
      </w:pPr>
      <w:r>
        <w:rPr>
          <w:rFonts w:hint="default" w:eastAsia="宋体"/>
          <w:color w:val="FF0000"/>
          <w:sz w:val="32"/>
          <w:szCs w:val="32"/>
          <w:lang w:val="en-US" w:eastAsia="zh-CN"/>
        </w:rPr>
        <w:t xml:space="preserve">★所有设备单价不得超过《新疆维吾尔自治区本级行政事业单位通用办公设备家具配置标准 新管发〔2023〕61号单价标准，否则废标。 </w:t>
      </w:r>
    </w:p>
    <w:p w14:paraId="013C8776">
      <w:pPr>
        <w:rPr>
          <w:rFonts w:hint="default" w:eastAsia="宋体"/>
          <w:color w:val="FF0000"/>
          <w:sz w:val="32"/>
          <w:szCs w:val="32"/>
          <w:lang w:val="en-US" w:eastAsia="zh-CN"/>
        </w:rPr>
      </w:pPr>
    </w:p>
    <w:p w14:paraId="7D44B32F">
      <w:pPr>
        <w:pStyle w:val="40"/>
        <w:rPr>
          <w:rFonts w:hint="eastAsia" w:ascii="Arial" w:hAnsi="Arial" w:eastAsia="宋体"/>
          <w:b/>
          <w:sz w:val="32"/>
          <w:szCs w:val="32"/>
        </w:rPr>
      </w:pPr>
      <w:r>
        <w:rPr>
          <w:rFonts w:hint="eastAsia" w:ascii="Arial" w:hAnsi="Arial" w:eastAsia="宋体"/>
          <w:b/>
          <w:sz w:val="32"/>
          <w:szCs w:val="32"/>
        </w:rPr>
        <w:t>节能环保有关政策严格执行《财政部发展改革委生态环境部市场监管总局关于调整优化节能产品、环境标志产品政府采购执行机制的通知》（财库(2019)9号）、《关于印发节能产品政府采购品目清单的通知》（财库（2019)19 号＞、《关于印发环境标志产品政府采购品目清单的通知》（财库（2019〕18号）的有关要求。</w:t>
      </w:r>
    </w:p>
    <w:p w14:paraId="27119995">
      <w:pPr>
        <w:pStyle w:val="40"/>
        <w:rPr>
          <w:rFonts w:hint="eastAsia" w:ascii="Arial" w:hAnsi="Arial" w:eastAsia="宋体"/>
          <w:b/>
          <w:sz w:val="32"/>
          <w:szCs w:val="32"/>
          <w:highlight w:val="none"/>
        </w:rPr>
      </w:pPr>
      <w:r>
        <w:rPr>
          <w:rFonts w:hint="eastAsia" w:ascii="Arial" w:hAnsi="Arial" w:eastAsia="宋体"/>
          <w:b/>
          <w:sz w:val="32"/>
          <w:szCs w:val="32"/>
        </w:rPr>
        <w:t>★严格执行《中华人民共和国产品质量法》《强制性产品认证管规定》《强制性产品认证目录》</w:t>
      </w:r>
      <w:r>
        <w:rPr>
          <w:rFonts w:hint="eastAsia" w:ascii="Arial" w:hAnsi="Arial" w:eastAsia="宋体"/>
          <w:b/>
          <w:sz w:val="32"/>
          <w:szCs w:val="32"/>
          <w:highlight w:val="none"/>
          <w:lang w:eastAsia="zh-CN"/>
        </w:rPr>
        <w:t>适配安全可靠测评电脑</w:t>
      </w:r>
      <w:r>
        <w:rPr>
          <w:rFonts w:hint="eastAsia" w:ascii="Arial" w:hAnsi="Arial" w:eastAsia="宋体"/>
          <w:b/>
          <w:sz w:val="32"/>
          <w:szCs w:val="32"/>
          <w:highlight w:val="none"/>
        </w:rPr>
        <w:t>等相关法规制度及有关要求。</w:t>
      </w:r>
    </w:p>
    <w:p w14:paraId="38DB6770">
      <w:pPr>
        <w:pStyle w:val="40"/>
        <w:ind w:firstLine="640" w:firstLineChars="200"/>
        <w:rPr>
          <w:rFonts w:hint="eastAsia" w:ascii="Times New Roman" w:hAnsi="Times New Roman" w:eastAsia="宋体" w:cs="Times New Roman"/>
          <w:color w:val="FF0000"/>
          <w:kern w:val="0"/>
          <w:sz w:val="24"/>
          <w:szCs w:val="24"/>
          <w:lang w:val="en-US"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提供依据国家确定的认证机构出具的、处于有效期之内的节能产品认证证书，否则响应无效；</w:t>
      </w:r>
    </w:p>
    <w:p w14:paraId="6F8DB4DC">
      <w:pPr>
        <w:pStyle w:val="40"/>
        <w:ind w:firstLine="640" w:firstLineChars="200"/>
        <w:rPr>
          <w:rFonts w:hint="eastAsia" w:ascii="Times New Roman" w:hAnsi="Times New Roman" w:eastAsia="宋体" w:cs="Times New Roman"/>
          <w:color w:val="FF0000"/>
          <w:kern w:val="0"/>
          <w:sz w:val="24"/>
          <w:szCs w:val="24"/>
          <w:lang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w:t>
      </w:r>
      <w:r>
        <w:rPr>
          <w:rFonts w:hint="eastAsia" w:ascii="Times New Roman" w:hAnsi="Times New Roman" w:eastAsia="宋体" w:cs="Times New Roman"/>
          <w:b/>
          <w:bCs/>
          <w:color w:val="FF0000"/>
          <w:kern w:val="0"/>
          <w:sz w:val="24"/>
          <w:szCs w:val="24"/>
          <w:lang w:eastAsia="zh-CN"/>
        </w:rPr>
        <w:t>智慧黑板、漏电保护、空调、开关电源、电缆、电线、网线、LED灯</w:t>
      </w:r>
      <w:r>
        <w:rPr>
          <w:rFonts w:hint="eastAsia" w:cs="Times New Roman"/>
          <w:color w:val="FF0000"/>
          <w:kern w:val="0"/>
          <w:sz w:val="24"/>
          <w:szCs w:val="24"/>
          <w:lang w:eastAsia="zh-CN"/>
        </w:rPr>
        <w:t>，</w:t>
      </w:r>
      <w:r>
        <w:rPr>
          <w:rFonts w:hint="eastAsia" w:ascii="Times New Roman" w:hAnsi="Times New Roman" w:eastAsia="宋体" w:cs="Times New Roman"/>
          <w:color w:val="FF0000"/>
          <w:kern w:val="0"/>
          <w:sz w:val="24"/>
          <w:szCs w:val="24"/>
          <w:lang w:eastAsia="zh-CN"/>
        </w:rPr>
        <w:t>属于政府强制采购产品类别，须按照要求提供依据国家确定的认证机构出具的、处于有效期之内的</w:t>
      </w:r>
      <w:r>
        <w:rPr>
          <w:rFonts w:hint="eastAsia" w:ascii="Times New Roman" w:hAnsi="Times New Roman" w:eastAsia="宋体" w:cs="Times New Roman"/>
          <w:color w:val="FF0000"/>
          <w:kern w:val="0"/>
          <w:sz w:val="24"/>
          <w:szCs w:val="24"/>
          <w:lang w:val="en-US" w:eastAsia="zh-CN"/>
        </w:rPr>
        <w:t>强制性</w:t>
      </w:r>
      <w:r>
        <w:rPr>
          <w:rFonts w:hint="eastAsia" w:ascii="Times New Roman" w:hAnsi="Times New Roman" w:eastAsia="宋体" w:cs="Times New Roman"/>
          <w:color w:val="FF0000"/>
          <w:kern w:val="0"/>
          <w:sz w:val="24"/>
          <w:szCs w:val="24"/>
          <w:lang w:eastAsia="zh-CN"/>
        </w:rPr>
        <w:t>产品认证证书，否则响应无效；</w:t>
      </w:r>
    </w:p>
    <w:p w14:paraId="003AC8D3">
      <w:pPr>
        <w:rPr>
          <w:rFonts w:hint="default" w:eastAsia="宋体"/>
          <w:color w:val="FF0000"/>
          <w:sz w:val="32"/>
          <w:szCs w:val="32"/>
          <w:lang w:val="en-US" w:eastAsia="zh-CN"/>
        </w:rPr>
      </w:pPr>
    </w:p>
    <w:p w14:paraId="27C2D05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s="宋体"/>
          <w:b/>
          <w:bCs/>
          <w:color w:val="C00000"/>
          <w:kern w:val="0"/>
          <w:sz w:val="30"/>
          <w:szCs w:val="30"/>
          <w:lang w:val="en-US" w:eastAsia="zh-CN" w:bidi="ar"/>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ascii="宋体" w:hAnsi="宋体" w:eastAsia="宋体" w:cs="宋体"/>
          <w:b/>
          <w:bCs/>
          <w:color w:val="C00000"/>
          <w:kern w:val="0"/>
          <w:sz w:val="30"/>
          <w:szCs w:val="30"/>
          <w:lang w:val="en-US" w:eastAsia="zh-CN" w:bidi="ar"/>
        </w:rPr>
        <w:t>关于推动解决政府采购异常低价问题的通知</w:t>
      </w:r>
      <w:r>
        <w:rPr>
          <w:rFonts w:hint="eastAsia" w:ascii="Arial" w:hAnsi="Arial" w:eastAsia="宋体"/>
          <w:b/>
          <w:color w:val="C00000"/>
          <w:sz w:val="32"/>
          <w:szCs w:val="32"/>
          <w:lang w:eastAsia="zh-CN"/>
        </w:rPr>
        <w:t>》</w:t>
      </w:r>
    </w:p>
    <w:p w14:paraId="2841DED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color w:val="C00000"/>
        </w:rPr>
      </w:pPr>
      <w:r>
        <w:rPr>
          <w:rFonts w:ascii="宋体" w:hAnsi="宋体" w:eastAsia="宋体" w:cs="宋体"/>
          <w:color w:val="C00000"/>
          <w:kern w:val="0"/>
          <w:sz w:val="25"/>
          <w:szCs w:val="25"/>
          <w:lang w:val="en-US" w:eastAsia="zh-CN" w:bidi="ar"/>
        </w:rPr>
        <w:t>财库〔2026〕2号</w:t>
      </w:r>
      <w:r>
        <w:rPr>
          <w:rFonts w:hint="eastAsia" w:ascii="宋体" w:hAnsi="宋体" w:eastAsia="宋体" w:cs="宋体"/>
          <w:color w:val="C00000"/>
          <w:kern w:val="0"/>
          <w:sz w:val="25"/>
          <w:szCs w:val="25"/>
          <w:lang w:val="en-US" w:eastAsia="zh-CN" w:bidi="ar"/>
        </w:rPr>
        <w:t>相关规定</w:t>
      </w:r>
    </w:p>
    <w:p w14:paraId="1D8E701A">
      <w:pPr>
        <w:keepNext w:val="0"/>
        <w:keepLines w:val="0"/>
        <w:widowControl/>
        <w:numPr>
          <w:ilvl w:val="0"/>
          <w:numId w:val="3"/>
        </w:numPr>
        <w:suppressLineNumbers w:val="0"/>
        <w:ind w:left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6795E5FB">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 </w:t>
      </w:r>
    </w:p>
    <w:p w14:paraId="718EB283">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hint="eastAsia" w:ascii="Arial" w:hAnsi="Arial" w:eastAsia="宋体"/>
          <w:b/>
          <w:sz w:val="32"/>
          <w:szCs w:val="32"/>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国务院办公厅关于在政府采购中实施本国产品标准及相关政策的通知</w:t>
      </w:r>
      <w:r>
        <w:rPr>
          <w:rFonts w:hint="eastAsia" w:ascii="Arial" w:hAnsi="Arial" w:eastAsia="宋体"/>
          <w:b/>
          <w:color w:val="C00000"/>
          <w:sz w:val="32"/>
          <w:szCs w:val="32"/>
          <w:lang w:eastAsia="zh-CN"/>
        </w:rPr>
        <w:t>》</w:t>
      </w:r>
      <w:r>
        <w:rPr>
          <w:rFonts w:hint="eastAsia" w:ascii="微软雅黑" w:hAnsi="微软雅黑" w:eastAsia="微软雅黑" w:cs="微软雅黑"/>
          <w:i w:val="0"/>
          <w:iCs w:val="0"/>
          <w:caps w:val="0"/>
          <w:color w:val="232323"/>
          <w:spacing w:val="0"/>
          <w:kern w:val="0"/>
          <w:sz w:val="21"/>
          <w:szCs w:val="21"/>
          <w:lang w:val="en-US" w:eastAsia="zh-CN" w:bidi="ar"/>
        </w:rPr>
        <w:t>国办发〔2025〕34号</w:t>
      </w:r>
    </w:p>
    <w:p w14:paraId="346C1E8A">
      <w:pPr>
        <w:keepNext/>
        <w:keepLines/>
        <w:pBdr>
          <w:top w:val="none" w:color="auto" w:sz="0" w:space="0"/>
          <w:left w:val="none" w:color="auto" w:sz="0" w:space="0"/>
          <w:bottom w:val="none" w:color="auto" w:sz="0" w:space="0"/>
          <w:right w:val="none" w:color="auto" w:sz="0" w:space="0"/>
          <w:between w:val="none" w:color="auto" w:sz="0" w:space="0"/>
        </w:pBdr>
        <w:tabs>
          <w:tab w:val="left" w:pos="1680"/>
        </w:tabs>
        <w:spacing w:before="260" w:after="60" w:afterLines="25"/>
        <w:jc w:val="both"/>
        <w:outlineLvl w:val="2"/>
        <w:rPr>
          <w:rFonts w:hint="eastAsia" w:ascii="Arial" w:hAnsi="Arial" w:eastAsia="宋体"/>
          <w:b/>
          <w:sz w:val="32"/>
          <w:szCs w:val="32"/>
        </w:rPr>
      </w:pPr>
      <w:r>
        <w:rPr>
          <w:rFonts w:hint="default" w:eastAsia="宋体"/>
          <w:color w:val="FF0000"/>
          <w:sz w:val="32"/>
          <w:szCs w:val="32"/>
          <w:lang w:val="en-US"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 xml:space="preserve">关于贯彻落实《国务院办公厅关于在政府采购中实施本国产品标准及相关政策的通知》的意见 </w:t>
      </w:r>
      <w:r>
        <w:rPr>
          <w:rFonts w:hint="eastAsia" w:ascii="微软雅黑" w:hAnsi="微软雅黑" w:eastAsia="微软雅黑" w:cs="微软雅黑"/>
          <w:i w:val="0"/>
          <w:iCs w:val="0"/>
          <w:caps w:val="0"/>
          <w:color w:val="232323"/>
          <w:spacing w:val="0"/>
          <w:kern w:val="0"/>
          <w:sz w:val="21"/>
          <w:szCs w:val="21"/>
          <w:lang w:val="en-US" w:eastAsia="zh-CN" w:bidi="ar"/>
        </w:rPr>
        <w:t>财库〔2025〕30号</w:t>
      </w:r>
    </w:p>
    <w:p w14:paraId="4E4DD02E">
      <w:pPr>
        <w:rPr>
          <w:rFonts w:hint="default" w:eastAsia="宋体"/>
          <w:color w:val="FF0000"/>
          <w:sz w:val="32"/>
          <w:szCs w:val="32"/>
          <w:lang w:val="en-US" w:eastAsia="zh-CN"/>
        </w:rPr>
        <w:sectPr>
          <w:footerReference r:id="rId5" w:type="default"/>
          <w:pgSz w:w="11906" w:h="16838"/>
          <w:pgMar w:top="1440" w:right="1797" w:bottom="1440" w:left="1797" w:header="851" w:footer="992" w:gutter="0"/>
          <w:pgNumType w:fmt="decimal" w:start="1"/>
          <w:cols w:space="720" w:num="1"/>
          <w:docGrid w:type="linesAndChars" w:linePitch="312" w:charSpace="0"/>
        </w:sectPr>
      </w:pPr>
    </w:p>
    <w:p w14:paraId="5BC4CF11">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w:t>
      </w:r>
      <w:r>
        <w:rPr>
          <w:rFonts w:hint="eastAsia" w:ascii="Arial" w:hAnsi="Arial" w:eastAsia="宋体"/>
          <w:b/>
          <w:sz w:val="32"/>
          <w:szCs w:val="32"/>
          <w:lang w:eastAsia="zh-CN"/>
        </w:rPr>
        <w:t>货物需求</w:t>
      </w:r>
      <w:r>
        <w:rPr>
          <w:rFonts w:hint="eastAsia" w:ascii="Arial" w:hAnsi="Arial" w:eastAsia="宋体"/>
          <w:b/>
          <w:sz w:val="32"/>
          <w:szCs w:val="32"/>
        </w:rPr>
        <w:t>明细</w:t>
      </w:r>
    </w:p>
    <w:p w14:paraId="26F6F5E2">
      <w:pPr>
        <w:rPr>
          <w:rFonts w:hint="eastAsia" w:ascii="宋体" w:hAnsi="宋体" w:eastAsia="宋体"/>
          <w:b/>
          <w:color w:val="FF0000"/>
          <w:sz w:val="32"/>
          <w:szCs w:val="32"/>
          <w:lang w:eastAsia="zh-CN"/>
        </w:rPr>
      </w:pPr>
      <w:r>
        <w:rPr>
          <w:rFonts w:hint="eastAsia" w:ascii="宋体" w:hAnsi="宋体"/>
          <w:b/>
          <w:color w:val="FF0000"/>
          <w:sz w:val="32"/>
          <w:szCs w:val="32"/>
        </w:rPr>
        <w:t>本项目核心产品为：</w:t>
      </w:r>
      <w:r>
        <w:rPr>
          <w:rFonts w:hint="eastAsia" w:ascii="宋体" w:hAnsi="宋体" w:eastAsia="宋体"/>
          <w:b/>
          <w:color w:val="FF0000"/>
          <w:sz w:val="32"/>
          <w:szCs w:val="32"/>
          <w:lang w:eastAsia="zh-CN"/>
        </w:rPr>
        <w:t>学生实验桌</w:t>
      </w:r>
    </w:p>
    <w:p w14:paraId="53FE67F7">
      <w:pPr>
        <w:rPr>
          <w:rFonts w:hint="eastAsia" w:eastAsia="宋体"/>
          <w:b/>
          <w:bCs/>
          <w:sz w:val="40"/>
          <w:szCs w:val="40"/>
          <w:lang w:eastAsia="zh-CN"/>
        </w:rPr>
      </w:pPr>
      <w:r>
        <w:rPr>
          <w:rFonts w:hint="eastAsia" w:eastAsia="宋体"/>
          <w:b/>
          <w:bCs/>
          <w:sz w:val="40"/>
          <w:szCs w:val="40"/>
          <w:lang w:eastAsia="zh-CN"/>
        </w:rPr>
        <w:t>货物需求明细：</w:t>
      </w:r>
    </w:p>
    <w:p w14:paraId="64EE5BBA">
      <w:pPr>
        <w:rPr>
          <w:rFonts w:hint="eastAsia" w:eastAsia="宋体"/>
          <w:b/>
          <w:bCs/>
          <w:sz w:val="40"/>
          <w:szCs w:val="40"/>
          <w:lang w:eastAsia="zh-CN"/>
        </w:rPr>
      </w:pP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5"/>
        <w:gridCol w:w="1034"/>
        <w:gridCol w:w="9306"/>
        <w:gridCol w:w="935"/>
        <w:gridCol w:w="864"/>
        <w:gridCol w:w="944"/>
      </w:tblGrid>
      <w:tr w14:paraId="21189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1535F66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序号</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571B3B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产品名称</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AC2546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技术参数</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C6A76D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单位</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781546BB">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数量</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2DF046EC">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备注</w:t>
            </w:r>
          </w:p>
        </w:tc>
      </w:tr>
      <w:tr w14:paraId="4166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6DF0058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u w:val="none"/>
                <w:lang w:val="en-US" w:eastAsia="zh-CN" w:bidi="ar"/>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物理实验室</w:t>
            </w:r>
          </w:p>
        </w:tc>
      </w:tr>
      <w:tr w14:paraId="618B2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48A27E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9C867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智慧黑板</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903F00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一、整机参数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1.整机采用全金属外壳，三拼接平面一体化设计，宽≥4200mm，高≥1200mm，厚≤117mm。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2.整机屏幕采用86英寸液晶显示器，采用超高清LED液晶显示屏，显示比例16:9，分辨率3840×2160（R）。</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3.嵌入式系统版本，主频≥1.8GHz，内存≥2GB，存储空间≥8GB，嵌入式芯片内置2TOPS AI算力，可用于AI图像、音频处理。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4.钢化玻璃表面硬度≥9H。钢化玻璃硬度莫氏7级，可达到石英抗划等级。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5.支持双系统中进行20点或以上触控，整机采用电容触控技术。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6.内置2.2声道扬声器，额定总功率不小于60W。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7.内置非独立外扩展的8阵列麦克风，拾音角度≥180°，拾音距离≥12m。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8.整机具备至少6个前置按键，至少支持5个自定义前置按键。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9.支持蓝牙Bluetooth 5.4标准，内置双WiFi6无线网卡。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10.内置非独立摄像头≥1600万像素数，视场角≥150度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11.整机需内置或外置不低于1600万像素展台，最高分辨率支持4640x3480，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自带LED补光灯，支持多级灯调节。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二、OPS模块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1.通过安全可靠测评CPU配置不低于8核8线程处理器工作主频≥2.7GHz。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2.内存：不低于8GB，硬盘不低于512GB或以上固态硬盘。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3.无需工具即可快速拆卸电脑模块;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4.具有独立非外拓展的电脑USB接口，≥3个USB3.0接口≥1个HDMI接口；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5.要求内置通过安全可靠测评的操作系统、办公软件、杀毒软件。含三年更新服务，永久使用，验收时提供证明材料，为保证设备使用稳定性及兼容性，要求班班通与OPS模块必须为同一品牌。</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三、教学软件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1.互动教学课件支持定向精准分享：分享者可将互动课件、课件组精准推送至指定接收方账号云空间，接收方可在云空间接收并打开分享课件；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2.具有互动式教学课件资源，包含学科教育各学段各地区教材版本。具有互动式教学课件资源，包含学科教育各学段教材版本教学章节、专题教育多个主题教育、特殊教育，课件支持教师在线评分。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3.提供互动课件资源库，包含学科教育、专题教育、特殊教育类课件，可获取到个人云空间。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4.提供将Word转换为云教案的能力，支持解析文本、表格等通用元素，方便老师迁移旧教案</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5.支持实现信息化集体备课。可选择教案、课件上传发起集备研讨，能够设置多重访问权限，可通过手机号搜索邀请外校老师，用于跨校教研场景。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四、1、采用壁挂式功放及有源音箱一体化设计，双音箱配对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2、具备音频输入、具备混音音频输出、支持MIC话筒输入；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3、有效功率：≥40W；额定阻抗：4Ω；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五、头戴一体式话筒，可拆卸成手持咪（非有线有线头戴咪）、支持一师一麦，开机自动配对，自动转入接收状态；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2、话筒内置高性能咪头，外置防风棉，声音还原度高。</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CD8E4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7EE11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5982041">
            <w:pPr>
              <w:rPr>
                <w:rFonts w:hint="eastAsia" w:ascii="方正仿宋_GB2312" w:hAnsi="方正仿宋_GB2312" w:eastAsia="方正仿宋_GB2312" w:cs="方正仿宋_GB2312"/>
                <w:i w:val="0"/>
                <w:iCs w:val="0"/>
                <w:color w:val="000000"/>
                <w:sz w:val="20"/>
                <w:szCs w:val="20"/>
                <w:u w:val="none"/>
              </w:rPr>
            </w:pPr>
          </w:p>
        </w:tc>
      </w:tr>
      <w:tr w14:paraId="3837A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491CA7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2EAD0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教师演示台</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0641A9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规格2400mm×700mm×900mm（正负不超过50mm）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1、台面：采用≥12.7mm理化板，台面经过上釉工艺处理，具有耐高温、耐刻刮、防静电、耐腐蚀、防垢易清洁、防霉、防水等物理性能和化学性能。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2、柜体：全钢结构，采用≥1.0mm厚冷轧钢板，切割折弯成型，组件焊接工艺，打磨平整，表面经环氧树脂喷涂处理；整体结构设计合理，预留电脑主机、键盘托、实物展台、教师电源安装位置。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3、拉手：采用不锈钢拉手。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4、门板及抽面：采用双层结构，组装式设计，保证单层钢板双面都喷涂处理，门板中间填充隔音材料，减少关门时产生的噪音。防撞胶垫：装于抽屉及门板内侧，减缓碰撞，保护柜体。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5、不锈钢防腐合页：采用优质不锈钢模具一体成型。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6、防腐三节静音导轨：三节滚珠滑轨，承重性强，滑动顺滑。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7、固定桌脚：采用柜体内置可调ABS调整脚，保证调整脚前后都可以调节高低。</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10379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张</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45518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35D2161">
            <w:pPr>
              <w:rPr>
                <w:rFonts w:hint="eastAsia" w:ascii="方正仿宋_GB2312" w:hAnsi="方正仿宋_GB2312" w:eastAsia="方正仿宋_GB2312" w:cs="方正仿宋_GB2312"/>
                <w:i w:val="0"/>
                <w:iCs w:val="0"/>
                <w:color w:val="000000"/>
                <w:sz w:val="20"/>
                <w:szCs w:val="20"/>
                <w:u w:val="none"/>
              </w:rPr>
            </w:pPr>
          </w:p>
        </w:tc>
      </w:tr>
      <w:tr w14:paraId="09DC9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7F739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2AD60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教师椅</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CB2E8D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1、产品规格：椅面550×500×1070mm（正负不超过50mm），座位高度可调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技术参数：凳面接触面为防滑处理，采用曲面设计增加接触面积，符合人体工程学增强坐感舒适度；气杆连接，与椅面连接处安装加宽加强防爆机构，五星脚采用高强度尼龙材料一体注塑成型，具有结构牢固、耐酸碱腐蚀等特点。</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7F430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把</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20A96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8B7874A">
            <w:pPr>
              <w:rPr>
                <w:rFonts w:hint="eastAsia" w:ascii="方正仿宋_GB2312" w:hAnsi="方正仿宋_GB2312" w:eastAsia="方正仿宋_GB2312" w:cs="方正仿宋_GB2312"/>
                <w:i w:val="0"/>
                <w:iCs w:val="0"/>
                <w:color w:val="000000"/>
                <w:sz w:val="20"/>
                <w:szCs w:val="20"/>
                <w:u w:val="none"/>
              </w:rPr>
            </w:pPr>
          </w:p>
        </w:tc>
      </w:tr>
      <w:tr w14:paraId="62121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CE698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65862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学生实验桌</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CAD86F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规格：1200*600*780mm（正负不超过30mm）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台面：采用≥20mm厚无甲醛环保陶瓷台面，表面为实验室专业耐腐蚀、耐污染、抗冲击釉面。坯体一体实芯，釉面和坯体经高温一体烧结而成，台面操作边设有止滑凹槽，有效防止在实验过程中试管、液体等实验物品滑落造成意外伤害，陶瓷台面表面釉面不会受外界环境影响而脱落脱层，具有耐污染、耐化学腐蚀、无放射性物质、防撞抗冲击、承重力强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2、塑铝/铸铝结构，材料厚度不低于1.2mm，金属表面经环氧树脂粉末喷涂高温固化处理。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3、后功能栏杆，高出台面，防止实验器材跌落；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4、下面设计两个书包斗，材质采用ABS工程塑料一体化成型工艺，镂空设计，不屯垃圾，便于清理，中间设挂凳卡；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5、桌腿一体化压铸工艺，内壁包含加强筋，下方有凹槽配合安装，具有防脱不易错位。外观流线形设计，简洁美观，易碰撞处全部采用倒圆角，材料表面经过防腐氧化处理和纯环氧树脂塑粉高温固化处理。</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DFB89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张</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29D4B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48</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D16DB1A">
            <w:pPr>
              <w:rPr>
                <w:rFonts w:hint="eastAsia" w:ascii="方正仿宋_GB2312" w:hAnsi="方正仿宋_GB2312" w:eastAsia="方正仿宋_GB2312" w:cs="方正仿宋_GB2312"/>
                <w:i w:val="0"/>
                <w:iCs w:val="0"/>
                <w:color w:val="000000"/>
                <w:sz w:val="20"/>
                <w:szCs w:val="20"/>
                <w:u w:val="none"/>
              </w:rPr>
            </w:pPr>
          </w:p>
        </w:tc>
      </w:tr>
      <w:tr w14:paraId="3B1C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5A80BE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1B30C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实验凳</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AFBE78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规格：315*440-500mm（正负不超过20mm）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1、凳脚材质：凳脚采用壁厚≥1.2mm钢管及壁厚≥1.5mm钢管焊接组成，全圆满焊接，结构牢固，经高温粉体烤漆处理，长时间使用也不会产生表面烤漆剥落现象</w:t>
            </w:r>
            <w:r>
              <w:rPr>
                <w:rStyle w:val="41"/>
                <w:rFonts w:hint="eastAsia" w:ascii="方正仿宋_GB2312" w:hAnsi="方正仿宋_GB2312" w:eastAsia="方正仿宋_GB2312" w:cs="方正仿宋_GB2312"/>
                <w:sz w:val="20"/>
                <w:szCs w:val="20"/>
                <w:lang w:val="en-US" w:eastAsia="zh-CN" w:bidi="ar"/>
              </w:rPr>
              <w:t xml:space="preserve"> </w:t>
            </w:r>
            <w:r>
              <w:rPr>
                <w:rStyle w:val="31"/>
                <w:rFonts w:hint="eastAsia" w:ascii="方正仿宋_GB2312" w:hAnsi="方正仿宋_GB2312" w:eastAsia="方正仿宋_GB2312" w:cs="方正仿宋_GB2312"/>
                <w:sz w:val="20"/>
                <w:szCs w:val="20"/>
                <w:lang w:val="en-US" w:eastAsia="zh-CN" w:bidi="ar"/>
              </w:rPr>
              <w:t>螺旋升降式，升降距离≥40mm。</w:t>
            </w:r>
            <w:r>
              <w:rPr>
                <w:rStyle w:val="31"/>
                <w:rFonts w:hint="eastAsia" w:ascii="方正仿宋_GB2312" w:hAnsi="方正仿宋_GB2312" w:eastAsia="方正仿宋_GB2312" w:cs="方正仿宋_GB2312"/>
                <w:sz w:val="20"/>
                <w:szCs w:val="20"/>
                <w:lang w:val="en-US" w:eastAsia="zh-CN" w:bidi="ar"/>
              </w:rPr>
              <w:br w:type="textWrapping"/>
            </w:r>
            <w:r>
              <w:rPr>
                <w:rStyle w:val="31"/>
                <w:rFonts w:hint="eastAsia" w:ascii="方正仿宋_GB2312" w:hAnsi="方正仿宋_GB2312" w:eastAsia="方正仿宋_GB2312" w:cs="方正仿宋_GB2312"/>
                <w:sz w:val="20"/>
                <w:szCs w:val="20"/>
                <w:lang w:val="en-US" w:eastAsia="zh-CN" w:bidi="ar"/>
              </w:rPr>
              <w:t>2、凳面表面防滑不发光，凳面底部镶嵌螺纹固定。</w:t>
            </w:r>
            <w:r>
              <w:rPr>
                <w:rStyle w:val="31"/>
                <w:rFonts w:hint="eastAsia" w:ascii="方正仿宋_GB2312" w:hAnsi="方正仿宋_GB2312" w:eastAsia="方正仿宋_GB2312" w:cs="方正仿宋_GB2312"/>
                <w:sz w:val="20"/>
                <w:szCs w:val="20"/>
                <w:lang w:val="en-US" w:eastAsia="zh-CN" w:bidi="ar"/>
              </w:rPr>
              <w:br w:type="textWrapping"/>
            </w:r>
            <w:r>
              <w:rPr>
                <w:rStyle w:val="31"/>
                <w:rFonts w:hint="eastAsia" w:ascii="方正仿宋_GB2312" w:hAnsi="方正仿宋_GB2312" w:eastAsia="方正仿宋_GB2312" w:cs="方正仿宋_GB2312"/>
                <w:sz w:val="20"/>
                <w:szCs w:val="20"/>
                <w:lang w:val="en-US" w:eastAsia="zh-CN" w:bidi="ar"/>
              </w:rPr>
              <w:t>3、脚垫材质：采用PP加耐磨纤维增强塑料，实心倒勾式一体射出成型。</w:t>
            </w:r>
            <w:r>
              <w:rPr>
                <w:rStyle w:val="31"/>
                <w:rFonts w:hint="eastAsia" w:ascii="方正仿宋_GB2312" w:hAnsi="方正仿宋_GB2312" w:eastAsia="方正仿宋_GB2312" w:cs="方正仿宋_GB2312"/>
                <w:sz w:val="20"/>
                <w:szCs w:val="20"/>
                <w:lang w:val="en-US" w:eastAsia="zh-CN" w:bidi="ar"/>
              </w:rPr>
              <w:br w:type="textWrapping"/>
            </w:r>
            <w:r>
              <w:rPr>
                <w:rStyle w:val="31"/>
                <w:rFonts w:hint="eastAsia" w:ascii="方正仿宋_GB2312" w:hAnsi="方正仿宋_GB2312" w:eastAsia="方正仿宋_GB2312" w:cs="方正仿宋_GB2312"/>
                <w:sz w:val="20"/>
                <w:szCs w:val="20"/>
                <w:lang w:val="en-US" w:eastAsia="zh-CN" w:bidi="ar"/>
              </w:rPr>
              <w:t>4、凳托与凳脚留有一定的空间便于凳子挂在挂凳扣上，方便教室打扫。</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9F574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把</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2A6F7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96</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453466A">
            <w:pPr>
              <w:rPr>
                <w:rFonts w:hint="eastAsia" w:ascii="方正仿宋_GB2312" w:hAnsi="方正仿宋_GB2312" w:eastAsia="方正仿宋_GB2312" w:cs="方正仿宋_GB2312"/>
                <w:i w:val="0"/>
                <w:iCs w:val="0"/>
                <w:color w:val="000000"/>
                <w:sz w:val="20"/>
                <w:szCs w:val="20"/>
                <w:u w:val="none"/>
              </w:rPr>
            </w:pPr>
          </w:p>
        </w:tc>
      </w:tr>
      <w:tr w14:paraId="0B264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1D1195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BFF15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教师控制模块</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D1E89D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1、教师演示台配备总漏电保护和分组保护，可分组控制学生的高低压电源，确保学生实验安全方便；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2、教师模块总控采用不小于200*100mm尺寸的面板，具备智能控制按键，并能显示电源电压；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3、教师交流电源通过智能控制0-30V交流电压输出，电压分辨率为0.1V，额定电流≥3A，具备过载自动保护;</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4、教师直流电源也是通过智能控制0-30V交流电压输出，电压分辨率为0.1V，额定电流≥3A，具备过载自动保护；</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5、直流大电流：由微处理器精确控制自动关断，可达到延时零误差;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6、配套教师控制模块使用，满足实验室需求及相关功能。</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5AC4B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C1E39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58EA9E9B">
            <w:pPr>
              <w:rPr>
                <w:rFonts w:hint="eastAsia" w:ascii="方正仿宋_GB2312" w:hAnsi="方正仿宋_GB2312" w:eastAsia="方正仿宋_GB2312" w:cs="方正仿宋_GB2312"/>
                <w:i w:val="0"/>
                <w:iCs w:val="0"/>
                <w:color w:val="000000"/>
                <w:sz w:val="20"/>
                <w:szCs w:val="20"/>
                <w:u w:val="none"/>
              </w:rPr>
            </w:pPr>
          </w:p>
        </w:tc>
      </w:tr>
      <w:tr w14:paraId="11B8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FC8F9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9DA6C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吊装智能控制电气系统</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F74B30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整体采用≥1.2mm钢板冷轧成型，表面经过防腐氧化处理和纯环氧树脂塑粉高温固化处理，具有较强的耐蚀性。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（1）电源控制系统：智能化控制系统集中控制，具有过载、短路等保护功能；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（2）摇臂自动控制系统：系统集中控制教室摇臂功能。</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56499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24C61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20A49C37">
            <w:pPr>
              <w:rPr>
                <w:rFonts w:hint="eastAsia" w:ascii="方正仿宋_GB2312" w:hAnsi="方正仿宋_GB2312" w:eastAsia="方正仿宋_GB2312" w:cs="方正仿宋_GB2312"/>
                <w:i w:val="0"/>
                <w:iCs w:val="0"/>
                <w:color w:val="000000"/>
                <w:sz w:val="20"/>
                <w:szCs w:val="20"/>
                <w:u w:val="none"/>
              </w:rPr>
            </w:pPr>
          </w:p>
        </w:tc>
      </w:tr>
      <w:tr w14:paraId="74273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DE121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F0005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智能控制平台</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D0B213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集中控制系统可执行各项分页控制。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（1）电源控制系统：智能化控制系统集中控制，具有过载、短路等保护功能；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（2）摇臂自动控制系统：系统集中控制教室摇臂功能。</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756EC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0F26F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58AECEF">
            <w:pPr>
              <w:rPr>
                <w:rFonts w:hint="eastAsia" w:ascii="方正仿宋_GB2312" w:hAnsi="方正仿宋_GB2312" w:eastAsia="方正仿宋_GB2312" w:cs="方正仿宋_GB2312"/>
                <w:i w:val="0"/>
                <w:iCs w:val="0"/>
                <w:color w:val="000000"/>
                <w:sz w:val="20"/>
                <w:szCs w:val="20"/>
                <w:u w:val="none"/>
              </w:rPr>
            </w:pPr>
          </w:p>
        </w:tc>
      </w:tr>
      <w:tr w14:paraId="1CC94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5756EB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4F876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温湿度监视系统</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D2CCAA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内置精密温湿度传感装置，实时监控房间内的温度和湿度，保障室内舒适的环境舒适性，能在智能控制平台及终端中实时显示当前环境的温度和湿度。</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E4375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项</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D021F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D904197">
            <w:pPr>
              <w:rPr>
                <w:rFonts w:hint="eastAsia" w:ascii="方正仿宋_GB2312" w:hAnsi="方正仿宋_GB2312" w:eastAsia="方正仿宋_GB2312" w:cs="方正仿宋_GB2312"/>
                <w:i w:val="0"/>
                <w:iCs w:val="0"/>
                <w:color w:val="000000"/>
                <w:sz w:val="20"/>
                <w:szCs w:val="20"/>
                <w:u w:val="none"/>
              </w:rPr>
            </w:pPr>
          </w:p>
        </w:tc>
      </w:tr>
      <w:tr w14:paraId="2F9F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34C69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FDD0E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升降电源</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AB26D9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由电源转换及动力驱动模块、电源升降模块、照明收纳模块、电源操作及控制模块组成；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一、电源转换及动力驱动模块：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1、外壳规格：≥325mm（L）×110mm（W）×275mm（H）（正负不超过30mm）；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2、外壳工艺材质：由ABS塑料一体注塑成型，具备抗化学腐蚀、耐热性、电绝缘性和耐候性；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3、内部构成：由开关电源和减速电动装置构成；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3.1、开关电源：输出电压DC≥24V，功率≥100W，具备过载、过压、短路保护功能。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3.2、减速电动装置：采用额定工作电压为12V-24V直流减速，用于驱动升降机构。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二、电源升降模块：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1、外壳规格：≥440mm（L）×155mm（W）×390mm（H）（正负不超过30mm）；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2、工艺材质：由≥1.5mm厚镀锌板与ABS塑料组成，金属部分表面经环氧树脂粉末喷涂并高温固化处理；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3、升降范围：以桌面为基准，支持垂直升降，行程调节范围为1200mm～1800mm；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4、升降方式：采用自动升降系统，电流实时监测，具备堵转保护与运行状态反馈；</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5、布线结构：旋转线槽采用轮毂结构设计，在旋转过程中避免跳线并保护电缆完整性；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6、通信电缆：采用9芯低烟无卤阻燃型复合通信电缆，用于连接电源操作及控制模块。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三、照明收纳模块：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1、外壳规格：≥φ385mm×145mm（H）（正负不超过30mm）；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2、外壳材质：壳体采用ABS塑料一体注塑成型，具备抗化学腐蚀、耐热性、电绝缘性和耐候性；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3、光源参数：采用铝基板高亮度白光LED灯，功率≥40W，照明方式为360°环形发光结构；灯光扩散片为透明亚克力材质，围绕LED灯设置≥60根防眩光格栅条，用于控制炫光。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四、电源操作及控制模块：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1、外壳规格：≥φ225mm×175mm（H）（正负不超过30mm）；集成≥2个RJ45网口、≥2个供电USB接口；≥4路220V多功能插座输出；≥1个到位停止触发按键；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2、工艺材质：壳体采用ABS塑料一体注塑成型，结构为圆弧形设计；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3、控制系统：以32位MCU为核心配合监测控制电路，对整个设备的升降、电源转换进行监测及输出响应控制；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4、显示界面：选用2.4寸（偏差±5%）触控显示屏，能够实现电流、电压的实时显示以及交/直流电压的输出设置；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5、交流输出：支持由学生或教师操作输出0-30V电源，分辨率为0.1V。0V-15.0V，额定电流≥3A；15.1V-30.0V，额定电流≥2A，具备过载报警保护功能；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6、直流输出：支持由学生或教师操作输出0-30V电源，分辨率为0.1V。0V-15.0V，额定电流≥3A；15.1V-30.0V，额定电流≥2A，具备过载报警保护功能；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7、锁定功能：当教师端启用锁定功能时，电源设置权限仅限教师端控制，学生端操作无效</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8、插座输出：额定电流≥5A，带安全门；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9、机械限位：模块底部设置限位式机械到位触发装置，当模块下落至桌面时触发停止信号，控制设备停止下降并启用供电功能。</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C575E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92916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040C892">
            <w:pPr>
              <w:rPr>
                <w:rFonts w:hint="eastAsia" w:ascii="方正仿宋_GB2312" w:hAnsi="方正仿宋_GB2312" w:eastAsia="方正仿宋_GB2312" w:cs="方正仿宋_GB2312"/>
                <w:i w:val="0"/>
                <w:iCs w:val="0"/>
                <w:color w:val="000000"/>
                <w:sz w:val="20"/>
                <w:szCs w:val="20"/>
                <w:u w:val="none"/>
              </w:rPr>
            </w:pPr>
          </w:p>
        </w:tc>
      </w:tr>
      <w:tr w14:paraId="77CA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19B14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3DF0A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空调</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2AB9E1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3P立柜式空调 电辅热冷暖空调，包含漏电保护开关及需要延长的铜管。</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98F65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95679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3C4EE7E">
            <w:pPr>
              <w:rPr>
                <w:rFonts w:hint="eastAsia" w:ascii="方正仿宋_GB2312" w:hAnsi="方正仿宋_GB2312" w:eastAsia="方正仿宋_GB2312" w:cs="方正仿宋_GB2312"/>
                <w:i w:val="0"/>
                <w:iCs w:val="0"/>
                <w:color w:val="000000"/>
                <w:sz w:val="20"/>
                <w:szCs w:val="20"/>
                <w:u w:val="none"/>
              </w:rPr>
            </w:pPr>
          </w:p>
        </w:tc>
      </w:tr>
      <w:tr w14:paraId="12020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5812E9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12</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0984F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综合布线</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89109A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电源线：采用4.0mm</w:t>
            </w:r>
            <w:r>
              <w:rPr>
                <w:rStyle w:val="45"/>
                <w:rFonts w:hint="eastAsia" w:ascii="方正仿宋_GB2312" w:hAnsi="方正仿宋_GB2312" w:eastAsia="方正仿宋_GB2312" w:cs="方正仿宋_GB2312"/>
                <w:sz w:val="20"/>
                <w:szCs w:val="20"/>
                <w:lang w:val="en-US" w:eastAsia="zh-CN" w:bidi="ar"/>
              </w:rPr>
              <w:t>²</w:t>
            </w:r>
            <w:r>
              <w:rPr>
                <w:rStyle w:val="31"/>
                <w:rFonts w:hint="eastAsia" w:ascii="方正仿宋_GB2312" w:hAnsi="方正仿宋_GB2312" w:eastAsia="方正仿宋_GB2312" w:cs="方正仿宋_GB2312"/>
                <w:sz w:val="20"/>
                <w:szCs w:val="20"/>
                <w:lang w:val="en-US" w:eastAsia="zh-CN" w:bidi="ar"/>
              </w:rPr>
              <w:t>铜软线铺设；选用Ф20或Ф25PVC阻燃线管。网线：六类线。</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11D59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项</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54E85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8F2D86C">
            <w:pPr>
              <w:rPr>
                <w:rFonts w:hint="eastAsia" w:ascii="方正仿宋_GB2312" w:hAnsi="方正仿宋_GB2312" w:eastAsia="方正仿宋_GB2312" w:cs="方正仿宋_GB2312"/>
                <w:i w:val="0"/>
                <w:iCs w:val="0"/>
                <w:color w:val="000000"/>
                <w:sz w:val="20"/>
                <w:szCs w:val="20"/>
                <w:u w:val="none"/>
              </w:rPr>
            </w:pPr>
          </w:p>
        </w:tc>
      </w:tr>
      <w:tr w14:paraId="6A4B3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5E7090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C90F6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安装辅件</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516E9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国标五金件；环氧树脂喷涂金属吊杆。</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F67EC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项</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6B9A9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BE8C303">
            <w:pPr>
              <w:rPr>
                <w:rFonts w:hint="eastAsia" w:ascii="方正仿宋_GB2312" w:hAnsi="方正仿宋_GB2312" w:eastAsia="方正仿宋_GB2312" w:cs="方正仿宋_GB2312"/>
                <w:i w:val="0"/>
                <w:iCs w:val="0"/>
                <w:color w:val="000000"/>
                <w:sz w:val="20"/>
                <w:szCs w:val="20"/>
                <w:u w:val="none"/>
              </w:rPr>
            </w:pPr>
          </w:p>
        </w:tc>
      </w:tr>
      <w:tr w14:paraId="3F5CF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3F656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14</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A2D7C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集成调试</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02A377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顶部设备整体安装，系统整体调试，包含升降功能、高低压电源系统调试、网络模块系统调试、USB接口调试等</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85EA5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项</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1B09D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1D0D296">
            <w:pPr>
              <w:rPr>
                <w:rFonts w:hint="eastAsia" w:ascii="方正仿宋_GB2312" w:hAnsi="方正仿宋_GB2312" w:eastAsia="方正仿宋_GB2312" w:cs="方正仿宋_GB2312"/>
                <w:i w:val="0"/>
                <w:iCs w:val="0"/>
                <w:color w:val="000000"/>
                <w:sz w:val="20"/>
                <w:szCs w:val="20"/>
                <w:u w:val="none"/>
              </w:rPr>
            </w:pPr>
          </w:p>
        </w:tc>
      </w:tr>
      <w:tr w14:paraId="649E7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67DE5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2DE48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教学条件升级</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386D3B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定制,1、顶部铝方通吊顶约100㎡，合理设置灯具数量和布局，确保教室各个角落的照明需求得到满足。2、刷自流地坪上铺设地胶铺设约100㎡。3、墙面乳胶漆，窗台大理石台面。4、学科窗帘3副（根据现场尺寸定做）。5、垃圾清运。6、实验室文化墙设计及安装。</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7FD8F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间</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D9DD8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D7000A4">
            <w:pPr>
              <w:rPr>
                <w:rFonts w:hint="eastAsia" w:ascii="方正仿宋_GB2312" w:hAnsi="方正仿宋_GB2312" w:eastAsia="方正仿宋_GB2312" w:cs="方正仿宋_GB2312"/>
                <w:i w:val="0"/>
                <w:iCs w:val="0"/>
                <w:color w:val="000000"/>
                <w:sz w:val="20"/>
                <w:szCs w:val="20"/>
                <w:u w:val="none"/>
              </w:rPr>
            </w:pPr>
          </w:p>
        </w:tc>
      </w:tr>
      <w:tr w14:paraId="7EE7C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A4555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16</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BFE0C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监控</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F6E05E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高清监控摄像头，实验室2个、准备室1个，并接入学校安防监控。</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CB6BA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A0D28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1345323">
            <w:pPr>
              <w:rPr>
                <w:rFonts w:hint="eastAsia" w:ascii="方正仿宋_GB2312" w:hAnsi="方正仿宋_GB2312" w:eastAsia="方正仿宋_GB2312" w:cs="方正仿宋_GB2312"/>
                <w:i w:val="0"/>
                <w:iCs w:val="0"/>
                <w:color w:val="000000"/>
                <w:sz w:val="20"/>
                <w:szCs w:val="20"/>
                <w:u w:val="none"/>
              </w:rPr>
            </w:pPr>
          </w:p>
        </w:tc>
      </w:tr>
      <w:tr w14:paraId="1AE23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3BA3C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17</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71A3B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准备台</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72DCCE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一、规格：2400*1200*760mm（正负不超过50mm）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二、台面：</w:t>
            </w:r>
            <w:r>
              <w:rPr>
                <w:rStyle w:val="41"/>
                <w:rFonts w:hint="eastAsia" w:ascii="方正仿宋_GB2312" w:hAnsi="方正仿宋_GB2312" w:eastAsia="方正仿宋_GB2312" w:cs="方正仿宋_GB2312"/>
                <w:sz w:val="20"/>
                <w:szCs w:val="20"/>
                <w:lang w:val="en-US" w:eastAsia="zh-CN" w:bidi="ar"/>
              </w:rPr>
              <w:t xml:space="preserve"> </w:t>
            </w:r>
            <w:r>
              <w:rPr>
                <w:rStyle w:val="31"/>
                <w:rFonts w:hint="eastAsia" w:ascii="方正仿宋_GB2312" w:hAnsi="方正仿宋_GB2312" w:eastAsia="方正仿宋_GB2312" w:cs="方正仿宋_GB2312"/>
                <w:sz w:val="20"/>
                <w:szCs w:val="20"/>
                <w:lang w:val="en-US" w:eastAsia="zh-CN" w:bidi="ar"/>
              </w:rPr>
              <w:t>采用12.7mm厚理化板。</w:t>
            </w:r>
            <w:r>
              <w:rPr>
                <w:rStyle w:val="31"/>
                <w:rFonts w:hint="eastAsia" w:ascii="方正仿宋_GB2312" w:hAnsi="方正仿宋_GB2312" w:eastAsia="方正仿宋_GB2312" w:cs="方正仿宋_GB2312"/>
                <w:sz w:val="20"/>
                <w:szCs w:val="20"/>
                <w:lang w:val="en-US" w:eastAsia="zh-CN" w:bidi="ar"/>
              </w:rPr>
              <w:br w:type="textWrapping"/>
            </w:r>
            <w:r>
              <w:rPr>
                <w:rStyle w:val="31"/>
                <w:rFonts w:hint="eastAsia" w:ascii="方正仿宋_GB2312" w:hAnsi="方正仿宋_GB2312" w:eastAsia="方正仿宋_GB2312" w:cs="方正仿宋_GB2312"/>
                <w:sz w:val="20"/>
                <w:szCs w:val="20"/>
                <w:lang w:val="en-US" w:eastAsia="zh-CN" w:bidi="ar"/>
              </w:rPr>
              <w:t>三、台身结构：新型塑铝结构。桌腿：采用工字型压铸铝一次成型，材料表面经高压静电喷涂环氧树脂防护层，耐酸碱，耐腐蚀处理。上腿规格：长580mm宽56mm高90mm（正负不超过10mm），壁厚3.0mm。下腿规格：长540mm宽51mm高80mm，壁厚3.0mm。</w:t>
            </w:r>
            <w:r>
              <w:rPr>
                <w:rStyle w:val="31"/>
                <w:rFonts w:hint="eastAsia" w:ascii="方正仿宋_GB2312" w:hAnsi="方正仿宋_GB2312" w:eastAsia="方正仿宋_GB2312" w:cs="方正仿宋_GB2312"/>
                <w:sz w:val="20"/>
                <w:szCs w:val="20"/>
                <w:lang w:val="en-US" w:eastAsia="zh-CN" w:bidi="ar"/>
              </w:rPr>
              <w:br w:type="textWrapping"/>
            </w:r>
            <w:r>
              <w:rPr>
                <w:rStyle w:val="31"/>
                <w:rFonts w:hint="eastAsia" w:ascii="方正仿宋_GB2312" w:hAnsi="方正仿宋_GB2312" w:eastAsia="方正仿宋_GB2312" w:cs="方正仿宋_GB2312"/>
                <w:sz w:val="20"/>
                <w:szCs w:val="20"/>
                <w:lang w:val="en-US" w:eastAsia="zh-CN" w:bidi="ar"/>
              </w:rPr>
              <w:t>四、立柱：采用加强横支撑件，材料表面经高压静电喷涂环氧树脂防护层，耐酸碱，耐腐蚀处理。</w:t>
            </w:r>
            <w:r>
              <w:rPr>
                <w:rStyle w:val="31"/>
                <w:rFonts w:hint="eastAsia" w:ascii="方正仿宋_GB2312" w:hAnsi="方正仿宋_GB2312" w:eastAsia="方正仿宋_GB2312" w:cs="方正仿宋_GB2312"/>
                <w:sz w:val="20"/>
                <w:szCs w:val="20"/>
                <w:lang w:val="en-US" w:eastAsia="zh-CN" w:bidi="ar"/>
              </w:rPr>
              <w:br w:type="textWrapping"/>
            </w:r>
            <w:r>
              <w:rPr>
                <w:rStyle w:val="31"/>
                <w:rFonts w:hint="eastAsia" w:ascii="方正仿宋_GB2312" w:hAnsi="方正仿宋_GB2312" w:eastAsia="方正仿宋_GB2312" w:cs="方正仿宋_GB2312"/>
                <w:sz w:val="20"/>
                <w:szCs w:val="20"/>
                <w:lang w:val="en-US" w:eastAsia="zh-CN" w:bidi="ar"/>
              </w:rPr>
              <w:t xml:space="preserve">五、书包斗:尺寸为480*290*152mm（正负不超过20mm）,壁厚≥2.0mm；采用环保型ABS工程塑料一次性注塑成型。  </w:t>
            </w:r>
            <w:r>
              <w:rPr>
                <w:rStyle w:val="31"/>
                <w:rFonts w:hint="eastAsia" w:ascii="方正仿宋_GB2312" w:hAnsi="方正仿宋_GB2312" w:eastAsia="方正仿宋_GB2312" w:cs="方正仿宋_GB2312"/>
                <w:sz w:val="20"/>
                <w:szCs w:val="20"/>
                <w:lang w:val="en-US" w:eastAsia="zh-CN" w:bidi="ar"/>
              </w:rPr>
              <w:br w:type="textWrapping"/>
            </w:r>
            <w:r>
              <w:rPr>
                <w:rStyle w:val="31"/>
                <w:rFonts w:hint="eastAsia" w:ascii="方正仿宋_GB2312" w:hAnsi="方正仿宋_GB2312" w:eastAsia="方正仿宋_GB2312" w:cs="方正仿宋_GB2312"/>
                <w:sz w:val="20"/>
                <w:szCs w:val="20"/>
                <w:lang w:val="en-US" w:eastAsia="zh-CN" w:bidi="ar"/>
              </w:rPr>
              <w:t>六、整体结构：台面理化板一体成型，桌身由桌腿、立柱、前横梁、中横梁、后横梁及加强横支撑件组成，学生位设书包斗 。</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18BE9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张</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15769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A569592">
            <w:pPr>
              <w:rPr>
                <w:rFonts w:hint="eastAsia" w:ascii="方正仿宋_GB2312" w:hAnsi="方正仿宋_GB2312" w:eastAsia="方正仿宋_GB2312" w:cs="方正仿宋_GB2312"/>
                <w:i w:val="0"/>
                <w:iCs w:val="0"/>
                <w:color w:val="000000"/>
                <w:sz w:val="20"/>
                <w:szCs w:val="20"/>
                <w:u w:val="none"/>
              </w:rPr>
            </w:pPr>
          </w:p>
        </w:tc>
      </w:tr>
      <w:tr w14:paraId="6B12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70FD4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18</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B38BA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仪器柜</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CBE808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一、PP仪器柜整体规格：1000×500×2000mm（正负不超过50mm）；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二、整体为可拆装活动式设计耐腐蚀性好经久耐用。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三、柜体：侧板、顶板、底板、层板采用改性PP材料模具一次成型，表面沙光和光面相结合处理，保证柜体之坚固及密封性，耐腐蚀性强，顶板、底板预留模具成型排风孔。底板、顶板底部都镶嵌15mm*30*1.0mm钢制横梁承重管。层板上两层下一层可随意组合高低。层板称重量能达到80公斤以上。</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四、上柜柜门：内框采用改性PP材质模具分内外两层中间镶嵌4mm厚钢化玻璃。上下拉手对称五点固定，伸缩弹簧式PP旋转门轴，四角R型倒角，内侧弧形圆边。配有专用加长机械锁。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五、下柜柜门：内外框采用改性PP材质模具注塑成型，整体颜色可选湛蓝或浅豆绿也可以选带钢化玻璃门，上下拉手及三角对称五点固定。伸缩弹簧式PP旋转门轴，四角R型倒角，内侧弧形圆边，配有加长机械锁。不锈钢材质固定、底部配有可调不不锈钢螺旋式地脚，本产品也可分体式存放。</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8FBC9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D1DD3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20</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427BC52">
            <w:pPr>
              <w:rPr>
                <w:rFonts w:hint="eastAsia" w:ascii="方正仿宋_GB2312" w:hAnsi="方正仿宋_GB2312" w:eastAsia="方正仿宋_GB2312" w:cs="方正仿宋_GB2312"/>
                <w:i w:val="0"/>
                <w:iCs w:val="0"/>
                <w:color w:val="000000"/>
                <w:sz w:val="20"/>
                <w:szCs w:val="20"/>
                <w:u w:val="none"/>
              </w:rPr>
            </w:pPr>
          </w:p>
        </w:tc>
      </w:tr>
      <w:tr w14:paraId="6AC52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9FE44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19</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3E524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安装调试及附件</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8609E2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整间准备室的安装调试及安装附件</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E6269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室</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8E94C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BA9B694">
            <w:pPr>
              <w:rPr>
                <w:rFonts w:hint="eastAsia" w:ascii="方正仿宋_GB2312" w:hAnsi="方正仿宋_GB2312" w:eastAsia="方正仿宋_GB2312" w:cs="方正仿宋_GB2312"/>
                <w:i w:val="0"/>
                <w:iCs w:val="0"/>
                <w:color w:val="000000"/>
                <w:sz w:val="20"/>
                <w:szCs w:val="20"/>
                <w:u w:val="none"/>
              </w:rPr>
            </w:pPr>
          </w:p>
        </w:tc>
      </w:tr>
      <w:tr w14:paraId="273E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6E120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5730C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工作服</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8601A5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棉</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3AEA2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件</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5E573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8A12582">
            <w:pPr>
              <w:rPr>
                <w:rFonts w:hint="eastAsia" w:ascii="方正仿宋_GB2312" w:hAnsi="方正仿宋_GB2312" w:eastAsia="方正仿宋_GB2312" w:cs="方正仿宋_GB2312"/>
                <w:i w:val="0"/>
                <w:iCs w:val="0"/>
                <w:color w:val="000000"/>
                <w:sz w:val="20"/>
                <w:szCs w:val="20"/>
                <w:u w:val="none"/>
              </w:rPr>
            </w:pPr>
          </w:p>
        </w:tc>
      </w:tr>
      <w:tr w14:paraId="28E3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CBF9B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63D4E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乳胶手套</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E1FC8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外观应一致，无褪色、薄点、气泡、杂质、粘折和其他影响使用性能的缺点。</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A869C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副</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8130A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84978EB">
            <w:pPr>
              <w:rPr>
                <w:rFonts w:hint="eastAsia" w:ascii="方正仿宋_GB2312" w:hAnsi="方正仿宋_GB2312" w:eastAsia="方正仿宋_GB2312" w:cs="方正仿宋_GB2312"/>
                <w:i w:val="0"/>
                <w:iCs w:val="0"/>
                <w:color w:val="000000"/>
                <w:sz w:val="20"/>
                <w:szCs w:val="20"/>
                <w:u w:val="none"/>
              </w:rPr>
            </w:pPr>
          </w:p>
        </w:tc>
      </w:tr>
      <w:tr w14:paraId="3EDC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5AB5A5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22</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A4348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机械危害防护手套</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9E1FE2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防护性能等级3级及以上</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D075C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副</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5EB1B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5CEE27D">
            <w:pPr>
              <w:rPr>
                <w:rFonts w:hint="eastAsia" w:ascii="方正仿宋_GB2312" w:hAnsi="方正仿宋_GB2312" w:eastAsia="方正仿宋_GB2312" w:cs="方正仿宋_GB2312"/>
                <w:i w:val="0"/>
                <w:iCs w:val="0"/>
                <w:color w:val="000000"/>
                <w:sz w:val="20"/>
                <w:szCs w:val="20"/>
                <w:u w:val="none"/>
              </w:rPr>
            </w:pPr>
          </w:p>
        </w:tc>
      </w:tr>
      <w:tr w14:paraId="1C41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0AEF6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46FAF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绝缘手套</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91EA3D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电压不高于 380 V 的低压防护</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01EE0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副</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36C68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F1D39E2">
            <w:pPr>
              <w:rPr>
                <w:rFonts w:hint="eastAsia" w:ascii="方正仿宋_GB2312" w:hAnsi="方正仿宋_GB2312" w:eastAsia="方正仿宋_GB2312" w:cs="方正仿宋_GB2312"/>
                <w:i w:val="0"/>
                <w:iCs w:val="0"/>
                <w:color w:val="000000"/>
                <w:sz w:val="20"/>
                <w:szCs w:val="20"/>
                <w:u w:val="none"/>
              </w:rPr>
            </w:pPr>
          </w:p>
        </w:tc>
      </w:tr>
      <w:tr w14:paraId="4C56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1408F0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24</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CEB96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绝缘手套</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74DA03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适用于直流电压高于 10 kV 的高压防护，电气绝缘性能应不低于级别 3</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8DACA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副</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E0E71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74D1C0E">
            <w:pPr>
              <w:rPr>
                <w:rFonts w:hint="eastAsia" w:ascii="方正仿宋_GB2312" w:hAnsi="方正仿宋_GB2312" w:eastAsia="方正仿宋_GB2312" w:cs="方正仿宋_GB2312"/>
                <w:i w:val="0"/>
                <w:iCs w:val="0"/>
                <w:color w:val="000000"/>
                <w:sz w:val="20"/>
                <w:szCs w:val="20"/>
                <w:u w:val="none"/>
              </w:rPr>
            </w:pPr>
          </w:p>
        </w:tc>
      </w:tr>
      <w:tr w14:paraId="18AD5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44F0EE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1B889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绝缘鞋</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16AD3F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全橡胶，在测试电压为 20 kV 时，泄漏电流应≤8 mA</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3E552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双</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198C5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24E208DC">
            <w:pPr>
              <w:rPr>
                <w:rFonts w:hint="eastAsia" w:ascii="方正仿宋_GB2312" w:hAnsi="方正仿宋_GB2312" w:eastAsia="方正仿宋_GB2312" w:cs="方正仿宋_GB2312"/>
                <w:i w:val="0"/>
                <w:iCs w:val="0"/>
                <w:color w:val="000000"/>
                <w:sz w:val="20"/>
                <w:szCs w:val="20"/>
                <w:u w:val="none"/>
              </w:rPr>
            </w:pPr>
          </w:p>
        </w:tc>
      </w:tr>
      <w:tr w14:paraId="10382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1D32B9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26</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6872C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套袖</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48AFD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棉</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548B9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A97E5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E4F5B44">
            <w:pPr>
              <w:rPr>
                <w:rFonts w:hint="eastAsia" w:ascii="方正仿宋_GB2312" w:hAnsi="方正仿宋_GB2312" w:eastAsia="方正仿宋_GB2312" w:cs="方正仿宋_GB2312"/>
                <w:i w:val="0"/>
                <w:iCs w:val="0"/>
                <w:color w:val="000000"/>
                <w:sz w:val="20"/>
                <w:szCs w:val="20"/>
                <w:u w:val="none"/>
              </w:rPr>
            </w:pPr>
          </w:p>
        </w:tc>
      </w:tr>
      <w:tr w14:paraId="11937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18EB42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27</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CE772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激光防护镜</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B0C859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激光类实验用，需与激光波长匹配</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9E3A5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1F3C1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59A13D06">
            <w:pPr>
              <w:rPr>
                <w:rFonts w:hint="eastAsia" w:ascii="方正仿宋_GB2312" w:hAnsi="方正仿宋_GB2312" w:eastAsia="方正仿宋_GB2312" w:cs="方正仿宋_GB2312"/>
                <w:i w:val="0"/>
                <w:iCs w:val="0"/>
                <w:color w:val="000000"/>
                <w:sz w:val="20"/>
                <w:szCs w:val="20"/>
                <w:u w:val="none"/>
              </w:rPr>
            </w:pPr>
          </w:p>
        </w:tc>
      </w:tr>
      <w:tr w14:paraId="32CC4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47521E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28</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78E61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护目镜</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7D61DC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防机械冲击</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C5096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A2944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0B72674">
            <w:pPr>
              <w:rPr>
                <w:rFonts w:hint="eastAsia" w:ascii="方正仿宋_GB2312" w:hAnsi="方正仿宋_GB2312" w:eastAsia="方正仿宋_GB2312" w:cs="方正仿宋_GB2312"/>
                <w:i w:val="0"/>
                <w:iCs w:val="0"/>
                <w:color w:val="000000"/>
                <w:sz w:val="20"/>
                <w:szCs w:val="20"/>
                <w:u w:val="none"/>
              </w:rPr>
            </w:pPr>
          </w:p>
        </w:tc>
      </w:tr>
      <w:tr w14:paraId="5FAE2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EB43E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29</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E521D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高压绝缘凳</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65FAE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绝缘耐受电压不小于 120 kV</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6B42D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6EA50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5A21B3BC">
            <w:pPr>
              <w:rPr>
                <w:rFonts w:hint="eastAsia" w:ascii="方正仿宋_GB2312" w:hAnsi="方正仿宋_GB2312" w:eastAsia="方正仿宋_GB2312" w:cs="方正仿宋_GB2312"/>
                <w:i w:val="0"/>
                <w:iCs w:val="0"/>
                <w:color w:val="000000"/>
                <w:sz w:val="20"/>
                <w:szCs w:val="20"/>
                <w:u w:val="none"/>
              </w:rPr>
            </w:pPr>
          </w:p>
        </w:tc>
      </w:tr>
      <w:tr w14:paraId="192FC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99AC4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B42D6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灭火毯</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702EEB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玻璃纤维材质，应有涂覆层，1800 mm×1200 mm</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55450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条</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DDA62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538A9ABD">
            <w:pPr>
              <w:rPr>
                <w:rFonts w:hint="eastAsia" w:ascii="方正仿宋_GB2312" w:hAnsi="方正仿宋_GB2312" w:eastAsia="方正仿宋_GB2312" w:cs="方正仿宋_GB2312"/>
                <w:i w:val="0"/>
                <w:iCs w:val="0"/>
                <w:color w:val="000000"/>
                <w:sz w:val="20"/>
                <w:szCs w:val="20"/>
                <w:u w:val="none"/>
              </w:rPr>
            </w:pPr>
          </w:p>
        </w:tc>
      </w:tr>
      <w:tr w14:paraId="029AD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CBC05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E766A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仪器车</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CAB1F5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600 mm×400 mm×1000 mm，橡胶包车轮，车轮Φ75 mm，厚 25 mm；2 轮带刹车，车轮固定时车架扭动量（上部）≤20mm；钢材制作，载重≥60 kg</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9A502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辆</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79692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52FD4B6">
            <w:pPr>
              <w:rPr>
                <w:rFonts w:hint="eastAsia" w:ascii="方正仿宋_GB2312" w:hAnsi="方正仿宋_GB2312" w:eastAsia="方正仿宋_GB2312" w:cs="方正仿宋_GB2312"/>
                <w:i w:val="0"/>
                <w:iCs w:val="0"/>
                <w:color w:val="000000"/>
                <w:sz w:val="20"/>
                <w:szCs w:val="20"/>
                <w:u w:val="none"/>
              </w:rPr>
            </w:pPr>
          </w:p>
        </w:tc>
      </w:tr>
      <w:tr w14:paraId="14A5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3CFFB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32</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7EB3A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二维空间-时间描迹仪</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3548C2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可用于平抛、斜抛、验证向心力、单摆运动图像等实验。高压脉冲频率：20 Hz、50 Hz、100 Hz。电源输入与外壳：I 类1500 V，II 类 3000 V；高压部分与外壳：15 kV</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E86EF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4130E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09FDB4B">
            <w:pPr>
              <w:rPr>
                <w:rFonts w:hint="eastAsia" w:ascii="方正仿宋_GB2312" w:hAnsi="方正仿宋_GB2312" w:eastAsia="方正仿宋_GB2312" w:cs="方正仿宋_GB2312"/>
                <w:i w:val="0"/>
                <w:iCs w:val="0"/>
                <w:color w:val="000000"/>
                <w:sz w:val="20"/>
                <w:szCs w:val="20"/>
                <w:u w:val="none"/>
              </w:rPr>
            </w:pPr>
          </w:p>
        </w:tc>
      </w:tr>
      <w:tr w14:paraId="3CFB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CAE25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5E205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平抛竖落仪</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BBDA40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重锤击打式，两球应同时落地</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9D75E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D404B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200A643E">
            <w:pPr>
              <w:rPr>
                <w:rFonts w:hint="eastAsia" w:ascii="方正仿宋_GB2312" w:hAnsi="方正仿宋_GB2312" w:eastAsia="方正仿宋_GB2312" w:cs="方正仿宋_GB2312"/>
                <w:i w:val="0"/>
                <w:iCs w:val="0"/>
                <w:color w:val="000000"/>
                <w:sz w:val="20"/>
                <w:szCs w:val="20"/>
                <w:u w:val="none"/>
              </w:rPr>
            </w:pPr>
          </w:p>
        </w:tc>
      </w:tr>
      <w:tr w14:paraId="5B7E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C0D25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34</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0D701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手摇离心转台</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B62C02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由机座、主动轮（带手柄）、从动轮、支杆等组成；从动轮与主动轮的转速比不低于 6 的整数倍，支杆直径 10 mm，全长 140 mm，支杆装配中心与从动轮轴的距离为 140 mm±1 mm；从动轮轴孔上段为圆柱孔，下段为圆锥孔，锥度为 1:20，大端直径 10 mm，上偏差允许＋0.15 mm；深度不小于 45 mm</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60DBE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C815A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C4B163A">
            <w:pPr>
              <w:rPr>
                <w:rFonts w:hint="eastAsia" w:ascii="方正仿宋_GB2312" w:hAnsi="方正仿宋_GB2312" w:eastAsia="方正仿宋_GB2312" w:cs="方正仿宋_GB2312"/>
                <w:i w:val="0"/>
                <w:iCs w:val="0"/>
                <w:color w:val="000000"/>
                <w:sz w:val="20"/>
                <w:szCs w:val="20"/>
                <w:u w:val="none"/>
              </w:rPr>
            </w:pPr>
          </w:p>
        </w:tc>
      </w:tr>
      <w:tr w14:paraId="2C34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C0C6C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1476B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动量传递演示器(碰撞球)</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663DF4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包括底板、立柱、横杆、横梁、钢球等。支架上悬挂 5 个等质量、等直径且相互接触的钢球，并设有微调装置，用来调节钢球高低。钢球直径不小于 20 mm</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3FCC9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394AA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17315DA">
            <w:pPr>
              <w:rPr>
                <w:rFonts w:hint="eastAsia" w:ascii="方正仿宋_GB2312" w:hAnsi="方正仿宋_GB2312" w:eastAsia="方正仿宋_GB2312" w:cs="方正仿宋_GB2312"/>
                <w:i w:val="0"/>
                <w:iCs w:val="0"/>
                <w:color w:val="000000"/>
                <w:sz w:val="20"/>
                <w:szCs w:val="20"/>
                <w:u w:val="none"/>
              </w:rPr>
            </w:pPr>
          </w:p>
        </w:tc>
      </w:tr>
      <w:tr w14:paraId="5B099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F9A63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36</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A7A4F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反冲运动演示器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916BEA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水介质压力驱动式；盛水量≥1000 mL，一次储水后应能使旋转体转动不少于 3 周；旋转式各喷嘴都为顺时针（或逆时针）方向，应沿旋转时圆周的切线方向；喷嘴在旋转体上的分布应能保持旋转体的动平衡；喷出的水应能收集在储水槽内</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C705E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8604D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1A31026">
            <w:pPr>
              <w:rPr>
                <w:rFonts w:hint="eastAsia" w:ascii="方正仿宋_GB2312" w:hAnsi="方正仿宋_GB2312" w:eastAsia="方正仿宋_GB2312" w:cs="方正仿宋_GB2312"/>
                <w:i w:val="0"/>
                <w:iCs w:val="0"/>
                <w:color w:val="000000"/>
                <w:sz w:val="20"/>
                <w:szCs w:val="20"/>
                <w:u w:val="none"/>
              </w:rPr>
            </w:pPr>
          </w:p>
        </w:tc>
      </w:tr>
      <w:tr w14:paraId="038B1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42D16B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37</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D9271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弹簧振子振动图像描绘器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04B3EC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纸带式， 自动稳定走纸</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135D3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422B3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26C54275">
            <w:pPr>
              <w:rPr>
                <w:rFonts w:hint="eastAsia" w:ascii="方正仿宋_GB2312" w:hAnsi="方正仿宋_GB2312" w:eastAsia="方正仿宋_GB2312" w:cs="方正仿宋_GB2312"/>
                <w:i w:val="0"/>
                <w:iCs w:val="0"/>
                <w:color w:val="000000"/>
                <w:sz w:val="20"/>
                <w:szCs w:val="20"/>
                <w:u w:val="none"/>
              </w:rPr>
            </w:pPr>
          </w:p>
        </w:tc>
      </w:tr>
      <w:tr w14:paraId="55D8A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5FA088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38</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53064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单摆振动图像演示器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DAB8F4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磁粉板式，能形成连续图形</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1C9B7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C0368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F458EDB">
            <w:pPr>
              <w:rPr>
                <w:rFonts w:hint="eastAsia" w:ascii="方正仿宋_GB2312" w:hAnsi="方正仿宋_GB2312" w:eastAsia="方正仿宋_GB2312" w:cs="方正仿宋_GB2312"/>
                <w:i w:val="0"/>
                <w:iCs w:val="0"/>
                <w:color w:val="000000"/>
                <w:sz w:val="20"/>
                <w:szCs w:val="20"/>
                <w:u w:val="none"/>
              </w:rPr>
            </w:pPr>
          </w:p>
        </w:tc>
      </w:tr>
      <w:tr w14:paraId="62968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586A2F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39</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76792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单摆运动规律演示器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59A922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摆球质量、摆长可改变，用电磁铁定性 模拟改变重力加速度</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163DD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F64A7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0B17A62">
            <w:pPr>
              <w:rPr>
                <w:rFonts w:hint="eastAsia" w:ascii="方正仿宋_GB2312" w:hAnsi="方正仿宋_GB2312" w:eastAsia="方正仿宋_GB2312" w:cs="方正仿宋_GB2312"/>
                <w:i w:val="0"/>
                <w:iCs w:val="0"/>
                <w:color w:val="000000"/>
                <w:sz w:val="20"/>
                <w:szCs w:val="20"/>
                <w:u w:val="none"/>
              </w:rPr>
            </w:pPr>
          </w:p>
        </w:tc>
      </w:tr>
      <w:tr w14:paraId="350D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58C07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49382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受迫振动和共振演示器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A4220A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改变策动摆摆长，可分别使 5 个摆长不同的单摆发生共振，用来演示驱动力周期和单摆固有周期相同时发生共振</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D3A80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4812A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2E694BD">
            <w:pPr>
              <w:rPr>
                <w:rFonts w:hint="eastAsia" w:ascii="方正仿宋_GB2312" w:hAnsi="方正仿宋_GB2312" w:eastAsia="方正仿宋_GB2312" w:cs="方正仿宋_GB2312"/>
                <w:i w:val="0"/>
                <w:iCs w:val="0"/>
                <w:color w:val="000000"/>
                <w:sz w:val="20"/>
                <w:szCs w:val="20"/>
                <w:u w:val="none"/>
              </w:rPr>
            </w:pPr>
          </w:p>
        </w:tc>
      </w:tr>
      <w:tr w14:paraId="78CCA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42858F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38DB6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共振演示器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045C11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由两个固有频率不同的弹簧振子、带显示屏直读的计时器等组成，显示屏可以显示振子振动周期等。用来演示驱动力周期和受迫振动周期相同时发生共振</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68A2F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9E94A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272F4FEF">
            <w:pPr>
              <w:rPr>
                <w:rFonts w:hint="eastAsia" w:ascii="方正仿宋_GB2312" w:hAnsi="方正仿宋_GB2312" w:eastAsia="方正仿宋_GB2312" w:cs="方正仿宋_GB2312"/>
                <w:i w:val="0"/>
                <w:iCs w:val="0"/>
                <w:color w:val="000000"/>
                <w:sz w:val="20"/>
                <w:szCs w:val="20"/>
                <w:u w:val="none"/>
              </w:rPr>
            </w:pPr>
          </w:p>
        </w:tc>
      </w:tr>
      <w:tr w14:paraId="5E2E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DF5EB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42</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E016F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纵波演示器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5C516F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用于演示纵波实验，由振动器及纵向波弹簧组成；波的密部和疏部现象明显，波的传播可见距离不少于 2 个单程</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884E4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A198F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F3D2C26">
            <w:pPr>
              <w:rPr>
                <w:rFonts w:hint="eastAsia" w:ascii="方正仿宋_GB2312" w:hAnsi="方正仿宋_GB2312" w:eastAsia="方正仿宋_GB2312" w:cs="方正仿宋_GB2312"/>
                <w:i w:val="0"/>
                <w:iCs w:val="0"/>
                <w:color w:val="000000"/>
                <w:sz w:val="20"/>
                <w:szCs w:val="20"/>
                <w:u w:val="none"/>
              </w:rPr>
            </w:pPr>
          </w:p>
        </w:tc>
      </w:tr>
      <w:tr w14:paraId="5064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4156E6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5E688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绳波演示器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076815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横波、行波、驻波、模拟偏振</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28736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8D4B9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A0782A1">
            <w:pPr>
              <w:rPr>
                <w:rFonts w:hint="eastAsia" w:ascii="方正仿宋_GB2312" w:hAnsi="方正仿宋_GB2312" w:eastAsia="方正仿宋_GB2312" w:cs="方正仿宋_GB2312"/>
                <w:i w:val="0"/>
                <w:iCs w:val="0"/>
                <w:color w:val="000000"/>
                <w:sz w:val="20"/>
                <w:szCs w:val="20"/>
                <w:u w:val="none"/>
              </w:rPr>
            </w:pPr>
          </w:p>
        </w:tc>
      </w:tr>
      <w:tr w14:paraId="1E913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A9D57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44</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D013F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声速测量仪</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46A411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共鸣管式</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E6D03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2237B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1C2A82A">
            <w:pPr>
              <w:rPr>
                <w:rFonts w:hint="eastAsia" w:ascii="方正仿宋_GB2312" w:hAnsi="方正仿宋_GB2312" w:eastAsia="方正仿宋_GB2312" w:cs="方正仿宋_GB2312"/>
                <w:i w:val="0"/>
                <w:iCs w:val="0"/>
                <w:color w:val="000000"/>
                <w:sz w:val="20"/>
                <w:szCs w:val="20"/>
                <w:u w:val="none"/>
              </w:rPr>
            </w:pPr>
          </w:p>
        </w:tc>
      </w:tr>
      <w:tr w14:paraId="7443D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C1DB6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D6428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波的合成演示器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543873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以质点位移叠加的方式实现两列波的合成，演示两个脉冲波的叠加（包括同向和反向振动）</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92DBF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6F298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DB439B7">
            <w:pPr>
              <w:rPr>
                <w:rFonts w:hint="eastAsia" w:ascii="方正仿宋_GB2312" w:hAnsi="方正仿宋_GB2312" w:eastAsia="方正仿宋_GB2312" w:cs="方正仿宋_GB2312"/>
                <w:i w:val="0"/>
                <w:iCs w:val="0"/>
                <w:color w:val="000000"/>
                <w:sz w:val="20"/>
                <w:szCs w:val="20"/>
                <w:u w:val="none"/>
              </w:rPr>
            </w:pPr>
          </w:p>
        </w:tc>
      </w:tr>
      <w:tr w14:paraId="11FFA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2881E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46</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53532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多普勒效应演示器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096A0C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由蜂鸣器盒、开关、转杆、转轴、平衡铁、底座、调速器等组成；声源快速移动时，可通过仪器观察到声波频率发生变化或者听到的音调有明显变化；转速无级调速，采用红外遥控器控制；蜂鸣器发声频率 2500 Hz～3500 Hz</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0A4DD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50141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51A97B22">
            <w:pPr>
              <w:rPr>
                <w:rFonts w:hint="eastAsia" w:ascii="方正仿宋_GB2312" w:hAnsi="方正仿宋_GB2312" w:eastAsia="方正仿宋_GB2312" w:cs="方正仿宋_GB2312"/>
                <w:i w:val="0"/>
                <w:iCs w:val="0"/>
                <w:color w:val="000000"/>
                <w:sz w:val="20"/>
                <w:szCs w:val="20"/>
                <w:u w:val="none"/>
              </w:rPr>
            </w:pPr>
          </w:p>
        </w:tc>
      </w:tr>
      <w:tr w14:paraId="7A2A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A43FB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47</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E87F8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伽尔顿板（道尔顿板）</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10E0F9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固定速率，能利用小球堆积的包络线模拟正态分布曲线，从而模拟统计规律</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51A24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966BF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20F8D198">
            <w:pPr>
              <w:rPr>
                <w:rFonts w:hint="eastAsia" w:ascii="方正仿宋_GB2312" w:hAnsi="方正仿宋_GB2312" w:eastAsia="方正仿宋_GB2312" w:cs="方正仿宋_GB2312"/>
                <w:i w:val="0"/>
                <w:iCs w:val="0"/>
                <w:color w:val="000000"/>
                <w:sz w:val="20"/>
                <w:szCs w:val="20"/>
                <w:u w:val="none"/>
              </w:rPr>
            </w:pPr>
          </w:p>
        </w:tc>
      </w:tr>
      <w:tr w14:paraId="451AA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A1A0F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48</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591FE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内聚力演示器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508DCF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由 2 个铅圆柱体、旋转式刮削器、挤压器和 2 根扳杆组成；圆柱体尺寸约Φ20mm×50 mm，铅柱镶铁部分长度约为铅圆柱长度的 1/2，挤压架应采用铁质结构，2 个铅圆柱体应能装入挤压器中，通过螺旋实现挤压；挤压器螺旋挤压的最大和最小距离差应≥35 mm，挤压器装入铅圆柱挤压至人力不能继续挤压时，在挤压方向的形变应≤0.25 mm；刮削器由转柄、刀片和刀轴组成，削平的两铅圆柱体端面压在一起后，承受轴向拉力应≥60 N</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1BDCF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FB056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991593C">
            <w:pPr>
              <w:rPr>
                <w:rFonts w:hint="eastAsia" w:ascii="方正仿宋_GB2312" w:hAnsi="方正仿宋_GB2312" w:eastAsia="方正仿宋_GB2312" w:cs="方正仿宋_GB2312"/>
                <w:i w:val="0"/>
                <w:iCs w:val="0"/>
                <w:color w:val="000000"/>
                <w:sz w:val="20"/>
                <w:szCs w:val="20"/>
                <w:u w:val="none"/>
              </w:rPr>
            </w:pPr>
          </w:p>
        </w:tc>
      </w:tr>
      <w:tr w14:paraId="4F42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5B899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49</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56F26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毛细现象演示器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86BD25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应由直立的毛细管组和玻璃连通装置两部分组成，分别固定于支架背板上。毛细管组由三根固定在支架上的毛细管组成，毛细管的内径分别为Φ0.3 mm±0.1mm、 Φ0.6 mm±0.1 mm 和Φ0.9 mm±0.1mm，管长为 200 mm±1 mm。毛细管的外径、外观缺陷和内应力要求应符合 JY/T0450。每套实验器应另配三种规格的毛细管各 10 支作为备件。毛细管的耐水性应达到 HGB1 级</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9AD7B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EFC41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41D6B3C">
            <w:pPr>
              <w:rPr>
                <w:rFonts w:hint="eastAsia" w:ascii="方正仿宋_GB2312" w:hAnsi="方正仿宋_GB2312" w:eastAsia="方正仿宋_GB2312" w:cs="方正仿宋_GB2312"/>
                <w:i w:val="0"/>
                <w:iCs w:val="0"/>
                <w:color w:val="000000"/>
                <w:sz w:val="20"/>
                <w:szCs w:val="20"/>
                <w:u w:val="none"/>
              </w:rPr>
            </w:pPr>
          </w:p>
        </w:tc>
      </w:tr>
      <w:tr w14:paraId="33199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E3299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29999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气压模拟演示器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82BA57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由透明塑料气缸、活塞、钢球、振动器等组成，振动器振动幅度可调（模拟温度变化）</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CF49C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ED13D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7D7F4BA">
            <w:pPr>
              <w:rPr>
                <w:rFonts w:hint="eastAsia" w:ascii="方正仿宋_GB2312" w:hAnsi="方正仿宋_GB2312" w:eastAsia="方正仿宋_GB2312" w:cs="方正仿宋_GB2312"/>
                <w:i w:val="0"/>
                <w:iCs w:val="0"/>
                <w:color w:val="000000"/>
                <w:sz w:val="20"/>
                <w:szCs w:val="20"/>
                <w:u w:val="none"/>
              </w:rPr>
            </w:pPr>
          </w:p>
        </w:tc>
      </w:tr>
      <w:tr w14:paraId="3AC1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CE4B3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E79CF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空气压缩引火仪</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8D8EC7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由气缸、底座、端盖、活塞等部分组成。气缸用透明有机玻璃制作，内径Φ10mm，外径Φ25 mm，长 130 mm，底座Φ65 mm，手柄Φ40 mm，活塞杆Φ8 mm。活塞体应使用弹性材料制成，活塞与气缸气密性应良好，连续压缩引火 100 次后密封圈性能不变。应能引燃脱脂棉，不应使用硝化棉</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54D3C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CC392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18996CF">
            <w:pPr>
              <w:rPr>
                <w:rFonts w:hint="eastAsia" w:ascii="方正仿宋_GB2312" w:hAnsi="方正仿宋_GB2312" w:eastAsia="方正仿宋_GB2312" w:cs="方正仿宋_GB2312"/>
                <w:i w:val="0"/>
                <w:iCs w:val="0"/>
                <w:color w:val="000000"/>
                <w:sz w:val="20"/>
                <w:szCs w:val="20"/>
                <w:u w:val="none"/>
              </w:rPr>
            </w:pPr>
          </w:p>
        </w:tc>
      </w:tr>
      <w:tr w14:paraId="10C05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420A7D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52</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FAC26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气体做功内能减少演示器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61C357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气体做功部分应由贮气筒、安全阀、压力表、活塞及活塞筒、进气口（带单向阀）、排气阀组成，固定在底座上。贮气筒应采用透明材料制造，应能承受0.35 MPa 的内压强；在贮气筒内绝对压强达到 0.25 MPa 时，15 min 后压强应不小于 0.22 MPa。与两用气筒配套使用</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74356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3857B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2F3DA6A">
            <w:pPr>
              <w:rPr>
                <w:rFonts w:hint="eastAsia" w:ascii="方正仿宋_GB2312" w:hAnsi="方正仿宋_GB2312" w:eastAsia="方正仿宋_GB2312" w:cs="方正仿宋_GB2312"/>
                <w:i w:val="0"/>
                <w:iCs w:val="0"/>
                <w:color w:val="000000"/>
                <w:sz w:val="20"/>
                <w:szCs w:val="20"/>
                <w:u w:val="none"/>
              </w:rPr>
            </w:pPr>
          </w:p>
        </w:tc>
      </w:tr>
      <w:tr w14:paraId="21884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476718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CDF1F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气体做功内能减少演示器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8956EB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30 mL 或 50 mL 注射器，配套微电流放大器、电桥使用；有两个外接端口，可以插入数字感温探头和感压探头</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EA4B5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AC93C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FC3D23C">
            <w:pPr>
              <w:rPr>
                <w:rFonts w:hint="eastAsia" w:ascii="方正仿宋_GB2312" w:hAnsi="方正仿宋_GB2312" w:eastAsia="方正仿宋_GB2312" w:cs="方正仿宋_GB2312"/>
                <w:i w:val="0"/>
                <w:iCs w:val="0"/>
                <w:color w:val="000000"/>
                <w:sz w:val="20"/>
                <w:szCs w:val="20"/>
                <w:u w:val="none"/>
              </w:rPr>
            </w:pPr>
          </w:p>
        </w:tc>
      </w:tr>
      <w:tr w14:paraId="7D54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3B8D5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54</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69F96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半导体致冷器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1CAED3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由致冷片、散热器、水槽、水箱、接线柱等组成。能温差发电，冷、热端温差为 50 ℃±2 ℃时，在 15 Ω负载电阻上输出电压应达到 1.2 V 以上，并能持续60 s 时间</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374FB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A9CE1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72C2554">
            <w:pPr>
              <w:rPr>
                <w:rFonts w:hint="eastAsia" w:ascii="方正仿宋_GB2312" w:hAnsi="方正仿宋_GB2312" w:eastAsia="方正仿宋_GB2312" w:cs="方正仿宋_GB2312"/>
                <w:i w:val="0"/>
                <w:iCs w:val="0"/>
                <w:color w:val="000000"/>
                <w:sz w:val="20"/>
                <w:szCs w:val="20"/>
                <w:u w:val="none"/>
              </w:rPr>
            </w:pPr>
          </w:p>
        </w:tc>
      </w:tr>
      <w:tr w14:paraId="4DEC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42A958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5C18D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水轮机模型</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7F1348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混流式和轴流式水轮机模型，从注满水到水流尽，叶轮应能连续转动不低于 15s。冲击式（水斗式）模型在没有喷水时，转轮应随遇平衡，在任何位置都不应自动转动。在喷水时，任一水斗式叶片装满约二分之一水时应开始转动。模型转动所需水流量应不大于 50 mL/s</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DB0F9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47894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C163F45">
            <w:pPr>
              <w:rPr>
                <w:rFonts w:hint="eastAsia" w:ascii="方正仿宋_GB2312" w:hAnsi="方正仿宋_GB2312" w:eastAsia="方正仿宋_GB2312" w:cs="方正仿宋_GB2312"/>
                <w:i w:val="0"/>
                <w:iCs w:val="0"/>
                <w:color w:val="000000"/>
                <w:sz w:val="20"/>
                <w:szCs w:val="20"/>
                <w:u w:val="none"/>
              </w:rPr>
            </w:pPr>
          </w:p>
        </w:tc>
      </w:tr>
      <w:tr w14:paraId="7C8C1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5FEDF9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56</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E147A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光导纤维原理演示器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DA410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能够直观演示光在光导纤维中的全反射现象</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49091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6913F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0C614A0">
            <w:pPr>
              <w:rPr>
                <w:rFonts w:hint="eastAsia" w:ascii="方正仿宋_GB2312" w:hAnsi="方正仿宋_GB2312" w:eastAsia="方正仿宋_GB2312" w:cs="方正仿宋_GB2312"/>
                <w:i w:val="0"/>
                <w:iCs w:val="0"/>
                <w:color w:val="000000"/>
                <w:sz w:val="20"/>
                <w:szCs w:val="20"/>
                <w:u w:val="none"/>
              </w:rPr>
            </w:pPr>
          </w:p>
        </w:tc>
      </w:tr>
      <w:tr w14:paraId="5A046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B081C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57</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735F6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库仑扭秤模型</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73124D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由悬丝、横杆、两个带电金属小球，一个平衡小球，一个移电小球、旋钮和电磁阻尼部分等组成。仪器封装在有机玻璃罩内，玻璃罩的下半部分做成可开合的门，以便清洁绝缘横杆和竖立支杆，调整绝缘横杆的水平，使金属小球带电等。仪器的底座上装有三个螺旋支脚，旋转支脚，可调底座水平</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253A2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EEE7A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028C45A">
            <w:pPr>
              <w:rPr>
                <w:rFonts w:hint="eastAsia" w:ascii="方正仿宋_GB2312" w:hAnsi="方正仿宋_GB2312" w:eastAsia="方正仿宋_GB2312" w:cs="方正仿宋_GB2312"/>
                <w:i w:val="0"/>
                <w:iCs w:val="0"/>
                <w:color w:val="000000"/>
                <w:sz w:val="20"/>
                <w:szCs w:val="20"/>
                <w:u w:val="none"/>
              </w:rPr>
            </w:pPr>
          </w:p>
        </w:tc>
      </w:tr>
      <w:tr w14:paraId="69086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527853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58</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E30E1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库仑定律演示器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9D3D6F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仪器由测微器、悬丝、平衡组、小筒体、大筒体、定球组、底座、三脚架和阻尼器组成。</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9CF65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DD6FA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2C8F91E">
            <w:pPr>
              <w:rPr>
                <w:rFonts w:hint="eastAsia" w:ascii="方正仿宋_GB2312" w:hAnsi="方正仿宋_GB2312" w:eastAsia="方正仿宋_GB2312" w:cs="方正仿宋_GB2312"/>
                <w:i w:val="0"/>
                <w:iCs w:val="0"/>
                <w:color w:val="000000"/>
                <w:sz w:val="20"/>
                <w:szCs w:val="20"/>
                <w:u w:val="none"/>
              </w:rPr>
            </w:pPr>
          </w:p>
        </w:tc>
      </w:tr>
      <w:tr w14:paraId="109FD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E930E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59</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275FD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避雷针演示器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DBF356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可演示避雷针工作原理，可对比相同放电距离的球形和尖端电极火花放电情况</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FABBF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7FE0F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38896D4">
            <w:pPr>
              <w:rPr>
                <w:rFonts w:hint="eastAsia" w:ascii="方正仿宋_GB2312" w:hAnsi="方正仿宋_GB2312" w:eastAsia="方正仿宋_GB2312" w:cs="方正仿宋_GB2312"/>
                <w:i w:val="0"/>
                <w:iCs w:val="0"/>
                <w:color w:val="000000"/>
                <w:sz w:val="20"/>
                <w:szCs w:val="20"/>
                <w:u w:val="none"/>
              </w:rPr>
            </w:pPr>
          </w:p>
        </w:tc>
      </w:tr>
      <w:tr w14:paraId="040AA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493F82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FFBB8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静电电压表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B8D372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非接触式</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CD950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4C6A6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57A763D9">
            <w:pPr>
              <w:rPr>
                <w:rFonts w:hint="eastAsia" w:ascii="方正仿宋_GB2312" w:hAnsi="方正仿宋_GB2312" w:eastAsia="方正仿宋_GB2312" w:cs="方正仿宋_GB2312"/>
                <w:i w:val="0"/>
                <w:iCs w:val="0"/>
                <w:color w:val="000000"/>
                <w:sz w:val="20"/>
                <w:szCs w:val="20"/>
                <w:u w:val="none"/>
              </w:rPr>
            </w:pPr>
          </w:p>
        </w:tc>
      </w:tr>
      <w:tr w14:paraId="3A8AA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207FF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7DC49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静电释放器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CD2D5D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立式。由静电导体球、不锈钢立柱、静电接地线等组成。导体球直径 100 mm。触摸 3 s 以上，充分释放人体静电</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03CF5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23019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E7B7AF1">
            <w:pPr>
              <w:rPr>
                <w:rFonts w:hint="eastAsia" w:ascii="方正仿宋_GB2312" w:hAnsi="方正仿宋_GB2312" w:eastAsia="方正仿宋_GB2312" w:cs="方正仿宋_GB2312"/>
                <w:i w:val="0"/>
                <w:iCs w:val="0"/>
                <w:color w:val="000000"/>
                <w:sz w:val="20"/>
                <w:szCs w:val="20"/>
                <w:u w:val="none"/>
              </w:rPr>
            </w:pPr>
          </w:p>
        </w:tc>
      </w:tr>
      <w:tr w14:paraId="6A92C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CB7C8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62</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0A537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静电实验箱</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A16B79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可演示静电除尘、静电屏蔽、静电植绒、静电乒乓、静电喷漆、静电复印、静电离子风发动机等实验</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CC95C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86A8C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701D2FF">
            <w:pPr>
              <w:rPr>
                <w:rFonts w:hint="eastAsia" w:ascii="方正仿宋_GB2312" w:hAnsi="方正仿宋_GB2312" w:eastAsia="方正仿宋_GB2312" w:cs="方正仿宋_GB2312"/>
                <w:i w:val="0"/>
                <w:iCs w:val="0"/>
                <w:color w:val="000000"/>
                <w:sz w:val="20"/>
                <w:szCs w:val="20"/>
                <w:u w:val="none"/>
              </w:rPr>
            </w:pPr>
          </w:p>
        </w:tc>
      </w:tr>
      <w:tr w14:paraId="4FD18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37DDF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0B360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蓄电池</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1B465A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 V，12 Ah，阀控式</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A7148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5354F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50634E9A">
            <w:pPr>
              <w:rPr>
                <w:rFonts w:hint="eastAsia" w:ascii="方正仿宋_GB2312" w:hAnsi="方正仿宋_GB2312" w:eastAsia="方正仿宋_GB2312" w:cs="方正仿宋_GB2312"/>
                <w:i w:val="0"/>
                <w:iCs w:val="0"/>
                <w:color w:val="000000"/>
                <w:sz w:val="20"/>
                <w:szCs w:val="20"/>
                <w:u w:val="none"/>
              </w:rPr>
            </w:pPr>
          </w:p>
        </w:tc>
      </w:tr>
      <w:tr w14:paraId="7FB40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4142A2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64</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3CEAE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电容表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2EC5DC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数字式，3-1/2 位或 4-1/2 位数码管，测量范围 200 pF～20000 μF</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33B84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9968F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2419F496">
            <w:pPr>
              <w:rPr>
                <w:rFonts w:hint="eastAsia" w:ascii="方正仿宋_GB2312" w:hAnsi="方正仿宋_GB2312" w:eastAsia="方正仿宋_GB2312" w:cs="方正仿宋_GB2312"/>
                <w:i w:val="0"/>
                <w:iCs w:val="0"/>
                <w:color w:val="000000"/>
                <w:sz w:val="20"/>
                <w:szCs w:val="20"/>
                <w:u w:val="none"/>
              </w:rPr>
            </w:pPr>
          </w:p>
        </w:tc>
      </w:tr>
      <w:tr w14:paraId="0B64D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87F4D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2DF30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演示电表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9622E2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磁电系低阻交直流，2.5 级</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0A974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0ACB3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CE53F1F">
            <w:pPr>
              <w:rPr>
                <w:rFonts w:hint="eastAsia" w:ascii="方正仿宋_GB2312" w:hAnsi="方正仿宋_GB2312" w:eastAsia="方正仿宋_GB2312" w:cs="方正仿宋_GB2312"/>
                <w:i w:val="0"/>
                <w:iCs w:val="0"/>
                <w:color w:val="000000"/>
                <w:sz w:val="20"/>
                <w:szCs w:val="20"/>
                <w:u w:val="none"/>
              </w:rPr>
            </w:pPr>
          </w:p>
        </w:tc>
      </w:tr>
      <w:tr w14:paraId="4FFA8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F62B1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66</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290AE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数字低压电压表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2CF95D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液晶显示，电池供电，采用4 mm 插头插孔；测量范围 0 V～39.9 V，3-3/4 位；1 min 自动关电，过载自恢复</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03AE8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B1A46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510091F">
            <w:pPr>
              <w:rPr>
                <w:rFonts w:hint="eastAsia" w:ascii="方正仿宋_GB2312" w:hAnsi="方正仿宋_GB2312" w:eastAsia="方正仿宋_GB2312" w:cs="方正仿宋_GB2312"/>
                <w:i w:val="0"/>
                <w:iCs w:val="0"/>
                <w:color w:val="000000"/>
                <w:sz w:val="20"/>
                <w:szCs w:val="20"/>
                <w:u w:val="none"/>
              </w:rPr>
            </w:pPr>
          </w:p>
        </w:tc>
      </w:tr>
      <w:tr w14:paraId="157C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C42DE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67</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86B3C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直流电流表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73F0DB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0.6 A、1.5 A、3 A 三量程，2.5 级</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F35F3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0C6DE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1D42EF1">
            <w:pPr>
              <w:rPr>
                <w:rFonts w:hint="eastAsia" w:ascii="方正仿宋_GB2312" w:hAnsi="方正仿宋_GB2312" w:eastAsia="方正仿宋_GB2312" w:cs="方正仿宋_GB2312"/>
                <w:i w:val="0"/>
                <w:iCs w:val="0"/>
                <w:color w:val="000000"/>
                <w:sz w:val="20"/>
                <w:szCs w:val="20"/>
                <w:u w:val="none"/>
              </w:rPr>
            </w:pPr>
          </w:p>
        </w:tc>
      </w:tr>
      <w:tr w14:paraId="7346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95CE2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68</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3E449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多用电表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49019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数字式，4-1/2 位，电压、电流、电阻、 电容、二极管、温度、频率测试</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CB89C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C496F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8FD305F">
            <w:pPr>
              <w:rPr>
                <w:rFonts w:hint="eastAsia" w:ascii="方正仿宋_GB2312" w:hAnsi="方正仿宋_GB2312" w:eastAsia="方正仿宋_GB2312" w:cs="方正仿宋_GB2312"/>
                <w:i w:val="0"/>
                <w:iCs w:val="0"/>
                <w:color w:val="000000"/>
                <w:sz w:val="20"/>
                <w:szCs w:val="20"/>
                <w:u w:val="none"/>
              </w:rPr>
            </w:pPr>
          </w:p>
        </w:tc>
      </w:tr>
      <w:tr w14:paraId="3C6D4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82C42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69</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C80E6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电阻定律演示器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003822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由底板、2 种金属导线（康铜、镍铬）、 接线柱、连接片、支撑架等组成；康铜 导线 2 根（长均为 1000 mm，直径分别为 0.5 mm、0.3 mm）；镍铬线 2 根（长分 别为 1000 mm、500 mm，直径均为 0.3 mm）</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479EA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DC6FB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C12C110">
            <w:pPr>
              <w:rPr>
                <w:rFonts w:hint="eastAsia" w:ascii="方正仿宋_GB2312" w:hAnsi="方正仿宋_GB2312" w:eastAsia="方正仿宋_GB2312" w:cs="方正仿宋_GB2312"/>
                <w:i w:val="0"/>
                <w:iCs w:val="0"/>
                <w:color w:val="000000"/>
                <w:sz w:val="20"/>
                <w:szCs w:val="20"/>
                <w:u w:val="none"/>
              </w:rPr>
            </w:pPr>
          </w:p>
        </w:tc>
      </w:tr>
      <w:tr w14:paraId="5DFE9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F4560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14CC3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磁感线演示器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920A5F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油封铁粉式，无色透明塑料外壳，尺寸 ≥200 mm×120 mm，环境温度≥10 ℃时， 摇匀铁粉时间≤20 s</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1FA21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4C406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14D37AF">
            <w:pPr>
              <w:rPr>
                <w:rFonts w:hint="eastAsia" w:ascii="方正仿宋_GB2312" w:hAnsi="方正仿宋_GB2312" w:eastAsia="方正仿宋_GB2312" w:cs="方正仿宋_GB2312"/>
                <w:i w:val="0"/>
                <w:iCs w:val="0"/>
                <w:color w:val="000000"/>
                <w:sz w:val="20"/>
                <w:szCs w:val="20"/>
                <w:u w:val="none"/>
              </w:rPr>
            </w:pPr>
          </w:p>
        </w:tc>
      </w:tr>
      <w:tr w14:paraId="6E4A0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5AEF46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F9D2D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磁感线演示板</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5BCD2F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磁针式，每块板上至少有 130 个空穴， 可演示直导线、圆线圈、螺线管、亥姆 霍兹线圈磁场</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62541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5C07F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4870AED">
            <w:pPr>
              <w:rPr>
                <w:rFonts w:hint="eastAsia" w:ascii="方正仿宋_GB2312" w:hAnsi="方正仿宋_GB2312" w:eastAsia="方正仿宋_GB2312" w:cs="方正仿宋_GB2312"/>
                <w:i w:val="0"/>
                <w:iCs w:val="0"/>
                <w:color w:val="000000"/>
                <w:sz w:val="20"/>
                <w:szCs w:val="20"/>
                <w:u w:val="none"/>
              </w:rPr>
            </w:pPr>
          </w:p>
        </w:tc>
      </w:tr>
      <w:tr w14:paraId="25EF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E326B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72</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13272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安培力演示器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090169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由底座、磁极框架、磁体、通电线框、 接线柱、连接片、刻度盘支架、刻度盘、 指针等组成</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88052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EC281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155D423">
            <w:pPr>
              <w:rPr>
                <w:rFonts w:hint="eastAsia" w:ascii="方正仿宋_GB2312" w:hAnsi="方正仿宋_GB2312" w:eastAsia="方正仿宋_GB2312" w:cs="方正仿宋_GB2312"/>
                <w:i w:val="0"/>
                <w:iCs w:val="0"/>
                <w:color w:val="000000"/>
                <w:sz w:val="20"/>
                <w:szCs w:val="20"/>
                <w:u w:val="none"/>
              </w:rPr>
            </w:pPr>
          </w:p>
        </w:tc>
      </w:tr>
      <w:tr w14:paraId="56F2C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C6880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B19A1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电场中带电粒子运动模拟演示器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F69A47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用实验球模拟带电粒子，有加速电极、偏转电极</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ACF9F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5B140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BEE9BE6">
            <w:pPr>
              <w:rPr>
                <w:rFonts w:hint="eastAsia" w:ascii="方正仿宋_GB2312" w:hAnsi="方正仿宋_GB2312" w:eastAsia="方正仿宋_GB2312" w:cs="方正仿宋_GB2312"/>
                <w:i w:val="0"/>
                <w:iCs w:val="0"/>
                <w:color w:val="000000"/>
                <w:sz w:val="20"/>
                <w:szCs w:val="20"/>
                <w:u w:val="none"/>
              </w:rPr>
            </w:pPr>
          </w:p>
        </w:tc>
      </w:tr>
      <w:tr w14:paraId="719E3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44CA57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74</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29A2A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洛伦兹力演示器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9F980B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有洛伦兹力演示管、亥姆霍兹线圈</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7685B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9281C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8677248">
            <w:pPr>
              <w:rPr>
                <w:rFonts w:hint="eastAsia" w:ascii="方正仿宋_GB2312" w:hAnsi="方正仿宋_GB2312" w:eastAsia="方正仿宋_GB2312" w:cs="方正仿宋_GB2312"/>
                <w:i w:val="0"/>
                <w:iCs w:val="0"/>
                <w:color w:val="000000"/>
                <w:sz w:val="20"/>
                <w:szCs w:val="20"/>
                <w:u w:val="none"/>
              </w:rPr>
            </w:pPr>
          </w:p>
        </w:tc>
      </w:tr>
      <w:tr w14:paraId="08BC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733DD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21723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霍尔效应示教板</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A51740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由霍尔传感器及其原理电路图组成，可通过原理电路图测量霍尔电压</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C86B4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8FA19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941E282">
            <w:pPr>
              <w:rPr>
                <w:rFonts w:hint="eastAsia" w:ascii="方正仿宋_GB2312" w:hAnsi="方正仿宋_GB2312" w:eastAsia="方正仿宋_GB2312" w:cs="方正仿宋_GB2312"/>
                <w:i w:val="0"/>
                <w:iCs w:val="0"/>
                <w:color w:val="000000"/>
                <w:sz w:val="20"/>
                <w:szCs w:val="20"/>
                <w:u w:val="none"/>
              </w:rPr>
            </w:pPr>
          </w:p>
        </w:tc>
      </w:tr>
      <w:tr w14:paraId="123E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A9329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76</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F38A8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楞次定律演示器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1383DD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由铝梁、开口铝环、闭口铝环和带顶针的支柱座组成，有通长加强筋，铜轴承套嵌在铝梁中间，内嵌玻璃轴承，铝梁和铝环表面应氧化处理，铝梁置于支柱顶针时应能保持水平，两端高度差不大于5mm，并转动灵活。</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5DE2C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023AE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7081082">
            <w:pPr>
              <w:rPr>
                <w:rFonts w:hint="eastAsia" w:ascii="方正仿宋_GB2312" w:hAnsi="方正仿宋_GB2312" w:eastAsia="方正仿宋_GB2312" w:cs="方正仿宋_GB2312"/>
                <w:i w:val="0"/>
                <w:iCs w:val="0"/>
                <w:color w:val="000000"/>
                <w:sz w:val="20"/>
                <w:szCs w:val="20"/>
                <w:u w:val="none"/>
              </w:rPr>
            </w:pPr>
          </w:p>
        </w:tc>
      </w:tr>
      <w:tr w14:paraId="6CAFF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5E749C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77</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40BF7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楞次定律演示器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9F9EDF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平面型开口环和闭口环；环的外径应不 小于 90 mm，内径应不小于 50 mm，总厚 度应不小于 1.6 mm；用教学用条形磁钢 迅速抽出(或插入)闭合环时，梁的偏转 角应不小于 30 ° , 用强磁条形磁钢迅速 抽出(或插入)开口环时，环带动梁的偏 转角应为 0 °</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B3743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EA80D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56D35ED">
            <w:pPr>
              <w:rPr>
                <w:rFonts w:hint="eastAsia" w:ascii="方正仿宋_GB2312" w:hAnsi="方正仿宋_GB2312" w:eastAsia="方正仿宋_GB2312" w:cs="方正仿宋_GB2312"/>
                <w:i w:val="0"/>
                <w:iCs w:val="0"/>
                <w:color w:val="000000"/>
                <w:sz w:val="20"/>
                <w:szCs w:val="20"/>
                <w:u w:val="none"/>
              </w:rPr>
            </w:pPr>
          </w:p>
        </w:tc>
      </w:tr>
      <w:tr w14:paraId="0D88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A68EA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78</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4B8A8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函数信号发生器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35B4E7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频率范围 0.2 MHz～2 MHz 连续可调；正弦波、三角波、方波、正向或负向脉冲波、正向或负向锯齿波，波形失真≤1%；输入、输出：压控输入、TTL 输出、功率输出、50 Ω输出，含输出衰减，另有直流偏置调节、幅度调节等</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327AD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80E29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2D5A7453">
            <w:pPr>
              <w:rPr>
                <w:rFonts w:hint="eastAsia" w:ascii="方正仿宋_GB2312" w:hAnsi="方正仿宋_GB2312" w:eastAsia="方正仿宋_GB2312" w:cs="方正仿宋_GB2312"/>
                <w:i w:val="0"/>
                <w:iCs w:val="0"/>
                <w:color w:val="000000"/>
                <w:sz w:val="20"/>
                <w:szCs w:val="20"/>
                <w:u w:val="none"/>
              </w:rPr>
            </w:pPr>
          </w:p>
        </w:tc>
      </w:tr>
      <w:tr w14:paraId="7ECA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AA3EC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79</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CF0F1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高频信号发生器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C81929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0.4 MHz～130 MHz 分段连续可调，误差±5%</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0ACB8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B3371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CE694F8">
            <w:pPr>
              <w:rPr>
                <w:rFonts w:hint="eastAsia" w:ascii="方正仿宋_GB2312" w:hAnsi="方正仿宋_GB2312" w:eastAsia="方正仿宋_GB2312" w:cs="方正仿宋_GB2312"/>
                <w:i w:val="0"/>
                <w:iCs w:val="0"/>
                <w:color w:val="000000"/>
                <w:sz w:val="20"/>
                <w:szCs w:val="20"/>
                <w:u w:val="none"/>
              </w:rPr>
            </w:pPr>
          </w:p>
        </w:tc>
      </w:tr>
      <w:tr w14:paraId="20F6A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4F0956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5E52D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交流电路特性演示器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507036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频率连续可变（1 Hz～60 Hz）的正弦电源；用于交流电路中感抗、容抗和纯电阻实验，需包含大电感、小电感，大电容、小电容，电阻等比较实验</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CA4A7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8F9EC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64D2DDB">
            <w:pPr>
              <w:rPr>
                <w:rFonts w:hint="eastAsia" w:ascii="方正仿宋_GB2312" w:hAnsi="方正仿宋_GB2312" w:eastAsia="方正仿宋_GB2312" w:cs="方正仿宋_GB2312"/>
                <w:i w:val="0"/>
                <w:iCs w:val="0"/>
                <w:color w:val="000000"/>
                <w:sz w:val="20"/>
                <w:szCs w:val="20"/>
                <w:u w:val="none"/>
              </w:rPr>
            </w:pPr>
          </w:p>
        </w:tc>
      </w:tr>
      <w:tr w14:paraId="217A6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8B0A8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9575D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光敏电阻及应用演示板</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3C5479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由光敏电阻及其应用电路组成；光敏电阻应用环氧树脂封装</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5C2C2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75A37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7D89C1C">
            <w:pPr>
              <w:rPr>
                <w:rFonts w:hint="eastAsia" w:ascii="方正仿宋_GB2312" w:hAnsi="方正仿宋_GB2312" w:eastAsia="方正仿宋_GB2312" w:cs="方正仿宋_GB2312"/>
                <w:i w:val="0"/>
                <w:iCs w:val="0"/>
                <w:color w:val="000000"/>
                <w:sz w:val="20"/>
                <w:szCs w:val="20"/>
                <w:u w:val="none"/>
              </w:rPr>
            </w:pPr>
          </w:p>
        </w:tc>
      </w:tr>
      <w:tr w14:paraId="15B45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E4F5F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82</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4681D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电路演示实验箱</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08AB5D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由演示电压表、演示电流表、滑动变阻 器、单刀开关、灯座、发光二极管、定 值电阻、电阻定律实验器多种电学元件 组成，磁吸式，可以吸附在黑板或其他 金属的物体上</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1B6F5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22B71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F8C3232">
            <w:pPr>
              <w:rPr>
                <w:rFonts w:hint="eastAsia" w:ascii="方正仿宋_GB2312" w:hAnsi="方正仿宋_GB2312" w:eastAsia="方正仿宋_GB2312" w:cs="方正仿宋_GB2312"/>
                <w:i w:val="0"/>
                <w:iCs w:val="0"/>
                <w:color w:val="000000"/>
                <w:sz w:val="20"/>
                <w:szCs w:val="20"/>
                <w:u w:val="none"/>
              </w:rPr>
            </w:pPr>
          </w:p>
        </w:tc>
      </w:tr>
      <w:tr w14:paraId="73E5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476725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7337F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门电路和传感器应用实验箱</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96E44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由与门、或门、非门电路、干簧管、霍尔元件、应变片、热敏电阻、光敏电阻、 感温铁氧体、湿度传感器、压力传感器、气敏传感器温度传感器、光电门、LED 灯、蜂鸣器、电源、信号采集器 等组成，能够实现基于传感器的电路设 计、 自动控制</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9D0C5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B5D1D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B90618A">
            <w:pPr>
              <w:rPr>
                <w:rFonts w:hint="eastAsia" w:ascii="方正仿宋_GB2312" w:hAnsi="方正仿宋_GB2312" w:eastAsia="方正仿宋_GB2312" w:cs="方正仿宋_GB2312"/>
                <w:i w:val="0"/>
                <w:iCs w:val="0"/>
                <w:color w:val="000000"/>
                <w:sz w:val="20"/>
                <w:szCs w:val="20"/>
                <w:u w:val="none"/>
              </w:rPr>
            </w:pPr>
          </w:p>
        </w:tc>
      </w:tr>
      <w:tr w14:paraId="03AB2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40D9E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84</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5E5E1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逻辑电路实验板</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634337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由与、或、非 3 种门电路，8 种开关电路， 3 种显示模块，3 种连接器，电源，信号 采集器等组件组成，可完成数字电路、 自动控制、逻辑电路等实验</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CD7DF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ED325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06EE662">
            <w:pPr>
              <w:rPr>
                <w:rFonts w:hint="eastAsia" w:ascii="方正仿宋_GB2312" w:hAnsi="方正仿宋_GB2312" w:eastAsia="方正仿宋_GB2312" w:cs="方正仿宋_GB2312"/>
                <w:i w:val="0"/>
                <w:iCs w:val="0"/>
                <w:color w:val="000000"/>
                <w:sz w:val="20"/>
                <w:szCs w:val="20"/>
                <w:u w:val="none"/>
              </w:rPr>
            </w:pPr>
          </w:p>
        </w:tc>
      </w:tr>
      <w:tr w14:paraId="7B001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15EE19C7">
            <w:pPr>
              <w:jc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化学实验室</w:t>
            </w:r>
          </w:p>
        </w:tc>
      </w:tr>
      <w:tr w14:paraId="3A7A3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DB98A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133E2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智慧黑板</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A09F1F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一、整机参数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1.整机采用全金属外壳，三拼接平面一体化设计，宽≥4200mm，高≥1200mm，厚≤117mm。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2.整机屏幕采用86英寸液晶显示器，采用超高清LED液晶显示屏，显示比例16:9，分辨率3840×2160（R）。</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3.嵌入式系统版本，主频≥1.8GHz，内存≥2GB，存储空间≥8GB，嵌入式芯片内置2TOPS AI算力，可用于AI图像、音频处理。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4.钢化玻璃表面硬度≥9H。钢化玻璃硬度莫氏7级，可达到石英抗划等级。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5.支持双系统中进行20点或以上触控，整机采用电容触控技术。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6.内置2.2声道扬声器，额定总功率不小于60W。</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7.内置非独立外扩展的8阵列麦克风，拾音角度≥180°，拾音距离≥12m。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8.整机具备至少6个前置按键，至少支持5个自定义前置按键。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9.支持蓝牙Bluetooth 5.4标准，内置双WiFi6无线网卡。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10.内置非独立摄像头≥1600万像素数，视场角≥150度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11.整机需内置或外置不低于1600万像素展台，最高分辨率支持4640x3480，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自带LED补光灯，支持多级灯调节。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二、OPS模块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1.通过安全可靠测评CPU配置不低于8核8线程处理器工作主频≥2.7GHz。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2.内存：不低于8GB，硬盘不低于512GB或以上固态硬盘。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3.无需工具即可快速拆卸电脑模块;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4.具有独立非外拓展的电脑USB接口，≥3个USB3.0接口≥1个HDMI接口；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5.要求内置通过安全可靠测评的操作系统、办公软件、杀毒软件。含三年更新服务，永久使用，验收时提供证明材料，为保证设备使用稳定性及兼容性，要求班班通与OPS模块必须为同一品牌。</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三、教学软件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1.互动教学课件支持定向精准分享：分享者可将互动课件、课件组精准推送至指定接收方账号云空间，接收方可在云空间接收并打开分享课件；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2.具有互动式教学课件资源，包含学科教育各学段各地区教材版本。具有互动式教学课件资源，包含学科教育各学段教材版本教学章节、专题教育多个主题教育、特殊教育，课件支持教师在线评分。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3.提供互动课件资源库，包含学科教育、专题教育、特殊教育类课件，可获取到个人云空间。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4.提供将Word转换为云教案的能力，支持解析文本、表格等通用元素，方便老师迁移旧教案</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5.支持实现信息化集体备课。可选择教案、课件上传发起集备研讨，能够设置多重访问权限，可通过手机号搜索邀请外校老师，用于跨校教研场景。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四、1、采用壁挂式功放及有源音箱一体化设计，双音箱配对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2、具备音频输入、具备混音音频输出、支持MIC话筒输入；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3、有效功率：≥40W；额定阻抗：4Ω；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五、头戴一体式话筒，可拆卸成手持咪（非有线有线头戴咪）、支持一师一麦，开机自动配对，自动转入接收状态；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2、话筒内置高性能咪头，外置防风棉，声音还原度高。</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17962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ED23F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4FBB0E8">
            <w:pPr>
              <w:rPr>
                <w:rFonts w:hint="eastAsia" w:ascii="方正仿宋_GB2312" w:hAnsi="方正仿宋_GB2312" w:eastAsia="方正仿宋_GB2312" w:cs="方正仿宋_GB2312"/>
                <w:i w:val="0"/>
                <w:iCs w:val="0"/>
                <w:color w:val="000000"/>
                <w:sz w:val="20"/>
                <w:szCs w:val="20"/>
                <w:u w:val="none"/>
              </w:rPr>
            </w:pPr>
          </w:p>
        </w:tc>
      </w:tr>
      <w:tr w14:paraId="0AE1A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B76AA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D47C6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虚拟实验软件（教师）</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71A4BF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1.应依据高中化学教学大纲，能够按照教材版本、知识点、章节、单元、资源类型进行分类与筛选，配置完整的实验器材，即选即用，同时提供模糊搜索功能，可通过关键词搜索到相关实验资源；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2.用户既可以在pc设备上离线使用，也可以在浏览器上在线使用;支持电子白板、一体机、台式电脑、笔记本、平板电脑等设备全适配，客户端软件支持Windows、Mac OS操作系统;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应提供不低于100种反应容器和辅助器材，不少于150种化学药品，能够任意搭配自由组合新的实验。为方便取用，能够通过关键词或首字母的方式搜索反应容器、辅助器材与化学药品。化学药品能够根据固体药品、液体药品、气体药品的分类进行查找，也能够按照金属元素、非金属元素、带电离子团的方式进行快速查询；</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4.化学实验应根据教学需要提供方程式连接符号、音效、功能栏位置、科学计数法、背景颜色等功能设置，支持自主DIY实验，可任意搭建试验场景，允许教师利用所提供的器材和药品自由组装化学实验进行探究；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化学药品应呈现重力效果，真实呈现滚动、倾倒、震荡、混合、搅拌等现象。为精确把握实验药品用量，获得精准的实验数据，化学药品的用量应支持按需添加，固体药品能够设置具体取用数值，液体药品可选择倾倒体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6.为方便使用，提供实验简介功能，能够显示对应实验的实验目的、实验原理、实验器材、实验步骤、实验结论等内容，同时能够自定义编辑实验简介，实现个性化教学；</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化学实验能够展示热力学现象，能量能够随化学反应变化而变化，压强能够随温度和气体量变化发生相应变化；支持数据追踪系统，能够实现反应数据可视化，包括反应方程式、温度、体积、物质的量、浓度、质量等，其中化学方程式可进行任意位置的移动及放大展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8.化学实验能够合理呈现化学反应中的烟、雾、扩散等动态效果，如沉淀、溶解扩散、烟雾、火焰、气泡、絮状、析出、爆炸以及颜色变化等，还原真实实验现象；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9.化学反应产物应具有相应的化学性质，反应随条件发生，现象随反应出现，实验产物可追溯，可继续进行相应的化学反应；</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10.化学实验应具备错误操作演示功能，能够将错误操作导致的危险现象呈现，预防真实实验过程中发生不必要的危险，可以将涉及易燃易爆、有毒有害、高温高压、反应周期长等难以在课堂上进行演示的实验真实呈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11.化学实验应支持化学方程式功能，能够直接通过化学方程式跳转到对应的精品实验或开始DIY实验，能够查看氧化还原反应中的基本概念和电子转移，提高教学效率；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12.应提供不少于40种原子、分子、晶体模型，能够清晰展示原子的电子排布式，分子成键情况和晶体的状态、配位数、原子坐标等参数，化无形为有形，更好的讲解抽象概念；</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13.支持画笔功能，能够在实验操作界面添加标注、进行重点圈划等，笔迹能够随意擦除、撤销，免去在黑板和屏幕之间来回切换的烦恼；</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14.用户设计、修改后的实验将保存在我的实验空间，并提供实验资源管理、演示、编辑、分享、删除等功能，已删除资源应支持不少于10天的保留期，方便将误删的资源找回；</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15.应提供专属个人空间，通过个人空间实现动态管理、任务管理、消息管理、个人信息管理等功能，可以设置个人信息，并对化学实验的登录设备进行管理；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16.为方便使用，所有资源均需支持鼠标交互和多点触控两种交互方式，实验操作界面可随意放大缩小并提供不少于4种实验缩放倍率选择；</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17.为方便教学使用，化学实验提供与实验资源对应的实验视频，完整演示实验操作过程，并在实验的关键操作步骤添加打点信息，用户能根据意愿进行快速定位播放相应的操作步骤；</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18.支持教师建立班级，学生可加入班级，教师可以发送实验和试题至虚拟实验终端供学生进行实验操作与学习，学生可将学习后的成果提交至教师，教师端班级作业可统计试题对错并进行学情分析；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19.应及时根据教材变动免费更新资源（3年）。</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9C07B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1C9F4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DDDCCB6">
            <w:pPr>
              <w:rPr>
                <w:rFonts w:hint="eastAsia" w:ascii="方正仿宋_GB2312" w:hAnsi="方正仿宋_GB2312" w:eastAsia="方正仿宋_GB2312" w:cs="方正仿宋_GB2312"/>
                <w:i w:val="0"/>
                <w:iCs w:val="0"/>
                <w:color w:val="000000"/>
                <w:sz w:val="20"/>
                <w:szCs w:val="20"/>
                <w:u w:val="none"/>
              </w:rPr>
            </w:pPr>
          </w:p>
        </w:tc>
      </w:tr>
      <w:tr w14:paraId="6C648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41CE8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B2C43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教师演示台</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662571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规格2400mm×700mm×900mm（正负不超过50mm）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1、台面：采用≥12.7mm理化板，台面经过上釉工艺处理，具有耐高温、耐刻刮、防静电、耐腐蚀、防垢易清洁、防霉、防水等物理性能和化学性能。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2、柜体：全钢结构，采用≥1.0mm厚冷轧钢板，切割折弯成型，组件焊接工艺，打磨平整，表面经环氧树脂喷涂处理；整体结构设计合理，预留电脑主机、键盘托、实物展台、教师电源安装位置。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3、拉手：采用不锈钢拉手。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4、门板及抽面：采用双层结构，组装式设计，保证单层钢板双面都喷涂处理，门板中间填充隔音材料，减少关门时产生的噪音。防撞胶垫：装于抽屉及门板内侧，减缓碰撞，保护柜体。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5、不锈钢防腐合页：采用优质不锈钢模具一体成型。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6、防腐三节静音导轨：三节滚珠滑轨，承重性强，滑动顺滑。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7、固定桌脚：采用柜体内置可调ABS调整脚，保证调整脚前后都可以调节高低。</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B2C72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张</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17AD4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48F3C85">
            <w:pPr>
              <w:rPr>
                <w:rFonts w:hint="eastAsia" w:ascii="方正仿宋_GB2312" w:hAnsi="方正仿宋_GB2312" w:eastAsia="方正仿宋_GB2312" w:cs="方正仿宋_GB2312"/>
                <w:i w:val="0"/>
                <w:iCs w:val="0"/>
                <w:color w:val="000000"/>
                <w:sz w:val="20"/>
                <w:szCs w:val="20"/>
                <w:u w:val="none"/>
              </w:rPr>
            </w:pPr>
          </w:p>
        </w:tc>
      </w:tr>
      <w:tr w14:paraId="28038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7957C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C0688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教师椅</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C36A97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1、产品规格：椅面550×500×1070mm（正负不超过50mm），座位高度可调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技术参数：凳面接触面为防滑处理，采用曲面设计增加接触面积，符合人体工程学增强坐感舒适度；气杆连接，与椅面连接处安装加宽加强防爆机构，五星脚采用高强度尼龙材料一体注塑成型，具有结构牢固、耐酸碱腐蚀等特点。</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D2053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把</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F295D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24ACC6A6">
            <w:pPr>
              <w:rPr>
                <w:rFonts w:hint="eastAsia" w:ascii="方正仿宋_GB2312" w:hAnsi="方正仿宋_GB2312" w:eastAsia="方正仿宋_GB2312" w:cs="方正仿宋_GB2312"/>
                <w:i w:val="0"/>
                <w:iCs w:val="0"/>
                <w:color w:val="000000"/>
                <w:sz w:val="20"/>
                <w:szCs w:val="20"/>
                <w:u w:val="none"/>
              </w:rPr>
            </w:pPr>
          </w:p>
        </w:tc>
      </w:tr>
      <w:tr w14:paraId="6CFD4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576D9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2D8E2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学生实验桌</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4DD233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规格：1200*600*780mm（正负不超过30mm）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台面：采用≥20mm厚无甲醛环保陶瓷台面，表面为实验室专业耐腐蚀、耐污染、抗冲击釉面。坯体一体实芯，釉面和坯体经高温一体烧结而成，台面操作边设有止滑凹槽，有效防止在实验过程中试管、液体等实验物品滑落造成意外伤害，陶瓷台面表面釉面不会受外界环境影响而脱落脱层，具有耐污染、耐化学腐蚀、无放射性物质、防撞抗冲击、承重力强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2、塑铝/铸铝结构，材料厚度不低于1.2mm，金属表面经环氧树脂粉末喷涂高温固化处理。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3、后功能栏杆，高出台面，防止实验器材跌落；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4、下面设计两个书包斗，材质采用ABS工程塑料一体化成型工艺，镂空设计，不屯垃圾，便于清理，中间设挂凳卡；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5、桌腿一体化压铸工艺，内壁包含加强筋，下方有凹槽配合安装，具有防脱不易错位。外观流线形设计，简洁美观，易碰撞处全部采用倒圆角，材料表面经过防腐氧化处理和纯环氧树脂塑粉高温固化处理。</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358E1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张</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2B8A4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48</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DCECDD3">
            <w:pPr>
              <w:rPr>
                <w:rFonts w:hint="eastAsia" w:ascii="方正仿宋_GB2312" w:hAnsi="方正仿宋_GB2312" w:eastAsia="方正仿宋_GB2312" w:cs="方正仿宋_GB2312"/>
                <w:i w:val="0"/>
                <w:iCs w:val="0"/>
                <w:color w:val="000000"/>
                <w:sz w:val="20"/>
                <w:szCs w:val="20"/>
                <w:u w:val="none"/>
              </w:rPr>
            </w:pPr>
          </w:p>
        </w:tc>
      </w:tr>
      <w:tr w14:paraId="604A3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B2E5B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A2E59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实验凳</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25534E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规格：315*440-500mm（正负不超过20mm）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1、凳脚材质：凳脚采用壁厚≥1.2mm钢管及壁厚≥1.5mm钢管焊接组成，全圆满焊接，结构牢固，经高温粉体烤漆处理，长时间使用也不会产生表面烤漆剥落现象</w:t>
            </w:r>
            <w:r>
              <w:rPr>
                <w:rStyle w:val="41"/>
                <w:rFonts w:hint="eastAsia" w:ascii="方正仿宋_GB2312" w:hAnsi="方正仿宋_GB2312" w:eastAsia="方正仿宋_GB2312" w:cs="方正仿宋_GB2312"/>
                <w:sz w:val="20"/>
                <w:szCs w:val="20"/>
                <w:lang w:val="en-US" w:eastAsia="zh-CN" w:bidi="ar"/>
              </w:rPr>
              <w:t xml:space="preserve"> </w:t>
            </w:r>
            <w:r>
              <w:rPr>
                <w:rStyle w:val="31"/>
                <w:rFonts w:hint="eastAsia" w:ascii="方正仿宋_GB2312" w:hAnsi="方正仿宋_GB2312" w:eastAsia="方正仿宋_GB2312" w:cs="方正仿宋_GB2312"/>
                <w:sz w:val="20"/>
                <w:szCs w:val="20"/>
                <w:lang w:val="en-US" w:eastAsia="zh-CN" w:bidi="ar"/>
              </w:rPr>
              <w:t>螺旋升降式，升降距离≥40mm。</w:t>
            </w:r>
            <w:r>
              <w:rPr>
                <w:rStyle w:val="31"/>
                <w:rFonts w:hint="eastAsia" w:ascii="方正仿宋_GB2312" w:hAnsi="方正仿宋_GB2312" w:eastAsia="方正仿宋_GB2312" w:cs="方正仿宋_GB2312"/>
                <w:sz w:val="20"/>
                <w:szCs w:val="20"/>
                <w:lang w:val="en-US" w:eastAsia="zh-CN" w:bidi="ar"/>
              </w:rPr>
              <w:br w:type="textWrapping"/>
            </w:r>
            <w:r>
              <w:rPr>
                <w:rStyle w:val="31"/>
                <w:rFonts w:hint="eastAsia" w:ascii="方正仿宋_GB2312" w:hAnsi="方正仿宋_GB2312" w:eastAsia="方正仿宋_GB2312" w:cs="方正仿宋_GB2312"/>
                <w:sz w:val="20"/>
                <w:szCs w:val="20"/>
                <w:lang w:val="en-US" w:eastAsia="zh-CN" w:bidi="ar"/>
              </w:rPr>
              <w:t>2、凳面表面防滑不发光，凳面底部镶嵌螺纹固定。</w:t>
            </w:r>
            <w:r>
              <w:rPr>
                <w:rStyle w:val="31"/>
                <w:rFonts w:hint="eastAsia" w:ascii="方正仿宋_GB2312" w:hAnsi="方正仿宋_GB2312" w:eastAsia="方正仿宋_GB2312" w:cs="方正仿宋_GB2312"/>
                <w:sz w:val="20"/>
                <w:szCs w:val="20"/>
                <w:lang w:val="en-US" w:eastAsia="zh-CN" w:bidi="ar"/>
              </w:rPr>
              <w:br w:type="textWrapping"/>
            </w:r>
            <w:r>
              <w:rPr>
                <w:rStyle w:val="31"/>
                <w:rFonts w:hint="eastAsia" w:ascii="方正仿宋_GB2312" w:hAnsi="方正仿宋_GB2312" w:eastAsia="方正仿宋_GB2312" w:cs="方正仿宋_GB2312"/>
                <w:sz w:val="20"/>
                <w:szCs w:val="20"/>
                <w:lang w:val="en-US" w:eastAsia="zh-CN" w:bidi="ar"/>
              </w:rPr>
              <w:t>3、脚垫材质：采用PP加耐磨纤维增强塑料，实心倒勾式一体射出成型。</w:t>
            </w:r>
            <w:r>
              <w:rPr>
                <w:rStyle w:val="31"/>
                <w:rFonts w:hint="eastAsia" w:ascii="方正仿宋_GB2312" w:hAnsi="方正仿宋_GB2312" w:eastAsia="方正仿宋_GB2312" w:cs="方正仿宋_GB2312"/>
                <w:sz w:val="20"/>
                <w:szCs w:val="20"/>
                <w:lang w:val="en-US" w:eastAsia="zh-CN" w:bidi="ar"/>
              </w:rPr>
              <w:br w:type="textWrapping"/>
            </w:r>
            <w:r>
              <w:rPr>
                <w:rStyle w:val="31"/>
                <w:rFonts w:hint="eastAsia" w:ascii="方正仿宋_GB2312" w:hAnsi="方正仿宋_GB2312" w:eastAsia="方正仿宋_GB2312" w:cs="方正仿宋_GB2312"/>
                <w:sz w:val="20"/>
                <w:szCs w:val="20"/>
                <w:lang w:val="en-US" w:eastAsia="zh-CN" w:bidi="ar"/>
              </w:rPr>
              <w:t>4、凳托与凳脚留有一定的空间便于凳子挂在挂凳扣上，方便教室打扫。</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526B1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把</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B2672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96</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9E0EAE4">
            <w:pPr>
              <w:rPr>
                <w:rFonts w:hint="eastAsia" w:ascii="方正仿宋_GB2312" w:hAnsi="方正仿宋_GB2312" w:eastAsia="方正仿宋_GB2312" w:cs="方正仿宋_GB2312"/>
                <w:i w:val="0"/>
                <w:iCs w:val="0"/>
                <w:color w:val="000000"/>
                <w:sz w:val="20"/>
                <w:szCs w:val="20"/>
                <w:u w:val="none"/>
              </w:rPr>
            </w:pPr>
          </w:p>
        </w:tc>
      </w:tr>
      <w:tr w14:paraId="0F43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005F0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73C89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多功能防溅水槽柜</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AB0788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1、水槽柜整体尺寸450*600*820mm(±不超过80mm)。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2、底围：表面经防锈处理、环氧树脂静电粉末涂装，洗涤时水不易外溅；水槽内部带滴水架，滴水架带滴水棒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4、水槽柜预留检修门带锁；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5、三联实验室专用水嘴，便于多用途使用。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多功能防溅水槽柜要求：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（1）水槽柜带滴水架，滴水架带不少于6根滴水棒；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（2）水槽柜隐藏设计：柜体上部设计有隐藏式上下水管功能，可以搭配上走水电的需求；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（3）水槽柜过滤功能：下水带过滤装置，可以过滤不同的杂质；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（4）水槽柜排水功能：水槽底部设置矩形式下水口，可以快速排出水槽废水；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（5）一体水槽，PP改性或ABS工程塑料材质</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2EBFF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F0D1D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26</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2981267">
            <w:pPr>
              <w:rPr>
                <w:rFonts w:hint="eastAsia" w:ascii="方正仿宋_GB2312" w:hAnsi="方正仿宋_GB2312" w:eastAsia="方正仿宋_GB2312" w:cs="方正仿宋_GB2312"/>
                <w:i w:val="0"/>
                <w:iCs w:val="0"/>
                <w:color w:val="000000"/>
                <w:sz w:val="20"/>
                <w:szCs w:val="20"/>
                <w:u w:val="none"/>
              </w:rPr>
            </w:pPr>
          </w:p>
        </w:tc>
      </w:tr>
      <w:tr w14:paraId="486D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4108F6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4C199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教师控制模块</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A2943E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1、教师演示台配备总漏电保护和分组保护，可分组控制学生的高低压电源，确保学生实验安全方便；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2、教师模块总控采用不小于200*100mm尺寸的面板，具备智能控制按键，并能显示电源电压；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3、教师交流电源通过智能控制0-30V交流电压输出，电压分辨率为0.1V，额定电流≥3A，具备过载自动保护;</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4、教师直流电源也是通过智能控制0-30V交流电压输出，电压分辨率为0.1V，额定电流≥3A，具备过载自动保护；</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5、直流大电流：由微处理器精确控制自动关断，可达到延时零误差;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6、配套教师控制模块使用，满足实验室需求及相关功能</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9EFCC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4C2E8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145656A">
            <w:pPr>
              <w:rPr>
                <w:rFonts w:hint="eastAsia" w:ascii="方正仿宋_GB2312" w:hAnsi="方正仿宋_GB2312" w:eastAsia="方正仿宋_GB2312" w:cs="方正仿宋_GB2312"/>
                <w:i w:val="0"/>
                <w:iCs w:val="0"/>
                <w:color w:val="000000"/>
                <w:sz w:val="20"/>
                <w:szCs w:val="20"/>
                <w:u w:val="none"/>
              </w:rPr>
            </w:pPr>
          </w:p>
        </w:tc>
      </w:tr>
      <w:tr w14:paraId="1014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1ADE54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EA0BE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吊装智能控制电气系统</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C8EC73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整体采用≥1.2mm钢板冷轧成型，表面经过防腐氧化处理和纯环氧树脂塑粉高温固化处理，具有较强的耐蚀性。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实现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（1）电源控制系统：智能化控制系统集中控制，具有过载、短路等保护功能；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（2）摇臂自动控制系统：系统集中控制教室摇臂功能。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（3）照明系统：实现照明系统开启与关闭，可单组或全组进行控制等</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43FB7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88686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96744F2">
            <w:pPr>
              <w:rPr>
                <w:rFonts w:hint="eastAsia" w:ascii="方正仿宋_GB2312" w:hAnsi="方正仿宋_GB2312" w:eastAsia="方正仿宋_GB2312" w:cs="方正仿宋_GB2312"/>
                <w:i w:val="0"/>
                <w:iCs w:val="0"/>
                <w:color w:val="000000"/>
                <w:sz w:val="20"/>
                <w:szCs w:val="20"/>
                <w:u w:val="none"/>
              </w:rPr>
            </w:pPr>
          </w:p>
        </w:tc>
      </w:tr>
      <w:tr w14:paraId="73F7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AFA92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A5DB4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通风控制系统</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2258A4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1.适配多种电机功率；</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2.输出：AC 0-380V 13A；</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3.控制方式：V/F控制；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4.过载能力：150%额定电流60s；180%额定电流3s；</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5.控制电源+24V：最大输出电流200mA；</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6.运行方式：键盘、端子、RS485通讯；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7.可显示运行信息、错误信息。具备过流、过压、模块故障保护、欠压、过热、过载、外部故障保护、EEPROM故障保护、接地保护、缺相等变频器保护及报警功能；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8.能适应-10℃～40℃的使用环境温度和-20℃～65℃储存温度，最大90%RH不结露的环境湿度。要求能适应高度1000m以下，振动5.9m/秒</w:t>
            </w:r>
            <w:r>
              <w:rPr>
                <w:rStyle w:val="45"/>
                <w:rFonts w:hint="eastAsia" w:ascii="方正仿宋_GB2312" w:hAnsi="方正仿宋_GB2312" w:eastAsia="方正仿宋_GB2312" w:cs="方正仿宋_GB2312"/>
                <w:sz w:val="20"/>
                <w:szCs w:val="20"/>
                <w:lang w:val="en-US" w:eastAsia="zh-CN" w:bidi="ar"/>
              </w:rPr>
              <w:t>²</w:t>
            </w:r>
            <w:r>
              <w:rPr>
                <w:rStyle w:val="31"/>
                <w:rFonts w:hint="eastAsia" w:ascii="方正仿宋_GB2312" w:hAnsi="方正仿宋_GB2312" w:eastAsia="方正仿宋_GB2312" w:cs="方正仿宋_GB2312"/>
                <w:sz w:val="20"/>
                <w:szCs w:val="20"/>
                <w:lang w:val="en-US" w:eastAsia="zh-CN" w:bidi="ar"/>
              </w:rPr>
              <w:t>(=0.6g)以下使用环境；</w:t>
            </w:r>
            <w:r>
              <w:rPr>
                <w:rStyle w:val="31"/>
                <w:rFonts w:hint="eastAsia" w:ascii="方正仿宋_GB2312" w:hAnsi="方正仿宋_GB2312" w:eastAsia="方正仿宋_GB2312" w:cs="方正仿宋_GB2312"/>
                <w:sz w:val="20"/>
                <w:szCs w:val="20"/>
                <w:lang w:val="en-US" w:eastAsia="zh-CN" w:bidi="ar"/>
              </w:rPr>
              <w:br w:type="textWrapping"/>
            </w:r>
            <w:r>
              <w:rPr>
                <w:rStyle w:val="31"/>
                <w:rFonts w:hint="eastAsia" w:ascii="方正仿宋_GB2312" w:hAnsi="方正仿宋_GB2312" w:eastAsia="方正仿宋_GB2312" w:cs="方正仿宋_GB2312"/>
                <w:sz w:val="20"/>
                <w:szCs w:val="20"/>
                <w:lang w:val="en-US" w:eastAsia="zh-CN" w:bidi="ar"/>
              </w:rPr>
              <w:t>9.冷却方式采用强制风冷。</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34248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EB14B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60326C7">
            <w:pPr>
              <w:rPr>
                <w:rFonts w:hint="eastAsia" w:ascii="方正仿宋_GB2312" w:hAnsi="方正仿宋_GB2312" w:eastAsia="方正仿宋_GB2312" w:cs="方正仿宋_GB2312"/>
                <w:i w:val="0"/>
                <w:iCs w:val="0"/>
                <w:color w:val="000000"/>
                <w:sz w:val="20"/>
                <w:szCs w:val="20"/>
                <w:u w:val="none"/>
              </w:rPr>
            </w:pPr>
          </w:p>
        </w:tc>
      </w:tr>
      <w:tr w14:paraId="59E70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FBF4B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AA780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智能控制平台</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96419D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集中控制系统。可执行各分项分页控制。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给排水控制：控制顶装给排水。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电源控制：控制学生电源和低压电源。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摇臂控制：控制摇臂升降。</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DB4ED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53D1B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150A5CC">
            <w:pPr>
              <w:rPr>
                <w:rFonts w:hint="eastAsia" w:ascii="方正仿宋_GB2312" w:hAnsi="方正仿宋_GB2312" w:eastAsia="方正仿宋_GB2312" w:cs="方正仿宋_GB2312"/>
                <w:i w:val="0"/>
                <w:iCs w:val="0"/>
                <w:color w:val="000000"/>
                <w:sz w:val="20"/>
                <w:szCs w:val="20"/>
                <w:u w:val="none"/>
              </w:rPr>
            </w:pPr>
          </w:p>
        </w:tc>
      </w:tr>
      <w:tr w14:paraId="3CB4A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670FC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12</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225B9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温湿度监视系统</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333CDE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内置精密温湿度传感装置，实时监控房间内的温度和湿度，保障室内舒适的环境舒适性，能在智能控制平台中实时显示当前环境的温度和湿度。</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A8AEF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项</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0813A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2DF9AD08">
            <w:pPr>
              <w:rPr>
                <w:rFonts w:hint="eastAsia" w:ascii="方正仿宋_GB2312" w:hAnsi="方正仿宋_GB2312" w:eastAsia="方正仿宋_GB2312" w:cs="方正仿宋_GB2312"/>
                <w:i w:val="0"/>
                <w:iCs w:val="0"/>
                <w:color w:val="000000"/>
                <w:sz w:val="20"/>
                <w:szCs w:val="20"/>
                <w:u w:val="none"/>
              </w:rPr>
            </w:pPr>
          </w:p>
        </w:tc>
      </w:tr>
      <w:tr w14:paraId="59141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93F3B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EF1D5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铝合金万向罩</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1949B5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1.关节：高密度PP材质，可360度旋转调节方向，易拆卸、重组及清洗；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2.关节密封圈：采用不易老化的高密度橡胶；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3.气流调节阀：能够手动调节控制进入气流量；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4.工艺：主体采用防腐抗锈铝合金喷涂。</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0FDC9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17DEC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C360CBA">
            <w:pPr>
              <w:rPr>
                <w:rFonts w:hint="eastAsia" w:ascii="方正仿宋_GB2312" w:hAnsi="方正仿宋_GB2312" w:eastAsia="方正仿宋_GB2312" w:cs="方正仿宋_GB2312"/>
                <w:i w:val="0"/>
                <w:iCs w:val="0"/>
                <w:color w:val="000000"/>
                <w:sz w:val="20"/>
                <w:szCs w:val="20"/>
                <w:u w:val="none"/>
              </w:rPr>
            </w:pPr>
          </w:p>
        </w:tc>
      </w:tr>
      <w:tr w14:paraId="3FC83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4EBD2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14</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93E66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万向吸风罩底座</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629C03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钢制固定底座，抗氧化抗腐蚀的镁硅铝合金方管，根据不同的组合方式可选择丝口和挂口结构，拆装方便。</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E9377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C33E5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277AEED2">
            <w:pPr>
              <w:rPr>
                <w:rFonts w:hint="eastAsia" w:ascii="方正仿宋_GB2312" w:hAnsi="方正仿宋_GB2312" w:eastAsia="方正仿宋_GB2312" w:cs="方正仿宋_GB2312"/>
                <w:i w:val="0"/>
                <w:iCs w:val="0"/>
                <w:color w:val="000000"/>
                <w:sz w:val="20"/>
                <w:szCs w:val="20"/>
                <w:u w:val="none"/>
              </w:rPr>
            </w:pPr>
          </w:p>
        </w:tc>
      </w:tr>
      <w:tr w14:paraId="411B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471033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DF60C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室内外行程通风系统</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E55937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1、采用防腐蚀材质，具有整体结构性能好、严密性高等优点，同时具有耐酸碱性能。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2、规格：定制风管，满足实验室通风要求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3、管卡采用碳钢制作，表面经防锈处理，具有耐腐蚀、防火、防潮等功能。</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8ABE5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FF1A3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1802049">
            <w:pPr>
              <w:rPr>
                <w:rFonts w:hint="eastAsia" w:ascii="方正仿宋_GB2312" w:hAnsi="方正仿宋_GB2312" w:eastAsia="方正仿宋_GB2312" w:cs="方正仿宋_GB2312"/>
                <w:i w:val="0"/>
                <w:iCs w:val="0"/>
                <w:color w:val="000000"/>
                <w:sz w:val="20"/>
                <w:szCs w:val="20"/>
                <w:u w:val="none"/>
              </w:rPr>
            </w:pPr>
          </w:p>
        </w:tc>
      </w:tr>
      <w:tr w14:paraId="3523E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15D7F7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16</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44EFD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防腐风机</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E57123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功率：不小于5.5KW。风量：10602-21204m3/h。风压：1550-984Pa。</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F49C0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E8215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59A3667D">
            <w:pPr>
              <w:rPr>
                <w:rFonts w:hint="eastAsia" w:ascii="方正仿宋_GB2312" w:hAnsi="方正仿宋_GB2312" w:eastAsia="方正仿宋_GB2312" w:cs="方正仿宋_GB2312"/>
                <w:i w:val="0"/>
                <w:iCs w:val="0"/>
                <w:color w:val="000000"/>
                <w:sz w:val="20"/>
                <w:szCs w:val="20"/>
                <w:u w:val="none"/>
              </w:rPr>
            </w:pPr>
          </w:p>
        </w:tc>
      </w:tr>
      <w:tr w14:paraId="213C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4B762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17</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594E4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风机控制线</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C54AC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2.5mm</w:t>
            </w:r>
            <w:r>
              <w:rPr>
                <w:rStyle w:val="45"/>
                <w:rFonts w:hint="eastAsia" w:ascii="方正仿宋_GB2312" w:hAnsi="方正仿宋_GB2312" w:eastAsia="方正仿宋_GB2312" w:cs="方正仿宋_GB2312"/>
                <w:sz w:val="20"/>
                <w:szCs w:val="20"/>
                <w:lang w:val="en-US" w:eastAsia="zh-CN" w:bidi="ar"/>
              </w:rPr>
              <w:t>²</w:t>
            </w:r>
            <w:r>
              <w:rPr>
                <w:rStyle w:val="31"/>
                <w:rFonts w:hint="eastAsia" w:ascii="方正仿宋_GB2312" w:hAnsi="方正仿宋_GB2312" w:eastAsia="方正仿宋_GB2312" w:cs="方正仿宋_GB2312"/>
                <w:sz w:val="20"/>
                <w:szCs w:val="20"/>
                <w:lang w:val="en-US" w:eastAsia="zh-CN" w:bidi="ar"/>
              </w:rPr>
              <w:t>、4mm</w:t>
            </w:r>
            <w:r>
              <w:rPr>
                <w:rStyle w:val="45"/>
                <w:rFonts w:hint="eastAsia" w:ascii="方正仿宋_GB2312" w:hAnsi="方正仿宋_GB2312" w:eastAsia="方正仿宋_GB2312" w:cs="方正仿宋_GB2312"/>
                <w:sz w:val="20"/>
                <w:szCs w:val="20"/>
                <w:lang w:val="en-US" w:eastAsia="zh-CN" w:bidi="ar"/>
              </w:rPr>
              <w:t>²</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B8C9A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5CB34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EFF66AB">
            <w:pPr>
              <w:rPr>
                <w:rFonts w:hint="eastAsia" w:ascii="方正仿宋_GB2312" w:hAnsi="方正仿宋_GB2312" w:eastAsia="方正仿宋_GB2312" w:cs="方正仿宋_GB2312"/>
                <w:i w:val="0"/>
                <w:iCs w:val="0"/>
                <w:color w:val="000000"/>
                <w:sz w:val="20"/>
                <w:szCs w:val="20"/>
                <w:u w:val="none"/>
              </w:rPr>
            </w:pPr>
          </w:p>
        </w:tc>
      </w:tr>
      <w:tr w14:paraId="47C19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53F8E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18</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A336B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智能吊装集成箱体</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4DB689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1、规格：≥1800mm（L）×550mm（W）×500mm（H）；（正负不超过200mm）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2、材质：采用钣金组合或ABS环保材料一塑成型，具备耐腐蚀、耐酸碱、防水、耐热、耐候性、电绝缘性等性能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3、内部承重结构采用≥30mm×30mm型材连接，着力连接点合理分布，遵循人体工程学设计原理，采用五金配件连接。功能模块连接配件选用表面经环氧树脂粉末喷涂高温固化处理的冷轧钢板定制成型；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4、箱体模块化设计：外表面和内表面可触及的隐蔽处，均无锐利的棱角、毛刺露出，所有接触人体的边棱均倒圆角处理。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5.智能吊装集成箱体产品满足以下性能要求：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外观性能要求：①金属件外观焊接件焊接处无脱焊、虚焊、焊穿、错位，金属件外观焊接件焊接处无夹渣、气孔、焊瘤、焊丝头、咬边、飞溅，金属件外观焊接件焊接处表面波纹应均匀；②金属件外观喷涂层无漏喷、锈蚀，涂层应光滑均匀，色泽一 致，应无流挂、疙瘩、皱皮、飞漆等缺陷；③塑料件外观应无裂纹、明显变形、缩水、针孔，无凹陷、飞边、折皱、疙瘩，无气泡、杂质、伤痕、白印，无划痕、毛刺、拉毛、污渍，无明显色差；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2)安全性能要求：①正常使用时,可接触到的边都应进行倒圆的方式进行保护。②固定零部件的结合应无少件、透钉、漏钉；③正常使用时,其他部件表面应无锐边、锐角；</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F689C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组</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1633C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2B5F996">
            <w:pPr>
              <w:rPr>
                <w:rFonts w:hint="eastAsia" w:ascii="方正仿宋_GB2312" w:hAnsi="方正仿宋_GB2312" w:eastAsia="方正仿宋_GB2312" w:cs="方正仿宋_GB2312"/>
                <w:i w:val="0"/>
                <w:iCs w:val="0"/>
                <w:color w:val="000000"/>
                <w:sz w:val="20"/>
                <w:szCs w:val="20"/>
                <w:u w:val="none"/>
              </w:rPr>
            </w:pPr>
          </w:p>
        </w:tc>
      </w:tr>
      <w:tr w14:paraId="1DD84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17D901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19</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C8326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照明系统模块</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4E96FB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1、箱体设有照明系统；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2、通过基板底座散热，亮度支持通过控制端手动调节；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3、光线柔和不刺眼，可有助于实验更有利的进行。</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4、照明系统模块产品满足以下性能要求：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1）设备外壳边缘光滑圆润无锐边；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2）正常使用时可触及，无危险。</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F9C66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组</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720A3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E635103">
            <w:pPr>
              <w:rPr>
                <w:rFonts w:hint="eastAsia" w:ascii="方正仿宋_GB2312" w:hAnsi="方正仿宋_GB2312" w:eastAsia="方正仿宋_GB2312" w:cs="方正仿宋_GB2312"/>
                <w:i w:val="0"/>
                <w:iCs w:val="0"/>
                <w:color w:val="000000"/>
                <w:sz w:val="20"/>
                <w:szCs w:val="20"/>
                <w:u w:val="none"/>
              </w:rPr>
            </w:pPr>
          </w:p>
        </w:tc>
      </w:tr>
      <w:tr w14:paraId="6030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5FAEC2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C6F50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升降摇臂控制模块</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89AA55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1、规格：长≥800mm；模块化设计，内置于舱体下方，由电源操作模块和摇摆臂构成；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2、摇摆臂采用推杆电动升降，与箱体主结构连接，固定件采用铝合金原料压铸成型。两侧装配轴承；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3、摇摆臂升降控制模块实时监测推杆的运动状态，在摇摆臂运动出现故障或遇到障碍物时，停止运动；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臂身为铝合金型材，表面经电泳、静电环氧树脂粉末喷涂固化处理，耐化学腐蚀、耐高温，采用五金配件与电源连接，外表面和内表面可触及的隐蔽处，均无锐利的棱角和五金配件露出。遵循人体工程学设计原理，摇摆臂内置给排水管和电缆安装空间。</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5DDD4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BF9EE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26</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254BEAB">
            <w:pPr>
              <w:rPr>
                <w:rFonts w:hint="eastAsia" w:ascii="方正仿宋_GB2312" w:hAnsi="方正仿宋_GB2312" w:eastAsia="方正仿宋_GB2312" w:cs="方正仿宋_GB2312"/>
                <w:i w:val="0"/>
                <w:iCs w:val="0"/>
                <w:color w:val="000000"/>
                <w:sz w:val="20"/>
                <w:szCs w:val="20"/>
                <w:u w:val="none"/>
              </w:rPr>
            </w:pPr>
          </w:p>
        </w:tc>
      </w:tr>
      <w:tr w14:paraId="0E87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188D18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A660A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电源操作控制系统模块</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FEAA5B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电源操作模块正面设置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1、不少于两个220V电源插座；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2、两个低压电源输出装置，直流交流输出最大额定电流2A，输出电压范围0-30V，应均配备过载自动保护及报警装置；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3、内嵌式液晶显示屏，可触屏显示设置低压直流、交流；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4、语音警报系统，当用电器过载，即刻发出语音警报；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5、装置内设保险丝，具有过载、短路保护功能；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6、装置内应设一键紧急制动装置。一键按下，即刻紧急制动，切断电源，确保学生、设备安全。也应可以一键即刻恢复运行。</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电源操作模块反面设置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1、不少于三个220V电源插座；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2、两个低压电源输出装置，直流交流输出最大额定电流2A，输出电压范围0-30V，均配备过载自动保护及报警装置。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3、设置不少于2个网口，不少于2个USB供电接口。</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B7DFB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EC691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26</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F8D02A4">
            <w:pPr>
              <w:rPr>
                <w:rFonts w:hint="eastAsia" w:ascii="方正仿宋_GB2312" w:hAnsi="方正仿宋_GB2312" w:eastAsia="方正仿宋_GB2312" w:cs="方正仿宋_GB2312"/>
                <w:i w:val="0"/>
                <w:iCs w:val="0"/>
                <w:color w:val="000000"/>
                <w:sz w:val="20"/>
                <w:szCs w:val="20"/>
                <w:u w:val="none"/>
              </w:rPr>
            </w:pPr>
          </w:p>
        </w:tc>
      </w:tr>
      <w:tr w14:paraId="133C1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561518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22</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FC004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给排水系统模块</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C1E074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1、由给水系统、废水收集排放系统构成；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2、系统进、出水口应置于电源操作模块底部，由智能化控制系统集中控制；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3、接口均采用带防溢水功能快速水管接口，插拔式自动锁紧连接方式，即用插拔，插拔后自动止水；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4、智能化控制系统与污水桶采用信号线连接，污水桶中检测模块实时检测污水桶中的水位，达到一定水位值时启动自动排水，污水经过连接管排至顶部排水管总管后流出；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5、系统支持由教师或学生实时开启或关闭手动排水功能；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6、系统支持当达到一定水位条件时自动开启排水功能；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7、系统内置流量传感器，检测到用水结束后，能够自动开启排水功能，保障实验室的安全卫生环保。</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8CA2D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组</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D467E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26</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76D3A0A">
            <w:pPr>
              <w:rPr>
                <w:rFonts w:hint="eastAsia" w:ascii="方正仿宋_GB2312" w:hAnsi="方正仿宋_GB2312" w:eastAsia="方正仿宋_GB2312" w:cs="方正仿宋_GB2312"/>
                <w:i w:val="0"/>
                <w:iCs w:val="0"/>
                <w:color w:val="000000"/>
                <w:sz w:val="20"/>
                <w:szCs w:val="20"/>
                <w:u w:val="none"/>
              </w:rPr>
            </w:pPr>
          </w:p>
        </w:tc>
      </w:tr>
      <w:tr w14:paraId="4F9F3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4C00DB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11F72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吊装式通风系统</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AE1829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1.由吸风罩、通风控制系统构成。采用模块化设计。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2.万向吸风罩：</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管道外筒：采用铝合金，表面经电泳、静电环氧树脂粉末喷涂固化处理，耐化学腐蚀、耐高温；</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管道：采用PVC材质，管内壁光滑，可降低噪声向室内传播。置于箱体左右两侧，调节角度为0°-90°；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万向吸风罩：选用高密度PP材质和不易老化高密度橡胶关节密封圈，易拆卸、重组及清洗。可伸缩范围为690mm-1230mm，360度旋转，覆盖任意实验操作范围区域。实验完毕，即可将伸缩式吸风管道推至箱体两侧，解放区域空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3.通风控制系统：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系统支持根据室内环境手动调节风量大小。</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DAC45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E510E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0C61980">
            <w:pPr>
              <w:rPr>
                <w:rFonts w:hint="eastAsia" w:ascii="方正仿宋_GB2312" w:hAnsi="方正仿宋_GB2312" w:eastAsia="方正仿宋_GB2312" w:cs="方正仿宋_GB2312"/>
                <w:i w:val="0"/>
                <w:iCs w:val="0"/>
                <w:color w:val="000000"/>
                <w:sz w:val="20"/>
                <w:szCs w:val="20"/>
                <w:u w:val="none"/>
              </w:rPr>
            </w:pPr>
          </w:p>
        </w:tc>
      </w:tr>
      <w:tr w14:paraId="3E62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74EBB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24</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61099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废水存储过滤系统</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C19EDB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由水过滤箱和排水装置组成。容积不小于8L。水过滤箱包括箱体、过滤件组成，具有耐酸碱，箱体由一隔板分为上下两层，过滤件设置在上层，抽水装置设置在下层。入水口处设置有液位计传感器，检测箱体的水位，排水装置包含水泵和控制器，控制器接受控制系统信号，控制器与液位计信号连接，且与水泵的开关信号连接。</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2B88F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3EA8A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26</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5B81CCE4">
            <w:pPr>
              <w:rPr>
                <w:rFonts w:hint="eastAsia" w:ascii="方正仿宋_GB2312" w:hAnsi="方正仿宋_GB2312" w:eastAsia="方正仿宋_GB2312" w:cs="方正仿宋_GB2312"/>
                <w:i w:val="0"/>
                <w:iCs w:val="0"/>
                <w:color w:val="000000"/>
                <w:sz w:val="20"/>
                <w:szCs w:val="20"/>
                <w:u w:val="none"/>
              </w:rPr>
            </w:pPr>
          </w:p>
        </w:tc>
      </w:tr>
      <w:tr w14:paraId="78A3C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177DD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77AAB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空调</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138B2C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3P立柜式空调 电辅热冷暖空调，包含漏电保护开关及需要延长的铜管。</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D963B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7267A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22C6A36">
            <w:pPr>
              <w:rPr>
                <w:rFonts w:hint="eastAsia" w:ascii="方正仿宋_GB2312" w:hAnsi="方正仿宋_GB2312" w:eastAsia="方正仿宋_GB2312" w:cs="方正仿宋_GB2312"/>
                <w:i w:val="0"/>
                <w:iCs w:val="0"/>
                <w:color w:val="000000"/>
                <w:sz w:val="20"/>
                <w:szCs w:val="20"/>
                <w:u w:val="none"/>
              </w:rPr>
            </w:pPr>
          </w:p>
        </w:tc>
      </w:tr>
      <w:tr w14:paraId="758E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BC48C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26</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6BAB6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给排水系统</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9F756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国标管，连接每组模块，连接学校上下水管道。</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4F0B0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ECD77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863E3EE">
            <w:pPr>
              <w:rPr>
                <w:rFonts w:hint="eastAsia" w:ascii="方正仿宋_GB2312" w:hAnsi="方正仿宋_GB2312" w:eastAsia="方正仿宋_GB2312" w:cs="方正仿宋_GB2312"/>
                <w:i w:val="0"/>
                <w:iCs w:val="0"/>
                <w:color w:val="000000"/>
                <w:sz w:val="20"/>
                <w:szCs w:val="20"/>
                <w:u w:val="none"/>
              </w:rPr>
            </w:pPr>
          </w:p>
        </w:tc>
      </w:tr>
      <w:tr w14:paraId="6D738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649FC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27</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FF8FD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综合布线</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729E80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电源线：采用4.0mm</w:t>
            </w:r>
            <w:r>
              <w:rPr>
                <w:rStyle w:val="45"/>
                <w:rFonts w:hint="eastAsia" w:ascii="方正仿宋_GB2312" w:hAnsi="方正仿宋_GB2312" w:eastAsia="方正仿宋_GB2312" w:cs="方正仿宋_GB2312"/>
                <w:sz w:val="20"/>
                <w:szCs w:val="20"/>
                <w:lang w:val="en-US" w:eastAsia="zh-CN" w:bidi="ar"/>
              </w:rPr>
              <w:t>²</w:t>
            </w:r>
            <w:r>
              <w:rPr>
                <w:rStyle w:val="31"/>
                <w:rFonts w:hint="eastAsia" w:ascii="方正仿宋_GB2312" w:hAnsi="方正仿宋_GB2312" w:eastAsia="方正仿宋_GB2312" w:cs="方正仿宋_GB2312"/>
                <w:sz w:val="20"/>
                <w:szCs w:val="20"/>
                <w:lang w:val="en-US" w:eastAsia="zh-CN" w:bidi="ar"/>
              </w:rPr>
              <w:t>铜软线铺设；选用Ф20或Ф25PVC阻燃线管。网线：六类线。</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00945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项</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B96FD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2C5A7218">
            <w:pPr>
              <w:rPr>
                <w:rFonts w:hint="eastAsia" w:ascii="方正仿宋_GB2312" w:hAnsi="方正仿宋_GB2312" w:eastAsia="方正仿宋_GB2312" w:cs="方正仿宋_GB2312"/>
                <w:i w:val="0"/>
                <w:iCs w:val="0"/>
                <w:color w:val="000000"/>
                <w:sz w:val="20"/>
                <w:szCs w:val="20"/>
                <w:u w:val="none"/>
              </w:rPr>
            </w:pPr>
          </w:p>
        </w:tc>
      </w:tr>
      <w:tr w14:paraId="38FE2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F720A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28</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331BC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安装辅件</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BC0198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国标五金件。</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28771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项</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3677B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6BDEC7D">
            <w:pPr>
              <w:rPr>
                <w:rFonts w:hint="eastAsia" w:ascii="方正仿宋_GB2312" w:hAnsi="方正仿宋_GB2312" w:eastAsia="方正仿宋_GB2312" w:cs="方正仿宋_GB2312"/>
                <w:i w:val="0"/>
                <w:iCs w:val="0"/>
                <w:color w:val="000000"/>
                <w:sz w:val="20"/>
                <w:szCs w:val="20"/>
                <w:u w:val="none"/>
              </w:rPr>
            </w:pPr>
          </w:p>
        </w:tc>
      </w:tr>
      <w:tr w14:paraId="2D4C5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1166C0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29</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704EA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集成调试</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D21273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顶部设备整体安装，系统整体调试，包含升降功能、高低压电源系统调试、网络模块系统调试、USB接口调试、给排水调试等</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864CD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项</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FE858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BA7E872">
            <w:pPr>
              <w:rPr>
                <w:rFonts w:hint="eastAsia" w:ascii="方正仿宋_GB2312" w:hAnsi="方正仿宋_GB2312" w:eastAsia="方正仿宋_GB2312" w:cs="方正仿宋_GB2312"/>
                <w:i w:val="0"/>
                <w:iCs w:val="0"/>
                <w:color w:val="000000"/>
                <w:sz w:val="20"/>
                <w:szCs w:val="20"/>
                <w:u w:val="none"/>
              </w:rPr>
            </w:pPr>
          </w:p>
        </w:tc>
      </w:tr>
      <w:tr w14:paraId="25481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A77B3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08A04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教学条件升级</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C8ECB8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定制,1、顶部铝方通吊顶约100㎡，合理设置灯具数量和布局，确保教室各个角落的照明需求得到满足。2、刷自流地坪上铺设地胶铺设约100㎡。3、墙面乳胶漆，窗台大理石台面。4、学科窗帘3副（根据现场尺寸定做）。5、垃圾清运。6、实验室文化墙设计及安装。</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0B404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间</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12C37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619E0F6">
            <w:pPr>
              <w:rPr>
                <w:rFonts w:hint="eastAsia" w:ascii="方正仿宋_GB2312" w:hAnsi="方正仿宋_GB2312" w:eastAsia="方正仿宋_GB2312" w:cs="方正仿宋_GB2312"/>
                <w:i w:val="0"/>
                <w:iCs w:val="0"/>
                <w:color w:val="000000"/>
                <w:sz w:val="20"/>
                <w:szCs w:val="20"/>
                <w:u w:val="none"/>
              </w:rPr>
            </w:pPr>
          </w:p>
        </w:tc>
      </w:tr>
      <w:tr w14:paraId="0DB6D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5A6BF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717E4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监控</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E8E53C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高清监控摄像头，实验室2个、准备室1个，并接入学校安防监控。</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E8FEA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72855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EEB26B9">
            <w:pPr>
              <w:rPr>
                <w:rFonts w:hint="eastAsia" w:ascii="方正仿宋_GB2312" w:hAnsi="方正仿宋_GB2312" w:eastAsia="方正仿宋_GB2312" w:cs="方正仿宋_GB2312"/>
                <w:i w:val="0"/>
                <w:iCs w:val="0"/>
                <w:color w:val="000000"/>
                <w:sz w:val="20"/>
                <w:szCs w:val="20"/>
                <w:u w:val="none"/>
              </w:rPr>
            </w:pPr>
          </w:p>
        </w:tc>
      </w:tr>
      <w:tr w14:paraId="61CEF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41FE00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32</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500E4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准备台</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4CA89B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一、规格：2400*1200*760mm（正负不超过50mm）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二、台面：</w:t>
            </w:r>
            <w:r>
              <w:rPr>
                <w:rStyle w:val="41"/>
                <w:rFonts w:hint="eastAsia" w:ascii="方正仿宋_GB2312" w:hAnsi="方正仿宋_GB2312" w:eastAsia="方正仿宋_GB2312" w:cs="方正仿宋_GB2312"/>
                <w:sz w:val="20"/>
                <w:szCs w:val="20"/>
                <w:lang w:val="en-US" w:eastAsia="zh-CN" w:bidi="ar"/>
              </w:rPr>
              <w:t xml:space="preserve"> </w:t>
            </w:r>
            <w:r>
              <w:rPr>
                <w:rStyle w:val="31"/>
                <w:rFonts w:hint="eastAsia" w:ascii="方正仿宋_GB2312" w:hAnsi="方正仿宋_GB2312" w:eastAsia="方正仿宋_GB2312" w:cs="方正仿宋_GB2312"/>
                <w:sz w:val="20"/>
                <w:szCs w:val="20"/>
                <w:lang w:val="en-US" w:eastAsia="zh-CN" w:bidi="ar"/>
              </w:rPr>
              <w:t>采用12.7mm厚理化板。</w:t>
            </w:r>
            <w:r>
              <w:rPr>
                <w:rStyle w:val="31"/>
                <w:rFonts w:hint="eastAsia" w:ascii="方正仿宋_GB2312" w:hAnsi="方正仿宋_GB2312" w:eastAsia="方正仿宋_GB2312" w:cs="方正仿宋_GB2312"/>
                <w:sz w:val="20"/>
                <w:szCs w:val="20"/>
                <w:lang w:val="en-US" w:eastAsia="zh-CN" w:bidi="ar"/>
              </w:rPr>
              <w:br w:type="textWrapping"/>
            </w:r>
            <w:r>
              <w:rPr>
                <w:rStyle w:val="31"/>
                <w:rFonts w:hint="eastAsia" w:ascii="方正仿宋_GB2312" w:hAnsi="方正仿宋_GB2312" w:eastAsia="方正仿宋_GB2312" w:cs="方正仿宋_GB2312"/>
                <w:sz w:val="20"/>
                <w:szCs w:val="20"/>
                <w:lang w:val="en-US" w:eastAsia="zh-CN" w:bidi="ar"/>
              </w:rPr>
              <w:t>三、台身结构：新型塑铝结构。桌腿：采用工字型压铸铝一次成型，材料表面经高压静电喷涂环氧树脂防护层，耐酸碱，耐腐蚀处理。上腿规格：长580mm宽56mm高90mm（正负不超过10mm），壁厚3.0mm。下腿规格：长540mm宽51mm高80mm，壁厚3.0mm。</w:t>
            </w:r>
            <w:r>
              <w:rPr>
                <w:rStyle w:val="31"/>
                <w:rFonts w:hint="eastAsia" w:ascii="方正仿宋_GB2312" w:hAnsi="方正仿宋_GB2312" w:eastAsia="方正仿宋_GB2312" w:cs="方正仿宋_GB2312"/>
                <w:sz w:val="20"/>
                <w:szCs w:val="20"/>
                <w:lang w:val="en-US" w:eastAsia="zh-CN" w:bidi="ar"/>
              </w:rPr>
              <w:br w:type="textWrapping"/>
            </w:r>
            <w:r>
              <w:rPr>
                <w:rStyle w:val="31"/>
                <w:rFonts w:hint="eastAsia" w:ascii="方正仿宋_GB2312" w:hAnsi="方正仿宋_GB2312" w:eastAsia="方正仿宋_GB2312" w:cs="方正仿宋_GB2312"/>
                <w:sz w:val="20"/>
                <w:szCs w:val="20"/>
                <w:lang w:val="en-US" w:eastAsia="zh-CN" w:bidi="ar"/>
              </w:rPr>
              <w:t>四、立柱：采用加强横支撑件，材料表面经高压静电喷涂环氧树脂防护层，耐酸碱，耐腐蚀处理。</w:t>
            </w:r>
            <w:r>
              <w:rPr>
                <w:rStyle w:val="31"/>
                <w:rFonts w:hint="eastAsia" w:ascii="方正仿宋_GB2312" w:hAnsi="方正仿宋_GB2312" w:eastAsia="方正仿宋_GB2312" w:cs="方正仿宋_GB2312"/>
                <w:sz w:val="20"/>
                <w:szCs w:val="20"/>
                <w:lang w:val="en-US" w:eastAsia="zh-CN" w:bidi="ar"/>
              </w:rPr>
              <w:br w:type="textWrapping"/>
            </w:r>
            <w:r>
              <w:rPr>
                <w:rStyle w:val="31"/>
                <w:rFonts w:hint="eastAsia" w:ascii="方正仿宋_GB2312" w:hAnsi="方正仿宋_GB2312" w:eastAsia="方正仿宋_GB2312" w:cs="方正仿宋_GB2312"/>
                <w:sz w:val="20"/>
                <w:szCs w:val="20"/>
                <w:lang w:val="en-US" w:eastAsia="zh-CN" w:bidi="ar"/>
              </w:rPr>
              <w:t xml:space="preserve">五、书包斗:尺寸为480*290*152mm（正负不超过20mm）,壁厚≥2.0mm；采用环保型ABS工程塑料一次性注塑成型。  </w:t>
            </w:r>
            <w:r>
              <w:rPr>
                <w:rStyle w:val="31"/>
                <w:rFonts w:hint="eastAsia" w:ascii="方正仿宋_GB2312" w:hAnsi="方正仿宋_GB2312" w:eastAsia="方正仿宋_GB2312" w:cs="方正仿宋_GB2312"/>
                <w:sz w:val="20"/>
                <w:szCs w:val="20"/>
                <w:lang w:val="en-US" w:eastAsia="zh-CN" w:bidi="ar"/>
              </w:rPr>
              <w:br w:type="textWrapping"/>
            </w:r>
            <w:r>
              <w:rPr>
                <w:rStyle w:val="31"/>
                <w:rFonts w:hint="eastAsia" w:ascii="方正仿宋_GB2312" w:hAnsi="方正仿宋_GB2312" w:eastAsia="方正仿宋_GB2312" w:cs="方正仿宋_GB2312"/>
                <w:sz w:val="20"/>
                <w:szCs w:val="20"/>
                <w:lang w:val="en-US" w:eastAsia="zh-CN" w:bidi="ar"/>
              </w:rPr>
              <w:t>六、整体结构：台面理化板一体成型，桌身由桌腿、立柱、前横梁、中横梁、后横梁及加强横支撑件组成，学生位设书包斗 。</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A23DF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张</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C1B7B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1327307">
            <w:pPr>
              <w:rPr>
                <w:rFonts w:hint="eastAsia" w:ascii="方正仿宋_GB2312" w:hAnsi="方正仿宋_GB2312" w:eastAsia="方正仿宋_GB2312" w:cs="方正仿宋_GB2312"/>
                <w:i w:val="0"/>
                <w:iCs w:val="0"/>
                <w:color w:val="000000"/>
                <w:sz w:val="20"/>
                <w:szCs w:val="20"/>
                <w:u w:val="none"/>
              </w:rPr>
            </w:pPr>
          </w:p>
        </w:tc>
      </w:tr>
      <w:tr w14:paraId="65C6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D20A3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EA9EA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试剂架</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8F0C2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1、尺寸：2200*330*750mm （正负不超过30mm）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铝合金结构，表面喷涂高温固化匀乳白环氧树脂喷涂理处理，具有较强的耐蚀性能，上下带塑胶模具堵头。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2、试剂架立柱截面尺寸：42mm*90mm, 型材壁厚1.5mm；试剂架立柱双面升降槽，侧面双面镶嵌另色色条；试剂架托架采用壁厚≥2.0mm冷轧板或者铝合金，一次性冲压成型；有试剂架护栏。</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3、立杆牢固固定于桌面，层板采用≥10mm厚的钢化玻璃，安装后用户可根据试剂大小上下高低无级调节。</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C5719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组</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51056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F680C6C">
            <w:pPr>
              <w:rPr>
                <w:rFonts w:hint="eastAsia" w:ascii="方正仿宋_GB2312" w:hAnsi="方正仿宋_GB2312" w:eastAsia="方正仿宋_GB2312" w:cs="方正仿宋_GB2312"/>
                <w:i w:val="0"/>
                <w:iCs w:val="0"/>
                <w:color w:val="000000"/>
                <w:sz w:val="20"/>
                <w:szCs w:val="20"/>
                <w:u w:val="none"/>
              </w:rPr>
            </w:pPr>
          </w:p>
        </w:tc>
      </w:tr>
      <w:tr w14:paraId="07949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5F460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34</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56916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仪器柜</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DB8887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一、PP仪器柜整体规格：1000×500×2000mm（正负不超过50mm）；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二、整体为可拆装活动式设计耐腐蚀性好经久耐用。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三、柜体：侧板、顶板、底板、层板采用改性PP材料模具一次成型，表面沙光和光面相结合处理，保证柜体之坚固及密封性，耐腐蚀性强，顶板、底板预留模具成型排风孔。底板、顶板底部都镶嵌15mm*30*1.0mm钢制横梁承重管。层板上两层下一层可随意组合高低。层板称重量能达到80公斤以上。</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四、上柜柜门：内框采用改性PP材质模具分内外两层中间镶嵌4mm厚钢化玻璃。上下拉手对称五点固定，伸缩弹簧式PP旋转门轴，四角R型倒角，内侧弧形圆边。配有专用加长机械锁。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五、下柜柜门：内外框采用改性PP材质模具注塑成型，整体颜色可选湛蓝或浅豆绿也可以选带钢化玻璃门，上下拉手及三角对称五点固定。伸缩弹簧式PP旋转门轴，四角R型倒角，内侧弧形圆边，配有加长机械锁。不锈钢材质固定、底部配有可调不不锈钢螺旋式地脚，本产品也可分体式存放。</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5C6F2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3E7FC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25</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576DF689">
            <w:pPr>
              <w:rPr>
                <w:rFonts w:hint="eastAsia" w:ascii="方正仿宋_GB2312" w:hAnsi="方正仿宋_GB2312" w:eastAsia="方正仿宋_GB2312" w:cs="方正仿宋_GB2312"/>
                <w:i w:val="0"/>
                <w:iCs w:val="0"/>
                <w:color w:val="000000"/>
                <w:sz w:val="20"/>
                <w:szCs w:val="20"/>
                <w:u w:val="none"/>
              </w:rPr>
            </w:pPr>
          </w:p>
        </w:tc>
      </w:tr>
      <w:tr w14:paraId="6498D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D6CFD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E0B98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三联水嘴</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D0B654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一、金属材质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二、涂层：高亮度环氧树脂涂层，耐腐蚀、耐热，防紫外线辐射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三、陶瓷阀芯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四、可拆卸水嘴，可加接防溅起泡器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五、开关按钮：高密度PP材质,符合人体工学设计，轻便快捷。</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CF40E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5A1F1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D353B8D">
            <w:pPr>
              <w:rPr>
                <w:rFonts w:hint="eastAsia" w:ascii="方正仿宋_GB2312" w:hAnsi="方正仿宋_GB2312" w:eastAsia="方正仿宋_GB2312" w:cs="方正仿宋_GB2312"/>
                <w:i w:val="0"/>
                <w:iCs w:val="0"/>
                <w:color w:val="000000"/>
                <w:sz w:val="20"/>
                <w:szCs w:val="20"/>
                <w:u w:val="none"/>
              </w:rPr>
            </w:pPr>
          </w:p>
        </w:tc>
      </w:tr>
      <w:tr w14:paraId="29F6B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3DA3E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36</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AFDC1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安装调试及附件</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7BEED1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整间准备室的安装调试及安装附件</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937FC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室</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33C30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E1A5263">
            <w:pPr>
              <w:rPr>
                <w:rFonts w:hint="eastAsia" w:ascii="方正仿宋_GB2312" w:hAnsi="方正仿宋_GB2312" w:eastAsia="方正仿宋_GB2312" w:cs="方正仿宋_GB2312"/>
                <w:i w:val="0"/>
                <w:iCs w:val="0"/>
                <w:color w:val="000000"/>
                <w:sz w:val="20"/>
                <w:szCs w:val="20"/>
                <w:u w:val="none"/>
              </w:rPr>
            </w:pPr>
          </w:p>
        </w:tc>
      </w:tr>
      <w:tr w14:paraId="60C28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104810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37</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8FFA5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紧急喷淋器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556AF0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不锈钢材质，喷淋流量 120 L/min～ 180L/min</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E40D6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5C282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D078841">
            <w:pPr>
              <w:rPr>
                <w:rFonts w:hint="eastAsia" w:ascii="方正仿宋_GB2312" w:hAnsi="方正仿宋_GB2312" w:eastAsia="方正仿宋_GB2312" w:cs="方正仿宋_GB2312"/>
                <w:i w:val="0"/>
                <w:iCs w:val="0"/>
                <w:color w:val="000000"/>
                <w:sz w:val="20"/>
                <w:szCs w:val="20"/>
                <w:u w:val="none"/>
              </w:rPr>
            </w:pPr>
          </w:p>
        </w:tc>
      </w:tr>
      <w:tr w14:paraId="796B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1BC01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38</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B487C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洗眼器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6750F1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拔插式，使用时可于供水接口对接，不用时可取下放置。洗眼喷头：采用不助燃PC材质模铸一体成形制作，具有防尘功能，上面防尘盖平常可防尘，使用时可随时被水冲开，并降低突然打开时短暂的高水压，避免冲伤眼睛。</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76BB6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B9C38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760556B">
            <w:pPr>
              <w:rPr>
                <w:rFonts w:hint="eastAsia" w:ascii="方正仿宋_GB2312" w:hAnsi="方正仿宋_GB2312" w:eastAsia="方正仿宋_GB2312" w:cs="方正仿宋_GB2312"/>
                <w:i w:val="0"/>
                <w:iCs w:val="0"/>
                <w:color w:val="000000"/>
                <w:sz w:val="20"/>
                <w:szCs w:val="20"/>
                <w:u w:val="none"/>
              </w:rPr>
            </w:pPr>
          </w:p>
        </w:tc>
      </w:tr>
      <w:tr w14:paraId="35705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83D1E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39</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2F722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灭火毯</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9339FE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玻璃纤维材质，应有涂覆层，1200 mm×1800 mm</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3FA71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件</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59B3E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62709A3">
            <w:pPr>
              <w:rPr>
                <w:rFonts w:hint="eastAsia" w:ascii="方正仿宋_GB2312" w:hAnsi="方正仿宋_GB2312" w:eastAsia="方正仿宋_GB2312" w:cs="方正仿宋_GB2312"/>
                <w:i w:val="0"/>
                <w:iCs w:val="0"/>
                <w:color w:val="000000"/>
                <w:sz w:val="20"/>
                <w:szCs w:val="20"/>
                <w:u w:val="none"/>
              </w:rPr>
            </w:pPr>
          </w:p>
        </w:tc>
      </w:tr>
      <w:tr w14:paraId="39C17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4C25C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22763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实验服</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CA62A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分为大、中、小号，耐酸碱</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F647F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件</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2284C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4282357">
            <w:pPr>
              <w:rPr>
                <w:rFonts w:hint="eastAsia" w:ascii="方正仿宋_GB2312" w:hAnsi="方正仿宋_GB2312" w:eastAsia="方正仿宋_GB2312" w:cs="方正仿宋_GB2312"/>
                <w:i w:val="0"/>
                <w:iCs w:val="0"/>
                <w:color w:val="000000"/>
                <w:sz w:val="20"/>
                <w:szCs w:val="20"/>
                <w:u w:val="none"/>
              </w:rPr>
            </w:pPr>
          </w:p>
        </w:tc>
      </w:tr>
      <w:tr w14:paraId="728BE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16B42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D215B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护目镜</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7FACE6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封闭型，耐酸碱，抗冲击，耐磨，便于清洗</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88BFA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A7996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8BB0EC4">
            <w:pPr>
              <w:rPr>
                <w:rFonts w:hint="eastAsia" w:ascii="方正仿宋_GB2312" w:hAnsi="方正仿宋_GB2312" w:eastAsia="方正仿宋_GB2312" w:cs="方正仿宋_GB2312"/>
                <w:i w:val="0"/>
                <w:iCs w:val="0"/>
                <w:color w:val="000000"/>
                <w:sz w:val="20"/>
                <w:szCs w:val="20"/>
                <w:u w:val="none"/>
              </w:rPr>
            </w:pPr>
          </w:p>
        </w:tc>
      </w:tr>
      <w:tr w14:paraId="6E3A5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8FA2D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42</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CB931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防护面罩</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C47087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防冲击面屏，聚碳酸酯材质，光洁，透明度高，耐高速粒子冲击，通过弹簧箍与安全帽相连，面屏可更换，起到头部与面部双重保护作用</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D2E1E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4F1B2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293CF56">
            <w:pPr>
              <w:rPr>
                <w:rFonts w:hint="eastAsia" w:ascii="方正仿宋_GB2312" w:hAnsi="方正仿宋_GB2312" w:eastAsia="方正仿宋_GB2312" w:cs="方正仿宋_GB2312"/>
                <w:i w:val="0"/>
                <w:iCs w:val="0"/>
                <w:color w:val="000000"/>
                <w:sz w:val="20"/>
                <w:szCs w:val="20"/>
                <w:u w:val="none"/>
              </w:rPr>
            </w:pPr>
          </w:p>
        </w:tc>
      </w:tr>
      <w:tr w14:paraId="2665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C7F84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1E201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防毒口罩</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B415B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E 型（标色：黄），防止吸入酸性气体或蒸气</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74D4A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BAB11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19DC2A4">
            <w:pPr>
              <w:rPr>
                <w:rFonts w:hint="eastAsia" w:ascii="方正仿宋_GB2312" w:hAnsi="方正仿宋_GB2312" w:eastAsia="方正仿宋_GB2312" w:cs="方正仿宋_GB2312"/>
                <w:i w:val="0"/>
                <w:iCs w:val="0"/>
                <w:color w:val="000000"/>
                <w:sz w:val="20"/>
                <w:szCs w:val="20"/>
                <w:u w:val="none"/>
              </w:rPr>
            </w:pPr>
          </w:p>
        </w:tc>
      </w:tr>
      <w:tr w14:paraId="54E0E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1B161F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44</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D2BB1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防毒口罩</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CB705B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CO 型（标色：白），防止吸入一氧化碳</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D1CE4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1A708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24ECDD80">
            <w:pPr>
              <w:rPr>
                <w:rFonts w:hint="eastAsia" w:ascii="方正仿宋_GB2312" w:hAnsi="方正仿宋_GB2312" w:eastAsia="方正仿宋_GB2312" w:cs="方正仿宋_GB2312"/>
                <w:i w:val="0"/>
                <w:iCs w:val="0"/>
                <w:color w:val="000000"/>
                <w:sz w:val="20"/>
                <w:szCs w:val="20"/>
                <w:u w:val="none"/>
              </w:rPr>
            </w:pPr>
          </w:p>
        </w:tc>
      </w:tr>
      <w:tr w14:paraId="7D9D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27E8D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00CD9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耐酸手套</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46BF80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机械性能不低于 3 级，无破损，手套应有长度≥15 cm 的套袖</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BC8E9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副</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E885F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FCA104E">
            <w:pPr>
              <w:rPr>
                <w:rFonts w:hint="eastAsia" w:ascii="方正仿宋_GB2312" w:hAnsi="方正仿宋_GB2312" w:eastAsia="方正仿宋_GB2312" w:cs="方正仿宋_GB2312"/>
                <w:i w:val="0"/>
                <w:iCs w:val="0"/>
                <w:color w:val="000000"/>
                <w:sz w:val="20"/>
                <w:szCs w:val="20"/>
                <w:u w:val="none"/>
              </w:rPr>
            </w:pPr>
          </w:p>
        </w:tc>
      </w:tr>
      <w:tr w14:paraId="75FE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2A090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46</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13DBF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一次性乳胶手套</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922EED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一般性防护，不漏水</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E9613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盒</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64B6E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202727B9">
            <w:pPr>
              <w:rPr>
                <w:rFonts w:hint="eastAsia" w:ascii="方正仿宋_GB2312" w:hAnsi="方正仿宋_GB2312" w:eastAsia="方正仿宋_GB2312" w:cs="方正仿宋_GB2312"/>
                <w:i w:val="0"/>
                <w:iCs w:val="0"/>
                <w:color w:val="000000"/>
                <w:sz w:val="20"/>
                <w:szCs w:val="20"/>
                <w:u w:val="none"/>
              </w:rPr>
            </w:pPr>
          </w:p>
        </w:tc>
      </w:tr>
      <w:tr w14:paraId="6333D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56F642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47</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A5508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化学实验废水预处理装置</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661978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主体透明，兼作教学使用，能进行pH 测试、酸碱废液中和、重金属离子凝聚和过滤，能处理中学常见无机化学废液，同时可以通过仪器内的活性炭吸附少量混入的有机物。应配备适量的凝聚剂和助凝剂，至少应配备更换用活性炭包 2 个。处理量≥6 L/次</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F3E29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AC6B1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58014C9F">
            <w:pPr>
              <w:rPr>
                <w:rFonts w:hint="eastAsia" w:ascii="方正仿宋_GB2312" w:hAnsi="方正仿宋_GB2312" w:eastAsia="方正仿宋_GB2312" w:cs="方正仿宋_GB2312"/>
                <w:i w:val="0"/>
                <w:iCs w:val="0"/>
                <w:color w:val="000000"/>
                <w:sz w:val="20"/>
                <w:szCs w:val="20"/>
                <w:u w:val="none"/>
              </w:rPr>
            </w:pPr>
          </w:p>
        </w:tc>
      </w:tr>
      <w:tr w14:paraId="5D1A3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EC1D3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48</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03C41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放电反应实验仪</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D37BF1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通电 2 min 之内即有氮气与氧气反应的现象，消耗功率不大于 30 W</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3033F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54945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13</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68B7A2E">
            <w:pPr>
              <w:rPr>
                <w:rFonts w:hint="eastAsia" w:ascii="方正仿宋_GB2312" w:hAnsi="方正仿宋_GB2312" w:eastAsia="方正仿宋_GB2312" w:cs="方正仿宋_GB2312"/>
                <w:i w:val="0"/>
                <w:iCs w:val="0"/>
                <w:color w:val="000000"/>
                <w:sz w:val="20"/>
                <w:szCs w:val="20"/>
                <w:u w:val="none"/>
              </w:rPr>
            </w:pPr>
          </w:p>
        </w:tc>
      </w:tr>
      <w:tr w14:paraId="4890F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770AA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49</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4A5E2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中和热测定仪</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174B55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又称简易量热计，包括反应容器、盖板、温度计、环形玻璃搅拌棒</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8D221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A236E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25</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FBA25CA">
            <w:pPr>
              <w:rPr>
                <w:rFonts w:hint="eastAsia" w:ascii="方正仿宋_GB2312" w:hAnsi="方正仿宋_GB2312" w:eastAsia="方正仿宋_GB2312" w:cs="方正仿宋_GB2312"/>
                <w:i w:val="0"/>
                <w:iCs w:val="0"/>
                <w:color w:val="000000"/>
                <w:sz w:val="20"/>
                <w:szCs w:val="20"/>
                <w:u w:val="none"/>
              </w:rPr>
            </w:pPr>
          </w:p>
        </w:tc>
      </w:tr>
      <w:tr w14:paraId="77106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539E67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DCA66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原电池实验器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C85056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包括缸体、带固定和可移动接线柱的缸体盖板、铜电极板、锌电极板、铁电极板、铝电极板、碳棒、导线等</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1B416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2CC88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25</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EE116E2">
            <w:pPr>
              <w:rPr>
                <w:rFonts w:hint="eastAsia" w:ascii="方正仿宋_GB2312" w:hAnsi="方正仿宋_GB2312" w:eastAsia="方正仿宋_GB2312" w:cs="方正仿宋_GB2312"/>
                <w:i w:val="0"/>
                <w:iCs w:val="0"/>
                <w:color w:val="000000"/>
                <w:sz w:val="20"/>
                <w:szCs w:val="20"/>
                <w:u w:val="none"/>
              </w:rPr>
            </w:pPr>
          </w:p>
        </w:tc>
      </w:tr>
      <w:tr w14:paraId="7464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1E450E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8AC54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氢燃料电池实验器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AF36FF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含一个质子交换膜电极，膜电极不小于 15mm×15 mm</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97025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9547B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25</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3E5739A">
            <w:pPr>
              <w:rPr>
                <w:rFonts w:hint="eastAsia" w:ascii="方正仿宋_GB2312" w:hAnsi="方正仿宋_GB2312" w:eastAsia="方正仿宋_GB2312" w:cs="方正仿宋_GB2312"/>
                <w:i w:val="0"/>
                <w:iCs w:val="0"/>
                <w:color w:val="000000"/>
                <w:sz w:val="20"/>
                <w:szCs w:val="20"/>
                <w:u w:val="none"/>
              </w:rPr>
            </w:pPr>
          </w:p>
        </w:tc>
      </w:tr>
      <w:tr w14:paraId="2EA0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11AF7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52</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2B6BA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二氧化氮球</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1C97D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双球， 内封二氧化氮和四氧化二氮混合气体，常温下球内气体为黄棕色</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B1241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769C7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25</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F75FA2C">
            <w:pPr>
              <w:rPr>
                <w:rFonts w:hint="eastAsia" w:ascii="方正仿宋_GB2312" w:hAnsi="方正仿宋_GB2312" w:eastAsia="方正仿宋_GB2312" w:cs="方正仿宋_GB2312"/>
                <w:i w:val="0"/>
                <w:iCs w:val="0"/>
                <w:color w:val="000000"/>
                <w:sz w:val="20"/>
                <w:szCs w:val="20"/>
                <w:u w:val="none"/>
              </w:rPr>
            </w:pPr>
          </w:p>
        </w:tc>
      </w:tr>
      <w:tr w14:paraId="38B3D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3B739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FD40B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溶液导电演示器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ED59BB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电表式，干电池电源，首先校准到电表指示满量程，用电流法相对比较 5 种溶液的导电能力</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D65B9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FB445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F559597">
            <w:pPr>
              <w:rPr>
                <w:rFonts w:hint="eastAsia" w:ascii="方正仿宋_GB2312" w:hAnsi="方正仿宋_GB2312" w:eastAsia="方正仿宋_GB2312" w:cs="方正仿宋_GB2312"/>
                <w:i w:val="0"/>
                <w:iCs w:val="0"/>
                <w:color w:val="000000"/>
                <w:sz w:val="20"/>
                <w:szCs w:val="20"/>
                <w:u w:val="none"/>
              </w:rPr>
            </w:pPr>
          </w:p>
        </w:tc>
      </w:tr>
      <w:tr w14:paraId="66B1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543E74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54</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12157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光化学实验演示器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4101FE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能演示甲烷与氯气的反应</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3506D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0EFF5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D432023">
            <w:pPr>
              <w:rPr>
                <w:rFonts w:hint="eastAsia" w:ascii="方正仿宋_GB2312" w:hAnsi="方正仿宋_GB2312" w:eastAsia="方正仿宋_GB2312" w:cs="方正仿宋_GB2312"/>
                <w:i w:val="0"/>
                <w:iCs w:val="0"/>
                <w:color w:val="000000"/>
                <w:sz w:val="20"/>
                <w:szCs w:val="20"/>
                <w:u w:val="none"/>
              </w:rPr>
            </w:pPr>
          </w:p>
        </w:tc>
      </w:tr>
      <w:tr w14:paraId="2FF8B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60940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89C1E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教师用分子结构模型</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ABC17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球棍式，氢原子球直径不小于 23 mm，其他原子球直径不小于 40 mm</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79023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EA585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D9A0DEF">
            <w:pPr>
              <w:rPr>
                <w:rFonts w:hint="eastAsia" w:ascii="方正仿宋_GB2312" w:hAnsi="方正仿宋_GB2312" w:eastAsia="方正仿宋_GB2312" w:cs="方正仿宋_GB2312"/>
                <w:i w:val="0"/>
                <w:iCs w:val="0"/>
                <w:color w:val="000000"/>
                <w:sz w:val="20"/>
                <w:szCs w:val="20"/>
                <w:u w:val="none"/>
              </w:rPr>
            </w:pPr>
          </w:p>
        </w:tc>
      </w:tr>
      <w:tr w14:paraId="7FBB3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5A71B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56</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D009B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教师用分子结构模型</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92B0CF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空间填充式</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3A176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AE120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05CF73D">
            <w:pPr>
              <w:rPr>
                <w:rFonts w:hint="eastAsia" w:ascii="方正仿宋_GB2312" w:hAnsi="方正仿宋_GB2312" w:eastAsia="方正仿宋_GB2312" w:cs="方正仿宋_GB2312"/>
                <w:i w:val="0"/>
                <w:iCs w:val="0"/>
                <w:color w:val="000000"/>
                <w:sz w:val="20"/>
                <w:szCs w:val="20"/>
                <w:u w:val="none"/>
              </w:rPr>
            </w:pPr>
          </w:p>
        </w:tc>
      </w:tr>
      <w:tr w14:paraId="6A2C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1BE76F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57</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309D6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学生用分子结构模型</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BF981E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球棍式，氢原子球直径不小于 17 mm，其他原子球直径不小于 23 mm</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E8198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1C028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25</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70BCB40">
            <w:pPr>
              <w:rPr>
                <w:rFonts w:hint="eastAsia" w:ascii="方正仿宋_GB2312" w:hAnsi="方正仿宋_GB2312" w:eastAsia="方正仿宋_GB2312" w:cs="方正仿宋_GB2312"/>
                <w:i w:val="0"/>
                <w:iCs w:val="0"/>
                <w:color w:val="000000"/>
                <w:sz w:val="20"/>
                <w:szCs w:val="20"/>
                <w:u w:val="none"/>
              </w:rPr>
            </w:pPr>
          </w:p>
        </w:tc>
      </w:tr>
      <w:tr w14:paraId="4A838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7947C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58</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272BE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原子轨道模型</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083D7F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s、px、py、pz、dx2-y2、dz2、dxy、dyz、dzx</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61019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DD3A2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29767AFF">
            <w:pPr>
              <w:rPr>
                <w:rFonts w:hint="eastAsia" w:ascii="方正仿宋_GB2312" w:hAnsi="方正仿宋_GB2312" w:eastAsia="方正仿宋_GB2312" w:cs="方正仿宋_GB2312"/>
                <w:i w:val="0"/>
                <w:iCs w:val="0"/>
                <w:color w:val="000000"/>
                <w:sz w:val="20"/>
                <w:szCs w:val="20"/>
                <w:u w:val="none"/>
              </w:rPr>
            </w:pPr>
          </w:p>
        </w:tc>
      </w:tr>
      <w:tr w14:paraId="2812D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319B9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59</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D6B2C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轨道重叠方式模型</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017045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σ键模型（s-s、s-p、p-p）、 π键模型（简单的 p-p π键、N2 分子的两个π键）</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AFDBE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F570D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22E0503C">
            <w:pPr>
              <w:rPr>
                <w:rFonts w:hint="eastAsia" w:ascii="方正仿宋_GB2312" w:hAnsi="方正仿宋_GB2312" w:eastAsia="方正仿宋_GB2312" w:cs="方正仿宋_GB2312"/>
                <w:i w:val="0"/>
                <w:iCs w:val="0"/>
                <w:color w:val="000000"/>
                <w:sz w:val="20"/>
                <w:szCs w:val="20"/>
                <w:u w:val="none"/>
              </w:rPr>
            </w:pPr>
          </w:p>
        </w:tc>
      </w:tr>
      <w:tr w14:paraId="34F3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470974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E1A2A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分子空间结构模型</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68F896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球棍式，包括 CO2 、H2O、HCHO、NH3 、CH4、P4 、P4O6 、P4O10 、C60 、船式 C6H12 、椅式 C6H12、S8 、SF6</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650BD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B3650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193977A">
            <w:pPr>
              <w:rPr>
                <w:rFonts w:hint="eastAsia" w:ascii="方正仿宋_GB2312" w:hAnsi="方正仿宋_GB2312" w:eastAsia="方正仿宋_GB2312" w:cs="方正仿宋_GB2312"/>
                <w:i w:val="0"/>
                <w:iCs w:val="0"/>
                <w:color w:val="000000"/>
                <w:sz w:val="20"/>
                <w:szCs w:val="20"/>
                <w:u w:val="none"/>
              </w:rPr>
            </w:pPr>
          </w:p>
        </w:tc>
      </w:tr>
      <w:tr w14:paraId="2BE0A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C6948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C987E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原子杂化轨道模型</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7AE51C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sp、sp2 、sp3</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E73AB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1E5F0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B1005B5">
            <w:pPr>
              <w:rPr>
                <w:rFonts w:hint="eastAsia" w:ascii="方正仿宋_GB2312" w:hAnsi="方正仿宋_GB2312" w:eastAsia="方正仿宋_GB2312" w:cs="方正仿宋_GB2312"/>
                <w:i w:val="0"/>
                <w:iCs w:val="0"/>
                <w:color w:val="000000"/>
                <w:sz w:val="20"/>
                <w:szCs w:val="20"/>
                <w:u w:val="none"/>
              </w:rPr>
            </w:pPr>
          </w:p>
        </w:tc>
      </w:tr>
      <w:tr w14:paraId="1B3B7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5C409C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62</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B8141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价层电子对互斥模型</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BD00CA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CO2 、SO2 、CO32- 、H2O、SO3 、NH3 、CH4</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3A8E7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390C0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2EEE2A4">
            <w:pPr>
              <w:rPr>
                <w:rFonts w:hint="eastAsia" w:ascii="方正仿宋_GB2312" w:hAnsi="方正仿宋_GB2312" w:eastAsia="方正仿宋_GB2312" w:cs="方正仿宋_GB2312"/>
                <w:i w:val="0"/>
                <w:iCs w:val="0"/>
                <w:color w:val="000000"/>
                <w:sz w:val="20"/>
                <w:szCs w:val="20"/>
                <w:u w:val="none"/>
              </w:rPr>
            </w:pPr>
          </w:p>
        </w:tc>
      </w:tr>
      <w:tr w14:paraId="36CE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923BB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D124B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金属晶体结构模型</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9D17CF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包括但不局限于 Cu、Na、Zn 等，球直径不小于 30 mm</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0A476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637F2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7AB3F48">
            <w:pPr>
              <w:rPr>
                <w:rFonts w:hint="eastAsia" w:ascii="方正仿宋_GB2312" w:hAnsi="方正仿宋_GB2312" w:eastAsia="方正仿宋_GB2312" w:cs="方正仿宋_GB2312"/>
                <w:i w:val="0"/>
                <w:iCs w:val="0"/>
                <w:color w:val="000000"/>
                <w:sz w:val="20"/>
                <w:szCs w:val="20"/>
                <w:u w:val="none"/>
              </w:rPr>
            </w:pPr>
          </w:p>
        </w:tc>
      </w:tr>
      <w:tr w14:paraId="2C089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3E549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64</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C990D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离子晶体结构模型</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D41BFF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包括但不局限于氯化钠、氯化铯等，球直径不小于 30 mm</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80BBE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8FF08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C7B540F">
            <w:pPr>
              <w:rPr>
                <w:rFonts w:hint="eastAsia" w:ascii="方正仿宋_GB2312" w:hAnsi="方正仿宋_GB2312" w:eastAsia="方正仿宋_GB2312" w:cs="方正仿宋_GB2312"/>
                <w:i w:val="0"/>
                <w:iCs w:val="0"/>
                <w:color w:val="000000"/>
                <w:sz w:val="20"/>
                <w:szCs w:val="20"/>
                <w:u w:val="none"/>
              </w:rPr>
            </w:pPr>
          </w:p>
        </w:tc>
      </w:tr>
      <w:tr w14:paraId="67B46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22D23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363E2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共价晶体结构模型</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3398CE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包括但不局限于金刚石、二氧化硅等，球直径不小于 30 mm</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B3789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4A09A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282CCE6E">
            <w:pPr>
              <w:rPr>
                <w:rFonts w:hint="eastAsia" w:ascii="方正仿宋_GB2312" w:hAnsi="方正仿宋_GB2312" w:eastAsia="方正仿宋_GB2312" w:cs="方正仿宋_GB2312"/>
                <w:i w:val="0"/>
                <w:iCs w:val="0"/>
                <w:color w:val="000000"/>
                <w:sz w:val="20"/>
                <w:szCs w:val="20"/>
                <w:u w:val="none"/>
              </w:rPr>
            </w:pPr>
          </w:p>
        </w:tc>
      </w:tr>
      <w:tr w14:paraId="7EB2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82120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66</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E1D2E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分子晶体结构模型</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137DF1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包括但不局限于 C60 、冰、干冰、碘、天然气水合物等，球直径不小于 30 mm</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F077E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13F10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12009C2">
            <w:pPr>
              <w:rPr>
                <w:rFonts w:hint="eastAsia" w:ascii="方正仿宋_GB2312" w:hAnsi="方正仿宋_GB2312" w:eastAsia="方正仿宋_GB2312" w:cs="方正仿宋_GB2312"/>
                <w:i w:val="0"/>
                <w:iCs w:val="0"/>
                <w:color w:val="000000"/>
                <w:sz w:val="20"/>
                <w:szCs w:val="20"/>
                <w:u w:val="none"/>
              </w:rPr>
            </w:pPr>
          </w:p>
        </w:tc>
      </w:tr>
      <w:tr w14:paraId="78CC4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4726C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67</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8FF12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混合型晶体结构模型</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166F66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石墨，球直径不小于 30 mm</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DC695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DC9DE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22BD359">
            <w:pPr>
              <w:rPr>
                <w:rFonts w:hint="eastAsia" w:ascii="方正仿宋_GB2312" w:hAnsi="方正仿宋_GB2312" w:eastAsia="方正仿宋_GB2312" w:cs="方正仿宋_GB2312"/>
                <w:i w:val="0"/>
                <w:iCs w:val="0"/>
                <w:color w:val="000000"/>
                <w:sz w:val="20"/>
                <w:szCs w:val="20"/>
                <w:u w:val="none"/>
              </w:rPr>
            </w:pPr>
          </w:p>
        </w:tc>
      </w:tr>
      <w:tr w14:paraId="4B733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7A2E4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68</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C5EAE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沸腾焙烧炉模型</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3F777C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模型高度≥500 mm，放大风帽高度≥120 mm</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676D7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AC9C9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C15795B">
            <w:pPr>
              <w:rPr>
                <w:rFonts w:hint="eastAsia" w:ascii="方正仿宋_GB2312" w:hAnsi="方正仿宋_GB2312" w:eastAsia="方正仿宋_GB2312" w:cs="方正仿宋_GB2312"/>
                <w:i w:val="0"/>
                <w:iCs w:val="0"/>
                <w:color w:val="000000"/>
                <w:sz w:val="20"/>
                <w:szCs w:val="20"/>
                <w:u w:val="none"/>
              </w:rPr>
            </w:pPr>
          </w:p>
        </w:tc>
      </w:tr>
      <w:tr w14:paraId="08EF1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1BFE7C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69</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C6803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硫酸接触室模型</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75E93F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模型高度≥500 mm，直径≥200 mm</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EAABB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C5222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EFB9569">
            <w:pPr>
              <w:rPr>
                <w:rFonts w:hint="eastAsia" w:ascii="方正仿宋_GB2312" w:hAnsi="方正仿宋_GB2312" w:eastAsia="方正仿宋_GB2312" w:cs="方正仿宋_GB2312"/>
                <w:i w:val="0"/>
                <w:iCs w:val="0"/>
                <w:color w:val="000000"/>
                <w:sz w:val="20"/>
                <w:szCs w:val="20"/>
                <w:u w:val="none"/>
              </w:rPr>
            </w:pPr>
          </w:p>
        </w:tc>
      </w:tr>
      <w:tr w14:paraId="0F83F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5DB2C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E37CB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氨合成塔模型</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F84033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模型高度≥800 mm，直径≥120 mm</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5E39D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4E137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2B2330B5">
            <w:pPr>
              <w:rPr>
                <w:rFonts w:hint="eastAsia" w:ascii="方正仿宋_GB2312" w:hAnsi="方正仿宋_GB2312" w:eastAsia="方正仿宋_GB2312" w:cs="方正仿宋_GB2312"/>
                <w:i w:val="0"/>
                <w:iCs w:val="0"/>
                <w:color w:val="000000"/>
                <w:sz w:val="20"/>
                <w:szCs w:val="20"/>
                <w:u w:val="none"/>
              </w:rPr>
            </w:pPr>
          </w:p>
        </w:tc>
      </w:tr>
      <w:tr w14:paraId="211FD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5E098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6F016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炼铁高炉模型</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257B59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模型高度≥650 mm</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215E8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FA4E9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CBF5D0F">
            <w:pPr>
              <w:rPr>
                <w:rFonts w:hint="eastAsia" w:ascii="方正仿宋_GB2312" w:hAnsi="方正仿宋_GB2312" w:eastAsia="方正仿宋_GB2312" w:cs="方正仿宋_GB2312"/>
                <w:i w:val="0"/>
                <w:iCs w:val="0"/>
                <w:color w:val="000000"/>
                <w:sz w:val="20"/>
                <w:szCs w:val="20"/>
                <w:u w:val="none"/>
              </w:rPr>
            </w:pPr>
          </w:p>
        </w:tc>
      </w:tr>
      <w:tr w14:paraId="5242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45CF2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72</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C5619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晶体标本</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FC44A0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包括但不局限于氯化钠、硫黄、碘、高锰酸钾、胆矾等</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FE977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盒</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8F658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2FB706DC">
            <w:pPr>
              <w:rPr>
                <w:rFonts w:hint="eastAsia" w:ascii="方正仿宋_GB2312" w:hAnsi="方正仿宋_GB2312" w:eastAsia="方正仿宋_GB2312" w:cs="方正仿宋_GB2312"/>
                <w:i w:val="0"/>
                <w:iCs w:val="0"/>
                <w:color w:val="000000"/>
                <w:sz w:val="20"/>
                <w:szCs w:val="20"/>
                <w:u w:val="none"/>
              </w:rPr>
            </w:pPr>
          </w:p>
        </w:tc>
      </w:tr>
      <w:tr w14:paraId="16D87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D9F88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29358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非晶体标本</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8F5764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包括但不局限于玻璃、炭黑等</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3B8AD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盒</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93F37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FD889C0">
            <w:pPr>
              <w:rPr>
                <w:rFonts w:hint="eastAsia" w:ascii="方正仿宋_GB2312" w:hAnsi="方正仿宋_GB2312" w:eastAsia="方正仿宋_GB2312" w:cs="方正仿宋_GB2312"/>
                <w:i w:val="0"/>
                <w:iCs w:val="0"/>
                <w:color w:val="000000"/>
                <w:sz w:val="20"/>
                <w:szCs w:val="20"/>
                <w:u w:val="none"/>
              </w:rPr>
            </w:pPr>
          </w:p>
        </w:tc>
      </w:tr>
      <w:tr w14:paraId="1F59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A3049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74</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16A2F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金属矿物标本</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95F5DA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包括但不局限于萤石、刚玉、黄玉、正长石、磷灰石、方解石、石膏（生、熟）、滑石、孔雀石、云母</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FD908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盒</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BEE5A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0BF4390">
            <w:pPr>
              <w:rPr>
                <w:rFonts w:hint="eastAsia" w:ascii="方正仿宋_GB2312" w:hAnsi="方正仿宋_GB2312" w:eastAsia="方正仿宋_GB2312" w:cs="方正仿宋_GB2312"/>
                <w:i w:val="0"/>
                <w:iCs w:val="0"/>
                <w:color w:val="000000"/>
                <w:sz w:val="20"/>
                <w:szCs w:val="20"/>
                <w:u w:val="none"/>
              </w:rPr>
            </w:pPr>
          </w:p>
        </w:tc>
      </w:tr>
      <w:tr w14:paraId="3A63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5C965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20053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非金属矿物标本</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644F92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包括但不局限于玛瑙、水晶、金刚砂等</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561C5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盒</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B3781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CC86F65">
            <w:pPr>
              <w:rPr>
                <w:rFonts w:hint="eastAsia" w:ascii="方正仿宋_GB2312" w:hAnsi="方正仿宋_GB2312" w:eastAsia="方正仿宋_GB2312" w:cs="方正仿宋_GB2312"/>
                <w:i w:val="0"/>
                <w:iCs w:val="0"/>
                <w:color w:val="000000"/>
                <w:sz w:val="20"/>
                <w:szCs w:val="20"/>
                <w:u w:val="none"/>
              </w:rPr>
            </w:pPr>
          </w:p>
        </w:tc>
      </w:tr>
      <w:tr w14:paraId="056C0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18804A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76</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48466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有机高分子材料标本</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7CE5A4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包括但不局限于聚乙烯、聚氯乙烯、聚苯乙烯、聚四氟乙烯、聚甲基丙烯酸甲酯、酚醛树脂、涤纶、尼龙、芳纶、顺丁橡胶、离子交换膜、可降解材料等</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DB06A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80F40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64EB8B2">
            <w:pPr>
              <w:rPr>
                <w:rFonts w:hint="eastAsia" w:ascii="方正仿宋_GB2312" w:hAnsi="方正仿宋_GB2312" w:eastAsia="方正仿宋_GB2312" w:cs="方正仿宋_GB2312"/>
                <w:i w:val="0"/>
                <w:iCs w:val="0"/>
                <w:color w:val="000000"/>
                <w:sz w:val="20"/>
                <w:szCs w:val="20"/>
                <w:u w:val="none"/>
              </w:rPr>
            </w:pPr>
          </w:p>
        </w:tc>
      </w:tr>
      <w:tr w14:paraId="42D83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193272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77</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11D02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列管式烘干器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BDB631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由外壳、不少于 13 支通风管、电源线、发热器、风扇等组成。通风管用外径 12 mm的金属管制作，管壁厚≥2mm，长度 185 mm，每支通风管上均布 10 个直径 5 mm 的通气孔。功率≥250 W，绝缘电阻大于 100 MΩ</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4D8A1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08C85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DD79640">
            <w:pPr>
              <w:rPr>
                <w:rFonts w:hint="eastAsia" w:ascii="方正仿宋_GB2312" w:hAnsi="方正仿宋_GB2312" w:eastAsia="方正仿宋_GB2312" w:cs="方正仿宋_GB2312"/>
                <w:i w:val="0"/>
                <w:iCs w:val="0"/>
                <w:color w:val="000000"/>
                <w:sz w:val="20"/>
                <w:szCs w:val="20"/>
                <w:u w:val="none"/>
              </w:rPr>
            </w:pPr>
          </w:p>
        </w:tc>
      </w:tr>
      <w:tr w14:paraId="0CC47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49743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78</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72504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烘干箱</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80CE3D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电热鼓风型，最高工作温度为 250 ℃ , 温度波动度限值为±1.5 ℃ , 箱体内有隔板，内部容积≥350 mm×350 mm×350 mm</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04032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821F7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01520FF">
            <w:pPr>
              <w:rPr>
                <w:rFonts w:hint="eastAsia" w:ascii="方正仿宋_GB2312" w:hAnsi="方正仿宋_GB2312" w:eastAsia="方正仿宋_GB2312" w:cs="方正仿宋_GB2312"/>
                <w:i w:val="0"/>
                <w:iCs w:val="0"/>
                <w:color w:val="000000"/>
                <w:sz w:val="20"/>
                <w:szCs w:val="20"/>
                <w:u w:val="none"/>
              </w:rPr>
            </w:pPr>
          </w:p>
        </w:tc>
      </w:tr>
      <w:tr w14:paraId="2D925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FC665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79</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2B881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教学电源</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A23BCC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直流 2 V～6 V，12 A；8 V～12 V，4 A；14 V～24 V，3 A；短时 40 A，定时 8 s</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21C8D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1EED9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B4367E6">
            <w:pPr>
              <w:rPr>
                <w:rFonts w:hint="eastAsia" w:ascii="方正仿宋_GB2312" w:hAnsi="方正仿宋_GB2312" w:eastAsia="方正仿宋_GB2312" w:cs="方正仿宋_GB2312"/>
                <w:i w:val="0"/>
                <w:iCs w:val="0"/>
                <w:color w:val="000000"/>
                <w:sz w:val="20"/>
                <w:szCs w:val="20"/>
                <w:u w:val="none"/>
              </w:rPr>
            </w:pPr>
          </w:p>
        </w:tc>
      </w:tr>
      <w:tr w14:paraId="0F7AC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A29DA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32AF7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仪器车</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9AAFA4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600 mm×400 mm×800 mm，不锈钢材质，至少两层，各层带可拆卸护栏，总载重≥60 kg</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CE0AA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辆</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1DE85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2D0DAFBA">
            <w:pPr>
              <w:rPr>
                <w:rFonts w:hint="eastAsia" w:ascii="方正仿宋_GB2312" w:hAnsi="方正仿宋_GB2312" w:eastAsia="方正仿宋_GB2312" w:cs="方正仿宋_GB2312"/>
                <w:i w:val="0"/>
                <w:iCs w:val="0"/>
                <w:color w:val="000000"/>
                <w:sz w:val="20"/>
                <w:szCs w:val="20"/>
                <w:u w:val="none"/>
              </w:rPr>
            </w:pPr>
          </w:p>
        </w:tc>
      </w:tr>
      <w:tr w14:paraId="0A1D7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93D47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A9C5F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高中化学实验材料</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C041C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含小刀、棉花、木炭、木板、火柴、蜡烛、焊锡、炭棒、导线、开关、电灯泡、聚光小手电筒、电池、电珠、砂纸、电极材料（石墨、铜、锌、镁、铁、锡等电极）等</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1EAF9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EA1C1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25</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5D553F39">
            <w:pPr>
              <w:rPr>
                <w:rFonts w:hint="eastAsia" w:ascii="方正仿宋_GB2312" w:hAnsi="方正仿宋_GB2312" w:eastAsia="方正仿宋_GB2312" w:cs="方正仿宋_GB2312"/>
                <w:i w:val="0"/>
                <w:iCs w:val="0"/>
                <w:color w:val="000000"/>
                <w:sz w:val="20"/>
                <w:szCs w:val="20"/>
                <w:u w:val="none"/>
              </w:rPr>
            </w:pPr>
          </w:p>
        </w:tc>
      </w:tr>
      <w:tr w14:paraId="7EDA6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142283FA">
            <w:pPr>
              <w:jc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生物实验室</w:t>
            </w:r>
          </w:p>
        </w:tc>
      </w:tr>
      <w:tr w14:paraId="5C85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A963B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6AE8B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智慧黑板</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985B31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一、整机参数</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1.整机采用全金属外壳，三拼接平面一体化设计，宽≥4200mm，高≥1200mm，厚≤117mm。</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2.整机屏幕采用86英寸液晶显示器，采用超高清LED液晶显示屏，显示比例16:9，分辨率3840×2160（R）。</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3.嵌入式系统版本，主频≥1.8GHz，内存≥2GB，存储空间≥8GB，嵌入式芯片内置2TOPS AI算力，可用于AI图像、音频处理。</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4.钢化玻璃表面硬度≥9H。钢化玻璃硬度莫氏7级，可达到石英抗划等级。              </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5.支持双系统中进行20点或以上触控，整机采用电容触控技术。</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6.内置2.2声道扬声器，额定总功率不小于60W。</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7.内置非独立外扩展的8阵列麦克风，拾音角度≥180°，拾音距离≥12m。</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8.整机具备至少6个前置按键，至少支持5个自定义前置按键。</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9.支持蓝牙Bluetooth 5.4标准，内置双WiFi6无线网卡。</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10.内置非独立摄像头≥1600万像素数，视场角≥150度</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11.整机需内置或外置不低于1600万像素展台，最高分辨率支持4640x3480，</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自带LED补光灯，支持多级灯调节。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二、OPS模块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1.通过安全可靠测评CPU配置不低于8核8线程处理器工作主频≥2.7GHz。</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2.内存：不低于8GB，硬盘不低于512GB或以上固态硬盘。</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3.无需工具即可快速拆卸电脑模块;</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4.具有独立非外拓展的电脑USB接口，≥3个USB3.0接口≥1个HDMI接口；</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5.要求内置通过安全可靠测评的操作系统、办公软件、杀毒软件。含三年更新服务，永久使用，验收时提供证明材料，为保证设备使用稳定性及兼容性，要求班班通与OPS模块必须为同一品牌。</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三、教学软件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1.互动教学课件支持定向精准分享：分享者可将互动课件、课件组精准推送至指定接收方账号云空间，接收方可在云空间接收并打开分享课件；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2.具有互动式教学课件资源，包含学科教育各学段各地区教材版本。具有互动式教学课件资源，包含学科教育各学段教材版本教学章节、专题教育多个主题教育、特殊教育，课件支持教师在线评分。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3.提供互动课件资源库，包含学科教育、专题教育、特殊教育类课件，可获取到个人云空间。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4.提供将Word转换为云教案的能力，支持解析文本、表格等通用元素，方便老师迁移旧教案</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5.支持实现信息化集体备课。可选择教案、课件上传发起集备研讨，能够设置多重访问权限，可通过手机号搜索邀请外校老师，用于跨校教研场景。                                                       </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四、1、采用壁挂式功放及有源音箱一体化设计，双音箱配对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2、具备音频输入、具备混音音频输出、支持MIC话筒输入；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3、有效功率：≥40W；额定阻抗：4Ω；</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五、头戴一体式话筒，可拆卸成手持咪（非有线有线头戴咪）、支持一师一麦，开机自动配对，自动转入接收状态；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2、话筒内置高性能咪头，外置防风棉，声音还原度高。</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AD95D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008E0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5F168154">
            <w:pPr>
              <w:rPr>
                <w:rFonts w:hint="eastAsia" w:ascii="方正仿宋_GB2312" w:hAnsi="方正仿宋_GB2312" w:eastAsia="方正仿宋_GB2312" w:cs="方正仿宋_GB2312"/>
                <w:i w:val="0"/>
                <w:iCs w:val="0"/>
                <w:color w:val="000000"/>
                <w:sz w:val="20"/>
                <w:szCs w:val="20"/>
                <w:u w:val="none"/>
              </w:rPr>
            </w:pPr>
          </w:p>
        </w:tc>
      </w:tr>
      <w:tr w14:paraId="6F59D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4B8F82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A345B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教师演示台</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93FD09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规格2400mm×700mm×900mm（正负不超过50mm）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1、台面：采用≥12.7mm理化板，台面经过上釉工艺处理，具有耐高温、耐刻刮、防静电、耐腐蚀、防垢易清洁、防霉、防水等物理性能和化学性能。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2、柜体：全钢结构，采用≥1.0mm厚冷轧钢板，切割折弯成型，组件焊接工艺，打磨平整，表面经环氧树脂喷涂处理；整体结构设计合理，预留电脑主机、键盘托、实物展台、教师电源安装位置。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3、拉手：采用不锈钢拉手。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4、门板及抽面：采用双层结构，组装式设计，保证单层钢板双面都喷涂处理，门板中间填充隔音材料，减少关门时产生的噪音。防撞胶垫：装于抽屉及门板内侧，减缓碰撞，保护柜体。</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5、不锈钢防腐合页：采用优质不锈钢模具一体成型。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6、防腐三节静音导轨：三节滚珠滑轨，承重性强，滑动顺滑。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7、固定桌脚：采用柜体内置可调ABS调整脚，保证调整脚前后都可以调节高低。</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0EB65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张</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1075C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5DE034F5">
            <w:pPr>
              <w:rPr>
                <w:rFonts w:hint="eastAsia" w:ascii="方正仿宋_GB2312" w:hAnsi="方正仿宋_GB2312" w:eastAsia="方正仿宋_GB2312" w:cs="方正仿宋_GB2312"/>
                <w:i w:val="0"/>
                <w:iCs w:val="0"/>
                <w:color w:val="000000"/>
                <w:sz w:val="20"/>
                <w:szCs w:val="20"/>
                <w:u w:val="none"/>
              </w:rPr>
            </w:pPr>
          </w:p>
        </w:tc>
      </w:tr>
      <w:tr w14:paraId="4221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6D01E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B40B7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教师椅</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8171BC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1、产品规格：椅面550×500×1070mm（正负不超过50mm），座位高度可调</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技术参数：凳面接触面为防滑处理，采用曲面设计增加接触面积，符合人体工程学增强坐感舒适度；气杆连接，与椅面连接处安装加宽加强防爆机构，五星脚采用高强度尼龙材料一体注塑成型，具有结构牢固、耐酸碱腐蚀等特点。</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2AABE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把</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BB70D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DD16959">
            <w:pPr>
              <w:rPr>
                <w:rFonts w:hint="eastAsia" w:ascii="方正仿宋_GB2312" w:hAnsi="方正仿宋_GB2312" w:eastAsia="方正仿宋_GB2312" w:cs="方正仿宋_GB2312"/>
                <w:i w:val="0"/>
                <w:iCs w:val="0"/>
                <w:color w:val="000000"/>
                <w:sz w:val="20"/>
                <w:szCs w:val="20"/>
                <w:u w:val="none"/>
              </w:rPr>
            </w:pPr>
          </w:p>
        </w:tc>
      </w:tr>
      <w:tr w14:paraId="1D65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EF1F0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3141D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学生实验桌</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B562B2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规格：1200*600*780mm（正负不超过30mm）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台面：采用≥20mm厚无甲醛环保陶瓷台面，表面为实验室专业耐腐蚀、耐污染、抗冲击釉面。坯体一体实芯，釉面和坯体经高温一体烧结而成，台面操作边设有止滑凹槽，有效防止在实验过程中试管、液体等实验物品滑落造成意外伤害，陶瓷台面表面釉面不会受外界环境影响而脱落脱层，具有耐污染、耐化学腐蚀、无放射性物质、防撞抗冲击、承重力强等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2、塑铝/铸铝结构，材料厚度不低于1.2mm，金属表面经环氧树脂粉末喷涂高温固化处理。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3、后功能栏杆，高出台面，防止实验器材跌落；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4、下面设计两个书包斗，材质采用ABS工程塑料一体化成型工艺，镂空设计，不屯垃圾，便于清理，中间设挂凳卡；</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5、桌腿一体化压铸工艺，内壁包含加强筋，下方有凹槽配合安装，具有防脱不易错位。外观流线形设计，简洁美观，易碰撞处全部采用倒圆角，材料表面经过防腐氧化处理和纯环氧树脂塑粉高温固化处理。</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D8F91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张</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3DEA2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48</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727E23D">
            <w:pPr>
              <w:rPr>
                <w:rFonts w:hint="eastAsia" w:ascii="方正仿宋_GB2312" w:hAnsi="方正仿宋_GB2312" w:eastAsia="方正仿宋_GB2312" w:cs="方正仿宋_GB2312"/>
                <w:i w:val="0"/>
                <w:iCs w:val="0"/>
                <w:color w:val="000000"/>
                <w:sz w:val="20"/>
                <w:szCs w:val="20"/>
                <w:u w:val="none"/>
              </w:rPr>
            </w:pPr>
          </w:p>
        </w:tc>
      </w:tr>
      <w:tr w14:paraId="1D4E6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1E7A23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74E7D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实验凳</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9BA07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规格：315*440-500mm（正负不超过20mm）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1、凳脚材质：凳脚采用壁厚≥1.2mm钢管及壁厚≥1.5mm钢管焊接组成，全圆满焊接，结构牢固，经高温粉体烤漆处理，长时间使用也不会产生表面烤漆剥落现象</w:t>
            </w:r>
            <w:r>
              <w:rPr>
                <w:rStyle w:val="41"/>
                <w:rFonts w:hint="eastAsia" w:ascii="方正仿宋_GB2312" w:hAnsi="方正仿宋_GB2312" w:eastAsia="方正仿宋_GB2312" w:cs="方正仿宋_GB2312"/>
                <w:sz w:val="20"/>
                <w:szCs w:val="20"/>
                <w:lang w:val="en-US" w:eastAsia="zh-CN" w:bidi="ar"/>
              </w:rPr>
              <w:t xml:space="preserve"> </w:t>
            </w:r>
            <w:r>
              <w:rPr>
                <w:rStyle w:val="31"/>
                <w:rFonts w:hint="eastAsia" w:ascii="方正仿宋_GB2312" w:hAnsi="方正仿宋_GB2312" w:eastAsia="方正仿宋_GB2312" w:cs="方正仿宋_GB2312"/>
                <w:sz w:val="20"/>
                <w:szCs w:val="20"/>
                <w:lang w:val="en-US" w:eastAsia="zh-CN" w:bidi="ar"/>
              </w:rPr>
              <w:t>螺旋升降式，升降距离≥40mm。</w:t>
            </w:r>
            <w:r>
              <w:rPr>
                <w:rStyle w:val="31"/>
                <w:rFonts w:hint="eastAsia" w:ascii="方正仿宋_GB2312" w:hAnsi="方正仿宋_GB2312" w:eastAsia="方正仿宋_GB2312" w:cs="方正仿宋_GB2312"/>
                <w:sz w:val="20"/>
                <w:szCs w:val="20"/>
                <w:lang w:val="en-US" w:eastAsia="zh-CN" w:bidi="ar"/>
              </w:rPr>
              <w:br w:type="textWrapping"/>
            </w:r>
            <w:r>
              <w:rPr>
                <w:rStyle w:val="31"/>
                <w:rFonts w:hint="eastAsia" w:ascii="方正仿宋_GB2312" w:hAnsi="方正仿宋_GB2312" w:eastAsia="方正仿宋_GB2312" w:cs="方正仿宋_GB2312"/>
                <w:sz w:val="20"/>
                <w:szCs w:val="20"/>
                <w:lang w:val="en-US" w:eastAsia="zh-CN" w:bidi="ar"/>
              </w:rPr>
              <w:t>2、凳面表面防滑不发光，凳面底部镶嵌螺纹固定。</w:t>
            </w:r>
            <w:r>
              <w:rPr>
                <w:rStyle w:val="31"/>
                <w:rFonts w:hint="eastAsia" w:ascii="方正仿宋_GB2312" w:hAnsi="方正仿宋_GB2312" w:eastAsia="方正仿宋_GB2312" w:cs="方正仿宋_GB2312"/>
                <w:sz w:val="20"/>
                <w:szCs w:val="20"/>
                <w:lang w:val="en-US" w:eastAsia="zh-CN" w:bidi="ar"/>
              </w:rPr>
              <w:br w:type="textWrapping"/>
            </w:r>
            <w:r>
              <w:rPr>
                <w:rStyle w:val="31"/>
                <w:rFonts w:hint="eastAsia" w:ascii="方正仿宋_GB2312" w:hAnsi="方正仿宋_GB2312" w:eastAsia="方正仿宋_GB2312" w:cs="方正仿宋_GB2312"/>
                <w:sz w:val="20"/>
                <w:szCs w:val="20"/>
                <w:lang w:val="en-US" w:eastAsia="zh-CN" w:bidi="ar"/>
              </w:rPr>
              <w:t>3、脚垫材质：采用PP加耐磨纤维增强塑料，实心倒勾式一体射出成型。</w:t>
            </w:r>
            <w:r>
              <w:rPr>
                <w:rStyle w:val="31"/>
                <w:rFonts w:hint="eastAsia" w:ascii="方正仿宋_GB2312" w:hAnsi="方正仿宋_GB2312" w:eastAsia="方正仿宋_GB2312" w:cs="方正仿宋_GB2312"/>
                <w:sz w:val="20"/>
                <w:szCs w:val="20"/>
                <w:lang w:val="en-US" w:eastAsia="zh-CN" w:bidi="ar"/>
              </w:rPr>
              <w:br w:type="textWrapping"/>
            </w:r>
            <w:r>
              <w:rPr>
                <w:rStyle w:val="31"/>
                <w:rFonts w:hint="eastAsia" w:ascii="方正仿宋_GB2312" w:hAnsi="方正仿宋_GB2312" w:eastAsia="方正仿宋_GB2312" w:cs="方正仿宋_GB2312"/>
                <w:sz w:val="20"/>
                <w:szCs w:val="20"/>
                <w:lang w:val="en-US" w:eastAsia="zh-CN" w:bidi="ar"/>
              </w:rPr>
              <w:t>4、凳托与凳脚留有一定的空间便于凳子挂在挂凳扣上，方便教室打扫。</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FCC65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把</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91C79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96</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5CB437DA">
            <w:pPr>
              <w:rPr>
                <w:rFonts w:hint="eastAsia" w:ascii="方正仿宋_GB2312" w:hAnsi="方正仿宋_GB2312" w:eastAsia="方正仿宋_GB2312" w:cs="方正仿宋_GB2312"/>
                <w:i w:val="0"/>
                <w:iCs w:val="0"/>
                <w:color w:val="000000"/>
                <w:sz w:val="20"/>
                <w:szCs w:val="20"/>
                <w:u w:val="none"/>
              </w:rPr>
            </w:pPr>
          </w:p>
        </w:tc>
      </w:tr>
      <w:tr w14:paraId="17B0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8CFCF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181B4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多功能防溅水槽柜</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AEFB87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1、水槽柜整体尺寸450*600*820mm(±不超过80mm)。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2、底围：表面经防锈处理、环氧树脂静电粉末涂装，洗涤时水不易外溅；水槽内部带滴水架，滴水架带滴水棒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4、水槽柜预留检修门带锁；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5、三联实验室专用水嘴，便于多用途使用。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多功能防溅水槽柜要求：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（1）水槽柜带滴水架，滴水架带不少于6根滴水棒；</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（2）水槽柜隐藏设计：柜体上部设计有隐藏式上下水管功能，可以搭配上走水电的需求；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（3）水槽柜过滤功能：下水带过滤装置，可以过滤不同的杂质；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（4）水槽柜排水功能：水槽底部设置矩形式下水口，可以快速排出水槽废水；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（5）一体水槽，PP改性或ABS工程塑料材质</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214E9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66FBB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26</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55799982">
            <w:pPr>
              <w:rPr>
                <w:rFonts w:hint="eastAsia" w:ascii="方正仿宋_GB2312" w:hAnsi="方正仿宋_GB2312" w:eastAsia="方正仿宋_GB2312" w:cs="方正仿宋_GB2312"/>
                <w:i w:val="0"/>
                <w:iCs w:val="0"/>
                <w:color w:val="000000"/>
                <w:sz w:val="20"/>
                <w:szCs w:val="20"/>
                <w:u w:val="none"/>
              </w:rPr>
            </w:pPr>
          </w:p>
        </w:tc>
      </w:tr>
      <w:tr w14:paraId="53429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F916A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2B8EE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教师控制模块</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013803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1、教师演示台配备总漏电保护和分组保护，可分组控制学生的高低压电源，确保学生实验安全方便；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2、教师模块总控采用不小于200*100mm尺寸的面板，具备智能控制按键，并能显示电源电压；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3、教师交流电源通过智能控制0-30V交流电压输出，电压分辨率为0.1V，额定电流≥3A，具备过载自动保护;</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4、教师直流电源也是通过智能控制0-30V交流电压输出，电压分辨率为0.1V，额定电流≥3A，具备过载自动保护；</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5、直流大电流：由微处理器精确控制自动关断，可达到延时零误差;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6、配套教师控制模块使用，满足实验室需求及相关功能</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E00BF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FED2C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D5412EF">
            <w:pPr>
              <w:rPr>
                <w:rFonts w:hint="eastAsia" w:ascii="方正仿宋_GB2312" w:hAnsi="方正仿宋_GB2312" w:eastAsia="方正仿宋_GB2312" w:cs="方正仿宋_GB2312"/>
                <w:i w:val="0"/>
                <w:iCs w:val="0"/>
                <w:color w:val="000000"/>
                <w:sz w:val="20"/>
                <w:szCs w:val="20"/>
                <w:u w:val="none"/>
              </w:rPr>
            </w:pPr>
          </w:p>
        </w:tc>
      </w:tr>
      <w:tr w14:paraId="5307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F7125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54870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吊装智能控制电气系统</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5F4013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整体采用≥1.2mm钢板冷轧成型，表面经过防腐氧化处理和纯环氧树脂塑粉高温固化处理，具有较强的耐蚀性。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实现</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（1）电源控制系统：智能化控制系统集中控制，具有过载、短路等保护功能；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（2）摇臂自动控制系统：系统集中控制教室摇臂功能。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（3）照明系统：实现照明系统开启与关闭，可单组或全组进行控制等</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0A1CA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39544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EC0C17A">
            <w:pPr>
              <w:rPr>
                <w:rFonts w:hint="eastAsia" w:ascii="方正仿宋_GB2312" w:hAnsi="方正仿宋_GB2312" w:eastAsia="方正仿宋_GB2312" w:cs="方正仿宋_GB2312"/>
                <w:i w:val="0"/>
                <w:iCs w:val="0"/>
                <w:color w:val="000000"/>
                <w:sz w:val="20"/>
                <w:szCs w:val="20"/>
                <w:u w:val="none"/>
              </w:rPr>
            </w:pPr>
          </w:p>
        </w:tc>
      </w:tr>
      <w:tr w14:paraId="44E7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5A078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1C7E1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智能控制平台</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AD329B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集中控制系统。可执行各分项分页控制。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给排水控制：控制顶装给排水。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电源控制：控制学生电源和低压电源。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摇臂控制：控制摇臂升降。</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2789B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F3767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9A6CB00">
            <w:pPr>
              <w:rPr>
                <w:rFonts w:hint="eastAsia" w:ascii="方正仿宋_GB2312" w:hAnsi="方正仿宋_GB2312" w:eastAsia="方正仿宋_GB2312" w:cs="方正仿宋_GB2312"/>
                <w:i w:val="0"/>
                <w:iCs w:val="0"/>
                <w:color w:val="000000"/>
                <w:sz w:val="20"/>
                <w:szCs w:val="20"/>
                <w:u w:val="none"/>
              </w:rPr>
            </w:pPr>
          </w:p>
        </w:tc>
      </w:tr>
      <w:tr w14:paraId="20E15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4C673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68435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温湿度监视系统</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2F8F3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内置精密温湿度传感装置，实时监控房间内的温度和湿度，保障室内舒适的环境舒适性，能在智能控制平台中实时显示当前环境的温度和湿度。</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630BC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项</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8676D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F158510">
            <w:pPr>
              <w:rPr>
                <w:rFonts w:hint="eastAsia" w:ascii="方正仿宋_GB2312" w:hAnsi="方正仿宋_GB2312" w:eastAsia="方正仿宋_GB2312" w:cs="方正仿宋_GB2312"/>
                <w:i w:val="0"/>
                <w:iCs w:val="0"/>
                <w:color w:val="000000"/>
                <w:sz w:val="20"/>
                <w:szCs w:val="20"/>
                <w:u w:val="none"/>
              </w:rPr>
            </w:pPr>
          </w:p>
        </w:tc>
      </w:tr>
      <w:tr w14:paraId="211CD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5102C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5CAEF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智能吊装集成箱体</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2FCDDD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1、规格：≥1800mm（L）×550mm（W）×500mm（H）；（正负不超过200mm）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2、材质：采用钣金组合或ABS环保材料一塑成型，具备耐腐蚀、耐酸碱、防水、耐热、耐候性、电绝缘性等性能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3、内部承重结构采用≥30mm×30mm型材连接，着力连接点合理分布，遵循人体工程学设计原理，采用五金配件连接。功能模块连接配件选用表面经环氧树脂粉末喷涂高温固化处理的冷轧钢板定制成型；</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4、箱体模块化设计：外表面和内表面可触及的隐蔽处，均无锐利的棱角、毛刺露出，所有接触人体的边棱均倒圆角处理。</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5.智能吊装集成箱体产品满足以下性能要求：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外观性能要求：①金属件外观焊接件焊接处无脱焊、虚焊、焊穿、错位，金属件外观焊接件焊接处无夹渣、气孔、焊瘤、焊丝头、咬边、飞溅，金属件外观焊接件焊接处表面波纹应均匀；②金属件外观喷涂层无漏喷、锈蚀，涂层应光滑均匀，色泽一 致，应无流挂、疙瘩、皱皮、飞漆等缺陷；③塑料件外观应无裂纹、明显变形、缩水、针孔，无凹陷、飞边、折皱、疙瘩，无气泡、杂质、伤痕、白印，无划痕、毛刺、拉毛、污渍，无明显色差；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2)安全性能要求：①正常使用时,可接触到的边都应进行倒圆的方式进行保护。②固定零部件的结合应无少件、透钉、漏钉；③正常使用时,其他部件表面应无锐边、锐角；</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B4726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组</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3D0CC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3FEDA4A">
            <w:pPr>
              <w:rPr>
                <w:rFonts w:hint="eastAsia" w:ascii="方正仿宋_GB2312" w:hAnsi="方正仿宋_GB2312" w:eastAsia="方正仿宋_GB2312" w:cs="方正仿宋_GB2312"/>
                <w:i w:val="0"/>
                <w:iCs w:val="0"/>
                <w:color w:val="000000"/>
                <w:sz w:val="20"/>
                <w:szCs w:val="20"/>
                <w:u w:val="none"/>
              </w:rPr>
            </w:pPr>
          </w:p>
        </w:tc>
      </w:tr>
      <w:tr w14:paraId="0BE30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B052C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12</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82215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照明系统模块</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879202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1、箱体设有照明系统；</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2、通过基板底座散热，亮度支持通过控制端手动调节；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3、光线柔和不刺眼，可有助于实验更有利的进行。</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4、照明系统模块产品满足以下性能要求：</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1）设备外壳边缘光滑圆润无锐边；</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2）正常使用时可触及，无危险。</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1236A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组</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AD25C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D53BA38">
            <w:pPr>
              <w:rPr>
                <w:rFonts w:hint="eastAsia" w:ascii="方正仿宋_GB2312" w:hAnsi="方正仿宋_GB2312" w:eastAsia="方正仿宋_GB2312" w:cs="方正仿宋_GB2312"/>
                <w:i w:val="0"/>
                <w:iCs w:val="0"/>
                <w:color w:val="000000"/>
                <w:sz w:val="20"/>
                <w:szCs w:val="20"/>
                <w:u w:val="none"/>
              </w:rPr>
            </w:pPr>
          </w:p>
        </w:tc>
      </w:tr>
      <w:tr w14:paraId="34D24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6C563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8BA7C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升降摇臂控制模块</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AB279D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1、规格：长≥800mm；模块化设计，内置于舱体下方，由电源操作模块和摇摆臂构成；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2、摇摆臂采用推杆电动升降，与箱体主结构连接，固定件采用铝合金原料压铸成型。两侧装配轴承；</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3、摇摆臂升降控制模块实时监测推杆的运动状态，在摇摆臂运动出现故障或遇到障碍物时，停止运动；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臂身为铝合金型材，表面经电泳、静电环氧树脂粉末喷涂固化处理，耐化学腐蚀、耐高温，采用五金配件与电源连接，外表面和内表面可触及的隐蔽处，均无锐利的棱角和五金配件露出。遵循人体工程学设计原理，摇摆臂内置给排水管和电缆安装空间。</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EE2DC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E4116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26</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39E00C8">
            <w:pPr>
              <w:rPr>
                <w:rFonts w:hint="eastAsia" w:ascii="方正仿宋_GB2312" w:hAnsi="方正仿宋_GB2312" w:eastAsia="方正仿宋_GB2312" w:cs="方正仿宋_GB2312"/>
                <w:i w:val="0"/>
                <w:iCs w:val="0"/>
                <w:color w:val="000000"/>
                <w:sz w:val="20"/>
                <w:szCs w:val="20"/>
                <w:u w:val="none"/>
              </w:rPr>
            </w:pPr>
          </w:p>
        </w:tc>
      </w:tr>
      <w:tr w14:paraId="00CC7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7C763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14</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A3DAB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电源操作控制系统模块</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82963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电源操作模块正面设置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1、不少于两个电源插座；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2、两个低压电源输出装置，直流交流输出最大额定电流2A，输出电压范围0-30V，应均配备过载自动保护及报警装置；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3、内嵌式液晶显示屏，可触屏显示设置低压直流、交流；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4、语音警报系统，当用电器过载，即刻发出语音警报；</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5、装置内设保险丝，具有过载、短路保护功能；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6、装置内应设一键紧急制动装置。一键按下，即刻紧急制动，切断电源，确保学生、设备安全。也应可以一键即刻恢复运行。</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电源操作模块反面设置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1、不少于三个电源插座；</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2、两个低压电源输出装置，直流交流输出最大额定电流2A，输出电压范围0-30V，均配备过载自动保护及报警装置。</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3、设置不少于2个网口，不少于2个USB供电接口。</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6757F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699AC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26</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5306C14D">
            <w:pPr>
              <w:rPr>
                <w:rFonts w:hint="eastAsia" w:ascii="方正仿宋_GB2312" w:hAnsi="方正仿宋_GB2312" w:eastAsia="方正仿宋_GB2312" w:cs="方正仿宋_GB2312"/>
                <w:i w:val="0"/>
                <w:iCs w:val="0"/>
                <w:color w:val="000000"/>
                <w:sz w:val="20"/>
                <w:szCs w:val="20"/>
                <w:u w:val="none"/>
              </w:rPr>
            </w:pPr>
          </w:p>
        </w:tc>
      </w:tr>
      <w:tr w14:paraId="3FAD1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26E78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8D201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给排水系统模块</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6BDCC2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1、由给水系统、废水收集排放系统构成；</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2、系统进、出水口应置于电源操作模块底部，由智能化控制系统集中控制；</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3、接口均采用带防溢水功能快速水管接口，插拔式自动锁紧连接方式，即用插拔，插拔后自动止水；</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4、智能化控制系统与污水桶采用信号线连接，污水桶中检测模块实时检测污水桶中的水位，达到一定水位值时启动自动排水，污水经过连接管排至顶部排水管总管后流出；</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5、系统支持由教师或学生实时开启或关闭手动排水功能；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6、系统支持当达到一定水位条件时自动开启排水功能；</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7、系统内置流量传感器，检测到用水结束后，能够自动开启排水功能，保障实验室的安全卫生环保。</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975BD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组</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445B9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26</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C8B9320">
            <w:pPr>
              <w:rPr>
                <w:rFonts w:hint="eastAsia" w:ascii="方正仿宋_GB2312" w:hAnsi="方正仿宋_GB2312" w:eastAsia="方正仿宋_GB2312" w:cs="方正仿宋_GB2312"/>
                <w:i w:val="0"/>
                <w:iCs w:val="0"/>
                <w:color w:val="000000"/>
                <w:sz w:val="20"/>
                <w:szCs w:val="20"/>
                <w:u w:val="none"/>
              </w:rPr>
            </w:pPr>
          </w:p>
        </w:tc>
      </w:tr>
      <w:tr w14:paraId="623A0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0CB96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16</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809DF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废水存储过滤系统</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268F3B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由水过滤箱和排水装置组成。容积不小于8L。水过滤箱包括箱体、过滤件组成，具有耐酸碱，箱体由一隔板分为上下两层，过滤件设置在上层，抽水装置设置在下层。入水口处设置有液位计传感器，检测箱体的水位，排水装置包含水泵和控制器，控制器接受控制系统信号，控制器与液位计信号连接，且与水泵的开关信号连接。</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FC950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80BD2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26</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B361081">
            <w:pPr>
              <w:rPr>
                <w:rFonts w:hint="eastAsia" w:ascii="方正仿宋_GB2312" w:hAnsi="方正仿宋_GB2312" w:eastAsia="方正仿宋_GB2312" w:cs="方正仿宋_GB2312"/>
                <w:i w:val="0"/>
                <w:iCs w:val="0"/>
                <w:color w:val="000000"/>
                <w:sz w:val="20"/>
                <w:szCs w:val="20"/>
                <w:u w:val="none"/>
              </w:rPr>
            </w:pPr>
          </w:p>
        </w:tc>
      </w:tr>
      <w:tr w14:paraId="2E5E8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C56F8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17</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65465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空调</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DA3AD4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3P立柜式空调 电辅热冷暖空调，包含漏电保护开关及需要延长的铜管。</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206A3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2AA97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39EA575">
            <w:pPr>
              <w:rPr>
                <w:rFonts w:hint="eastAsia" w:ascii="方正仿宋_GB2312" w:hAnsi="方正仿宋_GB2312" w:eastAsia="方正仿宋_GB2312" w:cs="方正仿宋_GB2312"/>
                <w:i w:val="0"/>
                <w:iCs w:val="0"/>
                <w:color w:val="000000"/>
                <w:sz w:val="20"/>
                <w:szCs w:val="20"/>
                <w:u w:val="none"/>
              </w:rPr>
            </w:pPr>
          </w:p>
        </w:tc>
      </w:tr>
      <w:tr w14:paraId="1505E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7BA2F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18</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339FB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给排水系统</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EC14B7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国标管，连接每组模块，连接学校上下水管道。</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EA315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EA0CA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9053D43">
            <w:pPr>
              <w:rPr>
                <w:rFonts w:hint="eastAsia" w:ascii="方正仿宋_GB2312" w:hAnsi="方正仿宋_GB2312" w:eastAsia="方正仿宋_GB2312" w:cs="方正仿宋_GB2312"/>
                <w:i w:val="0"/>
                <w:iCs w:val="0"/>
                <w:color w:val="000000"/>
                <w:sz w:val="20"/>
                <w:szCs w:val="20"/>
                <w:u w:val="none"/>
              </w:rPr>
            </w:pPr>
          </w:p>
        </w:tc>
      </w:tr>
      <w:tr w14:paraId="120FA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1F10AB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19</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694D9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综合布线</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9431C0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电源线：采用4.0mm</w:t>
            </w:r>
            <w:r>
              <w:rPr>
                <w:rStyle w:val="45"/>
                <w:rFonts w:hint="eastAsia" w:ascii="方正仿宋_GB2312" w:hAnsi="方正仿宋_GB2312" w:eastAsia="方正仿宋_GB2312" w:cs="方正仿宋_GB2312"/>
                <w:sz w:val="20"/>
                <w:szCs w:val="20"/>
                <w:lang w:val="en-US" w:eastAsia="zh-CN" w:bidi="ar"/>
              </w:rPr>
              <w:t>²</w:t>
            </w:r>
            <w:r>
              <w:rPr>
                <w:rStyle w:val="31"/>
                <w:rFonts w:hint="eastAsia" w:ascii="方正仿宋_GB2312" w:hAnsi="方正仿宋_GB2312" w:eastAsia="方正仿宋_GB2312" w:cs="方正仿宋_GB2312"/>
                <w:sz w:val="20"/>
                <w:szCs w:val="20"/>
                <w:lang w:val="en-US" w:eastAsia="zh-CN" w:bidi="ar"/>
              </w:rPr>
              <w:t>铜软线铺设；选用Ф20或Ф25PVC阻燃线管。网线：六类线。</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558EE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项</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1C282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F8B6100">
            <w:pPr>
              <w:rPr>
                <w:rFonts w:hint="eastAsia" w:ascii="方正仿宋_GB2312" w:hAnsi="方正仿宋_GB2312" w:eastAsia="方正仿宋_GB2312" w:cs="方正仿宋_GB2312"/>
                <w:i w:val="0"/>
                <w:iCs w:val="0"/>
                <w:color w:val="000000"/>
                <w:sz w:val="20"/>
                <w:szCs w:val="20"/>
                <w:u w:val="none"/>
              </w:rPr>
            </w:pPr>
          </w:p>
        </w:tc>
      </w:tr>
      <w:tr w14:paraId="29E93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2AAB7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E7489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安装辅件</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A5013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国标五金件。</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7A6C7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项</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32F7F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2E1A165D">
            <w:pPr>
              <w:rPr>
                <w:rFonts w:hint="eastAsia" w:ascii="方正仿宋_GB2312" w:hAnsi="方正仿宋_GB2312" w:eastAsia="方正仿宋_GB2312" w:cs="方正仿宋_GB2312"/>
                <w:i w:val="0"/>
                <w:iCs w:val="0"/>
                <w:color w:val="000000"/>
                <w:sz w:val="20"/>
                <w:szCs w:val="20"/>
                <w:u w:val="none"/>
              </w:rPr>
            </w:pPr>
          </w:p>
        </w:tc>
      </w:tr>
      <w:tr w14:paraId="771B4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49014E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45BB3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集成调试</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15EACA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顶部设备整体安装，系统整体调试，包含升降功能、高低压电源系统调试、网络模块系统调试、USB接口调试、给排水调试等</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75AF0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项</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D8DA4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FCD1049">
            <w:pPr>
              <w:rPr>
                <w:rFonts w:hint="eastAsia" w:ascii="方正仿宋_GB2312" w:hAnsi="方正仿宋_GB2312" w:eastAsia="方正仿宋_GB2312" w:cs="方正仿宋_GB2312"/>
                <w:i w:val="0"/>
                <w:iCs w:val="0"/>
                <w:color w:val="000000"/>
                <w:sz w:val="20"/>
                <w:szCs w:val="20"/>
                <w:u w:val="none"/>
              </w:rPr>
            </w:pPr>
          </w:p>
        </w:tc>
      </w:tr>
      <w:tr w14:paraId="56147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501713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22</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55081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教学条件升级</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81A3D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定制,1、顶部铝方通吊顶约100㎡，合理设置灯具数量和布局，确保教室各个角落的照明需求得到满足。2、刷自流地坪上铺设地胶铺设约100㎡。3、墙面乳胶漆，窗台大理石台面。4、学科窗帘3副（根据现场尺寸定做）。5、垃圾清运。6、实验室文化墙设计及安装。</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924BA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间</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20CB5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5B8089DB">
            <w:pPr>
              <w:rPr>
                <w:rFonts w:hint="eastAsia" w:ascii="方正仿宋_GB2312" w:hAnsi="方正仿宋_GB2312" w:eastAsia="方正仿宋_GB2312" w:cs="方正仿宋_GB2312"/>
                <w:i w:val="0"/>
                <w:iCs w:val="0"/>
                <w:color w:val="000000"/>
                <w:sz w:val="20"/>
                <w:szCs w:val="20"/>
                <w:u w:val="none"/>
              </w:rPr>
            </w:pPr>
          </w:p>
        </w:tc>
      </w:tr>
      <w:tr w14:paraId="4AC4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E0C75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B2FA5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监控</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21B261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高清监控摄像头，实验室2个、准备室1个，并接入学校安防监控。</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7ED26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7125D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B1BF924">
            <w:pPr>
              <w:rPr>
                <w:rFonts w:hint="eastAsia" w:ascii="方正仿宋_GB2312" w:hAnsi="方正仿宋_GB2312" w:eastAsia="方正仿宋_GB2312" w:cs="方正仿宋_GB2312"/>
                <w:i w:val="0"/>
                <w:iCs w:val="0"/>
                <w:color w:val="000000"/>
                <w:sz w:val="20"/>
                <w:szCs w:val="20"/>
                <w:u w:val="none"/>
              </w:rPr>
            </w:pPr>
          </w:p>
        </w:tc>
      </w:tr>
      <w:tr w14:paraId="77DF2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D3732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24</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84C70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准备台</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725856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一、规格：2400*1200*760mm（正负不超过50mm）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二、台面：</w:t>
            </w:r>
            <w:r>
              <w:rPr>
                <w:rStyle w:val="41"/>
                <w:rFonts w:hint="eastAsia" w:ascii="方正仿宋_GB2312" w:hAnsi="方正仿宋_GB2312" w:eastAsia="方正仿宋_GB2312" w:cs="方正仿宋_GB2312"/>
                <w:sz w:val="20"/>
                <w:szCs w:val="20"/>
                <w:lang w:val="en-US" w:eastAsia="zh-CN" w:bidi="ar"/>
              </w:rPr>
              <w:t xml:space="preserve"> </w:t>
            </w:r>
            <w:r>
              <w:rPr>
                <w:rStyle w:val="31"/>
                <w:rFonts w:hint="eastAsia" w:ascii="方正仿宋_GB2312" w:hAnsi="方正仿宋_GB2312" w:eastAsia="方正仿宋_GB2312" w:cs="方正仿宋_GB2312"/>
                <w:sz w:val="20"/>
                <w:szCs w:val="20"/>
                <w:lang w:val="en-US" w:eastAsia="zh-CN" w:bidi="ar"/>
              </w:rPr>
              <w:t>采用12.7mm厚理化板。</w:t>
            </w:r>
            <w:r>
              <w:rPr>
                <w:rStyle w:val="31"/>
                <w:rFonts w:hint="eastAsia" w:ascii="方正仿宋_GB2312" w:hAnsi="方正仿宋_GB2312" w:eastAsia="方正仿宋_GB2312" w:cs="方正仿宋_GB2312"/>
                <w:sz w:val="20"/>
                <w:szCs w:val="20"/>
                <w:lang w:val="en-US" w:eastAsia="zh-CN" w:bidi="ar"/>
              </w:rPr>
              <w:br w:type="textWrapping"/>
            </w:r>
            <w:r>
              <w:rPr>
                <w:rStyle w:val="31"/>
                <w:rFonts w:hint="eastAsia" w:ascii="方正仿宋_GB2312" w:hAnsi="方正仿宋_GB2312" w:eastAsia="方正仿宋_GB2312" w:cs="方正仿宋_GB2312"/>
                <w:sz w:val="20"/>
                <w:szCs w:val="20"/>
                <w:lang w:val="en-US" w:eastAsia="zh-CN" w:bidi="ar"/>
              </w:rPr>
              <w:t>三、台身结构：新型塑铝结构。桌腿：采用工字型压铸铝一次成型，材料表面经高压静电喷涂环氧树脂防护层，耐酸碱，耐腐蚀处理。上腿规格：长580mm宽56mm高90mm（正负不超过10mm），壁厚3.0mm。下腿规格：长540mm宽51mm高80mm，壁厚3.0mm。</w:t>
            </w:r>
            <w:r>
              <w:rPr>
                <w:rStyle w:val="31"/>
                <w:rFonts w:hint="eastAsia" w:ascii="方正仿宋_GB2312" w:hAnsi="方正仿宋_GB2312" w:eastAsia="方正仿宋_GB2312" w:cs="方正仿宋_GB2312"/>
                <w:sz w:val="20"/>
                <w:szCs w:val="20"/>
                <w:lang w:val="en-US" w:eastAsia="zh-CN" w:bidi="ar"/>
              </w:rPr>
              <w:br w:type="textWrapping"/>
            </w:r>
            <w:r>
              <w:rPr>
                <w:rStyle w:val="31"/>
                <w:rFonts w:hint="eastAsia" w:ascii="方正仿宋_GB2312" w:hAnsi="方正仿宋_GB2312" w:eastAsia="方正仿宋_GB2312" w:cs="方正仿宋_GB2312"/>
                <w:sz w:val="20"/>
                <w:szCs w:val="20"/>
                <w:lang w:val="en-US" w:eastAsia="zh-CN" w:bidi="ar"/>
              </w:rPr>
              <w:t>四、立柱：采用加强横支撑件，材料表面经高压静电喷涂环氧树脂防护层，耐酸碱，耐腐蚀处理。</w:t>
            </w:r>
            <w:r>
              <w:rPr>
                <w:rStyle w:val="31"/>
                <w:rFonts w:hint="eastAsia" w:ascii="方正仿宋_GB2312" w:hAnsi="方正仿宋_GB2312" w:eastAsia="方正仿宋_GB2312" w:cs="方正仿宋_GB2312"/>
                <w:sz w:val="20"/>
                <w:szCs w:val="20"/>
                <w:lang w:val="en-US" w:eastAsia="zh-CN" w:bidi="ar"/>
              </w:rPr>
              <w:br w:type="textWrapping"/>
            </w:r>
            <w:r>
              <w:rPr>
                <w:rStyle w:val="31"/>
                <w:rFonts w:hint="eastAsia" w:ascii="方正仿宋_GB2312" w:hAnsi="方正仿宋_GB2312" w:eastAsia="方正仿宋_GB2312" w:cs="方正仿宋_GB2312"/>
                <w:sz w:val="20"/>
                <w:szCs w:val="20"/>
                <w:lang w:val="en-US" w:eastAsia="zh-CN" w:bidi="ar"/>
              </w:rPr>
              <w:t xml:space="preserve">五、书包斗:尺寸为480*290*152mm（正负不超过20mm）,壁厚≥2.0mm；采用环保型ABS工程塑料一次性注塑成型。  </w:t>
            </w:r>
            <w:r>
              <w:rPr>
                <w:rStyle w:val="31"/>
                <w:rFonts w:hint="eastAsia" w:ascii="方正仿宋_GB2312" w:hAnsi="方正仿宋_GB2312" w:eastAsia="方正仿宋_GB2312" w:cs="方正仿宋_GB2312"/>
                <w:sz w:val="20"/>
                <w:szCs w:val="20"/>
                <w:lang w:val="en-US" w:eastAsia="zh-CN" w:bidi="ar"/>
              </w:rPr>
              <w:br w:type="textWrapping"/>
            </w:r>
            <w:r>
              <w:rPr>
                <w:rStyle w:val="31"/>
                <w:rFonts w:hint="eastAsia" w:ascii="方正仿宋_GB2312" w:hAnsi="方正仿宋_GB2312" w:eastAsia="方正仿宋_GB2312" w:cs="方正仿宋_GB2312"/>
                <w:sz w:val="20"/>
                <w:szCs w:val="20"/>
                <w:lang w:val="en-US" w:eastAsia="zh-CN" w:bidi="ar"/>
              </w:rPr>
              <w:t>六、整体结构：台面理化板一体成型，桌身由桌腿、立柱、前横梁、中横梁、后横梁及加强横支撑件组成，学生位设书包斗 。</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C45EA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张</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F5E5B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8793CC6">
            <w:pPr>
              <w:rPr>
                <w:rFonts w:hint="eastAsia" w:ascii="方正仿宋_GB2312" w:hAnsi="方正仿宋_GB2312" w:eastAsia="方正仿宋_GB2312" w:cs="方正仿宋_GB2312"/>
                <w:i w:val="0"/>
                <w:iCs w:val="0"/>
                <w:color w:val="000000"/>
                <w:sz w:val="20"/>
                <w:szCs w:val="20"/>
                <w:u w:val="none"/>
              </w:rPr>
            </w:pPr>
          </w:p>
        </w:tc>
      </w:tr>
      <w:tr w14:paraId="50371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B66DA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06A3F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标本柜</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7B2441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一、整体规格：≥1000mm（L）×500mm（W）×2000mm（H）（正负不超过50mm）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材质：上柜采用铝合金框架玻璃柜，下柜采用16mm双贴面三聚氰胺浸渍贴面板，选用优质PVC封边条，利用全自动封边机，配用热熔胶王，对板材截面进行封边，粘力强、密封性好、经久耐用，三、选用ABS连接件，牢固耐用，外形美观、实用、整体效果好，</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7A64B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组</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07105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51B5F4A">
            <w:pPr>
              <w:rPr>
                <w:rFonts w:hint="eastAsia" w:ascii="方正仿宋_GB2312" w:hAnsi="方正仿宋_GB2312" w:eastAsia="方正仿宋_GB2312" w:cs="方正仿宋_GB2312"/>
                <w:i w:val="0"/>
                <w:iCs w:val="0"/>
                <w:color w:val="000000"/>
                <w:sz w:val="20"/>
                <w:szCs w:val="20"/>
                <w:u w:val="none"/>
              </w:rPr>
            </w:pPr>
          </w:p>
        </w:tc>
      </w:tr>
      <w:tr w14:paraId="50B69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AA927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26</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335DD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仪器柜</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AE4AE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一、PP仪器柜整体规格：1000×500×2000mm（正负不超过50mm）；</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二、整体为可拆装活动式设计耐腐蚀性好经久耐用。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三、柜体：侧板、顶板、底板、层板采用改性PP材料模具一次成型，表面沙光和光面相结合处理，保证柜体之坚固及密封性，耐腐蚀性强，顶板、底板预留模具成型排风孔。底板、顶板底部都镶嵌15mm*30*1.0mm钢制横梁承重管。层板上两层下一层可随意组合高低。层板称重量能达到80公斤以上。</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四、上柜柜门：内框采用改性PP材质模具分内外两层中间镶嵌4mm厚钢化玻璃。上下拉手对称五点固定，伸缩弹簧式PP旋转门轴，四角R型倒角，内侧弧形圆边。配有专用加长机械锁。</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五、下柜柜门：内外框采用改性PP材质模具注塑成型，整体颜色可选湛蓝或浅豆绿也可以选带钢化玻璃门，上下拉手及三角对称五点固定。伸缩弹簧式PP旋转门轴，四角R型倒角，内侧弧形圆边，配有加长机械锁。不锈钢材质固定、底部配有可调不不锈钢螺旋式地脚，本产品也可分体式存放。</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54913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86BDF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25</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73A3480">
            <w:pPr>
              <w:rPr>
                <w:rFonts w:hint="eastAsia" w:ascii="方正仿宋_GB2312" w:hAnsi="方正仿宋_GB2312" w:eastAsia="方正仿宋_GB2312" w:cs="方正仿宋_GB2312"/>
                <w:i w:val="0"/>
                <w:iCs w:val="0"/>
                <w:color w:val="000000"/>
                <w:sz w:val="20"/>
                <w:szCs w:val="20"/>
                <w:u w:val="none"/>
              </w:rPr>
            </w:pPr>
          </w:p>
        </w:tc>
      </w:tr>
      <w:tr w14:paraId="48F2B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B3B6B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27</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31EA6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三联水嘴</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4C8E3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一、金属材质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二、涂层：高亮度环氧树脂涂层，耐腐蚀、耐热，防紫外线辐射</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三、陶瓷阀芯</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四、可拆卸水嘴，可加接防溅起泡器</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五、开关按钮：高密度PP材质,符合人体工学设计，轻便快捷。</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25C91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27BEA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C1FE192">
            <w:pPr>
              <w:rPr>
                <w:rFonts w:hint="eastAsia" w:ascii="方正仿宋_GB2312" w:hAnsi="方正仿宋_GB2312" w:eastAsia="方正仿宋_GB2312" w:cs="方正仿宋_GB2312"/>
                <w:i w:val="0"/>
                <w:iCs w:val="0"/>
                <w:color w:val="000000"/>
                <w:sz w:val="20"/>
                <w:szCs w:val="20"/>
                <w:u w:val="none"/>
              </w:rPr>
            </w:pPr>
          </w:p>
        </w:tc>
      </w:tr>
      <w:tr w14:paraId="7074A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96B05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28</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CEA7F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安装调试及附件</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DA42A9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整间准备室的安装调试及安装附件</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6ADE8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室</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CBBF8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F86FF27">
            <w:pPr>
              <w:rPr>
                <w:rFonts w:hint="eastAsia" w:ascii="方正仿宋_GB2312" w:hAnsi="方正仿宋_GB2312" w:eastAsia="方正仿宋_GB2312" w:cs="方正仿宋_GB2312"/>
                <w:i w:val="0"/>
                <w:iCs w:val="0"/>
                <w:color w:val="000000"/>
                <w:sz w:val="20"/>
                <w:szCs w:val="20"/>
                <w:u w:val="none"/>
              </w:rPr>
            </w:pPr>
          </w:p>
        </w:tc>
      </w:tr>
      <w:tr w14:paraId="4A17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5150B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29</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D4FB6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洗眼器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F4955A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台式双口，铜质阀体，软性橡胶喷淋头，水流锁定开关，1.5 m 供水软管，PVC 管外覆不锈钢网，流量 12 L/min～18 L/min</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E4210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58CAA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5988636E">
            <w:pPr>
              <w:rPr>
                <w:rFonts w:hint="eastAsia" w:ascii="方正仿宋_GB2312" w:hAnsi="方正仿宋_GB2312" w:eastAsia="方正仿宋_GB2312" w:cs="方正仿宋_GB2312"/>
                <w:i w:val="0"/>
                <w:iCs w:val="0"/>
                <w:color w:val="000000"/>
                <w:sz w:val="20"/>
                <w:szCs w:val="20"/>
                <w:u w:val="none"/>
              </w:rPr>
            </w:pPr>
          </w:p>
        </w:tc>
      </w:tr>
      <w:tr w14:paraId="7A223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4D6D23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5BA85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灭火毯</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4E0BF3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玻璃纤维材质，应有涂覆层，1200 mm×1800 mm</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1686F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件</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1A968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1EDC322">
            <w:pPr>
              <w:rPr>
                <w:rFonts w:hint="eastAsia" w:ascii="方正仿宋_GB2312" w:hAnsi="方正仿宋_GB2312" w:eastAsia="方正仿宋_GB2312" w:cs="方正仿宋_GB2312"/>
                <w:i w:val="0"/>
                <w:iCs w:val="0"/>
                <w:color w:val="000000"/>
                <w:sz w:val="20"/>
                <w:szCs w:val="20"/>
                <w:u w:val="none"/>
              </w:rPr>
            </w:pPr>
          </w:p>
        </w:tc>
      </w:tr>
      <w:tr w14:paraId="575F6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394D1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BFE33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实验服</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6CEC09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耐酸碱，可分为大中小号</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07F34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件</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26402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DC4F322">
            <w:pPr>
              <w:rPr>
                <w:rFonts w:hint="eastAsia" w:ascii="方正仿宋_GB2312" w:hAnsi="方正仿宋_GB2312" w:eastAsia="方正仿宋_GB2312" w:cs="方正仿宋_GB2312"/>
                <w:i w:val="0"/>
                <w:iCs w:val="0"/>
                <w:color w:val="000000"/>
                <w:sz w:val="20"/>
                <w:szCs w:val="20"/>
                <w:u w:val="none"/>
              </w:rPr>
            </w:pPr>
          </w:p>
        </w:tc>
      </w:tr>
      <w:tr w14:paraId="029C7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C427B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32</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2B7C8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护目镜</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11B1C4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封闭型，耐酸碱，抗冲击，耐磨，便于清洗</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94E94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5C9E8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3FDED493">
            <w:pPr>
              <w:rPr>
                <w:rFonts w:hint="eastAsia" w:ascii="方正仿宋_GB2312" w:hAnsi="方正仿宋_GB2312" w:eastAsia="方正仿宋_GB2312" w:cs="方正仿宋_GB2312"/>
                <w:i w:val="0"/>
                <w:iCs w:val="0"/>
                <w:color w:val="000000"/>
                <w:sz w:val="20"/>
                <w:szCs w:val="20"/>
                <w:u w:val="none"/>
              </w:rPr>
            </w:pPr>
          </w:p>
        </w:tc>
      </w:tr>
      <w:tr w14:paraId="52328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99D8E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B14EE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防护手套</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1254FD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乳胶材质</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AD5C6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副</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07D84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8DFB82F">
            <w:pPr>
              <w:rPr>
                <w:rFonts w:hint="eastAsia" w:ascii="方正仿宋_GB2312" w:hAnsi="方正仿宋_GB2312" w:eastAsia="方正仿宋_GB2312" w:cs="方正仿宋_GB2312"/>
                <w:i w:val="0"/>
                <w:iCs w:val="0"/>
                <w:color w:val="000000"/>
                <w:sz w:val="20"/>
                <w:szCs w:val="20"/>
                <w:u w:val="none"/>
              </w:rPr>
            </w:pPr>
          </w:p>
        </w:tc>
      </w:tr>
      <w:tr w14:paraId="0AD7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69D01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34</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3865E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一次性手套</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85558F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聚乙烯材质</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297870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包</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E6B02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5B0BBCB">
            <w:pPr>
              <w:rPr>
                <w:rFonts w:hint="eastAsia" w:ascii="方正仿宋_GB2312" w:hAnsi="方正仿宋_GB2312" w:eastAsia="方正仿宋_GB2312" w:cs="方正仿宋_GB2312"/>
                <w:i w:val="0"/>
                <w:iCs w:val="0"/>
                <w:color w:val="000000"/>
                <w:sz w:val="20"/>
                <w:szCs w:val="20"/>
                <w:u w:val="none"/>
              </w:rPr>
            </w:pPr>
          </w:p>
        </w:tc>
      </w:tr>
      <w:tr w14:paraId="6FCB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23B91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DB74A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一次性鞋套</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CE91BA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塑料材质或无纺布</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EF26E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包</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B98FD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8A1F49C">
            <w:pPr>
              <w:rPr>
                <w:rFonts w:hint="eastAsia" w:ascii="方正仿宋_GB2312" w:hAnsi="方正仿宋_GB2312" w:eastAsia="方正仿宋_GB2312" w:cs="方正仿宋_GB2312"/>
                <w:i w:val="0"/>
                <w:iCs w:val="0"/>
                <w:color w:val="000000"/>
                <w:sz w:val="20"/>
                <w:szCs w:val="20"/>
                <w:u w:val="none"/>
              </w:rPr>
            </w:pPr>
          </w:p>
        </w:tc>
      </w:tr>
      <w:tr w14:paraId="6489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F70BE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36</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8E458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实验数据采集处理软件</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B4911D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简体中文界面，数据采集器接入计算机后能自动识别数据采集器及其状态，实时显示实验数据或曲线，具备多种对实验数据与图线的数据处理与分析工具，支持实验报告输出、上传与评价，实验数据可以导出为表格或文本格式</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09533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53215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63675D2">
            <w:pPr>
              <w:rPr>
                <w:rFonts w:hint="eastAsia" w:ascii="方正仿宋_GB2312" w:hAnsi="方正仿宋_GB2312" w:eastAsia="方正仿宋_GB2312" w:cs="方正仿宋_GB2312"/>
                <w:i w:val="0"/>
                <w:iCs w:val="0"/>
                <w:color w:val="000000"/>
                <w:sz w:val="20"/>
                <w:szCs w:val="20"/>
                <w:u w:val="none"/>
              </w:rPr>
            </w:pPr>
          </w:p>
        </w:tc>
      </w:tr>
      <w:tr w14:paraId="6583B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55155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37</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796AC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数据采集器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56CE1B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实时无延时采集数据，采样频率不低于 80kHz；与计算机 USB 接口有线或无线通信；支持有线连接的四通道并行数据采集；传感器即插即用</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9312C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553B9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D9A545B">
            <w:pPr>
              <w:rPr>
                <w:rFonts w:hint="eastAsia" w:ascii="方正仿宋_GB2312" w:hAnsi="方正仿宋_GB2312" w:eastAsia="方正仿宋_GB2312" w:cs="方正仿宋_GB2312"/>
                <w:i w:val="0"/>
                <w:iCs w:val="0"/>
                <w:color w:val="000000"/>
                <w:sz w:val="20"/>
                <w:szCs w:val="20"/>
                <w:u w:val="none"/>
              </w:rPr>
            </w:pPr>
          </w:p>
        </w:tc>
      </w:tr>
      <w:tr w14:paraId="39DA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0E3AE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38</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F2274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温度传感器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7CD53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测量范围不小于-50 ℃~200 ℃ , 分辨力不大于 0.1 ℃ , 热响应时间≤1 s；0 ℃~100 ℃ , 误差≤±0.5％FS＋1 字；其余误差≤±1.5％FS＋1 字；不锈钢探针</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9BC01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D212F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2ADB95AE">
            <w:pPr>
              <w:rPr>
                <w:rFonts w:hint="eastAsia" w:ascii="方正仿宋_GB2312" w:hAnsi="方正仿宋_GB2312" w:eastAsia="方正仿宋_GB2312" w:cs="方正仿宋_GB2312"/>
                <w:i w:val="0"/>
                <w:iCs w:val="0"/>
                <w:color w:val="000000"/>
                <w:sz w:val="20"/>
                <w:szCs w:val="20"/>
                <w:u w:val="none"/>
              </w:rPr>
            </w:pPr>
          </w:p>
        </w:tc>
      </w:tr>
      <w:tr w14:paraId="13572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4500CF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39</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682003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溶解氧传感器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7AF00F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测量范围 0 mg/L～20 mg/L，分辨力 0.01mg/L，误差±0.2 mg/L</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6CBEA9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DCAF7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2FB0F9CF">
            <w:pPr>
              <w:rPr>
                <w:rFonts w:hint="eastAsia" w:ascii="方正仿宋_GB2312" w:hAnsi="方正仿宋_GB2312" w:eastAsia="方正仿宋_GB2312" w:cs="方正仿宋_GB2312"/>
                <w:i w:val="0"/>
                <w:iCs w:val="0"/>
                <w:color w:val="000000"/>
                <w:sz w:val="20"/>
                <w:szCs w:val="20"/>
                <w:u w:val="none"/>
              </w:rPr>
            </w:pPr>
          </w:p>
        </w:tc>
      </w:tr>
      <w:tr w14:paraId="4C932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FA988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90585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光照度传感器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6AAF35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测量范围 0 lx～5000 lx，分辨力不大于 1lx ；0 lx～20000 lx，分辨力不大于 10 lx</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F2C5D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3860F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42D3B4C">
            <w:pPr>
              <w:rPr>
                <w:rFonts w:hint="eastAsia" w:ascii="方正仿宋_GB2312" w:hAnsi="方正仿宋_GB2312" w:eastAsia="方正仿宋_GB2312" w:cs="方正仿宋_GB2312"/>
                <w:i w:val="0"/>
                <w:iCs w:val="0"/>
                <w:color w:val="000000"/>
                <w:sz w:val="20"/>
                <w:szCs w:val="20"/>
                <w:u w:val="none"/>
              </w:rPr>
            </w:pPr>
          </w:p>
        </w:tc>
      </w:tr>
      <w:tr w14:paraId="5EEE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5D7DEE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56422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相对湿度传感器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8A71C0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测量范围 0%～100%，分辨力 0.1%，误差±2%FS</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B7E03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82AFF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A64B845">
            <w:pPr>
              <w:rPr>
                <w:rFonts w:hint="eastAsia" w:ascii="方正仿宋_GB2312" w:hAnsi="方正仿宋_GB2312" w:eastAsia="方正仿宋_GB2312" w:cs="方正仿宋_GB2312"/>
                <w:i w:val="0"/>
                <w:iCs w:val="0"/>
                <w:color w:val="000000"/>
                <w:sz w:val="20"/>
                <w:szCs w:val="20"/>
                <w:u w:val="none"/>
              </w:rPr>
            </w:pPr>
          </w:p>
        </w:tc>
      </w:tr>
      <w:tr w14:paraId="3856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46DF2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42</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B1CDF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pH 传感器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913499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测量范围 0～14，分辨力 0.01，误差±0.2</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0C152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3F36A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6DAEDA43">
            <w:pPr>
              <w:rPr>
                <w:rFonts w:hint="eastAsia" w:ascii="方正仿宋_GB2312" w:hAnsi="方正仿宋_GB2312" w:eastAsia="方正仿宋_GB2312" w:cs="方正仿宋_GB2312"/>
                <w:i w:val="0"/>
                <w:iCs w:val="0"/>
                <w:color w:val="000000"/>
                <w:sz w:val="20"/>
                <w:szCs w:val="20"/>
                <w:u w:val="none"/>
              </w:rPr>
            </w:pPr>
          </w:p>
        </w:tc>
      </w:tr>
      <w:tr w14:paraId="7B5F3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20FF7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453CB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气液相密封实验器</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DCD0EB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容积不小于 4 L，与计算机数据采集处理系统中的传感器配套使用，提供相对密闭的实验环境</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F92F6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90370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503F19B6">
            <w:pPr>
              <w:rPr>
                <w:rFonts w:hint="eastAsia" w:ascii="方正仿宋_GB2312" w:hAnsi="方正仿宋_GB2312" w:eastAsia="方正仿宋_GB2312" w:cs="方正仿宋_GB2312"/>
                <w:i w:val="0"/>
                <w:iCs w:val="0"/>
                <w:color w:val="000000"/>
                <w:sz w:val="20"/>
                <w:szCs w:val="20"/>
                <w:u w:val="none"/>
              </w:rPr>
            </w:pPr>
          </w:p>
        </w:tc>
      </w:tr>
      <w:tr w14:paraId="05FDD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7B18F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44</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138E1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密封实验套件</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5ED583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密封实验套件由多种规格橡胶塞、硅胶塞、反应瓶、硅胶环、气管快速接头、软管组成；用于传感器电极与反应容器的密封连接</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14EA3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A0C82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DBB90F4">
            <w:pPr>
              <w:rPr>
                <w:rFonts w:hint="eastAsia" w:ascii="方正仿宋_GB2312" w:hAnsi="方正仿宋_GB2312" w:eastAsia="方正仿宋_GB2312" w:cs="方正仿宋_GB2312"/>
                <w:i w:val="0"/>
                <w:iCs w:val="0"/>
                <w:color w:val="000000"/>
                <w:sz w:val="20"/>
                <w:szCs w:val="20"/>
                <w:u w:val="none"/>
              </w:rPr>
            </w:pPr>
          </w:p>
        </w:tc>
      </w:tr>
      <w:tr w14:paraId="631E9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533460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45</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7BBB1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生物显微镜</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449DB8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双目，消色差物镜：4×、10×、40×; 广视场目镜：WF10×; 带照明光源，亮度连续可调；双层移动式载物台</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BF6B3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485BE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25</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978DC5B">
            <w:pPr>
              <w:rPr>
                <w:rFonts w:hint="eastAsia" w:ascii="方正仿宋_GB2312" w:hAnsi="方正仿宋_GB2312" w:eastAsia="方正仿宋_GB2312" w:cs="方正仿宋_GB2312"/>
                <w:i w:val="0"/>
                <w:iCs w:val="0"/>
                <w:color w:val="000000"/>
                <w:sz w:val="20"/>
                <w:szCs w:val="20"/>
                <w:u w:val="none"/>
              </w:rPr>
            </w:pPr>
          </w:p>
        </w:tc>
      </w:tr>
      <w:tr w14:paraId="3A452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5900F4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46</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B5500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望远镜</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2D3566C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双筒，7×35</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D77DA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40E64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352846B">
            <w:pPr>
              <w:rPr>
                <w:rFonts w:hint="eastAsia" w:ascii="方正仿宋_GB2312" w:hAnsi="方正仿宋_GB2312" w:eastAsia="方正仿宋_GB2312" w:cs="方正仿宋_GB2312"/>
                <w:i w:val="0"/>
                <w:iCs w:val="0"/>
                <w:color w:val="000000"/>
                <w:sz w:val="20"/>
                <w:szCs w:val="20"/>
                <w:u w:val="none"/>
              </w:rPr>
            </w:pPr>
          </w:p>
        </w:tc>
      </w:tr>
      <w:tr w14:paraId="5DED9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CD06A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47</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76D829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放大镜</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07027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手持式，有效通光孔径 50 mm，5×</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1CF99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294B1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25</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0830C83E">
            <w:pPr>
              <w:rPr>
                <w:rFonts w:hint="eastAsia" w:ascii="方正仿宋_GB2312" w:hAnsi="方正仿宋_GB2312" w:eastAsia="方正仿宋_GB2312" w:cs="方正仿宋_GB2312"/>
                <w:i w:val="0"/>
                <w:iCs w:val="0"/>
                <w:color w:val="000000"/>
                <w:sz w:val="20"/>
                <w:szCs w:val="20"/>
                <w:u w:val="none"/>
              </w:rPr>
            </w:pPr>
          </w:p>
        </w:tc>
      </w:tr>
      <w:tr w14:paraId="68A64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7C59A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48</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5BBCC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果酒果醋发酵装置</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6EA1D4C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透明，最大容积 1 L，具水封及气泡限速装置，可进行气泡观察计数</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96E1F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050E7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571FFE0">
            <w:pPr>
              <w:rPr>
                <w:rFonts w:hint="eastAsia" w:ascii="方正仿宋_GB2312" w:hAnsi="方正仿宋_GB2312" w:eastAsia="方正仿宋_GB2312" w:cs="方正仿宋_GB2312"/>
                <w:i w:val="0"/>
                <w:iCs w:val="0"/>
                <w:color w:val="000000"/>
                <w:sz w:val="20"/>
                <w:szCs w:val="20"/>
                <w:u w:val="none"/>
              </w:rPr>
            </w:pPr>
          </w:p>
        </w:tc>
      </w:tr>
      <w:tr w14:paraId="63896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7B25D3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49</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595635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水平电泳槽</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16913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聚碳酸酯注塑成型，凝胶托盘带有荧光标尺，具有开盖断电功能，凝胶板规格 60 mm×60mm</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DB271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23BC1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C47230D">
            <w:pPr>
              <w:rPr>
                <w:rFonts w:hint="eastAsia" w:ascii="方正仿宋_GB2312" w:hAnsi="方正仿宋_GB2312" w:eastAsia="方正仿宋_GB2312" w:cs="方正仿宋_GB2312"/>
                <w:i w:val="0"/>
                <w:iCs w:val="0"/>
                <w:color w:val="000000"/>
                <w:sz w:val="20"/>
                <w:szCs w:val="20"/>
                <w:u w:val="none"/>
              </w:rPr>
            </w:pPr>
          </w:p>
        </w:tc>
      </w:tr>
      <w:tr w14:paraId="15D4A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17058D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43B611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DNA 电泳图谱观察仪</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0CFD892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非紫外光源，观察凝胶面积＞100mm×100 mm</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CE77B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E4197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EEC568C">
            <w:pPr>
              <w:rPr>
                <w:rFonts w:hint="eastAsia" w:ascii="方正仿宋_GB2312" w:hAnsi="方正仿宋_GB2312" w:eastAsia="方正仿宋_GB2312" w:cs="方正仿宋_GB2312"/>
                <w:i w:val="0"/>
                <w:iCs w:val="0"/>
                <w:color w:val="000000"/>
                <w:sz w:val="20"/>
                <w:szCs w:val="20"/>
                <w:u w:val="none"/>
              </w:rPr>
            </w:pPr>
          </w:p>
        </w:tc>
      </w:tr>
      <w:tr w14:paraId="4C5E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349334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51</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12E565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PCR 仪</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1F9FC2C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96 孔，具有程序设定、储存功能，温度范围4.0 ℃~99.9 ℃ , 控温精确到≤0.1 ℃ , 温度稳定性和升降温速度适宜，具有 4 ℃保温功能</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4E58C3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B5225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1B40C8E7">
            <w:pPr>
              <w:rPr>
                <w:rFonts w:hint="eastAsia" w:ascii="方正仿宋_GB2312" w:hAnsi="方正仿宋_GB2312" w:eastAsia="方正仿宋_GB2312" w:cs="方正仿宋_GB2312"/>
                <w:i w:val="0"/>
                <w:iCs w:val="0"/>
                <w:color w:val="000000"/>
                <w:sz w:val="20"/>
                <w:szCs w:val="20"/>
                <w:u w:val="none"/>
              </w:rPr>
            </w:pPr>
          </w:p>
        </w:tc>
      </w:tr>
      <w:tr w14:paraId="250D5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65E7C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52</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26A3FB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减数分裂中染色体变化模型组件</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5C2BBF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材料环保，便于演示</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35E25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58D13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7FC860A2">
            <w:pPr>
              <w:rPr>
                <w:rFonts w:hint="eastAsia" w:ascii="方正仿宋_GB2312" w:hAnsi="方正仿宋_GB2312" w:eastAsia="方正仿宋_GB2312" w:cs="方正仿宋_GB2312"/>
                <w:i w:val="0"/>
                <w:iCs w:val="0"/>
                <w:color w:val="000000"/>
                <w:sz w:val="20"/>
                <w:szCs w:val="20"/>
                <w:u w:val="none"/>
              </w:rPr>
            </w:pPr>
          </w:p>
        </w:tc>
      </w:tr>
      <w:tr w14:paraId="20382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5F5BA9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53</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075EC1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DNA 双螺旋结构模型</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3D2059D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一个半螺旋，包括 16 个碱基对和其他相应元件，材料环保，便于演示</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E7FB8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2FD90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23C8257">
            <w:pPr>
              <w:rPr>
                <w:rFonts w:hint="eastAsia" w:ascii="方正仿宋_GB2312" w:hAnsi="方正仿宋_GB2312" w:eastAsia="方正仿宋_GB2312" w:cs="方正仿宋_GB2312"/>
                <w:i w:val="0"/>
                <w:iCs w:val="0"/>
                <w:color w:val="000000"/>
                <w:sz w:val="20"/>
                <w:szCs w:val="20"/>
                <w:u w:val="none"/>
              </w:rPr>
            </w:pPr>
          </w:p>
        </w:tc>
      </w:tr>
      <w:tr w14:paraId="36FD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06DE5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54</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14:paraId="39FE68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DNA 双螺旋结构模型组件</w:t>
            </w:r>
          </w:p>
        </w:tc>
        <w:tc>
          <w:tcPr>
            <w:tcW w:w="3284" w:type="pct"/>
            <w:tcBorders>
              <w:top w:val="single" w:color="000000" w:sz="4" w:space="0"/>
              <w:left w:val="single" w:color="000000" w:sz="4" w:space="0"/>
              <w:bottom w:val="single" w:color="000000" w:sz="4" w:space="0"/>
              <w:right w:val="single" w:color="000000" w:sz="4" w:space="0"/>
            </w:tcBorders>
            <w:noWrap w:val="0"/>
            <w:vAlign w:val="center"/>
          </w:tcPr>
          <w:p w14:paraId="479C7E5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四种碱基、脱氧核糖、磷酸彼此分离</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59D610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DAC14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25</w:t>
            </w:r>
          </w:p>
        </w:tc>
        <w:tc>
          <w:tcPr>
            <w:tcW w:w="330" w:type="pct"/>
            <w:tcBorders>
              <w:top w:val="single" w:color="000000" w:sz="4" w:space="0"/>
              <w:left w:val="single" w:color="000000" w:sz="4" w:space="0"/>
              <w:bottom w:val="single" w:color="000000" w:sz="4" w:space="0"/>
              <w:right w:val="single" w:color="000000" w:sz="4" w:space="0"/>
            </w:tcBorders>
            <w:noWrap/>
            <w:vAlign w:val="center"/>
          </w:tcPr>
          <w:p w14:paraId="4D3E70A8">
            <w:pPr>
              <w:rPr>
                <w:rFonts w:hint="eastAsia" w:ascii="方正仿宋_GB2312" w:hAnsi="方正仿宋_GB2312" w:eastAsia="方正仿宋_GB2312" w:cs="方正仿宋_GB2312"/>
                <w:i w:val="0"/>
                <w:iCs w:val="0"/>
                <w:color w:val="000000"/>
                <w:sz w:val="20"/>
                <w:szCs w:val="20"/>
                <w:u w:val="none"/>
              </w:rPr>
            </w:pPr>
          </w:p>
        </w:tc>
      </w:tr>
    </w:tbl>
    <w:p w14:paraId="29F11E69">
      <w:pPr>
        <w:rPr>
          <w:rFonts w:hint="eastAsia" w:eastAsia="宋体"/>
          <w:b/>
          <w:bCs/>
          <w:sz w:val="40"/>
          <w:szCs w:val="40"/>
          <w:lang w:eastAsia="zh-CN"/>
        </w:rPr>
        <w:sectPr>
          <w:footerReference r:id="rId7" w:type="first"/>
          <w:footerReference r:id="rId6" w:type="default"/>
          <w:pgSz w:w="16838" w:h="11906" w:orient="landscape"/>
          <w:pgMar w:top="1797" w:right="1440" w:bottom="1797" w:left="1440" w:header="851" w:footer="992" w:gutter="0"/>
          <w:pgNumType w:fmt="decimal" w:start="16"/>
          <w:cols w:space="720" w:num="1"/>
          <w:titlePg/>
          <w:docGrid w:type="linesAndChars" w:linePitch="312" w:charSpace="0"/>
        </w:sectPr>
      </w:pPr>
    </w:p>
    <w:p w14:paraId="057198E2">
      <w:pPr>
        <w:rPr>
          <w:color w:val="FF0000"/>
        </w:rPr>
      </w:pPr>
      <w:r>
        <w:rPr>
          <w:rFonts w:hint="eastAsia"/>
          <w:color w:val="FF0000"/>
        </w:rPr>
        <w:t>备注：</w:t>
      </w:r>
    </w:p>
    <w:p w14:paraId="3C67BE06">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14:paraId="6F491000">
      <w:pPr>
        <w:ind w:firstLine="480" w:firstLineChars="200"/>
        <w:rPr>
          <w:color w:val="FF0000"/>
        </w:rPr>
      </w:pPr>
      <w:r>
        <w:rPr>
          <w:rFonts w:hint="eastAsia"/>
          <w:color w:val="FF0000"/>
        </w:rPr>
        <w:t>2、如注明有单价控制金额的产品，投标人对该产品的报价不得超过控制金额，否则将作投标无效处理。</w:t>
      </w:r>
    </w:p>
    <w:p w14:paraId="52387A9B">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14:paraId="19559D46">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14:paraId="5C85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5D36C6A3">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14:paraId="2E150725">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14:paraId="1489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3E34D420">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14:paraId="75D1E750">
            <w:pPr>
              <w:spacing w:after="60" w:afterLines="25" w:line="360" w:lineRule="exact"/>
              <w:rPr>
                <w:rFonts w:hint="eastAsia" w:ascii="宋体" w:hAnsi="宋体" w:eastAsia="宋体" w:cs="宋体"/>
                <w:sz w:val="22"/>
                <w:szCs w:val="21"/>
                <w:lang w:val="en-US" w:eastAsia="zh-CN"/>
              </w:rPr>
            </w:pPr>
            <w:r>
              <w:rPr>
                <w:sz w:val="22"/>
                <w:szCs w:val="22"/>
              </w:rPr>
              <w:t>采购人指定地点</w:t>
            </w:r>
            <w:r>
              <w:rPr>
                <w:rFonts w:hint="eastAsia" w:eastAsia="宋体"/>
                <w:sz w:val="22"/>
                <w:szCs w:val="22"/>
                <w:lang w:eastAsia="zh-CN"/>
              </w:rPr>
              <w:t>。</w:t>
            </w:r>
          </w:p>
        </w:tc>
      </w:tr>
      <w:tr w14:paraId="5F41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84" w:type="dxa"/>
            <w:tcBorders>
              <w:top w:val="single" w:color="auto" w:sz="4" w:space="0"/>
              <w:left w:val="single" w:color="auto" w:sz="4" w:space="0"/>
              <w:bottom w:val="single" w:color="auto" w:sz="4" w:space="0"/>
              <w:right w:val="single" w:color="auto" w:sz="4" w:space="0"/>
            </w:tcBorders>
            <w:vAlign w:val="center"/>
          </w:tcPr>
          <w:p w14:paraId="0CDE7A34">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14:paraId="21CE7271">
            <w:pPr>
              <w:spacing w:after="60" w:afterLines="25" w:line="360" w:lineRule="exact"/>
              <w:rPr>
                <w:rFonts w:hint="default" w:ascii="宋体" w:hAnsi="宋体" w:eastAsia="微软雅黑" w:cs="宋体"/>
                <w:sz w:val="22"/>
                <w:szCs w:val="21"/>
                <w:lang w:val="en-US" w:eastAsia="zh-CN"/>
              </w:rPr>
            </w:pPr>
            <w:r>
              <w:rPr>
                <w:spacing w:val="-3"/>
                <w:sz w:val="22"/>
                <w:szCs w:val="22"/>
              </w:rPr>
              <w:t>本项目要求</w:t>
            </w:r>
            <w:r>
              <w:rPr>
                <w:rFonts w:hint="eastAsia" w:eastAsia="宋体"/>
                <w:spacing w:val="-3"/>
                <w:sz w:val="22"/>
                <w:szCs w:val="22"/>
                <w:lang w:eastAsia="zh-CN"/>
              </w:rPr>
              <w:t>甲方通知后</w:t>
            </w:r>
            <w:r>
              <w:rPr>
                <w:rFonts w:hint="eastAsia"/>
                <w:spacing w:val="-3"/>
                <w:sz w:val="22"/>
                <w:szCs w:val="22"/>
                <w:lang w:val="en-US" w:eastAsia="zh-CN"/>
              </w:rPr>
              <w:t xml:space="preserve"> 40 </w:t>
            </w:r>
            <w:r>
              <w:rPr>
                <w:spacing w:val="-3"/>
                <w:sz w:val="22"/>
                <w:szCs w:val="22"/>
              </w:rPr>
              <w:t>日内完成供货及安装调试完毕</w:t>
            </w:r>
          </w:p>
        </w:tc>
      </w:tr>
      <w:tr w14:paraId="7FC5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14:paraId="41EB407A">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14:paraId="4A576487">
            <w:pPr>
              <w:spacing w:after="60" w:afterLines="25" w:line="360" w:lineRule="exact"/>
              <w:rPr>
                <w:rFonts w:ascii="宋体" w:hAnsi="宋体" w:eastAsia="宋体"/>
                <w:sz w:val="22"/>
                <w:szCs w:val="21"/>
              </w:rPr>
            </w:pPr>
            <w:r>
              <w:rPr>
                <w:rFonts w:hint="eastAsia" w:ascii="宋体" w:hAnsi="宋体" w:eastAsia="宋体"/>
                <w:sz w:val="22"/>
                <w:szCs w:val="21"/>
              </w:rPr>
              <w:t>签订合同后支付合同总价的30%货物到达安装现场后支付合同总价的20%,全部货物按要求供货完毕、经采购人检查数量、质量等无问题，并验收合格后支付合同总额的50%。</w:t>
            </w:r>
          </w:p>
        </w:tc>
      </w:tr>
      <w:tr w14:paraId="62BF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14:paraId="71638588">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14:paraId="5A5D225C">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w:t>
            </w:r>
          </w:p>
        </w:tc>
      </w:tr>
      <w:tr w14:paraId="12F8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14:paraId="7A1A88F0">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14:paraId="566F4A5B">
            <w:pPr>
              <w:spacing w:after="60" w:afterLines="25" w:line="360" w:lineRule="exact"/>
              <w:ind w:left="-86" w:leftChars="-36"/>
              <w:rPr>
                <w:rFonts w:hint="eastAsia" w:ascii="宋体" w:hAnsi="宋体" w:eastAsia="宋体" w:cs="Arial"/>
                <w:sz w:val="22"/>
                <w:szCs w:val="21"/>
                <w:lang w:eastAsia="zh-CN"/>
              </w:rPr>
            </w:pPr>
            <w:r>
              <w:rPr>
                <w:sz w:val="22"/>
                <w:szCs w:val="22"/>
              </w:rPr>
              <w:t>要求成交方对本项目所采购的各项货物和货物集成</w:t>
            </w:r>
            <w:r>
              <w:rPr>
                <w:spacing w:val="-1"/>
                <w:sz w:val="22"/>
                <w:szCs w:val="22"/>
              </w:rPr>
              <w:t>提供</w:t>
            </w:r>
            <w:r>
              <w:rPr>
                <w:rFonts w:hint="eastAsia" w:eastAsia="宋体"/>
                <w:spacing w:val="-1"/>
                <w:sz w:val="22"/>
                <w:szCs w:val="22"/>
                <w:lang w:val="en-US" w:eastAsia="zh-CN"/>
              </w:rPr>
              <w:t>1</w:t>
            </w:r>
            <w:r>
              <w:rPr>
                <w:spacing w:val="-1"/>
                <w:sz w:val="22"/>
                <w:szCs w:val="22"/>
              </w:rPr>
              <w:t>年质保期（有注明的</w:t>
            </w:r>
            <w:r>
              <w:rPr>
                <w:spacing w:val="-10"/>
                <w:sz w:val="22"/>
                <w:szCs w:val="22"/>
              </w:rPr>
              <w:t>除外）。</w:t>
            </w:r>
          </w:p>
        </w:tc>
      </w:tr>
    </w:tbl>
    <w:p w14:paraId="14D6EFD2">
      <w:pPr>
        <w:tabs>
          <w:tab w:val="left" w:pos="7016"/>
        </w:tabs>
        <w:rPr>
          <w:rFonts w:ascii="Arial" w:hAnsi="Arial" w:eastAsia="宋体"/>
        </w:rPr>
      </w:pPr>
      <w:r>
        <w:rPr>
          <w:rFonts w:ascii="Arial" w:hAnsi="Arial" w:eastAsia="宋体"/>
        </w:rPr>
        <w:tab/>
      </w:r>
    </w:p>
    <w:p w14:paraId="1BB284B7">
      <w:pPr>
        <w:pStyle w:val="6"/>
        <w:rPr>
          <w:rFonts w:ascii="Arial" w:hAnsi="Arial" w:eastAsia="宋体"/>
        </w:rPr>
      </w:pPr>
    </w:p>
    <w:p w14:paraId="36C8C996">
      <w:pPr>
        <w:rPr>
          <w:rFonts w:ascii="Arial" w:hAnsi="Arial" w:eastAsia="宋体"/>
        </w:rPr>
      </w:pPr>
    </w:p>
    <w:p w14:paraId="2D5131A3">
      <w:pPr>
        <w:pStyle w:val="6"/>
        <w:rPr>
          <w:rFonts w:ascii="Arial" w:hAnsi="Arial" w:eastAsia="宋体"/>
        </w:rPr>
      </w:pPr>
    </w:p>
    <w:p w14:paraId="023F7106">
      <w:pPr>
        <w:rPr>
          <w:rFonts w:ascii="Arial" w:hAnsi="Arial" w:eastAsia="宋体"/>
        </w:rPr>
      </w:pPr>
    </w:p>
    <w:p w14:paraId="0BF92198">
      <w:pPr>
        <w:pStyle w:val="6"/>
        <w:rPr>
          <w:rFonts w:ascii="Arial" w:hAnsi="Arial" w:eastAsia="宋体"/>
        </w:rPr>
      </w:pPr>
    </w:p>
    <w:p w14:paraId="08D09C57">
      <w:pPr>
        <w:rPr>
          <w:rFonts w:ascii="Arial" w:hAnsi="Arial" w:eastAsia="宋体"/>
        </w:rPr>
      </w:pPr>
    </w:p>
    <w:p w14:paraId="574CC98D">
      <w:pPr>
        <w:pStyle w:val="6"/>
        <w:rPr>
          <w:rFonts w:ascii="Arial" w:hAnsi="Arial" w:eastAsia="宋体"/>
        </w:rPr>
      </w:pPr>
    </w:p>
    <w:p w14:paraId="75F950D1">
      <w:pPr>
        <w:rPr>
          <w:rFonts w:ascii="Arial" w:hAnsi="Arial" w:eastAsia="宋体"/>
        </w:rPr>
      </w:pPr>
    </w:p>
    <w:p w14:paraId="5E9038E3">
      <w:pPr>
        <w:pStyle w:val="16"/>
        <w:rPr>
          <w:rFonts w:ascii="Arial" w:hAnsi="Arial" w:eastAsia="宋体"/>
        </w:rPr>
      </w:pPr>
    </w:p>
    <w:p w14:paraId="503B75AD">
      <w:r>
        <w:br w:type="page"/>
      </w:r>
    </w:p>
    <w:p w14:paraId="6F59A5A4">
      <w:pPr>
        <w:keepNext/>
        <w:keepLines/>
        <w:numPr>
          <w:ilvl w:val="0"/>
          <w:numId w:val="4"/>
        </w:numPr>
        <w:tabs>
          <w:tab w:val="left" w:pos="1680"/>
        </w:tabs>
        <w:spacing w:before="260" w:after="60" w:afterLines="25"/>
        <w:jc w:val="center"/>
        <w:outlineLvl w:val="2"/>
        <w:rPr>
          <w:rFonts w:hint="eastAsia" w:ascii="Arial" w:hAnsi="Arial" w:eastAsia="宋体"/>
          <w:b/>
          <w:bCs/>
          <w:sz w:val="32"/>
          <w:szCs w:val="32"/>
        </w:rPr>
      </w:pPr>
      <w:r>
        <w:rPr>
          <w:rFonts w:hint="eastAsia" w:ascii="Arial" w:hAnsi="Arial" w:eastAsia="宋体"/>
          <w:b/>
          <w:bCs/>
          <w:sz w:val="32"/>
          <w:szCs w:val="32"/>
        </w:rPr>
        <w:t>技术规格及具体参数部分</w:t>
      </w:r>
    </w:p>
    <w:p w14:paraId="2842F76F">
      <w:pPr>
        <w:pStyle w:val="6"/>
        <w:numPr>
          <w:ilvl w:val="0"/>
          <w:numId w:val="0"/>
        </w:numPr>
      </w:pPr>
    </w:p>
    <w:p w14:paraId="1D1C2E6E"/>
    <w:p w14:paraId="5D304E47">
      <w:pPr>
        <w:pStyle w:val="6"/>
        <w:ind w:left="0" w:leftChars="0" w:firstLine="0" w:firstLineChars="0"/>
        <w:rPr>
          <w:rFonts w:hint="eastAsia" w:eastAsia="宋体"/>
          <w:lang w:eastAsia="zh-CN"/>
        </w:rPr>
      </w:pPr>
      <w:r>
        <w:rPr>
          <w:rFonts w:hint="eastAsia" w:eastAsia="宋体"/>
          <w:lang w:eastAsia="zh-CN"/>
        </w:rPr>
        <w:t>详见二、货物需求明细</w:t>
      </w:r>
    </w:p>
    <w:p w14:paraId="7390E515">
      <w:pPr>
        <w:rPr>
          <w:rFonts w:hint="eastAsia" w:eastAsia="宋体"/>
          <w:lang w:eastAsia="zh-CN"/>
        </w:rPr>
      </w:pPr>
    </w:p>
    <w:p w14:paraId="1B6E656D">
      <w:pPr>
        <w:pStyle w:val="6"/>
        <w:rPr>
          <w:rFonts w:hint="eastAsia" w:eastAsia="宋体"/>
          <w:lang w:eastAsia="zh-CN"/>
        </w:rPr>
      </w:pPr>
    </w:p>
    <w:p w14:paraId="660D7B88"/>
    <w:p w14:paraId="5A02CC7C">
      <w:pPr>
        <w:rPr>
          <w:rFonts w:ascii="宋体" w:hAnsi="宋体" w:eastAsia="黑体"/>
          <w:bCs/>
          <w:kern w:val="44"/>
          <w:sz w:val="28"/>
          <w:szCs w:val="44"/>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r>
        <w:br w:type="page"/>
      </w:r>
    </w:p>
    <w:p w14:paraId="3AD1A8C0">
      <w:pPr>
        <w:keepNext/>
        <w:keepLines/>
        <w:adjustRightInd w:val="0"/>
        <w:spacing w:before="260" w:after="260"/>
        <w:jc w:val="center"/>
        <w:textAlignment w:val="baseline"/>
        <w:outlineLvl w:val="1"/>
        <w:rPr>
          <w:rFonts w:ascii="宋体" w:hAnsi="宋体" w:eastAsia="宋体"/>
          <w:b/>
          <w:bCs/>
          <w:sz w:val="28"/>
          <w:szCs w:val="28"/>
        </w:rPr>
      </w:pPr>
      <w:bookmarkStart w:id="70" w:name="_GoBack"/>
      <w:r>
        <w:rPr>
          <w:rFonts w:hint="eastAsia" w:ascii="宋体" w:hAnsi="宋体" w:eastAsia="宋体"/>
          <w:b/>
          <w:bCs/>
          <w:sz w:val="28"/>
          <w:szCs w:val="28"/>
        </w:rPr>
        <w:t>第四章 投标文件组成要求及格式</w:t>
      </w:r>
    </w:p>
    <w:bookmarkEnd w:id="70"/>
    <w:p w14:paraId="56C75FB3">
      <w:pPr>
        <w:jc w:val="center"/>
        <w:rPr>
          <w:rFonts w:ascii="黑体" w:eastAsia="黑体"/>
          <w:b/>
          <w:bCs/>
          <w:color w:val="FF0000"/>
          <w:sz w:val="28"/>
        </w:rPr>
      </w:pPr>
    </w:p>
    <w:p w14:paraId="2FA73802">
      <w:pPr>
        <w:rPr>
          <w:rFonts w:ascii="宋体" w:hAnsi="宋体" w:eastAsia="黑体"/>
          <w:bCs/>
          <w:kern w:val="44"/>
          <w:sz w:val="32"/>
          <w:szCs w:val="32"/>
        </w:rPr>
      </w:pPr>
      <w:r>
        <w:rPr>
          <w:rFonts w:hint="eastAsia" w:ascii="宋体" w:hAnsi="宋体" w:eastAsia="黑体"/>
          <w:bCs/>
          <w:kern w:val="44"/>
          <w:sz w:val="32"/>
          <w:szCs w:val="32"/>
        </w:rPr>
        <w:t>投标文件组成：</w:t>
      </w:r>
    </w:p>
    <w:p w14:paraId="1D0DBFD2">
      <w:pPr>
        <w:snapToGrid w:val="0"/>
        <w:rPr>
          <w:rFonts w:ascii="Arial" w:hAnsi="Arial" w:eastAsia="宋体" w:cs="Arial"/>
          <w:b/>
          <w:sz w:val="32"/>
          <w:szCs w:val="32"/>
        </w:rPr>
      </w:pPr>
      <w:r>
        <w:rPr>
          <w:rFonts w:hint="eastAsia" w:ascii="宋体" w:hAnsi="宋体" w:eastAsia="宋体" w:cs="宋体"/>
          <w:b/>
          <w:sz w:val="32"/>
          <w:szCs w:val="32"/>
        </w:rPr>
        <w:t>开标一览表及资格证明文件：</w:t>
      </w:r>
    </w:p>
    <w:p w14:paraId="43831F3E">
      <w:pPr>
        <w:numPr>
          <w:ilvl w:val="0"/>
          <w:numId w:val="5"/>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14:paraId="1490C8CE">
      <w:pPr>
        <w:numPr>
          <w:ilvl w:val="0"/>
          <w:numId w:val="5"/>
        </w:numPr>
        <w:snapToGrid w:val="0"/>
        <w:spacing w:after="60" w:afterLines="25"/>
        <w:rPr>
          <w:rFonts w:ascii="宋体" w:hAnsi="宋体" w:eastAsia="宋体"/>
          <w:sz w:val="30"/>
          <w:szCs w:val="30"/>
        </w:rPr>
      </w:pPr>
      <w:bookmarkStart w:id="10" w:name="_Hlk72062521"/>
      <w:r>
        <w:rPr>
          <w:rFonts w:hint="eastAsia" w:ascii="宋体" w:hAnsi="宋体" w:eastAsia="宋体"/>
          <w:sz w:val="30"/>
          <w:szCs w:val="30"/>
        </w:rPr>
        <w:t>政府采购投标及履约承诺函</w:t>
      </w:r>
      <w:bookmarkEnd w:id="10"/>
      <w:r>
        <w:rPr>
          <w:rFonts w:hint="eastAsia" w:ascii="宋体" w:hAnsi="宋体" w:eastAsia="宋体"/>
          <w:sz w:val="30"/>
          <w:szCs w:val="30"/>
        </w:rPr>
        <w:t>；</w:t>
      </w:r>
    </w:p>
    <w:p w14:paraId="30B45D46">
      <w:pPr>
        <w:numPr>
          <w:ilvl w:val="0"/>
          <w:numId w:val="5"/>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14:paraId="146E90D2">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会计事务所出具的2024-2025年度任意一年的年度财务审计报告书扫描件或影印件；（新办企业（营业执照所标注的成立日期距本项目开标日期一年内为新办企业）提供银行资信证明扫描件或影印件）；</w:t>
      </w:r>
    </w:p>
    <w:p w14:paraId="2A1FE099">
      <w:pPr>
        <w:numPr>
          <w:ilvl w:val="0"/>
          <w:numId w:val="5"/>
        </w:numPr>
        <w:snapToGrid w:val="0"/>
        <w:spacing w:after="60" w:afterLines="25"/>
        <w:rPr>
          <w:rFonts w:ascii="宋体" w:hAnsi="宋体" w:eastAsia="宋体"/>
          <w:sz w:val="30"/>
          <w:szCs w:val="30"/>
        </w:rPr>
      </w:pPr>
      <w:r>
        <w:rPr>
          <w:rFonts w:hint="eastAsia" w:ascii="宋体" w:hAnsi="宋体" w:eastAsia="宋体"/>
          <w:kern w:val="2"/>
          <w:sz w:val="30"/>
          <w:szCs w:val="30"/>
          <w:lang w:eastAsia="zh-CN"/>
        </w:rPr>
        <w:t>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78D4B85A">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sz w:val="30"/>
          <w:szCs w:val="30"/>
        </w:rPr>
        <w:t>评标优惠政策声明函；</w:t>
      </w:r>
    </w:p>
    <w:p w14:paraId="5D1B147F">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非联合体投标承诺函及非进口产品投标承诺函（承诺函格式自拟）；</w:t>
      </w:r>
    </w:p>
    <w:p w14:paraId="29A381C1">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14:paraId="6CC09ED2">
      <w:pPr>
        <w:numPr>
          <w:ilvl w:val="0"/>
          <w:numId w:val="5"/>
        </w:numPr>
        <w:snapToGrid w:val="0"/>
        <w:spacing w:after="60" w:afterLines="25"/>
        <w:rPr>
          <w:rFonts w:hint="eastAsia"/>
          <w:lang w:eastAsia="zh-CN"/>
        </w:rPr>
      </w:pPr>
      <w:r>
        <w:rPr>
          <w:rFonts w:hint="eastAsia" w:ascii="宋体" w:hAnsi="宋体" w:eastAsia="宋体"/>
          <w:sz w:val="30"/>
          <w:szCs w:val="30"/>
        </w:rPr>
        <w:t>投标函；</w:t>
      </w:r>
    </w:p>
    <w:p w14:paraId="31DDE200">
      <w:pPr>
        <w:numPr>
          <w:ilvl w:val="0"/>
          <w:numId w:val="5"/>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14:paraId="484877F0">
      <w:pPr>
        <w:numPr>
          <w:ilvl w:val="0"/>
          <w:numId w:val="5"/>
        </w:numPr>
        <w:snapToGrid w:val="0"/>
        <w:spacing w:after="60" w:afterLines="25"/>
        <w:rPr>
          <w:rFonts w:hint="eastAsia"/>
          <w:lang w:eastAsia="zh-CN"/>
        </w:rPr>
      </w:pPr>
      <w:r>
        <w:rPr>
          <w:rFonts w:hint="eastAsia" w:ascii="宋体" w:hAnsi="宋体" w:eastAsia="宋体"/>
          <w:kern w:val="2"/>
          <w:sz w:val="30"/>
          <w:szCs w:val="30"/>
        </w:rPr>
        <w:t>法定代表人授权书（附有效身份证正反面扫描件）</w:t>
      </w:r>
      <w:r>
        <w:rPr>
          <w:rFonts w:hint="eastAsia" w:ascii="宋体" w:hAnsi="宋体" w:eastAsia="宋体"/>
          <w:kern w:val="2"/>
          <w:sz w:val="30"/>
          <w:szCs w:val="30"/>
          <w:lang w:eastAsia="zh-CN"/>
        </w:rPr>
        <w:t>；</w:t>
      </w:r>
    </w:p>
    <w:p w14:paraId="1DDEA94A">
      <w:pPr>
        <w:numPr>
          <w:ilvl w:val="0"/>
          <w:numId w:val="5"/>
        </w:numPr>
        <w:snapToGrid w:val="0"/>
        <w:spacing w:after="60" w:afterLines="25"/>
        <w:ind w:left="1456"/>
        <w:rPr>
          <w:rFonts w:hint="eastAsia" w:ascii="宋体" w:hAnsi="宋体" w:eastAsia="宋体" w:cs="Times New Roman"/>
          <w:bCs/>
          <w:sz w:val="30"/>
          <w:szCs w:val="30"/>
        </w:rPr>
      </w:pPr>
      <w:r>
        <w:rPr>
          <w:rFonts w:hint="eastAsia" w:ascii="宋体" w:hAnsi="宋体" w:eastAsia="宋体"/>
          <w:bCs/>
          <w:sz w:val="30"/>
          <w:szCs w:val="30"/>
        </w:rPr>
        <w:t>分项报价清</w:t>
      </w:r>
      <w:r>
        <w:rPr>
          <w:rFonts w:hint="eastAsia" w:ascii="宋体" w:hAnsi="宋体" w:eastAsia="宋体" w:cs="Times New Roman"/>
          <w:bCs/>
          <w:sz w:val="30"/>
          <w:szCs w:val="30"/>
        </w:rPr>
        <w:t>单</w:t>
      </w:r>
      <w:r>
        <w:rPr>
          <w:rFonts w:hint="eastAsia" w:ascii="宋体" w:hAnsi="宋体" w:eastAsia="宋体" w:cs="Times New Roman"/>
          <w:bCs/>
          <w:sz w:val="30"/>
          <w:szCs w:val="30"/>
          <w:lang w:eastAsia="zh-CN"/>
        </w:rPr>
        <w:t>（本项目为货物类，如有需求参照本表填写）</w:t>
      </w:r>
      <w:r>
        <w:rPr>
          <w:rFonts w:hint="eastAsia" w:ascii="宋体" w:hAnsi="宋体" w:eastAsia="宋体" w:cs="Times New Roman"/>
          <w:bCs/>
          <w:sz w:val="30"/>
          <w:szCs w:val="30"/>
        </w:rPr>
        <w:t>；</w:t>
      </w:r>
    </w:p>
    <w:p w14:paraId="60069883">
      <w:pPr>
        <w:numPr>
          <w:ilvl w:val="0"/>
          <w:numId w:val="5"/>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14:paraId="0B3D6305">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14:paraId="4EB17063">
      <w:pPr>
        <w:numPr>
          <w:ilvl w:val="0"/>
          <w:numId w:val="5"/>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14:paraId="7E3B8233">
      <w:pPr>
        <w:numPr>
          <w:ilvl w:val="0"/>
          <w:numId w:val="5"/>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14:paraId="0D87F37D">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14:paraId="60DCF531">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p>
    <w:p w14:paraId="4148B106">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14:paraId="3F4E3A30">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kern w:val="2"/>
          <w:sz w:val="30"/>
          <w:szCs w:val="30"/>
        </w:rPr>
        <w:t>。</w:t>
      </w:r>
    </w:p>
    <w:p w14:paraId="02997C87">
      <w:pPr>
        <w:numPr>
          <w:ilvl w:val="0"/>
          <w:numId w:val="5"/>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s="Times New Roman"/>
          <w:color w:val="FF0000"/>
          <w:kern w:val="2"/>
          <w:sz w:val="30"/>
          <w:szCs w:val="30"/>
          <w:lang w:val="en-US" w:eastAsia="zh-CN"/>
        </w:rPr>
        <w:t>严格落实国务院办公厅关于在政府采购中实施本国产品标准及相关政策的通知，出具关于符合本国产品标准的声明函</w:t>
      </w:r>
    </w:p>
    <w:p w14:paraId="4E3DDD1E">
      <w:pPr>
        <w:numPr>
          <w:ilvl w:val="0"/>
          <w:numId w:val="0"/>
        </w:numPr>
        <w:snapToGrid w:val="0"/>
        <w:spacing w:after="60" w:afterLines="25"/>
        <w:ind w:left="1036" w:leftChars="0"/>
        <w:rPr>
          <w:rFonts w:hint="eastAsia" w:ascii="宋体" w:hAnsi="宋体" w:eastAsia="宋体"/>
          <w:kern w:val="2"/>
          <w:sz w:val="30"/>
          <w:szCs w:val="30"/>
        </w:rPr>
      </w:pPr>
    </w:p>
    <w:p w14:paraId="19217193">
      <w:pPr>
        <w:snapToGrid w:val="0"/>
        <w:spacing w:after="60" w:afterLines="25"/>
        <w:rPr>
          <w:rFonts w:ascii="宋体" w:hAnsi="宋体" w:eastAsia="宋体" w:cs="宋体"/>
          <w:b/>
          <w:color w:val="FF0000"/>
          <w:sz w:val="32"/>
          <w:szCs w:val="32"/>
        </w:rPr>
      </w:pPr>
      <w:r>
        <w:br w:type="page"/>
      </w:r>
    </w:p>
    <w:p w14:paraId="590C194B">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14:paraId="01B41B20">
      <w:pPr>
        <w:spacing w:line="440" w:lineRule="exact"/>
        <w:rPr>
          <w:rFonts w:hint="eastAsia" w:asciiTheme="minorEastAsia" w:hAnsiTheme="minorEastAsia" w:eastAsiaTheme="minorEastAsia" w:cstheme="minorEastAsia"/>
          <w:b w:val="0"/>
          <w:bCs w:val="0"/>
          <w:szCs w:val="21"/>
        </w:rPr>
      </w:pPr>
    </w:p>
    <w:p w14:paraId="0A458EEF">
      <w:pPr>
        <w:spacing w:line="440" w:lineRule="exact"/>
        <w:rPr>
          <w:rFonts w:hint="eastAsia" w:asciiTheme="minorEastAsia" w:hAnsiTheme="minorEastAsia" w:eastAsiaTheme="minorEastAsia" w:cstheme="minorEastAsia"/>
          <w:b w:val="0"/>
          <w:bCs w:val="0"/>
          <w:szCs w:val="21"/>
        </w:rPr>
      </w:pPr>
    </w:p>
    <w:p w14:paraId="0944572D">
      <w:pPr>
        <w:spacing w:line="440" w:lineRule="exact"/>
        <w:rPr>
          <w:rFonts w:hint="eastAsia" w:asciiTheme="minorEastAsia" w:hAnsiTheme="minorEastAsia" w:eastAsiaTheme="minorEastAsia" w:cstheme="minorEastAsia"/>
          <w:b w:val="0"/>
          <w:bCs w:val="0"/>
          <w:szCs w:val="21"/>
        </w:rPr>
      </w:pPr>
    </w:p>
    <w:p w14:paraId="714DDA64">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tblGrid>
      <w:tr w14:paraId="361B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21A056E3">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314835E4">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4CDF05F0">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r>
      <w:tr w14:paraId="2797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3A7E7B5F">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44BEFE8B">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2D2F4FB2">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1BEE10EC">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r>
    </w:tbl>
    <w:p w14:paraId="294D8420">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2AA31F55">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14:paraId="0F1CF7C2">
      <w:pPr>
        <w:spacing w:line="600" w:lineRule="exact"/>
        <w:ind w:firstLine="560" w:firstLineChars="200"/>
        <w:rPr>
          <w:rFonts w:hint="eastAsia" w:asciiTheme="minorEastAsia" w:hAnsiTheme="minorEastAsia" w:eastAsiaTheme="minorEastAsia" w:cstheme="minorEastAsia"/>
          <w:sz w:val="28"/>
          <w:szCs w:val="28"/>
        </w:rPr>
      </w:pPr>
    </w:p>
    <w:p w14:paraId="10FDE426">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14:paraId="5FA935A9">
      <w:pPr>
        <w:pStyle w:val="17"/>
        <w:rPr>
          <w:rFonts w:hint="eastAsia" w:asciiTheme="minorEastAsia" w:hAnsiTheme="minorEastAsia" w:eastAsiaTheme="minorEastAsia" w:cstheme="minorEastAsia"/>
        </w:rPr>
      </w:pPr>
    </w:p>
    <w:p w14:paraId="396406D3">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61130FC4">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0EACBA04">
      <w:pPr>
        <w:pStyle w:val="14"/>
        <w:rPr>
          <w:rFonts w:hint="eastAsia" w:ascii="仿宋" w:hAnsi="仿宋" w:eastAsia="仿宋"/>
          <w:sz w:val="28"/>
          <w:szCs w:val="28"/>
        </w:rPr>
      </w:pPr>
    </w:p>
    <w:p w14:paraId="3AF212EE">
      <w:pPr>
        <w:pStyle w:val="14"/>
        <w:rPr>
          <w:rFonts w:hint="eastAsia" w:ascii="仿宋" w:hAnsi="仿宋" w:eastAsia="仿宋"/>
          <w:sz w:val="28"/>
          <w:szCs w:val="28"/>
        </w:rPr>
      </w:pPr>
    </w:p>
    <w:p w14:paraId="2A8E734E">
      <w:pPr>
        <w:pStyle w:val="14"/>
        <w:rPr>
          <w:rFonts w:hint="eastAsia" w:ascii="仿宋" w:hAnsi="仿宋" w:eastAsia="仿宋"/>
          <w:sz w:val="28"/>
          <w:szCs w:val="28"/>
        </w:rPr>
      </w:pPr>
    </w:p>
    <w:p w14:paraId="4827A889">
      <w:pPr>
        <w:pStyle w:val="14"/>
        <w:rPr>
          <w:rFonts w:hint="eastAsia" w:ascii="仿宋" w:hAnsi="仿宋" w:eastAsia="仿宋"/>
          <w:sz w:val="28"/>
          <w:szCs w:val="28"/>
        </w:rPr>
      </w:pPr>
    </w:p>
    <w:p w14:paraId="760C23BC">
      <w:pPr>
        <w:spacing w:after="60" w:afterLines="25" w:line="300" w:lineRule="auto"/>
      </w:pPr>
    </w:p>
    <w:p w14:paraId="23888928">
      <w:pPr>
        <w:spacing w:after="60" w:afterLines="25" w:line="300" w:lineRule="auto"/>
      </w:pPr>
    </w:p>
    <w:p w14:paraId="1BE76D89">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14:paraId="5539A98C">
      <w:pPr>
        <w:snapToGrid w:val="0"/>
        <w:spacing w:line="360" w:lineRule="auto"/>
        <w:rPr>
          <w:rFonts w:ascii="Arial" w:hAnsi="Arial" w:eastAsia="宋体"/>
        </w:rPr>
      </w:pPr>
    </w:p>
    <w:p w14:paraId="2D5491B4">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喀什市教育局</w:t>
      </w:r>
    </w:p>
    <w:p w14:paraId="6855BE39">
      <w:pPr>
        <w:ind w:right="-815" w:firstLine="480" w:firstLineChars="200"/>
        <w:rPr>
          <w:rFonts w:ascii="宋体" w:hAnsi="宋体"/>
          <w:szCs w:val="21"/>
        </w:rPr>
      </w:pPr>
      <w:r>
        <w:rPr>
          <w:rFonts w:hint="eastAsia" w:ascii="宋体" w:hAnsi="宋体"/>
          <w:szCs w:val="21"/>
        </w:rPr>
        <w:t>我单位承诺：</w:t>
      </w:r>
    </w:p>
    <w:p w14:paraId="6A444102">
      <w:pPr>
        <w:ind w:firstLine="480" w:firstLineChars="200"/>
        <w:rPr>
          <w:rFonts w:ascii="宋体" w:hAnsi="宋体"/>
          <w:szCs w:val="21"/>
        </w:rPr>
      </w:pPr>
      <w:r>
        <w:rPr>
          <w:rFonts w:hint="eastAsia" w:ascii="宋体" w:hAnsi="宋体"/>
          <w:szCs w:val="21"/>
        </w:rPr>
        <w:t>1.我单位本招标项目所提供的货物或服务未侵犯知识产权。</w:t>
      </w:r>
    </w:p>
    <w:p w14:paraId="636F169E">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14:paraId="5A3B59EC">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57572A06">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14:paraId="4B68F122">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6A707C58">
      <w:pPr>
        <w:ind w:firstLine="480" w:firstLineChars="200"/>
        <w:rPr>
          <w:rFonts w:ascii="宋体" w:hAnsi="宋体"/>
          <w:szCs w:val="21"/>
        </w:rPr>
      </w:pPr>
      <w:r>
        <w:rPr>
          <w:rFonts w:hint="eastAsia" w:ascii="宋体" w:hAnsi="宋体"/>
          <w:szCs w:val="21"/>
        </w:rPr>
        <w:t>6.</w:t>
      </w:r>
      <w:bookmarkStart w:id="11" w:name="_Hlk72587269"/>
      <w:bookmarkStart w:id="1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Cs w:val="21"/>
        </w:rPr>
        <w:t>。</w:t>
      </w:r>
      <w:bookmarkEnd w:id="12"/>
    </w:p>
    <w:p w14:paraId="4569E2A5">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FC7136D">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85CBCEF">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4B547D9">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422361F4">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7896E4A">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11F5CCAF">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14:paraId="7CEC4B81">
      <w:pPr>
        <w:snapToGrid w:val="0"/>
        <w:ind w:firstLine="480" w:firstLineChars="200"/>
        <w:rPr>
          <w:rFonts w:ascii="宋体" w:hAnsi="宋体" w:eastAsia="宋体"/>
        </w:rPr>
      </w:pPr>
    </w:p>
    <w:p w14:paraId="17FE9A7F">
      <w:pPr>
        <w:snapToGrid w:val="0"/>
        <w:ind w:firstLine="480" w:firstLineChars="200"/>
        <w:rPr>
          <w:rFonts w:ascii="宋体" w:hAnsi="宋体" w:eastAsia="宋体"/>
        </w:rPr>
      </w:pPr>
    </w:p>
    <w:p w14:paraId="400F0EC4">
      <w:pPr>
        <w:snapToGrid w:val="0"/>
        <w:ind w:right="420"/>
        <w:rPr>
          <w:rFonts w:ascii="宋体" w:hAnsi="宋体" w:eastAsia="宋体"/>
        </w:rPr>
      </w:pPr>
      <w:r>
        <w:rPr>
          <w:rFonts w:hint="eastAsia" w:ascii="宋体" w:hAnsi="宋体" w:eastAsia="宋体"/>
        </w:rPr>
        <w:t xml:space="preserve">                        投标单位（投标人）名称：</w:t>
      </w:r>
    </w:p>
    <w:p w14:paraId="7C47E2DF">
      <w:pPr>
        <w:snapToGrid w:val="0"/>
        <w:ind w:right="450" w:firstLine="480" w:firstLineChars="200"/>
        <w:jc w:val="right"/>
        <w:rPr>
          <w:rFonts w:ascii="宋体" w:hAnsi="宋体" w:eastAsia="宋体"/>
        </w:rPr>
      </w:pPr>
      <w:r>
        <w:rPr>
          <w:rFonts w:hint="eastAsia" w:ascii="宋体" w:hAnsi="宋体" w:eastAsia="宋体"/>
        </w:rPr>
        <w:t>年月日</w:t>
      </w:r>
    </w:p>
    <w:p w14:paraId="76DEA7B9">
      <w:pPr>
        <w:snapToGrid w:val="0"/>
        <w:spacing w:line="360" w:lineRule="auto"/>
        <w:ind w:right="450" w:firstLine="480" w:firstLineChars="200"/>
        <w:jc w:val="right"/>
        <w:rPr>
          <w:rFonts w:ascii="仿宋" w:hAnsi="仿宋" w:eastAsia="仿宋"/>
        </w:rPr>
      </w:pPr>
    </w:p>
    <w:p w14:paraId="1B5574EF">
      <w:pPr>
        <w:snapToGrid w:val="0"/>
        <w:spacing w:line="360" w:lineRule="auto"/>
        <w:ind w:right="450" w:firstLine="480" w:firstLineChars="200"/>
        <w:jc w:val="right"/>
        <w:rPr>
          <w:rFonts w:ascii="仿宋" w:hAnsi="仿宋" w:eastAsia="仿宋"/>
        </w:rPr>
      </w:pPr>
    </w:p>
    <w:p w14:paraId="5214DE77">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0D0A3B85">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14:paraId="2A475F66">
      <w:pPr>
        <w:rPr>
          <w:rFonts w:hint="eastAsia"/>
        </w:rPr>
      </w:pPr>
    </w:p>
    <w:p w14:paraId="0679DF90">
      <w:pPr>
        <w:rPr>
          <w:rFonts w:hint="eastAsia"/>
        </w:rPr>
      </w:pPr>
    </w:p>
    <w:p w14:paraId="3C660905">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14:paraId="5F98554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14:paraId="2FE1830E">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14:paraId="2E20AAB2">
      <w:pPr>
        <w:pStyle w:val="16"/>
        <w:rPr>
          <w:rFonts w:hint="eastAsia"/>
        </w:rPr>
      </w:pPr>
    </w:p>
    <w:p w14:paraId="528E8627">
      <w:pPr>
        <w:rPr>
          <w:rFonts w:hint="eastAsia"/>
        </w:rPr>
      </w:pPr>
      <w:r>
        <w:rPr>
          <w:rFonts w:hint="eastAsia"/>
        </w:rPr>
        <w:br w:type="page"/>
      </w:r>
    </w:p>
    <w:p w14:paraId="7ADA75B6">
      <w:pPr>
        <w:rPr>
          <w:rFonts w:hint="eastAsia"/>
        </w:rPr>
      </w:pPr>
    </w:p>
    <w:p w14:paraId="051E2FBC">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14:paraId="0A46CF8E">
      <w:pPr>
        <w:tabs>
          <w:tab w:val="left" w:pos="5580"/>
        </w:tabs>
        <w:spacing w:line="240" w:lineRule="atLeast"/>
        <w:ind w:left="1157" w:leftChars="257" w:hanging="540"/>
        <w:rPr>
          <w:rFonts w:hint="eastAsia" w:ascii="仿宋_GB2312" w:eastAsia="仿宋_GB2312"/>
          <w:sz w:val="24"/>
        </w:rPr>
      </w:pPr>
    </w:p>
    <w:p w14:paraId="37CD7DDA">
      <w:pPr>
        <w:pStyle w:val="25"/>
        <w:numPr>
          <w:ilvl w:val="0"/>
          <w:numId w:val="0"/>
        </w:numPr>
        <w:ind w:left="900" w:leftChars="0"/>
        <w:jc w:val="both"/>
        <w:rPr>
          <w:rFonts w:hint="eastAsia" w:eastAsia="宋体"/>
          <w:lang w:eastAsia="zh-CN"/>
        </w:rPr>
      </w:pPr>
      <w:r>
        <w:rPr>
          <w:rFonts w:hint="eastAsia" w:eastAsia="宋体"/>
          <w:lang w:eastAsia="zh-CN"/>
        </w:rPr>
        <w:t>说明：</w:t>
      </w:r>
    </w:p>
    <w:p w14:paraId="70DCDFA3">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2024-2025</w:t>
      </w:r>
      <w:r>
        <w:rPr>
          <w:rFonts w:hint="eastAsia" w:ascii="仿宋_GB2312" w:eastAsia="仿宋_GB2312"/>
          <w:sz w:val="24"/>
        </w:rPr>
        <w:t>年度</w:t>
      </w:r>
      <w:r>
        <w:rPr>
          <w:rFonts w:hint="eastAsia" w:ascii="仿宋_GB2312" w:eastAsia="仿宋_GB2312"/>
          <w:sz w:val="24"/>
          <w:lang w:eastAsia="zh-CN"/>
        </w:rPr>
        <w:t>任意一年</w:t>
      </w:r>
      <w:r>
        <w:rPr>
          <w:rFonts w:hint="eastAsia" w:ascii="仿宋_GB2312" w:eastAsia="仿宋_GB2312"/>
          <w:sz w:val="24"/>
        </w:rPr>
        <w:t>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14:paraId="04B68634">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14:paraId="4E296A0F">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14:paraId="583FBA9C">
      <w:pPr>
        <w:jc w:val="center"/>
        <w:rPr>
          <w:rFonts w:hint="eastAsia" w:asciiTheme="majorEastAsia" w:hAnsiTheme="majorEastAsia" w:eastAsiaTheme="majorEastAsia" w:cstheme="majorEastAsia"/>
          <w:b/>
          <w:bCs/>
          <w:szCs w:val="20"/>
          <w:lang w:val="en-US" w:eastAsia="zh-CN"/>
        </w:rPr>
      </w:pPr>
    </w:p>
    <w:p w14:paraId="791DB17A">
      <w:pPr>
        <w:jc w:val="center"/>
        <w:rPr>
          <w:rFonts w:hint="eastAsia" w:asciiTheme="majorEastAsia" w:hAnsiTheme="majorEastAsia" w:eastAsiaTheme="majorEastAsia" w:cstheme="majorEastAsia"/>
          <w:b/>
          <w:bCs/>
          <w:szCs w:val="20"/>
          <w:lang w:val="en-US" w:eastAsia="zh-CN"/>
        </w:rPr>
      </w:pPr>
    </w:p>
    <w:p w14:paraId="745AE2D5">
      <w:pPr>
        <w:pStyle w:val="16"/>
        <w:rPr>
          <w:rFonts w:hint="eastAsia" w:asciiTheme="majorEastAsia" w:hAnsiTheme="majorEastAsia" w:eastAsiaTheme="majorEastAsia" w:cstheme="majorEastAsia"/>
          <w:b/>
          <w:bCs/>
          <w:szCs w:val="20"/>
          <w:lang w:val="en-US" w:eastAsia="zh-CN"/>
        </w:rPr>
      </w:pPr>
    </w:p>
    <w:p w14:paraId="36069B09">
      <w:pPr>
        <w:rPr>
          <w:rFonts w:hint="eastAsia" w:asciiTheme="majorEastAsia" w:hAnsiTheme="majorEastAsia" w:eastAsiaTheme="majorEastAsia" w:cstheme="majorEastAsia"/>
          <w:b/>
          <w:bCs/>
          <w:szCs w:val="20"/>
          <w:lang w:val="en-US" w:eastAsia="zh-CN"/>
        </w:rPr>
      </w:pPr>
    </w:p>
    <w:p w14:paraId="4B931286">
      <w:pPr>
        <w:pStyle w:val="16"/>
        <w:rPr>
          <w:rFonts w:hint="eastAsia" w:asciiTheme="majorEastAsia" w:hAnsiTheme="majorEastAsia" w:eastAsiaTheme="majorEastAsia" w:cstheme="majorEastAsia"/>
          <w:b/>
          <w:bCs/>
          <w:szCs w:val="20"/>
          <w:lang w:val="en-US" w:eastAsia="zh-CN"/>
        </w:rPr>
      </w:pPr>
    </w:p>
    <w:p w14:paraId="239356C4">
      <w:pPr>
        <w:rPr>
          <w:rFonts w:hint="eastAsia" w:asciiTheme="majorEastAsia" w:hAnsiTheme="majorEastAsia" w:eastAsiaTheme="majorEastAsia" w:cstheme="majorEastAsia"/>
          <w:b/>
          <w:bCs/>
          <w:szCs w:val="20"/>
          <w:lang w:val="en-US" w:eastAsia="zh-CN"/>
        </w:rPr>
      </w:pPr>
    </w:p>
    <w:p w14:paraId="723830E6">
      <w:pPr>
        <w:pStyle w:val="16"/>
        <w:rPr>
          <w:rFonts w:hint="eastAsia" w:asciiTheme="majorEastAsia" w:hAnsiTheme="majorEastAsia" w:eastAsiaTheme="majorEastAsia" w:cstheme="majorEastAsia"/>
          <w:b/>
          <w:bCs/>
          <w:szCs w:val="20"/>
          <w:lang w:val="en-US" w:eastAsia="zh-CN"/>
        </w:rPr>
      </w:pPr>
    </w:p>
    <w:p w14:paraId="6AB918C4">
      <w:pPr>
        <w:rPr>
          <w:rFonts w:hint="eastAsia" w:asciiTheme="majorEastAsia" w:hAnsiTheme="majorEastAsia" w:eastAsiaTheme="majorEastAsia" w:cstheme="majorEastAsia"/>
          <w:b/>
          <w:bCs/>
          <w:szCs w:val="20"/>
          <w:lang w:val="en-US" w:eastAsia="zh-CN"/>
        </w:rPr>
      </w:pPr>
    </w:p>
    <w:p w14:paraId="0B166A8B">
      <w:pPr>
        <w:pStyle w:val="16"/>
        <w:rPr>
          <w:rFonts w:hint="eastAsia" w:asciiTheme="majorEastAsia" w:hAnsiTheme="majorEastAsia" w:eastAsiaTheme="majorEastAsia" w:cstheme="majorEastAsia"/>
          <w:b/>
          <w:bCs/>
          <w:szCs w:val="20"/>
          <w:lang w:val="en-US" w:eastAsia="zh-CN"/>
        </w:rPr>
      </w:pPr>
    </w:p>
    <w:p w14:paraId="650673D1">
      <w:pPr>
        <w:rPr>
          <w:rFonts w:hint="eastAsia" w:asciiTheme="majorEastAsia" w:hAnsiTheme="majorEastAsia" w:eastAsiaTheme="majorEastAsia" w:cstheme="majorEastAsia"/>
          <w:b/>
          <w:bCs/>
          <w:szCs w:val="20"/>
          <w:lang w:val="en-US" w:eastAsia="zh-CN"/>
        </w:rPr>
      </w:pPr>
    </w:p>
    <w:p w14:paraId="28CA579D">
      <w:pPr>
        <w:pStyle w:val="16"/>
        <w:rPr>
          <w:rFonts w:hint="eastAsia" w:asciiTheme="majorEastAsia" w:hAnsiTheme="majorEastAsia" w:eastAsiaTheme="majorEastAsia" w:cstheme="majorEastAsia"/>
          <w:b/>
          <w:bCs/>
          <w:szCs w:val="20"/>
          <w:lang w:val="en-US" w:eastAsia="zh-CN"/>
        </w:rPr>
      </w:pPr>
    </w:p>
    <w:p w14:paraId="090E5FC5">
      <w:pPr>
        <w:rPr>
          <w:rFonts w:hint="eastAsia" w:asciiTheme="majorEastAsia" w:hAnsiTheme="majorEastAsia" w:eastAsiaTheme="majorEastAsia" w:cstheme="majorEastAsia"/>
          <w:b/>
          <w:bCs/>
          <w:szCs w:val="20"/>
          <w:lang w:val="en-US" w:eastAsia="zh-CN"/>
        </w:rPr>
      </w:pPr>
    </w:p>
    <w:p w14:paraId="043DA164">
      <w:pPr>
        <w:pStyle w:val="16"/>
        <w:rPr>
          <w:rFonts w:hint="eastAsia" w:asciiTheme="majorEastAsia" w:hAnsiTheme="majorEastAsia" w:eastAsiaTheme="majorEastAsia" w:cstheme="majorEastAsia"/>
          <w:b/>
          <w:bCs/>
          <w:szCs w:val="20"/>
          <w:lang w:val="en-US" w:eastAsia="zh-CN"/>
        </w:rPr>
      </w:pPr>
    </w:p>
    <w:p w14:paraId="6EA36385">
      <w:pPr>
        <w:rPr>
          <w:rFonts w:hint="eastAsia" w:asciiTheme="majorEastAsia" w:hAnsiTheme="majorEastAsia" w:eastAsiaTheme="majorEastAsia" w:cstheme="majorEastAsia"/>
          <w:b/>
          <w:bCs/>
          <w:szCs w:val="20"/>
          <w:lang w:val="en-US" w:eastAsia="zh-CN"/>
        </w:rPr>
      </w:pPr>
    </w:p>
    <w:p w14:paraId="10D1E6B6">
      <w:pPr>
        <w:pStyle w:val="16"/>
        <w:rPr>
          <w:rFonts w:hint="eastAsia" w:asciiTheme="majorEastAsia" w:hAnsiTheme="majorEastAsia" w:eastAsiaTheme="majorEastAsia" w:cstheme="majorEastAsia"/>
          <w:b/>
          <w:bCs/>
          <w:szCs w:val="20"/>
          <w:lang w:val="en-US" w:eastAsia="zh-CN"/>
        </w:rPr>
      </w:pPr>
    </w:p>
    <w:p w14:paraId="144A7454">
      <w:pPr>
        <w:rPr>
          <w:rFonts w:hint="eastAsia" w:asciiTheme="majorEastAsia" w:hAnsiTheme="majorEastAsia" w:eastAsiaTheme="majorEastAsia" w:cstheme="majorEastAsia"/>
          <w:b/>
          <w:bCs/>
          <w:szCs w:val="20"/>
          <w:lang w:val="en-US" w:eastAsia="zh-CN"/>
        </w:rPr>
      </w:pPr>
    </w:p>
    <w:p w14:paraId="3990E387">
      <w:pPr>
        <w:pStyle w:val="16"/>
        <w:rPr>
          <w:rFonts w:hint="eastAsia" w:asciiTheme="majorEastAsia" w:hAnsiTheme="majorEastAsia" w:eastAsiaTheme="majorEastAsia" w:cstheme="majorEastAsia"/>
          <w:b/>
          <w:bCs/>
          <w:szCs w:val="20"/>
          <w:lang w:val="en-US" w:eastAsia="zh-CN"/>
        </w:rPr>
      </w:pPr>
    </w:p>
    <w:p w14:paraId="6A4CA1E7">
      <w:pPr>
        <w:rPr>
          <w:rFonts w:hint="eastAsia" w:asciiTheme="majorEastAsia" w:hAnsiTheme="majorEastAsia" w:eastAsiaTheme="majorEastAsia" w:cstheme="majorEastAsia"/>
          <w:b/>
          <w:bCs/>
          <w:szCs w:val="20"/>
          <w:lang w:val="en-US" w:eastAsia="zh-CN"/>
        </w:rPr>
      </w:pPr>
    </w:p>
    <w:p w14:paraId="25B9BC43">
      <w:pPr>
        <w:pStyle w:val="16"/>
        <w:rPr>
          <w:rFonts w:hint="eastAsia" w:asciiTheme="majorEastAsia" w:hAnsiTheme="majorEastAsia" w:eastAsiaTheme="majorEastAsia" w:cstheme="majorEastAsia"/>
          <w:b/>
          <w:bCs/>
          <w:szCs w:val="20"/>
          <w:lang w:val="en-US" w:eastAsia="zh-CN"/>
        </w:rPr>
      </w:pPr>
    </w:p>
    <w:p w14:paraId="4E38BF44">
      <w:pPr>
        <w:rPr>
          <w:rFonts w:hint="eastAsia" w:asciiTheme="majorEastAsia" w:hAnsiTheme="majorEastAsia" w:eastAsiaTheme="majorEastAsia" w:cstheme="majorEastAsia"/>
          <w:b/>
          <w:bCs/>
          <w:szCs w:val="20"/>
          <w:lang w:val="en-US" w:eastAsia="zh-CN"/>
        </w:rPr>
      </w:pPr>
    </w:p>
    <w:p w14:paraId="72680B0D">
      <w:pPr>
        <w:pStyle w:val="16"/>
        <w:rPr>
          <w:rFonts w:hint="eastAsia" w:asciiTheme="majorEastAsia" w:hAnsiTheme="majorEastAsia" w:eastAsiaTheme="majorEastAsia" w:cstheme="majorEastAsia"/>
          <w:b/>
          <w:bCs/>
          <w:szCs w:val="20"/>
          <w:lang w:val="en-US" w:eastAsia="zh-CN"/>
        </w:rPr>
      </w:pPr>
    </w:p>
    <w:p w14:paraId="4E71527B">
      <w:pPr>
        <w:rPr>
          <w:rFonts w:hint="eastAsia" w:asciiTheme="majorEastAsia" w:hAnsiTheme="majorEastAsia" w:eastAsiaTheme="majorEastAsia" w:cstheme="majorEastAsia"/>
          <w:b/>
          <w:bCs/>
          <w:szCs w:val="20"/>
          <w:lang w:val="en-US" w:eastAsia="zh-CN"/>
        </w:rPr>
      </w:pPr>
    </w:p>
    <w:p w14:paraId="20C4DA53">
      <w:pPr>
        <w:pStyle w:val="16"/>
        <w:rPr>
          <w:rFonts w:hint="eastAsia" w:asciiTheme="majorEastAsia" w:hAnsiTheme="majorEastAsia" w:eastAsiaTheme="majorEastAsia" w:cstheme="majorEastAsia"/>
          <w:b/>
          <w:bCs/>
          <w:szCs w:val="20"/>
          <w:lang w:val="en-US" w:eastAsia="zh-CN"/>
        </w:rPr>
      </w:pPr>
    </w:p>
    <w:p w14:paraId="49599BF6">
      <w:pPr>
        <w:rPr>
          <w:rFonts w:hint="eastAsia" w:asciiTheme="majorEastAsia" w:hAnsiTheme="majorEastAsia" w:eastAsiaTheme="majorEastAsia" w:cstheme="majorEastAsia"/>
          <w:b/>
          <w:bCs/>
          <w:szCs w:val="20"/>
          <w:lang w:val="en-US" w:eastAsia="zh-CN"/>
        </w:rPr>
      </w:pPr>
    </w:p>
    <w:p w14:paraId="0CEB1F0B">
      <w:pPr>
        <w:pStyle w:val="16"/>
        <w:ind w:left="0" w:leftChars="0" w:firstLine="0" w:firstLineChars="0"/>
        <w:rPr>
          <w:rFonts w:hint="eastAsia"/>
          <w:lang w:val="en-US" w:eastAsia="zh-CN"/>
        </w:rPr>
      </w:pPr>
    </w:p>
    <w:p w14:paraId="763C6C8D">
      <w:pPr>
        <w:rPr>
          <w:rFonts w:hint="eastAsia"/>
          <w:lang w:val="en-US" w:eastAsia="zh-CN"/>
        </w:rPr>
      </w:pPr>
    </w:p>
    <w:p w14:paraId="2D0CDD3C">
      <w:pPr>
        <w:rPr>
          <w:rFonts w:hint="eastAsia"/>
          <w:lang w:val="en-US" w:eastAsia="zh-CN"/>
        </w:rPr>
      </w:pPr>
    </w:p>
    <w:p w14:paraId="760AF459">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14:paraId="4C0CE65A">
      <w:pPr>
        <w:tabs>
          <w:tab w:val="left" w:pos="5580"/>
        </w:tabs>
        <w:spacing w:line="240" w:lineRule="atLeast"/>
        <w:ind w:left="540"/>
        <w:rPr>
          <w:rFonts w:hint="eastAsia" w:ascii="仿宋_GB2312" w:eastAsia="仿宋_GB2312"/>
          <w:sz w:val="24"/>
          <w:lang w:val="en-US" w:eastAsia="zh-CN"/>
        </w:rPr>
      </w:pPr>
    </w:p>
    <w:p w14:paraId="490455D6">
      <w:pPr>
        <w:tabs>
          <w:tab w:val="left" w:pos="5580"/>
        </w:tabs>
        <w:spacing w:line="240" w:lineRule="atLeast"/>
        <w:ind w:left="540"/>
        <w:rPr>
          <w:rFonts w:hint="eastAsia" w:ascii="仿宋_GB2312" w:eastAsia="仿宋_GB2312"/>
          <w:sz w:val="24"/>
          <w:lang w:val="en-US" w:eastAsia="zh-CN"/>
        </w:rPr>
      </w:pPr>
    </w:p>
    <w:p w14:paraId="4D3A3228">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4232B4EE">
      <w:pPr>
        <w:numPr>
          <w:ilvl w:val="0"/>
          <w:numId w:val="6"/>
        </w:numPr>
        <w:tabs>
          <w:tab w:val="left" w:pos="5580"/>
        </w:tabs>
        <w:spacing w:line="240" w:lineRule="atLeast"/>
        <w:ind w:left="540"/>
        <w:rPr>
          <w:rFonts w:ascii="仿宋_GB2312" w:eastAsia="仿宋_GB2312"/>
          <w:sz w:val="24"/>
        </w:rPr>
      </w:pPr>
      <w:r>
        <w:rPr>
          <w:rFonts w:hint="eastAsia" w:ascii="仿宋_GB2312" w:eastAsia="仿宋_GB2312"/>
          <w:sz w:val="24"/>
        </w:rPr>
        <w:t>如果是联合体投标，联合体各方均需提供上述证明。</w:t>
      </w:r>
    </w:p>
    <w:p w14:paraId="21CA6906">
      <w:pPr>
        <w:pStyle w:val="16"/>
        <w:numPr>
          <w:ilvl w:val="0"/>
          <w:numId w:val="0"/>
        </w:numPr>
        <w:rPr>
          <w:rFonts w:hint="eastAsia"/>
          <w:lang w:val="en-US" w:eastAsia="zh-CN"/>
        </w:rPr>
      </w:pPr>
    </w:p>
    <w:p w14:paraId="16519D22">
      <w:pPr>
        <w:rPr>
          <w:rFonts w:hint="eastAsia"/>
          <w:lang w:val="en-US" w:eastAsia="zh-CN"/>
        </w:rPr>
      </w:pPr>
    </w:p>
    <w:p w14:paraId="6CA1A16C">
      <w:pPr>
        <w:pStyle w:val="16"/>
        <w:rPr>
          <w:rFonts w:hint="eastAsia"/>
          <w:lang w:val="en-US" w:eastAsia="zh-CN"/>
        </w:rPr>
      </w:pPr>
    </w:p>
    <w:p w14:paraId="5E207797">
      <w:pPr>
        <w:rPr>
          <w:rFonts w:hint="eastAsia"/>
          <w:lang w:val="en-US" w:eastAsia="zh-CN"/>
        </w:rPr>
      </w:pPr>
    </w:p>
    <w:p w14:paraId="19632AA4">
      <w:pPr>
        <w:pStyle w:val="16"/>
        <w:rPr>
          <w:rFonts w:hint="eastAsia"/>
          <w:lang w:val="en-US" w:eastAsia="zh-CN"/>
        </w:rPr>
      </w:pPr>
    </w:p>
    <w:p w14:paraId="790C7102">
      <w:pPr>
        <w:rPr>
          <w:rFonts w:hint="eastAsia"/>
          <w:lang w:val="en-US" w:eastAsia="zh-CN"/>
        </w:rPr>
      </w:pPr>
    </w:p>
    <w:p w14:paraId="424024CF">
      <w:pPr>
        <w:pStyle w:val="16"/>
        <w:rPr>
          <w:rFonts w:hint="eastAsia"/>
          <w:lang w:val="en-US" w:eastAsia="zh-CN"/>
        </w:rPr>
      </w:pPr>
    </w:p>
    <w:p w14:paraId="7A3B0CCD">
      <w:pPr>
        <w:rPr>
          <w:rFonts w:hint="eastAsia"/>
          <w:lang w:val="en-US" w:eastAsia="zh-CN"/>
        </w:rPr>
      </w:pPr>
    </w:p>
    <w:p w14:paraId="325AC414">
      <w:pPr>
        <w:pStyle w:val="16"/>
        <w:rPr>
          <w:rFonts w:hint="eastAsia"/>
          <w:lang w:val="en-US" w:eastAsia="zh-CN"/>
        </w:rPr>
      </w:pPr>
    </w:p>
    <w:p w14:paraId="030D60B1">
      <w:pPr>
        <w:rPr>
          <w:rFonts w:hint="eastAsia"/>
          <w:lang w:val="en-US" w:eastAsia="zh-CN"/>
        </w:rPr>
      </w:pPr>
    </w:p>
    <w:p w14:paraId="5D80CE1C">
      <w:pPr>
        <w:pStyle w:val="16"/>
        <w:rPr>
          <w:rFonts w:hint="eastAsia"/>
          <w:lang w:val="en-US" w:eastAsia="zh-CN"/>
        </w:rPr>
      </w:pPr>
    </w:p>
    <w:p w14:paraId="01A1F74C">
      <w:pPr>
        <w:rPr>
          <w:rFonts w:hint="eastAsia"/>
          <w:lang w:val="en-US" w:eastAsia="zh-CN"/>
        </w:rPr>
      </w:pPr>
    </w:p>
    <w:p w14:paraId="3F8E7F84">
      <w:pPr>
        <w:rPr>
          <w:rFonts w:hint="eastAsia"/>
          <w:lang w:val="en-US" w:eastAsia="zh-CN"/>
        </w:rPr>
      </w:pPr>
    </w:p>
    <w:p w14:paraId="1DF7AB9F">
      <w:pPr>
        <w:pStyle w:val="16"/>
        <w:rPr>
          <w:rFonts w:hint="eastAsia"/>
          <w:lang w:val="en-US" w:eastAsia="zh-CN"/>
        </w:rPr>
      </w:pPr>
    </w:p>
    <w:p w14:paraId="3FBFD160">
      <w:pPr>
        <w:rPr>
          <w:rFonts w:hint="eastAsia"/>
          <w:lang w:val="en-US" w:eastAsia="zh-CN"/>
        </w:rPr>
      </w:pPr>
    </w:p>
    <w:p w14:paraId="5128E75F">
      <w:pPr>
        <w:pStyle w:val="16"/>
        <w:rPr>
          <w:rFonts w:hint="eastAsia"/>
          <w:lang w:val="en-US" w:eastAsia="zh-CN"/>
        </w:rPr>
      </w:pPr>
    </w:p>
    <w:p w14:paraId="6D58C9D1">
      <w:pPr>
        <w:rPr>
          <w:rFonts w:hint="eastAsia"/>
          <w:lang w:val="en-US" w:eastAsia="zh-CN"/>
        </w:rPr>
      </w:pPr>
    </w:p>
    <w:p w14:paraId="649378F3">
      <w:pPr>
        <w:pStyle w:val="16"/>
        <w:rPr>
          <w:rFonts w:hint="eastAsia"/>
          <w:lang w:val="en-US" w:eastAsia="zh-CN"/>
        </w:rPr>
      </w:pPr>
    </w:p>
    <w:p w14:paraId="08ADE3E5">
      <w:pPr>
        <w:rPr>
          <w:rFonts w:hint="eastAsia"/>
          <w:lang w:val="en-US" w:eastAsia="zh-CN"/>
        </w:rPr>
      </w:pPr>
    </w:p>
    <w:p w14:paraId="786076E3">
      <w:pPr>
        <w:pStyle w:val="16"/>
        <w:rPr>
          <w:rFonts w:hint="eastAsia"/>
          <w:lang w:val="en-US" w:eastAsia="zh-CN"/>
        </w:rPr>
      </w:pPr>
    </w:p>
    <w:p w14:paraId="1682304B">
      <w:pPr>
        <w:rPr>
          <w:rFonts w:hint="eastAsia"/>
          <w:lang w:val="en-US" w:eastAsia="zh-CN"/>
        </w:rPr>
      </w:pPr>
    </w:p>
    <w:p w14:paraId="52FF6B59">
      <w:pPr>
        <w:pStyle w:val="16"/>
        <w:rPr>
          <w:rFonts w:hint="eastAsia"/>
          <w:lang w:val="en-US" w:eastAsia="zh-CN"/>
        </w:rPr>
      </w:pPr>
    </w:p>
    <w:p w14:paraId="2E72D9DA">
      <w:pPr>
        <w:rPr>
          <w:rFonts w:hint="eastAsia"/>
          <w:lang w:val="en-US" w:eastAsia="zh-CN"/>
        </w:rPr>
      </w:pPr>
    </w:p>
    <w:p w14:paraId="7ED4C5DE">
      <w:pPr>
        <w:pStyle w:val="16"/>
        <w:rPr>
          <w:rFonts w:hint="eastAsia"/>
          <w:lang w:val="en-US" w:eastAsia="zh-CN"/>
        </w:rPr>
      </w:pPr>
    </w:p>
    <w:p w14:paraId="0C78CA11">
      <w:pPr>
        <w:rPr>
          <w:rFonts w:hint="eastAsia"/>
          <w:lang w:val="en-US" w:eastAsia="zh-CN"/>
        </w:rPr>
      </w:pPr>
    </w:p>
    <w:p w14:paraId="3DD83396">
      <w:pPr>
        <w:pStyle w:val="16"/>
        <w:ind w:left="0" w:leftChars="0" w:firstLine="0" w:firstLineChars="0"/>
        <w:rPr>
          <w:rFonts w:hint="eastAsia"/>
          <w:lang w:val="en-US" w:eastAsia="zh-CN"/>
        </w:rPr>
      </w:pPr>
    </w:p>
    <w:p w14:paraId="4AA30126">
      <w:pPr>
        <w:pStyle w:val="16"/>
        <w:numPr>
          <w:ilvl w:val="0"/>
          <w:numId w:val="0"/>
        </w:numPr>
      </w:pPr>
    </w:p>
    <w:p w14:paraId="7BB554E1">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6</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p>
    <w:p w14:paraId="66196CFA">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14:paraId="1682FBAC">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1、该部分内容由投标人根据自身实际情况填写。投标人提供的声明函不属实的，属于提供虚假资料谋取中标，依照《中华人民共和国政府采购法》等国家有关规定追究相应责任。</w:t>
      </w:r>
    </w:p>
    <w:p w14:paraId="7D4CB3B4">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14:paraId="64FD0D4C">
      <w:pPr>
        <w:snapToGrid w:val="0"/>
        <w:ind w:left="499" w:leftChars="208" w:firstLine="75" w:firstLineChars="30"/>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w:t>
      </w:r>
    </w:p>
    <w:p w14:paraId="487A4EF9">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14:paraId="46A57359">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w:t>
      </w:r>
    </w:p>
    <w:p w14:paraId="79BB1FDF">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w:t>
      </w:r>
    </w:p>
    <w:p w14:paraId="0732E4BE">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14:paraId="790EF29D">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14:paraId="27E50F43">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14:paraId="57B12823">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14:paraId="098C22D5">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14:paraId="31493B90">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14:paraId="507A78C3">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第四处，在“招标文件中明确的所属行业”下划线处填写采购标的对应的中小企业划分标准所属行业；</w:t>
      </w:r>
    </w:p>
    <w:p w14:paraId="57F69DBD">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14:paraId="39D1AE50">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14:paraId="3BB00CED">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14:paraId="268C69F6">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14:paraId="73233C52">
      <w:pPr>
        <w:jc w:val="center"/>
        <w:outlineLvl w:val="4"/>
        <w:rPr>
          <w:rFonts w:hint="eastAsia"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w:t>
      </w:r>
    </w:p>
    <w:p w14:paraId="1F1F06B4">
      <w:pPr>
        <w:pStyle w:val="6"/>
      </w:pPr>
    </w:p>
    <w:p w14:paraId="38F715B4">
      <w:pPr>
        <w:spacing w:after="60" w:afterLines="25" w:line="300" w:lineRule="auto"/>
        <w:ind w:right="420"/>
        <w:rPr>
          <w:rFonts w:ascii="Arial" w:hAnsi="Arial" w:eastAsia="宋体"/>
          <w:szCs w:val="21"/>
        </w:rPr>
      </w:pPr>
      <w:bookmarkStart w:id="14" w:name="_Hlk73562203"/>
      <w:r>
        <w:rPr>
          <w:rFonts w:hint="eastAsia" w:ascii="Arial" w:hAnsi="Arial" w:eastAsia="宋体"/>
          <w:szCs w:val="21"/>
          <w:lang w:eastAsia="zh-CN"/>
        </w:rPr>
        <w:t>详见</w:t>
      </w:r>
      <w:r>
        <w:rPr>
          <w:rFonts w:ascii="Arial" w:hAnsi="Arial" w:eastAsia="宋体"/>
          <w:szCs w:val="21"/>
        </w:rPr>
        <w:t>《政府采购促进中小企业发展管理办法》（财库〔2020〕46 号）</w:t>
      </w:r>
      <w:bookmarkEnd w:id="14"/>
    </w:p>
    <w:p w14:paraId="5BACC05B">
      <w:pPr>
        <w:spacing w:after="60" w:afterLines="25" w:line="300" w:lineRule="auto"/>
        <w:ind w:right="420" w:firstLine="6385" w:firstLineChars="2650"/>
        <w:rPr>
          <w:rFonts w:ascii="Arial" w:hAnsi="Arial" w:eastAsia="宋体"/>
          <w:b/>
          <w:szCs w:val="21"/>
        </w:rPr>
      </w:pPr>
    </w:p>
    <w:p w14:paraId="1ED3E05B">
      <w:pPr>
        <w:spacing w:after="60" w:afterLines="25" w:line="300" w:lineRule="auto"/>
        <w:ind w:right="420" w:firstLine="6385" w:firstLineChars="2650"/>
        <w:rPr>
          <w:rFonts w:hint="eastAsia" w:ascii="Arial" w:hAnsi="Arial" w:eastAsia="宋体"/>
          <w:b/>
          <w:szCs w:val="21"/>
          <w:lang w:val="en-US" w:eastAsia="zh-CN"/>
        </w:rPr>
      </w:pPr>
      <w:r>
        <w:rPr>
          <w:rFonts w:hint="eastAsia" w:ascii="Arial" w:hAnsi="Arial" w:eastAsia="宋体"/>
          <w:b/>
          <w:szCs w:val="21"/>
          <w:lang w:val="en-US" w:eastAsia="zh-CN"/>
        </w:rPr>
        <w:t xml:space="preserve">   </w:t>
      </w:r>
    </w:p>
    <w:p w14:paraId="4C64765D">
      <w:pPr>
        <w:pStyle w:val="6"/>
        <w:rPr>
          <w:rFonts w:hint="eastAsia" w:ascii="Arial" w:hAnsi="Arial" w:eastAsia="宋体"/>
          <w:b/>
          <w:szCs w:val="21"/>
          <w:lang w:val="en-US" w:eastAsia="zh-CN"/>
        </w:rPr>
      </w:pPr>
    </w:p>
    <w:p w14:paraId="650D8158">
      <w:pPr>
        <w:rPr>
          <w:rFonts w:hint="eastAsia" w:ascii="Arial" w:hAnsi="Arial" w:eastAsia="宋体"/>
          <w:b/>
          <w:szCs w:val="21"/>
          <w:lang w:val="en-US" w:eastAsia="zh-CN"/>
        </w:rPr>
      </w:pPr>
    </w:p>
    <w:p w14:paraId="576AC785">
      <w:pPr>
        <w:pStyle w:val="6"/>
        <w:rPr>
          <w:rFonts w:hint="eastAsia" w:ascii="Arial" w:hAnsi="Arial" w:eastAsia="宋体"/>
          <w:b/>
          <w:szCs w:val="21"/>
          <w:lang w:val="en-US" w:eastAsia="zh-CN"/>
        </w:rPr>
      </w:pPr>
    </w:p>
    <w:p w14:paraId="268C92CF">
      <w:pPr>
        <w:rPr>
          <w:rFonts w:hint="eastAsia" w:ascii="Arial" w:hAnsi="Arial" w:eastAsia="宋体"/>
          <w:b/>
          <w:szCs w:val="21"/>
          <w:lang w:val="en-US" w:eastAsia="zh-CN"/>
        </w:rPr>
      </w:pPr>
    </w:p>
    <w:p w14:paraId="613E0ABD">
      <w:pPr>
        <w:pStyle w:val="6"/>
        <w:rPr>
          <w:rFonts w:hint="eastAsia" w:ascii="Arial" w:hAnsi="Arial" w:eastAsia="宋体"/>
          <w:b/>
          <w:szCs w:val="21"/>
          <w:lang w:val="en-US" w:eastAsia="zh-CN"/>
        </w:rPr>
      </w:pPr>
    </w:p>
    <w:p w14:paraId="37AFE83B">
      <w:pPr>
        <w:rPr>
          <w:rFonts w:hint="eastAsia" w:ascii="Arial" w:hAnsi="Arial" w:eastAsia="宋体"/>
          <w:b/>
          <w:szCs w:val="21"/>
          <w:lang w:val="en-US" w:eastAsia="zh-CN"/>
        </w:rPr>
      </w:pPr>
    </w:p>
    <w:p w14:paraId="019404FE">
      <w:pPr>
        <w:pStyle w:val="6"/>
        <w:rPr>
          <w:rFonts w:hint="eastAsia" w:ascii="Arial" w:hAnsi="Arial" w:eastAsia="宋体"/>
          <w:b/>
          <w:szCs w:val="21"/>
          <w:lang w:val="en-US" w:eastAsia="zh-CN"/>
        </w:rPr>
      </w:pPr>
    </w:p>
    <w:p w14:paraId="01BED027">
      <w:pPr>
        <w:rPr>
          <w:rFonts w:hint="eastAsia" w:ascii="Arial" w:hAnsi="Arial" w:eastAsia="宋体"/>
          <w:b/>
          <w:szCs w:val="21"/>
          <w:lang w:val="en-US" w:eastAsia="zh-CN"/>
        </w:rPr>
      </w:pPr>
    </w:p>
    <w:p w14:paraId="5A3D9119">
      <w:pPr>
        <w:pStyle w:val="6"/>
        <w:rPr>
          <w:rFonts w:hint="eastAsia" w:ascii="Arial" w:hAnsi="Arial" w:eastAsia="宋体"/>
          <w:b/>
          <w:szCs w:val="21"/>
          <w:lang w:val="en-US" w:eastAsia="zh-CN"/>
        </w:rPr>
      </w:pPr>
    </w:p>
    <w:p w14:paraId="29779737">
      <w:pPr>
        <w:rPr>
          <w:rFonts w:hint="eastAsia" w:ascii="Arial" w:hAnsi="Arial" w:eastAsia="宋体"/>
          <w:b/>
          <w:szCs w:val="21"/>
          <w:lang w:val="en-US" w:eastAsia="zh-CN"/>
        </w:rPr>
      </w:pPr>
    </w:p>
    <w:p w14:paraId="450C059F">
      <w:pPr>
        <w:pStyle w:val="6"/>
        <w:rPr>
          <w:rFonts w:hint="default"/>
          <w:lang w:val="en-US" w:eastAsia="zh-CN"/>
        </w:rPr>
      </w:pPr>
    </w:p>
    <w:p w14:paraId="60A7F7F1">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6F9CFD35">
      <w:pPr>
        <w:rPr>
          <w:rFonts w:ascii="宋体" w:hAnsi="宋体" w:eastAsia="宋体"/>
          <w:b/>
        </w:rPr>
      </w:pPr>
      <w:r>
        <w:br w:type="page"/>
      </w:r>
    </w:p>
    <w:p w14:paraId="1816B3A5">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14:paraId="7C510E6D">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14:paraId="46596771">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292B7DB2">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7EEA612D">
      <w:pPr>
        <w:spacing w:after="60" w:afterLines="25" w:line="300" w:lineRule="auto"/>
        <w:ind w:firstLine="480" w:firstLineChars="200"/>
        <w:rPr>
          <w:rFonts w:ascii="宋体" w:hAnsi="宋体"/>
          <w:szCs w:val="21"/>
        </w:rPr>
      </w:pPr>
      <w:r>
        <w:rPr>
          <w:rFonts w:ascii="宋体" w:hAnsi="宋体"/>
          <w:szCs w:val="21"/>
        </w:rPr>
        <w:t xml:space="preserve">…… </w:t>
      </w:r>
    </w:p>
    <w:p w14:paraId="57ADB809">
      <w:pPr>
        <w:spacing w:after="60" w:afterLines="25" w:line="300" w:lineRule="auto"/>
        <w:ind w:firstLine="480" w:firstLineChars="200"/>
        <w:rPr>
          <w:rFonts w:ascii="宋体" w:hAnsi="宋体"/>
          <w:szCs w:val="21"/>
        </w:rPr>
      </w:pPr>
      <w:bookmarkStart w:id="15"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5"/>
    </w:p>
    <w:p w14:paraId="433409B1">
      <w:pPr>
        <w:spacing w:after="60" w:afterLines="25" w:line="300" w:lineRule="auto"/>
        <w:jc w:val="right"/>
        <w:rPr>
          <w:rFonts w:ascii="宋体" w:hAnsi="宋体"/>
          <w:szCs w:val="21"/>
        </w:rPr>
      </w:pPr>
    </w:p>
    <w:p w14:paraId="126278E0">
      <w:pPr>
        <w:spacing w:after="60" w:afterLines="25" w:line="300" w:lineRule="auto"/>
        <w:ind w:right="420" w:firstLine="3840" w:firstLineChars="1600"/>
        <w:rPr>
          <w:rFonts w:ascii="宋体" w:hAnsi="宋体"/>
          <w:szCs w:val="21"/>
        </w:rPr>
      </w:pPr>
      <w:r>
        <w:rPr>
          <w:rFonts w:hint="eastAsia" w:ascii="宋体" w:hAnsi="宋体"/>
          <w:szCs w:val="21"/>
        </w:rPr>
        <w:t>投标人（投标单位）：</w:t>
      </w:r>
    </w:p>
    <w:p w14:paraId="4A127A04">
      <w:pPr>
        <w:spacing w:after="60" w:afterLines="25" w:line="300" w:lineRule="auto"/>
        <w:ind w:right="420" w:firstLine="5280" w:firstLineChars="2200"/>
        <w:rPr>
          <w:rFonts w:ascii="宋体" w:hAnsi="宋体"/>
          <w:szCs w:val="21"/>
        </w:rPr>
      </w:pPr>
      <w:r>
        <w:rPr>
          <w:rFonts w:hint="eastAsia" w:ascii="宋体" w:hAnsi="宋体"/>
          <w:szCs w:val="21"/>
        </w:rPr>
        <w:t>日期：</w:t>
      </w:r>
    </w:p>
    <w:p w14:paraId="01069EB8">
      <w:pPr>
        <w:spacing w:after="60" w:afterLines="25" w:line="300" w:lineRule="auto"/>
        <w:jc w:val="right"/>
        <w:rPr>
          <w:rFonts w:ascii="宋体" w:hAnsi="宋体"/>
          <w:b/>
          <w:color w:val="FF0000"/>
          <w:sz w:val="28"/>
          <w:szCs w:val="28"/>
        </w:rPr>
      </w:pPr>
    </w:p>
    <w:p w14:paraId="2E2E89C3">
      <w:pPr>
        <w:spacing w:after="60" w:afterLines="25" w:line="300" w:lineRule="auto"/>
        <w:jc w:val="right"/>
        <w:rPr>
          <w:rFonts w:ascii="Arial" w:hAnsi="Arial" w:eastAsia="宋体"/>
          <w:b/>
          <w:color w:val="FF0000"/>
          <w:sz w:val="28"/>
          <w:szCs w:val="28"/>
        </w:rPr>
      </w:pPr>
    </w:p>
    <w:p w14:paraId="1C96C7C4">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14:paraId="1D867270">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14:paraId="6851D7E6">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14:paraId="4C122CE2">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14:paraId="193E7FFE">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14:paraId="6B61998F">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395DF7B">
      <w:pPr>
        <w:jc w:val="center"/>
        <w:outlineLvl w:val="4"/>
        <w:rPr>
          <w:rFonts w:hint="eastAsia"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14:paraId="5A26D49F">
      <w:pPr>
        <w:pStyle w:val="25"/>
        <w:numPr>
          <w:ilvl w:val="0"/>
          <w:numId w:val="0"/>
        </w:numPr>
        <w:ind w:left="3600" w:leftChars="0"/>
        <w:jc w:val="both"/>
      </w:pPr>
    </w:p>
    <w:p w14:paraId="7EA9E19B">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14:paraId="32B37412">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14:paraId="07623854">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14:paraId="0796457E">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14:paraId="10F55562">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14:paraId="6CDA9043">
      <w:pPr>
        <w:spacing w:after="60" w:afterLines="25" w:line="300" w:lineRule="auto"/>
        <w:ind w:firstLine="482" w:firstLineChars="200"/>
        <w:rPr>
          <w:rFonts w:ascii="Arial" w:hAnsi="Arial" w:eastAsia="宋体"/>
          <w:b/>
          <w:color w:val="FF0000"/>
          <w:szCs w:val="21"/>
        </w:rPr>
      </w:pPr>
    </w:p>
    <w:p w14:paraId="23739AFD">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14:paraId="6343B922">
      <w:pPr>
        <w:spacing w:after="60" w:afterLines="25" w:line="300" w:lineRule="auto"/>
        <w:ind w:firstLine="482" w:firstLineChars="200"/>
        <w:rPr>
          <w:rFonts w:ascii="Arial" w:hAnsi="Arial" w:eastAsia="宋体"/>
          <w:b/>
          <w:color w:val="FF0000"/>
          <w:szCs w:val="21"/>
        </w:rPr>
      </w:pPr>
    </w:p>
    <w:p w14:paraId="52075DD3">
      <w:pPr>
        <w:spacing w:after="60" w:afterLines="25" w:line="300" w:lineRule="auto"/>
        <w:ind w:firstLine="482" w:firstLineChars="200"/>
        <w:rPr>
          <w:rFonts w:ascii="Arial" w:hAnsi="Arial" w:eastAsia="宋体"/>
          <w:b/>
          <w:color w:val="FF0000"/>
          <w:szCs w:val="21"/>
        </w:rPr>
      </w:pPr>
    </w:p>
    <w:p w14:paraId="4A637262">
      <w:pPr>
        <w:wordWrap w:val="0"/>
        <w:spacing w:after="60" w:afterLines="25" w:line="300" w:lineRule="auto"/>
        <w:ind w:right="420" w:firstLine="4560" w:firstLineChars="1900"/>
        <w:jc w:val="both"/>
        <w:rPr>
          <w:rFonts w:ascii="Arial" w:hAnsi="Arial" w:eastAsia="宋体"/>
          <w:szCs w:val="21"/>
        </w:rPr>
      </w:pPr>
      <w:r>
        <w:rPr>
          <w:rFonts w:hint="eastAsia" w:ascii="Arial" w:hAnsi="Arial" w:eastAsia="宋体"/>
          <w:szCs w:val="21"/>
        </w:rPr>
        <w:t>投标人（投标单位）：</w:t>
      </w:r>
    </w:p>
    <w:p w14:paraId="37B33C8B">
      <w:pPr>
        <w:wordWrap w:val="0"/>
        <w:spacing w:after="60" w:afterLines="25" w:line="300" w:lineRule="auto"/>
        <w:ind w:right="420" w:firstLine="6000" w:firstLineChars="2500"/>
        <w:jc w:val="both"/>
        <w:rPr>
          <w:rFonts w:ascii="Arial" w:hAnsi="Arial" w:eastAsia="宋体"/>
          <w:szCs w:val="21"/>
        </w:rPr>
      </w:pPr>
      <w:r>
        <w:rPr>
          <w:rFonts w:hint="eastAsia" w:ascii="Arial" w:hAnsi="Arial" w:eastAsia="宋体"/>
          <w:szCs w:val="21"/>
        </w:rPr>
        <w:t>日期：</w:t>
      </w:r>
    </w:p>
    <w:p w14:paraId="79A3F608">
      <w:pPr>
        <w:rPr>
          <w:rFonts w:ascii="宋体" w:hAnsi="宋体" w:eastAsia="宋体"/>
          <w:b/>
        </w:rPr>
      </w:pPr>
      <w:r>
        <w:br w:type="page"/>
      </w:r>
    </w:p>
    <w:p w14:paraId="582BED3A">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14:paraId="3F901636">
      <w:pPr>
        <w:spacing w:after="60" w:afterLines="25" w:line="300" w:lineRule="auto"/>
        <w:ind w:right="420"/>
        <w:rPr>
          <w:rFonts w:ascii="Arial" w:hAnsi="Arial" w:eastAsia="宋体"/>
          <w:szCs w:val="21"/>
        </w:rPr>
      </w:pPr>
      <w:r>
        <w:rPr>
          <w:rFonts w:hint="eastAsia" w:ascii="Arial" w:hAnsi="Arial" w:eastAsia="宋体"/>
          <w:szCs w:val="21"/>
          <w:lang w:eastAsia="zh-CN"/>
        </w:rPr>
        <w:t>详见</w:t>
      </w:r>
      <w:r>
        <w:rPr>
          <w:rFonts w:ascii="Arial" w:hAnsi="Arial" w:eastAsia="宋体"/>
          <w:szCs w:val="21"/>
        </w:rPr>
        <w:t>《政府采购促进中小企业发展管理办法》（财库〔2020〕46 号）</w:t>
      </w:r>
    </w:p>
    <w:p w14:paraId="50801B4A">
      <w:pPr>
        <w:spacing w:after="60" w:afterLines="25" w:line="300" w:lineRule="auto"/>
        <w:rPr>
          <w:rFonts w:ascii="宋体" w:hAnsi="宋体" w:eastAsia="宋体"/>
          <w:szCs w:val="21"/>
        </w:rPr>
      </w:pPr>
      <w:r>
        <w:rPr>
          <w:rFonts w:hint="eastAsia" w:ascii="宋体" w:hAnsi="宋体" w:eastAsia="宋体"/>
          <w:szCs w:val="21"/>
        </w:rPr>
        <w:t xml:space="preserve">  </w:t>
      </w:r>
    </w:p>
    <w:p w14:paraId="6A34202C">
      <w:pPr>
        <w:spacing w:after="60" w:afterLines="25" w:line="300" w:lineRule="auto"/>
        <w:rPr>
          <w:rFonts w:ascii="Arial" w:hAnsi="Arial" w:eastAsia="宋体"/>
        </w:rPr>
      </w:pPr>
    </w:p>
    <w:p w14:paraId="21E748AA">
      <w:pPr>
        <w:spacing w:after="60" w:afterLines="25" w:line="300" w:lineRule="auto"/>
        <w:rPr>
          <w:rFonts w:ascii="Arial" w:hAnsi="Arial" w:eastAsia="宋体"/>
        </w:rPr>
      </w:pPr>
    </w:p>
    <w:p w14:paraId="42DF4723">
      <w:pPr>
        <w:spacing w:after="60" w:afterLines="25" w:line="300" w:lineRule="auto"/>
        <w:rPr>
          <w:rFonts w:ascii="Arial" w:hAnsi="Arial" w:eastAsia="宋体"/>
        </w:rPr>
      </w:pPr>
    </w:p>
    <w:p w14:paraId="5757129B">
      <w:pPr>
        <w:snapToGrid w:val="0"/>
        <w:spacing w:after="60" w:afterLines="25" w:line="300" w:lineRule="auto"/>
        <w:ind w:firstLine="480" w:firstLineChars="200"/>
        <w:jc w:val="center"/>
        <w:rPr>
          <w:rFonts w:hint="eastAsia" w:ascii="Arial" w:hAnsi="Arial" w:eastAsia="宋体"/>
          <w:color w:val="FF0000"/>
          <w:highlight w:val="yellow"/>
        </w:rPr>
      </w:pPr>
    </w:p>
    <w:p w14:paraId="1492EAFE">
      <w:pPr>
        <w:snapToGrid w:val="0"/>
        <w:spacing w:after="60" w:afterLines="25" w:line="300" w:lineRule="auto"/>
        <w:ind w:firstLine="480" w:firstLineChars="200"/>
        <w:jc w:val="center"/>
        <w:rPr>
          <w:rFonts w:hint="eastAsia" w:ascii="Arial" w:hAnsi="Arial" w:eastAsia="宋体"/>
          <w:color w:val="FF0000"/>
          <w:highlight w:val="yellow"/>
        </w:rPr>
      </w:pPr>
    </w:p>
    <w:p w14:paraId="4DBE2901">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7.非联合体投标承诺函及非进口产品投标承诺函（承诺函格式自拟）</w:t>
      </w:r>
    </w:p>
    <w:p w14:paraId="0408BD77">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E9AB472">
      <w:pPr>
        <w:pStyle w:val="13"/>
        <w:numPr>
          <w:ilvl w:val="0"/>
          <w:numId w:val="0"/>
        </w:numPr>
        <w:rPr>
          <w:rFonts w:hint="eastAsia"/>
          <w:lang w:val="en-US" w:eastAsia="zh-CN"/>
        </w:rPr>
      </w:pPr>
    </w:p>
    <w:p w14:paraId="4F7705A6">
      <w:pPr>
        <w:snapToGrid w:val="0"/>
        <w:spacing w:after="60" w:afterLines="25" w:line="300" w:lineRule="auto"/>
        <w:ind w:firstLine="480" w:firstLineChars="200"/>
        <w:jc w:val="center"/>
        <w:rPr>
          <w:rFonts w:hint="eastAsia" w:ascii="Arial" w:hAnsi="Arial" w:eastAsia="宋体"/>
          <w:color w:val="FF0000"/>
          <w:highlight w:val="yellow"/>
        </w:rPr>
      </w:pPr>
    </w:p>
    <w:p w14:paraId="3676327E">
      <w:pPr>
        <w:snapToGrid w:val="0"/>
        <w:spacing w:after="60" w:afterLines="25" w:line="300" w:lineRule="auto"/>
        <w:ind w:firstLine="480" w:firstLineChars="200"/>
        <w:jc w:val="center"/>
      </w:pPr>
      <w:r>
        <w:br w:type="page"/>
      </w:r>
    </w:p>
    <w:p w14:paraId="27DF3939">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8</w:t>
      </w:r>
      <w:r>
        <w:rPr>
          <w:rFonts w:ascii="宋体" w:hAnsi="宋体" w:eastAsia="宋体"/>
          <w:b/>
          <w:bCs/>
          <w:szCs w:val="20"/>
        </w:rPr>
        <w:t>.投标</w:t>
      </w:r>
      <w:r>
        <w:rPr>
          <w:rFonts w:hint="eastAsia" w:ascii="宋体" w:hAnsi="宋体" w:eastAsia="宋体"/>
          <w:b/>
          <w:bCs/>
          <w:szCs w:val="20"/>
        </w:rPr>
        <w:t>函</w:t>
      </w:r>
    </w:p>
    <w:p w14:paraId="68D6FE36">
      <w:pPr>
        <w:snapToGrid w:val="0"/>
        <w:spacing w:line="360" w:lineRule="auto"/>
        <w:rPr>
          <w:rFonts w:ascii="Arial" w:hAnsi="Arial" w:eastAsia="宋体"/>
        </w:rPr>
      </w:pPr>
    </w:p>
    <w:p w14:paraId="387F992E">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喀什市教育局</w:t>
      </w:r>
    </w:p>
    <w:p w14:paraId="34C7F621">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KSS(GK)2026-028</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喀什市第五中学功能教室设备采购项目</w:t>
      </w:r>
      <w:r>
        <w:rPr>
          <w:rFonts w:hint="eastAsia" w:ascii="Arial" w:hAnsi="Arial" w:eastAsia="宋体" w:cs="Arial"/>
        </w:rPr>
        <w:t>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14:paraId="4C566137">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14:paraId="3AA2F8BB">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14:paraId="687E2072">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___</w:t>
      </w:r>
      <w:r>
        <w:rPr>
          <w:rFonts w:ascii="Arial" w:hAnsi="Arial" w:eastAsia="宋体" w:cs="Arial"/>
        </w:rPr>
        <w:t>个日历日。</w:t>
      </w:r>
    </w:p>
    <w:p w14:paraId="32142661">
      <w:pPr>
        <w:numPr>
          <w:ilvl w:val="0"/>
          <w:numId w:val="7"/>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14:paraId="549145D6">
      <w:pPr>
        <w:snapToGrid w:val="0"/>
        <w:spacing w:line="360" w:lineRule="auto"/>
        <w:ind w:firstLine="560"/>
        <w:rPr>
          <w:rFonts w:ascii="Arial" w:hAnsi="Arial" w:eastAsia="宋体" w:cs="Arial"/>
        </w:rPr>
      </w:pPr>
    </w:p>
    <w:p w14:paraId="1B1E631B">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14:paraId="070AA7E4">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14:paraId="7C55FE27">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14:paraId="626FF738">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14:paraId="694A9EB7">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14:paraId="658C10B3">
      <w:pPr>
        <w:snapToGrid w:val="0"/>
        <w:spacing w:line="360" w:lineRule="auto"/>
        <w:ind w:firstLine="560"/>
        <w:rPr>
          <w:rFonts w:ascii="Arial" w:hAnsi="Arial" w:eastAsia="宋体" w:cs="Arial"/>
        </w:rPr>
      </w:pPr>
    </w:p>
    <w:p w14:paraId="2B818AF4">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14:paraId="419B300A">
      <w:pPr>
        <w:snapToGrid w:val="0"/>
        <w:spacing w:line="360" w:lineRule="auto"/>
        <w:rPr>
          <w:rFonts w:ascii="Arial" w:hAnsi="Arial" w:eastAsia="宋体" w:cs="Arial"/>
        </w:rPr>
      </w:pPr>
      <w:r>
        <w:rPr>
          <w:rFonts w:hint="eastAsia" w:ascii="Arial" w:hAnsi="Arial" w:eastAsia="宋体" w:cs="Arial"/>
        </w:rPr>
        <w:t>联系电话：</w:t>
      </w:r>
    </w:p>
    <w:p w14:paraId="2BFFD96B">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14:paraId="663BE03E">
      <w:pPr>
        <w:snapToGrid w:val="0"/>
        <w:spacing w:line="360" w:lineRule="auto"/>
        <w:rPr>
          <w:rFonts w:ascii="Arial" w:hAnsi="Arial" w:eastAsia="宋体"/>
        </w:rPr>
      </w:pPr>
    </w:p>
    <w:p w14:paraId="316E6174">
      <w:pPr>
        <w:spacing w:after="60" w:afterLines="25" w:line="300" w:lineRule="auto"/>
      </w:pPr>
    </w:p>
    <w:p w14:paraId="524E1380">
      <w:pPr>
        <w:pStyle w:val="16"/>
      </w:pPr>
    </w:p>
    <w:p w14:paraId="438F65E9"/>
    <w:p w14:paraId="6239E1CF">
      <w:pPr>
        <w:spacing w:after="60" w:afterLines="25" w:line="300" w:lineRule="auto"/>
      </w:pPr>
    </w:p>
    <w:p w14:paraId="684C467C">
      <w:pPr>
        <w:spacing w:after="60" w:afterLines="25" w:line="300" w:lineRule="auto"/>
      </w:pPr>
    </w:p>
    <w:p w14:paraId="601E345B">
      <w:pPr>
        <w:spacing w:after="60" w:afterLines="25" w:line="300" w:lineRule="auto"/>
      </w:pPr>
    </w:p>
    <w:p w14:paraId="2250EB59">
      <w:pPr>
        <w:spacing w:after="60" w:afterLines="25" w:line="300" w:lineRule="auto"/>
      </w:pPr>
    </w:p>
    <w:p w14:paraId="07B2CF25">
      <w:pPr>
        <w:pStyle w:val="6"/>
      </w:pPr>
    </w:p>
    <w:p w14:paraId="083EFD13">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9.法定代表人证明书（附有效身份证正反面扫描件）</w:t>
      </w:r>
    </w:p>
    <w:p w14:paraId="00447589">
      <w:pPr>
        <w:spacing w:line="300" w:lineRule="auto"/>
        <w:ind w:left="140"/>
        <w:jc w:val="center"/>
        <w:rPr>
          <w:rFonts w:hint="eastAsia" w:ascii="Arial" w:hAnsi="Arial" w:eastAsia="宋体" w:cs="Arial"/>
          <w:b/>
        </w:rPr>
      </w:pPr>
    </w:p>
    <w:p w14:paraId="4D38A8F8">
      <w:pPr>
        <w:spacing w:line="300" w:lineRule="auto"/>
        <w:ind w:left="140"/>
        <w:jc w:val="center"/>
        <w:rPr>
          <w:rFonts w:ascii="Arial" w:hAnsi="Arial" w:eastAsia="宋体" w:cs="Arial"/>
          <w:b/>
        </w:rPr>
      </w:pPr>
      <w:r>
        <w:rPr>
          <w:rFonts w:hint="eastAsia" w:ascii="Arial" w:hAnsi="Arial" w:eastAsia="宋体" w:cs="Arial"/>
          <w:b/>
        </w:rPr>
        <w:t>法定代表人资格证明书</w:t>
      </w:r>
    </w:p>
    <w:p w14:paraId="4B48E637">
      <w:pPr>
        <w:spacing w:line="480" w:lineRule="atLeast"/>
        <w:ind w:firstLine="480" w:firstLineChars="200"/>
        <w:rPr>
          <w:rFonts w:ascii="Arial" w:hAnsi="Arial" w:eastAsia="仿宋_GB2312"/>
        </w:rPr>
      </w:pPr>
    </w:p>
    <w:p w14:paraId="43EBEF26">
      <w:pPr>
        <w:spacing w:line="300" w:lineRule="auto"/>
        <w:rPr>
          <w:rFonts w:ascii="Arial" w:hAnsi="Arial" w:eastAsia="宋体"/>
          <w:szCs w:val="21"/>
          <w:u w:val="single"/>
        </w:rPr>
      </w:pPr>
      <w:r>
        <w:rPr>
          <w:rFonts w:hint="eastAsia" w:ascii="Arial" w:hAnsi="Arial" w:eastAsia="宋体"/>
          <w:szCs w:val="21"/>
        </w:rPr>
        <w:t>单位名称：</w:t>
      </w:r>
    </w:p>
    <w:p w14:paraId="3DD42F43">
      <w:pPr>
        <w:spacing w:line="300" w:lineRule="auto"/>
        <w:rPr>
          <w:rFonts w:ascii="Arial" w:hAnsi="Arial" w:eastAsia="宋体"/>
          <w:szCs w:val="21"/>
          <w:u w:val="single"/>
        </w:rPr>
      </w:pPr>
      <w:r>
        <w:rPr>
          <w:rFonts w:hint="eastAsia" w:ascii="Arial" w:hAnsi="Arial" w:eastAsia="宋体"/>
          <w:szCs w:val="21"/>
        </w:rPr>
        <w:t>地址：</w:t>
      </w:r>
    </w:p>
    <w:p w14:paraId="17C1FE5B">
      <w:pPr>
        <w:spacing w:line="300" w:lineRule="auto"/>
        <w:rPr>
          <w:rFonts w:ascii="Arial" w:hAnsi="Arial" w:eastAsia="宋体"/>
          <w:szCs w:val="21"/>
          <w:u w:val="single"/>
        </w:rPr>
      </w:pPr>
      <w:r>
        <w:rPr>
          <w:rFonts w:hint="eastAsia" w:ascii="Arial" w:hAnsi="Arial" w:eastAsia="宋体"/>
          <w:szCs w:val="21"/>
        </w:rPr>
        <w:t>姓名：性别：年龄：职务：</w:t>
      </w:r>
    </w:p>
    <w:p w14:paraId="58071297">
      <w:pPr>
        <w:spacing w:line="300" w:lineRule="auto"/>
        <w:rPr>
          <w:rFonts w:ascii="Arial" w:hAnsi="Arial" w:eastAsia="宋体"/>
          <w:szCs w:val="21"/>
        </w:rPr>
      </w:pPr>
      <w:r>
        <w:rPr>
          <w:rFonts w:hint="eastAsia" w:ascii="Arial" w:hAnsi="Arial" w:eastAsia="宋体"/>
          <w:szCs w:val="21"/>
        </w:rPr>
        <w:t>系的法定代表人。</w:t>
      </w:r>
    </w:p>
    <w:p w14:paraId="5FD03FEB">
      <w:pPr>
        <w:spacing w:line="300" w:lineRule="auto"/>
        <w:rPr>
          <w:rFonts w:ascii="Arial" w:hAnsi="Arial" w:eastAsia="宋体"/>
          <w:szCs w:val="21"/>
        </w:rPr>
      </w:pPr>
      <w:r>
        <w:rPr>
          <w:rFonts w:hint="eastAsia" w:ascii="Arial" w:hAnsi="Arial" w:eastAsia="宋体"/>
          <w:szCs w:val="21"/>
        </w:rPr>
        <w:t>特此证明</w:t>
      </w:r>
    </w:p>
    <w:p w14:paraId="0997087F">
      <w:pPr>
        <w:spacing w:line="300" w:lineRule="auto"/>
        <w:rPr>
          <w:rFonts w:ascii="Arial" w:hAnsi="Arial" w:eastAsia="宋体"/>
          <w:szCs w:val="21"/>
        </w:rPr>
      </w:pPr>
    </w:p>
    <w:p w14:paraId="03676BA4">
      <w:pPr>
        <w:spacing w:line="300" w:lineRule="auto"/>
        <w:rPr>
          <w:rFonts w:ascii="Arial" w:hAnsi="Arial" w:eastAsia="宋体"/>
          <w:szCs w:val="21"/>
        </w:rPr>
      </w:pPr>
      <w:r>
        <w:rPr>
          <w:rFonts w:hint="eastAsia" w:ascii="Arial" w:hAnsi="Arial" w:eastAsia="宋体"/>
          <w:szCs w:val="21"/>
        </w:rPr>
        <w:t>投标人（投标单位）：</w:t>
      </w:r>
    </w:p>
    <w:p w14:paraId="1223E6F9">
      <w:pPr>
        <w:spacing w:line="300" w:lineRule="auto"/>
        <w:rPr>
          <w:rFonts w:ascii="Arial" w:hAnsi="Arial" w:eastAsia="宋体"/>
          <w:szCs w:val="21"/>
        </w:rPr>
      </w:pPr>
      <w:r>
        <w:rPr>
          <w:rFonts w:hint="eastAsia" w:ascii="Arial" w:hAnsi="Arial" w:eastAsia="宋体"/>
          <w:szCs w:val="21"/>
        </w:rPr>
        <w:t>日期：年月日</w:t>
      </w:r>
    </w:p>
    <w:p w14:paraId="1C3E9800">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14:paraId="3A8259D6">
      <w:pPr>
        <w:spacing w:line="500" w:lineRule="exact"/>
        <w:ind w:firstLine="480" w:firstLineChars="200"/>
        <w:rPr>
          <w:rFonts w:ascii="Arial" w:hAnsi="Arial" w:eastAsia="宋体"/>
        </w:rPr>
      </w:pPr>
    </w:p>
    <w:p w14:paraId="58DA449E">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14:paraId="77D399E7">
      <w:pPr>
        <w:spacing w:line="500" w:lineRule="exact"/>
        <w:rPr>
          <w:rFonts w:ascii="宋体" w:hAnsi="宋体" w:eastAsia="宋体"/>
          <w:b/>
          <w:color w:val="FF0000"/>
          <w:sz w:val="32"/>
          <w:szCs w:val="32"/>
        </w:rPr>
      </w:pPr>
    </w:p>
    <w:p w14:paraId="56C0A206">
      <w:pPr>
        <w:snapToGrid w:val="0"/>
        <w:rPr>
          <w:rFonts w:ascii="宋体" w:hAnsi="宋体" w:eastAsia="宋体"/>
          <w:color w:val="FF0000"/>
          <w:sz w:val="28"/>
          <w:szCs w:val="28"/>
        </w:rPr>
      </w:pPr>
      <w:r>
        <w:rPr>
          <w:rFonts w:hint="eastAsia" w:ascii="宋体" w:hAnsi="宋体" w:eastAsia="宋体"/>
          <w:color w:val="FF0000"/>
          <w:sz w:val="28"/>
          <w:szCs w:val="28"/>
        </w:rPr>
        <w:t>备注：</w:t>
      </w:r>
    </w:p>
    <w:p w14:paraId="51F47122">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14:paraId="1432A0F8">
      <w:pPr>
        <w:spacing w:line="500" w:lineRule="exact"/>
        <w:ind w:firstLine="480" w:firstLineChars="200"/>
        <w:rPr>
          <w:rFonts w:ascii="Arial" w:hAnsi="Arial" w:eastAsia="宋体"/>
        </w:rPr>
      </w:pPr>
    </w:p>
    <w:p w14:paraId="502523D9">
      <w:pPr>
        <w:pStyle w:val="16"/>
        <w:rPr>
          <w:rFonts w:hint="eastAsia"/>
          <w:lang w:val="en-US" w:eastAsia="zh-CN"/>
        </w:rPr>
      </w:pPr>
    </w:p>
    <w:p w14:paraId="4159835B">
      <w:pPr>
        <w:rPr>
          <w:rFonts w:hint="eastAsia"/>
          <w:lang w:val="en-US" w:eastAsia="zh-CN"/>
        </w:rPr>
      </w:pPr>
    </w:p>
    <w:p w14:paraId="097B59A0">
      <w:pPr>
        <w:pStyle w:val="16"/>
        <w:rPr>
          <w:rFonts w:hint="eastAsia"/>
          <w:lang w:val="en-US" w:eastAsia="zh-CN"/>
        </w:rPr>
      </w:pPr>
    </w:p>
    <w:p w14:paraId="0F539145">
      <w:pPr>
        <w:rPr>
          <w:rFonts w:hint="eastAsia"/>
          <w:lang w:val="en-US" w:eastAsia="zh-CN"/>
        </w:rPr>
      </w:pPr>
    </w:p>
    <w:p w14:paraId="694BF631">
      <w:pPr>
        <w:pStyle w:val="16"/>
        <w:rPr>
          <w:rFonts w:hint="eastAsia"/>
          <w:lang w:val="en-US" w:eastAsia="zh-CN"/>
        </w:rPr>
      </w:pPr>
    </w:p>
    <w:p w14:paraId="57B817C6">
      <w:pPr>
        <w:rPr>
          <w:rFonts w:hint="eastAsia"/>
          <w:lang w:val="en-US" w:eastAsia="zh-CN"/>
        </w:rPr>
      </w:pPr>
    </w:p>
    <w:p w14:paraId="5C39954C">
      <w:pPr>
        <w:pStyle w:val="6"/>
        <w:rPr>
          <w:rFonts w:hint="eastAsia"/>
          <w:lang w:val="en-US" w:eastAsia="zh-CN"/>
        </w:rPr>
      </w:pPr>
    </w:p>
    <w:p w14:paraId="68E509F4">
      <w:pPr>
        <w:rPr>
          <w:rFonts w:hint="eastAsia"/>
          <w:lang w:val="en-US" w:eastAsia="zh-CN"/>
        </w:rPr>
      </w:pPr>
    </w:p>
    <w:p w14:paraId="303656A0">
      <w:pPr>
        <w:pStyle w:val="16"/>
        <w:rPr>
          <w:rFonts w:hint="eastAsia"/>
          <w:lang w:val="en-US" w:eastAsia="zh-CN"/>
        </w:rPr>
      </w:pPr>
    </w:p>
    <w:p w14:paraId="05F9EDDF">
      <w:pPr>
        <w:rPr>
          <w:rFonts w:hint="eastAsia"/>
          <w:lang w:val="en-US" w:eastAsia="zh-CN"/>
        </w:rPr>
      </w:pPr>
    </w:p>
    <w:p w14:paraId="4734199B">
      <w:pPr>
        <w:pStyle w:val="6"/>
        <w:rPr>
          <w:rFonts w:hint="eastAsia"/>
          <w:lang w:val="en-US" w:eastAsia="zh-CN"/>
        </w:rPr>
      </w:pPr>
    </w:p>
    <w:p w14:paraId="09F53E29">
      <w:pPr>
        <w:pStyle w:val="16"/>
        <w:ind w:left="0" w:leftChars="0" w:firstLine="0" w:firstLineChars="0"/>
        <w:rPr>
          <w:rFonts w:hint="eastAsia"/>
          <w:lang w:val="en-US" w:eastAsia="zh-CN"/>
        </w:rPr>
      </w:pPr>
    </w:p>
    <w:p w14:paraId="456B4209">
      <w:pPr>
        <w:rPr>
          <w:rFonts w:hint="eastAsia"/>
          <w:lang w:val="en-US" w:eastAsia="zh-CN"/>
        </w:rPr>
      </w:pPr>
    </w:p>
    <w:p w14:paraId="6BE198B3">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10.法定代表人授权书（附有效身份证正反面扫描件）</w:t>
      </w:r>
    </w:p>
    <w:p w14:paraId="65A6F851">
      <w:pPr>
        <w:spacing w:line="300" w:lineRule="auto"/>
        <w:ind w:left="140"/>
        <w:jc w:val="center"/>
        <w:rPr>
          <w:rFonts w:hint="eastAsia" w:ascii="Arial" w:hAnsi="Arial" w:eastAsia="宋体" w:cs="Arial"/>
          <w:b/>
        </w:rPr>
      </w:pPr>
    </w:p>
    <w:p w14:paraId="1223B7E2">
      <w:pPr>
        <w:spacing w:line="300" w:lineRule="auto"/>
        <w:ind w:left="140"/>
        <w:jc w:val="center"/>
        <w:rPr>
          <w:rFonts w:hint="eastAsia" w:ascii="Arial" w:hAnsi="Arial" w:eastAsia="宋体" w:cs="Arial"/>
          <w:b/>
        </w:rPr>
      </w:pPr>
    </w:p>
    <w:p w14:paraId="532ABDDD">
      <w:pPr>
        <w:spacing w:line="300" w:lineRule="auto"/>
        <w:ind w:left="140"/>
        <w:jc w:val="center"/>
        <w:rPr>
          <w:rFonts w:ascii="Arial" w:hAnsi="Arial" w:eastAsia="宋体" w:cs="Arial"/>
          <w:b/>
        </w:rPr>
      </w:pPr>
      <w:r>
        <w:rPr>
          <w:rFonts w:hint="eastAsia" w:ascii="Arial" w:hAnsi="Arial" w:eastAsia="宋体" w:cs="Arial"/>
          <w:b/>
        </w:rPr>
        <w:t>法定代表人授权书</w:t>
      </w:r>
    </w:p>
    <w:p w14:paraId="18A889E5">
      <w:pPr>
        <w:spacing w:line="360" w:lineRule="auto"/>
        <w:ind w:firstLine="480" w:firstLineChars="200"/>
        <w:rPr>
          <w:rFonts w:ascii="Arial" w:hAnsi="Arial" w:eastAsia="宋体"/>
          <w:szCs w:val="21"/>
        </w:rPr>
      </w:pPr>
    </w:p>
    <w:p w14:paraId="6A30EBDB">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14:paraId="6BBFF4E9">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14:paraId="6CC13F20">
      <w:pPr>
        <w:spacing w:line="300" w:lineRule="auto"/>
        <w:rPr>
          <w:rFonts w:ascii="Arial" w:hAnsi="Arial" w:eastAsia="宋体"/>
          <w:szCs w:val="21"/>
        </w:rPr>
      </w:pPr>
    </w:p>
    <w:p w14:paraId="2FB3ECC9">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14:paraId="5FA0A186">
      <w:pPr>
        <w:spacing w:line="360" w:lineRule="auto"/>
        <w:ind w:left="3840" w:leftChars="1600"/>
        <w:rPr>
          <w:rFonts w:ascii="Arial" w:hAnsi="Arial" w:eastAsia="宋体"/>
          <w:szCs w:val="21"/>
        </w:rPr>
      </w:pPr>
      <w:r>
        <w:rPr>
          <w:rFonts w:hint="eastAsia" w:ascii="Arial" w:hAnsi="Arial" w:eastAsia="宋体"/>
          <w:szCs w:val="21"/>
        </w:rPr>
        <w:t>联系电话：手机：</w:t>
      </w:r>
    </w:p>
    <w:p w14:paraId="2B105E29">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14:paraId="4C626FEE">
      <w:pPr>
        <w:spacing w:line="360" w:lineRule="auto"/>
        <w:ind w:left="3840" w:leftChars="1600"/>
        <w:rPr>
          <w:rFonts w:ascii="Arial" w:hAnsi="Arial" w:eastAsia="宋体"/>
          <w:szCs w:val="21"/>
        </w:rPr>
      </w:pPr>
      <w:r>
        <w:rPr>
          <w:rFonts w:hint="eastAsia" w:ascii="Arial" w:hAnsi="Arial" w:eastAsia="宋体"/>
          <w:szCs w:val="21"/>
        </w:rPr>
        <w:t>投标人（投标单位）：</w:t>
      </w:r>
    </w:p>
    <w:p w14:paraId="4AFCC6D0">
      <w:pPr>
        <w:spacing w:line="360" w:lineRule="auto"/>
        <w:ind w:left="3840" w:leftChars="1600"/>
        <w:rPr>
          <w:rFonts w:ascii="Arial" w:hAnsi="Arial" w:eastAsia="宋体"/>
          <w:szCs w:val="21"/>
        </w:rPr>
      </w:pPr>
      <w:r>
        <w:rPr>
          <w:rFonts w:hint="eastAsia" w:ascii="Arial" w:hAnsi="Arial" w:eastAsia="宋体"/>
          <w:szCs w:val="21"/>
        </w:rPr>
        <w:t>法定代表人：</w:t>
      </w:r>
    </w:p>
    <w:p w14:paraId="4ED486BB">
      <w:pPr>
        <w:spacing w:line="360" w:lineRule="auto"/>
        <w:ind w:left="3840" w:leftChars="1600"/>
        <w:rPr>
          <w:rFonts w:ascii="Arial" w:hAnsi="Arial" w:eastAsia="宋体"/>
          <w:szCs w:val="21"/>
        </w:rPr>
      </w:pPr>
      <w:r>
        <w:rPr>
          <w:rFonts w:hint="eastAsia" w:ascii="Arial" w:hAnsi="Arial" w:eastAsia="宋体"/>
          <w:szCs w:val="21"/>
        </w:rPr>
        <w:t>授权委托日期：年月日</w:t>
      </w:r>
    </w:p>
    <w:p w14:paraId="181AA302">
      <w:pPr>
        <w:spacing w:line="500" w:lineRule="exact"/>
        <w:ind w:firstLine="480" w:firstLineChars="200"/>
        <w:rPr>
          <w:rFonts w:ascii="Arial" w:hAnsi="Arial" w:eastAsia="宋体"/>
        </w:rPr>
      </w:pPr>
    </w:p>
    <w:p w14:paraId="32618BD9">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14:paraId="2D094CA2">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14:paraId="7087B779">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14:paraId="5F5C3450">
      <w:pPr>
        <w:rPr>
          <w:rFonts w:hint="eastAsia"/>
          <w:lang w:val="en-US" w:eastAsia="zh-CN"/>
        </w:rPr>
      </w:pPr>
    </w:p>
    <w:p w14:paraId="76C30307">
      <w:pPr>
        <w:pStyle w:val="14"/>
        <w:rPr>
          <w:rFonts w:hint="eastAsia"/>
          <w:lang w:val="en-US" w:eastAsia="zh-CN"/>
        </w:rPr>
      </w:pPr>
    </w:p>
    <w:p w14:paraId="2DE3B5CB">
      <w:pPr>
        <w:pStyle w:val="14"/>
        <w:rPr>
          <w:rFonts w:hint="eastAsia"/>
          <w:lang w:val="en-US" w:eastAsia="zh-CN"/>
        </w:rPr>
      </w:pPr>
    </w:p>
    <w:p w14:paraId="2E75C86C">
      <w:pPr>
        <w:snapToGrid w:val="0"/>
        <w:spacing w:after="60" w:afterLines="25" w:line="300" w:lineRule="auto"/>
        <w:ind w:firstLine="482" w:firstLineChars="200"/>
        <w:jc w:val="center"/>
        <w:outlineLvl w:val="3"/>
        <w:rPr>
          <w:rFonts w:hint="eastAsia" w:ascii="宋体" w:hAnsi="宋体" w:eastAsia="宋体"/>
          <w:b/>
          <w:bCs/>
          <w:szCs w:val="20"/>
          <w:lang w:eastAsia="zh-CN"/>
        </w:rPr>
      </w:pPr>
      <w:r>
        <w:rPr>
          <w:rFonts w:hint="eastAsia" w:ascii="宋体" w:hAnsi="宋体" w:eastAsia="宋体"/>
          <w:b/>
          <w:bCs/>
          <w:szCs w:val="20"/>
          <w:lang w:val="en-US" w:eastAsia="zh-CN"/>
        </w:rPr>
        <w:t>11</w:t>
      </w:r>
      <w:r>
        <w:rPr>
          <w:rFonts w:ascii="宋体" w:hAnsi="宋体" w:eastAsia="宋体"/>
          <w:b/>
          <w:bCs/>
          <w:szCs w:val="20"/>
        </w:rPr>
        <w:t>.</w:t>
      </w:r>
      <w:r>
        <w:rPr>
          <w:rFonts w:hint="eastAsia" w:ascii="宋体" w:hAnsi="宋体" w:eastAsia="宋体"/>
          <w:b/>
          <w:bCs/>
          <w:szCs w:val="20"/>
        </w:rPr>
        <w:t>分项报价清单</w:t>
      </w:r>
      <w:r>
        <w:rPr>
          <w:rFonts w:hint="eastAsia" w:ascii="宋体" w:hAnsi="宋体" w:eastAsia="宋体"/>
          <w:b/>
          <w:bCs/>
          <w:szCs w:val="20"/>
          <w:lang w:eastAsia="zh-CN"/>
        </w:rPr>
        <w:t>（本项目为货物类，如有需求参照本表填写）</w:t>
      </w:r>
    </w:p>
    <w:p w14:paraId="780FD07E">
      <w:pPr>
        <w:spacing w:after="60" w:afterLines="25" w:line="300" w:lineRule="auto"/>
        <w:rPr>
          <w:rFonts w:ascii="Arial" w:hAnsi="Arial" w:eastAsia="宋体" w:cs="Arial"/>
        </w:rPr>
      </w:pPr>
      <w:r>
        <w:rPr>
          <w:rFonts w:hint="eastAsia" w:ascii="Arial" w:hAnsi="Arial" w:eastAsia="宋体" w:cs="Arial"/>
          <w:color w:val="000000"/>
        </w:rPr>
        <w:t>投标单位（投标人）名称：</w:t>
      </w:r>
    </w:p>
    <w:p w14:paraId="1B72F1EF">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14:paraId="1636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14:paraId="4BF20F82">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14:paraId="17D46670">
            <w:pPr>
              <w:spacing w:after="60" w:afterLines="25" w:line="300" w:lineRule="auto"/>
              <w:jc w:val="center"/>
              <w:rPr>
                <w:rFonts w:ascii="Arial" w:hAnsi="Arial" w:eastAsia="宋体"/>
              </w:rPr>
            </w:pPr>
            <w:r>
              <w:rPr>
                <w:rFonts w:hint="eastAsia" w:ascii="Arial" w:hAnsi="Arial" w:eastAsia="宋体"/>
              </w:rPr>
              <w:t>货物</w:t>
            </w:r>
            <w:r>
              <w:rPr>
                <w:rFonts w:hint="eastAsia" w:ascii="Arial" w:hAnsi="Arial" w:eastAsia="宋体"/>
                <w:lang w:val="en-US" w:eastAsia="zh-CN"/>
              </w:rPr>
              <w:t>/服务</w:t>
            </w:r>
            <w:r>
              <w:rPr>
                <w:rFonts w:hint="eastAsia" w:ascii="Arial" w:hAnsi="Arial" w:eastAsia="宋体"/>
              </w:rPr>
              <w:t>名称</w:t>
            </w:r>
          </w:p>
        </w:tc>
        <w:tc>
          <w:tcPr>
            <w:tcW w:w="1417" w:type="dxa"/>
            <w:vAlign w:val="center"/>
          </w:tcPr>
          <w:p w14:paraId="3B71DA37">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14:paraId="5374D4E2">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14:paraId="2CC05BE2">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14:paraId="4E1D6E18">
            <w:pPr>
              <w:spacing w:after="60" w:afterLines="25" w:line="300" w:lineRule="auto"/>
              <w:jc w:val="center"/>
              <w:rPr>
                <w:rFonts w:ascii="Arial" w:hAnsi="Arial" w:eastAsia="宋体"/>
              </w:rPr>
            </w:pPr>
            <w:r>
              <w:rPr>
                <w:rFonts w:hint="eastAsia" w:ascii="Arial" w:hAnsi="Arial" w:eastAsia="宋体"/>
              </w:rPr>
              <w:t>数量</w:t>
            </w:r>
          </w:p>
        </w:tc>
        <w:tc>
          <w:tcPr>
            <w:tcW w:w="708" w:type="dxa"/>
          </w:tcPr>
          <w:p w14:paraId="1A8219D9">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14:paraId="30F28536">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14:paraId="39D49DEB">
            <w:pPr>
              <w:spacing w:after="60" w:afterLines="25" w:line="300" w:lineRule="auto"/>
              <w:jc w:val="center"/>
              <w:rPr>
                <w:rFonts w:ascii="Arial" w:hAnsi="Arial" w:eastAsia="宋体"/>
              </w:rPr>
            </w:pPr>
            <w:r>
              <w:rPr>
                <w:rFonts w:hint="eastAsia" w:ascii="Arial" w:hAnsi="Arial" w:eastAsia="宋体"/>
              </w:rPr>
              <w:t>合价(元)</w:t>
            </w:r>
          </w:p>
        </w:tc>
      </w:tr>
      <w:tr w14:paraId="25CD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14:paraId="54855DAA">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14:paraId="6F9BB99C">
            <w:pPr>
              <w:spacing w:after="60" w:afterLines="25" w:line="300" w:lineRule="auto"/>
              <w:rPr>
                <w:rFonts w:ascii="Arial" w:hAnsi="Arial" w:eastAsia="宋体"/>
                <w:b/>
              </w:rPr>
            </w:pPr>
          </w:p>
        </w:tc>
        <w:tc>
          <w:tcPr>
            <w:tcW w:w="1417" w:type="dxa"/>
          </w:tcPr>
          <w:p w14:paraId="7AAC88B9">
            <w:pPr>
              <w:spacing w:after="60" w:afterLines="25" w:line="300" w:lineRule="auto"/>
              <w:rPr>
                <w:rFonts w:ascii="Arial" w:hAnsi="Arial" w:eastAsia="宋体"/>
              </w:rPr>
            </w:pPr>
          </w:p>
        </w:tc>
        <w:tc>
          <w:tcPr>
            <w:tcW w:w="993" w:type="dxa"/>
          </w:tcPr>
          <w:p w14:paraId="1A6FC129">
            <w:pPr>
              <w:spacing w:after="60" w:afterLines="25" w:line="300" w:lineRule="auto"/>
              <w:rPr>
                <w:rFonts w:ascii="Arial" w:hAnsi="Arial" w:eastAsia="宋体"/>
              </w:rPr>
            </w:pPr>
          </w:p>
        </w:tc>
        <w:tc>
          <w:tcPr>
            <w:tcW w:w="992" w:type="dxa"/>
          </w:tcPr>
          <w:p w14:paraId="0E928D33">
            <w:pPr>
              <w:spacing w:after="60" w:afterLines="25" w:line="300" w:lineRule="auto"/>
              <w:rPr>
                <w:rFonts w:ascii="Arial" w:hAnsi="Arial" w:eastAsia="宋体"/>
              </w:rPr>
            </w:pPr>
          </w:p>
        </w:tc>
        <w:tc>
          <w:tcPr>
            <w:tcW w:w="709" w:type="dxa"/>
          </w:tcPr>
          <w:p w14:paraId="0F7E8ED0">
            <w:pPr>
              <w:spacing w:after="60" w:afterLines="25" w:line="300" w:lineRule="auto"/>
              <w:rPr>
                <w:rFonts w:ascii="Arial" w:hAnsi="Arial" w:eastAsia="宋体"/>
              </w:rPr>
            </w:pPr>
          </w:p>
        </w:tc>
        <w:tc>
          <w:tcPr>
            <w:tcW w:w="708" w:type="dxa"/>
          </w:tcPr>
          <w:p w14:paraId="701FD270">
            <w:pPr>
              <w:spacing w:after="60" w:afterLines="25" w:line="300" w:lineRule="auto"/>
              <w:rPr>
                <w:rFonts w:ascii="Arial" w:hAnsi="Arial" w:eastAsia="宋体"/>
              </w:rPr>
            </w:pPr>
          </w:p>
        </w:tc>
        <w:tc>
          <w:tcPr>
            <w:tcW w:w="993" w:type="dxa"/>
          </w:tcPr>
          <w:p w14:paraId="017F8F66">
            <w:pPr>
              <w:spacing w:after="60" w:afterLines="25" w:line="300" w:lineRule="auto"/>
              <w:rPr>
                <w:rFonts w:ascii="Arial" w:hAnsi="Arial" w:eastAsia="宋体"/>
              </w:rPr>
            </w:pPr>
          </w:p>
        </w:tc>
        <w:tc>
          <w:tcPr>
            <w:tcW w:w="1322" w:type="dxa"/>
          </w:tcPr>
          <w:p w14:paraId="7F00990E">
            <w:pPr>
              <w:spacing w:after="60" w:afterLines="25" w:line="300" w:lineRule="auto"/>
              <w:rPr>
                <w:rFonts w:ascii="Arial" w:hAnsi="Arial" w:eastAsia="宋体"/>
              </w:rPr>
            </w:pPr>
          </w:p>
        </w:tc>
      </w:tr>
      <w:tr w14:paraId="3C59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14:paraId="0435C02F">
            <w:pPr>
              <w:spacing w:after="60" w:afterLines="25" w:line="300" w:lineRule="auto"/>
              <w:jc w:val="center"/>
              <w:rPr>
                <w:rFonts w:ascii="Arial" w:hAnsi="Arial" w:eastAsia="宋体"/>
              </w:rPr>
            </w:pPr>
            <w:r>
              <w:rPr>
                <w:rFonts w:hint="eastAsia" w:ascii="Arial" w:hAnsi="Arial" w:eastAsia="宋体"/>
              </w:rPr>
              <w:t>2</w:t>
            </w:r>
          </w:p>
        </w:tc>
        <w:tc>
          <w:tcPr>
            <w:tcW w:w="2127" w:type="dxa"/>
          </w:tcPr>
          <w:p w14:paraId="3CDA3E89">
            <w:pPr>
              <w:spacing w:after="60" w:afterLines="25" w:line="300" w:lineRule="auto"/>
              <w:rPr>
                <w:rFonts w:ascii="Arial" w:hAnsi="Arial" w:eastAsia="宋体"/>
                <w:b/>
              </w:rPr>
            </w:pPr>
          </w:p>
        </w:tc>
        <w:tc>
          <w:tcPr>
            <w:tcW w:w="1417" w:type="dxa"/>
          </w:tcPr>
          <w:p w14:paraId="136B5E53">
            <w:pPr>
              <w:spacing w:after="60" w:afterLines="25" w:line="300" w:lineRule="auto"/>
              <w:rPr>
                <w:rFonts w:ascii="Arial" w:hAnsi="Arial" w:eastAsia="宋体"/>
              </w:rPr>
            </w:pPr>
          </w:p>
        </w:tc>
        <w:tc>
          <w:tcPr>
            <w:tcW w:w="993" w:type="dxa"/>
          </w:tcPr>
          <w:p w14:paraId="1F7F44A3">
            <w:pPr>
              <w:spacing w:after="60" w:afterLines="25" w:line="300" w:lineRule="auto"/>
              <w:rPr>
                <w:rFonts w:ascii="Arial" w:hAnsi="Arial" w:eastAsia="宋体"/>
              </w:rPr>
            </w:pPr>
          </w:p>
        </w:tc>
        <w:tc>
          <w:tcPr>
            <w:tcW w:w="992" w:type="dxa"/>
          </w:tcPr>
          <w:p w14:paraId="3F77F96B">
            <w:pPr>
              <w:spacing w:after="60" w:afterLines="25" w:line="300" w:lineRule="auto"/>
              <w:rPr>
                <w:rFonts w:ascii="Arial" w:hAnsi="Arial" w:eastAsia="宋体"/>
              </w:rPr>
            </w:pPr>
          </w:p>
        </w:tc>
        <w:tc>
          <w:tcPr>
            <w:tcW w:w="709" w:type="dxa"/>
          </w:tcPr>
          <w:p w14:paraId="47AAF93B">
            <w:pPr>
              <w:spacing w:after="60" w:afterLines="25" w:line="300" w:lineRule="auto"/>
              <w:rPr>
                <w:rFonts w:ascii="Arial" w:hAnsi="Arial" w:eastAsia="宋体"/>
              </w:rPr>
            </w:pPr>
          </w:p>
        </w:tc>
        <w:tc>
          <w:tcPr>
            <w:tcW w:w="708" w:type="dxa"/>
          </w:tcPr>
          <w:p w14:paraId="3323E1A2">
            <w:pPr>
              <w:spacing w:after="60" w:afterLines="25" w:line="300" w:lineRule="auto"/>
              <w:rPr>
                <w:rFonts w:ascii="Arial" w:hAnsi="Arial" w:eastAsia="宋体"/>
              </w:rPr>
            </w:pPr>
          </w:p>
        </w:tc>
        <w:tc>
          <w:tcPr>
            <w:tcW w:w="993" w:type="dxa"/>
          </w:tcPr>
          <w:p w14:paraId="374D9E1A">
            <w:pPr>
              <w:spacing w:after="60" w:afterLines="25" w:line="300" w:lineRule="auto"/>
              <w:rPr>
                <w:rFonts w:ascii="Arial" w:hAnsi="Arial" w:eastAsia="宋体"/>
              </w:rPr>
            </w:pPr>
          </w:p>
        </w:tc>
        <w:tc>
          <w:tcPr>
            <w:tcW w:w="1322" w:type="dxa"/>
          </w:tcPr>
          <w:p w14:paraId="615A25AA">
            <w:pPr>
              <w:spacing w:after="60" w:afterLines="25" w:line="300" w:lineRule="auto"/>
              <w:rPr>
                <w:rFonts w:ascii="Arial" w:hAnsi="Arial" w:eastAsia="宋体"/>
              </w:rPr>
            </w:pPr>
          </w:p>
        </w:tc>
      </w:tr>
      <w:tr w14:paraId="50CD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14:paraId="5AB086D1">
            <w:pPr>
              <w:spacing w:after="60" w:afterLines="25" w:line="300" w:lineRule="auto"/>
              <w:jc w:val="center"/>
              <w:rPr>
                <w:rFonts w:ascii="Arial" w:hAnsi="Arial" w:eastAsia="宋体"/>
              </w:rPr>
            </w:pPr>
            <w:r>
              <w:rPr>
                <w:rFonts w:hint="eastAsia" w:ascii="Arial" w:hAnsi="Arial" w:eastAsia="宋体"/>
              </w:rPr>
              <w:t>3</w:t>
            </w:r>
          </w:p>
        </w:tc>
        <w:tc>
          <w:tcPr>
            <w:tcW w:w="2127" w:type="dxa"/>
          </w:tcPr>
          <w:p w14:paraId="24854DE8">
            <w:pPr>
              <w:spacing w:after="60" w:afterLines="25" w:line="300" w:lineRule="auto"/>
              <w:rPr>
                <w:rFonts w:ascii="Arial" w:hAnsi="Arial" w:eastAsia="宋体"/>
                <w:b/>
              </w:rPr>
            </w:pPr>
          </w:p>
        </w:tc>
        <w:tc>
          <w:tcPr>
            <w:tcW w:w="1417" w:type="dxa"/>
          </w:tcPr>
          <w:p w14:paraId="3A579E95">
            <w:pPr>
              <w:spacing w:after="60" w:afterLines="25" w:line="300" w:lineRule="auto"/>
              <w:rPr>
                <w:rFonts w:ascii="Arial" w:hAnsi="Arial" w:eastAsia="宋体"/>
              </w:rPr>
            </w:pPr>
          </w:p>
        </w:tc>
        <w:tc>
          <w:tcPr>
            <w:tcW w:w="993" w:type="dxa"/>
          </w:tcPr>
          <w:p w14:paraId="46ED25BD">
            <w:pPr>
              <w:spacing w:after="60" w:afterLines="25" w:line="300" w:lineRule="auto"/>
              <w:rPr>
                <w:rFonts w:ascii="Arial" w:hAnsi="Arial" w:eastAsia="宋体"/>
              </w:rPr>
            </w:pPr>
          </w:p>
        </w:tc>
        <w:tc>
          <w:tcPr>
            <w:tcW w:w="992" w:type="dxa"/>
          </w:tcPr>
          <w:p w14:paraId="202B5634">
            <w:pPr>
              <w:spacing w:after="60" w:afterLines="25" w:line="300" w:lineRule="auto"/>
              <w:rPr>
                <w:rFonts w:ascii="Arial" w:hAnsi="Arial" w:eastAsia="宋体"/>
              </w:rPr>
            </w:pPr>
          </w:p>
        </w:tc>
        <w:tc>
          <w:tcPr>
            <w:tcW w:w="709" w:type="dxa"/>
          </w:tcPr>
          <w:p w14:paraId="000FFEF1">
            <w:pPr>
              <w:spacing w:after="60" w:afterLines="25" w:line="300" w:lineRule="auto"/>
              <w:rPr>
                <w:rFonts w:ascii="Arial" w:hAnsi="Arial" w:eastAsia="宋体"/>
              </w:rPr>
            </w:pPr>
          </w:p>
        </w:tc>
        <w:tc>
          <w:tcPr>
            <w:tcW w:w="708" w:type="dxa"/>
          </w:tcPr>
          <w:p w14:paraId="361EE2F8">
            <w:pPr>
              <w:spacing w:after="60" w:afterLines="25" w:line="300" w:lineRule="auto"/>
              <w:rPr>
                <w:rFonts w:ascii="Arial" w:hAnsi="Arial" w:eastAsia="宋体"/>
              </w:rPr>
            </w:pPr>
          </w:p>
        </w:tc>
        <w:tc>
          <w:tcPr>
            <w:tcW w:w="993" w:type="dxa"/>
          </w:tcPr>
          <w:p w14:paraId="7212B518">
            <w:pPr>
              <w:spacing w:after="60" w:afterLines="25" w:line="300" w:lineRule="auto"/>
              <w:rPr>
                <w:rFonts w:ascii="Arial" w:hAnsi="Arial" w:eastAsia="宋体"/>
              </w:rPr>
            </w:pPr>
          </w:p>
        </w:tc>
        <w:tc>
          <w:tcPr>
            <w:tcW w:w="1322" w:type="dxa"/>
          </w:tcPr>
          <w:p w14:paraId="6F5B3AC2">
            <w:pPr>
              <w:spacing w:after="60" w:afterLines="25" w:line="300" w:lineRule="auto"/>
              <w:rPr>
                <w:rFonts w:ascii="Arial" w:hAnsi="Arial" w:eastAsia="宋体"/>
              </w:rPr>
            </w:pPr>
          </w:p>
        </w:tc>
      </w:tr>
      <w:tr w14:paraId="03FD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14:paraId="1F907A92">
            <w:pPr>
              <w:spacing w:after="60" w:afterLines="25" w:line="300" w:lineRule="auto"/>
              <w:jc w:val="center"/>
              <w:rPr>
                <w:rFonts w:ascii="Arial" w:hAnsi="Arial" w:eastAsia="宋体"/>
              </w:rPr>
            </w:pPr>
            <w:r>
              <w:rPr>
                <w:rFonts w:hint="eastAsia" w:ascii="Arial" w:hAnsi="Arial" w:eastAsia="宋体"/>
              </w:rPr>
              <w:t>……</w:t>
            </w:r>
          </w:p>
        </w:tc>
        <w:tc>
          <w:tcPr>
            <w:tcW w:w="2127" w:type="dxa"/>
          </w:tcPr>
          <w:p w14:paraId="2D33A596">
            <w:pPr>
              <w:spacing w:after="60" w:afterLines="25" w:line="300" w:lineRule="auto"/>
              <w:rPr>
                <w:rFonts w:ascii="Arial" w:hAnsi="Arial" w:eastAsia="宋体"/>
                <w:b/>
              </w:rPr>
            </w:pPr>
          </w:p>
        </w:tc>
        <w:tc>
          <w:tcPr>
            <w:tcW w:w="1417" w:type="dxa"/>
          </w:tcPr>
          <w:p w14:paraId="4ACAFE45">
            <w:pPr>
              <w:spacing w:after="60" w:afterLines="25" w:line="300" w:lineRule="auto"/>
              <w:rPr>
                <w:rFonts w:ascii="Arial" w:hAnsi="Arial" w:eastAsia="宋体"/>
              </w:rPr>
            </w:pPr>
          </w:p>
        </w:tc>
        <w:tc>
          <w:tcPr>
            <w:tcW w:w="993" w:type="dxa"/>
          </w:tcPr>
          <w:p w14:paraId="02A1E4FE">
            <w:pPr>
              <w:spacing w:after="60" w:afterLines="25" w:line="300" w:lineRule="auto"/>
              <w:rPr>
                <w:rFonts w:ascii="Arial" w:hAnsi="Arial" w:eastAsia="宋体"/>
              </w:rPr>
            </w:pPr>
          </w:p>
        </w:tc>
        <w:tc>
          <w:tcPr>
            <w:tcW w:w="992" w:type="dxa"/>
          </w:tcPr>
          <w:p w14:paraId="45530D3D">
            <w:pPr>
              <w:spacing w:after="60" w:afterLines="25" w:line="300" w:lineRule="auto"/>
              <w:rPr>
                <w:rFonts w:ascii="Arial" w:hAnsi="Arial" w:eastAsia="宋体"/>
              </w:rPr>
            </w:pPr>
          </w:p>
        </w:tc>
        <w:tc>
          <w:tcPr>
            <w:tcW w:w="709" w:type="dxa"/>
          </w:tcPr>
          <w:p w14:paraId="7C435AEC">
            <w:pPr>
              <w:spacing w:after="60" w:afterLines="25" w:line="300" w:lineRule="auto"/>
              <w:rPr>
                <w:rFonts w:ascii="Arial" w:hAnsi="Arial" w:eastAsia="宋体"/>
              </w:rPr>
            </w:pPr>
          </w:p>
        </w:tc>
        <w:tc>
          <w:tcPr>
            <w:tcW w:w="708" w:type="dxa"/>
          </w:tcPr>
          <w:p w14:paraId="51BBE67D">
            <w:pPr>
              <w:spacing w:after="60" w:afterLines="25" w:line="300" w:lineRule="auto"/>
              <w:rPr>
                <w:rFonts w:ascii="Arial" w:hAnsi="Arial" w:eastAsia="宋体"/>
              </w:rPr>
            </w:pPr>
          </w:p>
        </w:tc>
        <w:tc>
          <w:tcPr>
            <w:tcW w:w="993" w:type="dxa"/>
          </w:tcPr>
          <w:p w14:paraId="564EAFEA">
            <w:pPr>
              <w:spacing w:after="60" w:afterLines="25" w:line="300" w:lineRule="auto"/>
              <w:rPr>
                <w:rFonts w:ascii="Arial" w:hAnsi="Arial" w:eastAsia="宋体"/>
              </w:rPr>
            </w:pPr>
          </w:p>
        </w:tc>
        <w:tc>
          <w:tcPr>
            <w:tcW w:w="1322" w:type="dxa"/>
          </w:tcPr>
          <w:p w14:paraId="5D82B948">
            <w:pPr>
              <w:spacing w:after="60" w:afterLines="25" w:line="300" w:lineRule="auto"/>
              <w:rPr>
                <w:rFonts w:ascii="Arial" w:hAnsi="Arial" w:eastAsia="宋体"/>
              </w:rPr>
            </w:pPr>
          </w:p>
        </w:tc>
      </w:tr>
      <w:tr w14:paraId="0C2A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14:paraId="5D83CE8A">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14:paraId="2948D6A7">
            <w:pPr>
              <w:spacing w:after="60" w:afterLines="25" w:line="300" w:lineRule="auto"/>
              <w:rPr>
                <w:rFonts w:ascii="Arial" w:hAnsi="Arial" w:eastAsia="宋体"/>
              </w:rPr>
            </w:pPr>
          </w:p>
        </w:tc>
      </w:tr>
    </w:tbl>
    <w:p w14:paraId="53AE9B18">
      <w:pPr>
        <w:tabs>
          <w:tab w:val="left" w:pos="720"/>
        </w:tabs>
        <w:rPr>
          <w:rFonts w:eastAsia="宋体"/>
          <w:b/>
        </w:rPr>
      </w:pPr>
    </w:p>
    <w:p w14:paraId="0524674B">
      <w:pPr>
        <w:tabs>
          <w:tab w:val="left" w:pos="720"/>
        </w:tabs>
        <w:rPr>
          <w:rFonts w:eastAsia="宋体"/>
          <w:b/>
          <w:color w:val="FF0000"/>
        </w:rPr>
      </w:pPr>
      <w:r>
        <w:rPr>
          <w:rFonts w:hint="eastAsia" w:eastAsia="宋体"/>
          <w:b/>
          <w:color w:val="FF0000"/>
        </w:rPr>
        <w:t>（二）核心产品品牌</w:t>
      </w:r>
    </w:p>
    <w:p w14:paraId="1D333946">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14:paraId="416CE73D">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14:paraId="2668D241">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14:paraId="3627EF69">
      <w:pPr>
        <w:spacing w:after="60" w:afterLines="25" w:line="300" w:lineRule="auto"/>
        <w:rPr>
          <w:rFonts w:ascii="Arial" w:hAnsi="Arial" w:eastAsia="宋体"/>
          <w:b/>
        </w:rPr>
      </w:pPr>
      <w:r>
        <w:rPr>
          <w:rFonts w:hint="eastAsia" w:ascii="Arial" w:hAnsi="Arial" w:eastAsia="宋体"/>
          <w:b/>
        </w:rPr>
        <w:t>（四）供应商认为需要涉及的其他内容报价清单</w:t>
      </w:r>
    </w:p>
    <w:p w14:paraId="3310FBFA">
      <w:pPr>
        <w:spacing w:after="60" w:afterLines="25" w:line="300" w:lineRule="auto"/>
        <w:rPr>
          <w:rFonts w:ascii="Arial" w:hAnsi="Arial" w:eastAsia="宋体"/>
        </w:rPr>
      </w:pPr>
    </w:p>
    <w:p w14:paraId="2458E920">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14:paraId="619016A4">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14:paraId="73300BFF">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14:paraId="29729BCE">
      <w:pPr>
        <w:snapToGrid w:val="0"/>
        <w:rPr>
          <w:rFonts w:ascii="宋体" w:hAnsi="宋体"/>
          <w:b/>
        </w:rPr>
      </w:pPr>
    </w:p>
    <w:p w14:paraId="07D8935B">
      <w:pPr>
        <w:snapToGrid w:val="0"/>
        <w:rPr>
          <w:rFonts w:ascii="宋体" w:hAnsi="宋体"/>
          <w:b/>
        </w:rPr>
      </w:pPr>
      <w:r>
        <w:rPr>
          <w:rFonts w:hint="eastAsia" w:ascii="宋体" w:hAnsi="宋体"/>
          <w:b/>
        </w:rPr>
        <w:t>填写说明：</w:t>
      </w:r>
    </w:p>
    <w:p w14:paraId="7D67C44B">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14:paraId="305F7C4E">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14:paraId="06A67960">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14:paraId="02A69EE5">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14:paraId="531AFA4E">
      <w:pPr>
        <w:snapToGrid w:val="0"/>
        <w:rPr>
          <w:rFonts w:ascii="宋体" w:hAnsi="宋体"/>
        </w:rPr>
      </w:pPr>
    </w:p>
    <w:p w14:paraId="32A6CB63">
      <w:pPr>
        <w:tabs>
          <w:tab w:val="left" w:pos="651"/>
        </w:tabs>
        <w:snapToGrid w:val="0"/>
        <w:rPr>
          <w:rFonts w:ascii="宋体" w:hAnsi="宋体" w:eastAsia="宋体"/>
          <w:color w:val="FF0000"/>
          <w:sz w:val="28"/>
          <w:szCs w:val="28"/>
        </w:rPr>
      </w:pPr>
    </w:p>
    <w:p w14:paraId="256BABC9">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商务（服务）条款偏离表</w:t>
      </w:r>
    </w:p>
    <w:p w14:paraId="33210D85">
      <w:pPr>
        <w:snapToGrid w:val="0"/>
        <w:rPr>
          <w:rFonts w:ascii="Arial" w:hAnsi="Arial" w:eastAsia="宋体" w:cs="Arial"/>
        </w:rPr>
      </w:pPr>
      <w:r>
        <w:rPr>
          <w:rFonts w:hint="eastAsia" w:ascii="Arial" w:hAnsi="Arial" w:eastAsia="宋体" w:cs="Arial"/>
          <w:color w:val="000000"/>
        </w:rPr>
        <w:t>投标单位（投标人）名称：</w:t>
      </w:r>
    </w:p>
    <w:p w14:paraId="7B761CDF">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14:paraId="0808433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3ABAA0D8">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4F40F9A9">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14:paraId="529685D6">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14:paraId="7523C7BA">
            <w:pPr>
              <w:jc w:val="center"/>
              <w:rPr>
                <w:rFonts w:ascii="宋体" w:hAnsi="宋体" w:eastAsia="宋体" w:cs="Arial"/>
                <w:b/>
                <w:szCs w:val="21"/>
              </w:rPr>
            </w:pPr>
            <w:r>
              <w:rPr>
                <w:rFonts w:hint="eastAsia" w:ascii="宋体" w:hAnsi="宋体" w:eastAsia="宋体" w:cs="Arial"/>
                <w:b/>
                <w:szCs w:val="21"/>
              </w:rPr>
              <w:t>说明</w:t>
            </w:r>
          </w:p>
        </w:tc>
      </w:tr>
      <w:tr w14:paraId="3A11E3D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5438D657">
            <w:pPr>
              <w:spacing w:line="300" w:lineRule="auto"/>
              <w:jc w:val="center"/>
              <w:rPr>
                <w:rFonts w:ascii="Arial" w:hAnsi="Arial" w:eastAsia="宋体"/>
              </w:rPr>
            </w:pPr>
            <w:r>
              <w:rPr>
                <w:rFonts w:hint="eastAsia" w:ascii="Arial" w:hAnsi="Arial" w:eastAsia="宋体"/>
              </w:rPr>
              <w:t>1</w:t>
            </w:r>
          </w:p>
        </w:tc>
        <w:tc>
          <w:tcPr>
            <w:tcW w:w="3901" w:type="dxa"/>
            <w:vAlign w:val="center"/>
          </w:tcPr>
          <w:p w14:paraId="3EA6F9B7">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14:paraId="0B6D15D9">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14:paraId="74B5327E">
            <w:pPr>
              <w:rPr>
                <w:rFonts w:ascii="宋体" w:hAnsi="宋体" w:eastAsia="宋体" w:cs="Arial"/>
                <w:szCs w:val="21"/>
              </w:rPr>
            </w:pPr>
            <w:r>
              <w:rPr>
                <w:rFonts w:hint="eastAsia" w:ascii="宋体" w:hAnsi="宋体" w:eastAsia="宋体" w:cs="Arial"/>
                <w:szCs w:val="21"/>
              </w:rPr>
              <w:t>无偏离</w:t>
            </w:r>
          </w:p>
        </w:tc>
      </w:tr>
    </w:tbl>
    <w:p w14:paraId="31FB2A36">
      <w:pPr>
        <w:snapToGrid w:val="0"/>
        <w:rPr>
          <w:rFonts w:ascii="宋体" w:hAnsi="宋体"/>
        </w:rPr>
      </w:pPr>
    </w:p>
    <w:p w14:paraId="0286EC0D">
      <w:pPr>
        <w:snapToGrid w:val="0"/>
        <w:rPr>
          <w:rFonts w:ascii="宋体" w:hAnsi="宋体"/>
          <w:b/>
        </w:rPr>
      </w:pPr>
      <w:r>
        <w:rPr>
          <w:rFonts w:hint="eastAsia" w:ascii="宋体" w:hAnsi="宋体" w:eastAsia="宋体"/>
          <w:b/>
        </w:rPr>
        <w:t>填写说明：</w:t>
      </w:r>
    </w:p>
    <w:p w14:paraId="624BFFF6">
      <w:pPr>
        <w:numPr>
          <w:ilvl w:val="0"/>
          <w:numId w:val="8"/>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14:paraId="5017EE89">
      <w:pPr>
        <w:numPr>
          <w:ilvl w:val="0"/>
          <w:numId w:val="8"/>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1CD7375C">
      <w:pPr>
        <w:numPr>
          <w:ilvl w:val="0"/>
          <w:numId w:val="8"/>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14:paraId="6AD11965">
      <w:pPr>
        <w:rPr>
          <w:rFonts w:ascii="宋体" w:hAnsi="宋体" w:eastAsia="宋体"/>
          <w:color w:val="FF0000"/>
          <w:sz w:val="32"/>
          <w:szCs w:val="32"/>
        </w:rPr>
      </w:pPr>
    </w:p>
    <w:p w14:paraId="4262B4C1">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hint="eastAsia" w:ascii="宋体" w:hAnsi="宋体" w:eastAsia="宋体"/>
          <w:b/>
          <w:bCs/>
          <w:szCs w:val="20"/>
        </w:rPr>
        <w:t>.技术规格偏离表</w:t>
      </w:r>
    </w:p>
    <w:p w14:paraId="0B00A70C">
      <w:pPr>
        <w:snapToGrid w:val="0"/>
        <w:rPr>
          <w:rFonts w:ascii="Arial" w:hAnsi="Arial" w:eastAsia="宋体" w:cs="Arial"/>
          <w:color w:val="000000"/>
          <w:u w:val="single"/>
        </w:rPr>
      </w:pPr>
      <w:r>
        <w:rPr>
          <w:rFonts w:hint="eastAsia" w:ascii="Arial" w:hAnsi="Arial" w:eastAsia="宋体" w:cs="Arial"/>
          <w:color w:val="000000"/>
        </w:rPr>
        <w:t>投标单位（投标人）名称：</w:t>
      </w:r>
    </w:p>
    <w:p w14:paraId="6C635F18">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14:paraId="2512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C035697">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14:paraId="13D924F2">
            <w:pPr>
              <w:snapToGrid w:val="0"/>
              <w:jc w:val="center"/>
              <w:rPr>
                <w:rFonts w:ascii="宋体" w:hAnsi="宋体"/>
                <w:b/>
              </w:rPr>
            </w:pPr>
            <w:r>
              <w:rPr>
                <w:rFonts w:hint="eastAsia" w:ascii="宋体" w:hAnsi="宋体" w:eastAsia="宋体"/>
                <w:b/>
                <w:lang w:eastAsia="zh-CN"/>
              </w:rPr>
              <w:t>服务</w:t>
            </w:r>
            <w:r>
              <w:rPr>
                <w:rFonts w:hint="eastAsia" w:ascii="宋体" w:hAnsi="宋体"/>
                <w:b/>
              </w:rPr>
              <w:t>名称</w:t>
            </w:r>
          </w:p>
        </w:tc>
        <w:tc>
          <w:tcPr>
            <w:tcW w:w="2835" w:type="dxa"/>
            <w:tcBorders>
              <w:top w:val="double" w:color="auto" w:sz="4" w:space="0"/>
              <w:left w:val="double" w:color="auto" w:sz="4" w:space="0"/>
              <w:bottom w:val="double" w:color="auto" w:sz="4" w:space="0"/>
              <w:right w:val="double" w:color="auto" w:sz="4" w:space="0"/>
            </w:tcBorders>
            <w:vAlign w:val="center"/>
          </w:tcPr>
          <w:p w14:paraId="14065190">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14:paraId="15325CAF">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14:paraId="3FDCECF4">
            <w:pPr>
              <w:snapToGrid w:val="0"/>
              <w:jc w:val="center"/>
              <w:rPr>
                <w:rFonts w:ascii="宋体" w:hAnsi="宋体"/>
                <w:b/>
              </w:rPr>
            </w:pPr>
            <w:r>
              <w:rPr>
                <w:rFonts w:hint="eastAsia" w:ascii="宋体" w:hAnsi="宋体"/>
                <w:b/>
              </w:rPr>
              <w:t>说明</w:t>
            </w:r>
          </w:p>
        </w:tc>
      </w:tr>
      <w:tr w14:paraId="3DD7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A95AFD9">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14:paraId="7904D2CA">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FD06367">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0FF2E2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17481843">
            <w:pPr>
              <w:snapToGrid w:val="0"/>
              <w:rPr>
                <w:rFonts w:ascii="宋体" w:hAnsi="宋体"/>
              </w:rPr>
            </w:pPr>
          </w:p>
        </w:tc>
      </w:tr>
      <w:tr w14:paraId="6537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37E9D9A9">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61ED10F8">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4F091FA9">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423148C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5173B2C5">
            <w:pPr>
              <w:snapToGrid w:val="0"/>
              <w:rPr>
                <w:rFonts w:ascii="宋体" w:hAnsi="宋体"/>
              </w:rPr>
            </w:pPr>
          </w:p>
        </w:tc>
      </w:tr>
      <w:tr w14:paraId="7971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4EF4C47A">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247941B4">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9C6F5B0">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EDE5EBC">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12EF0BF">
            <w:pPr>
              <w:snapToGrid w:val="0"/>
              <w:rPr>
                <w:rFonts w:ascii="宋体" w:hAnsi="宋体"/>
              </w:rPr>
            </w:pPr>
          </w:p>
        </w:tc>
      </w:tr>
    </w:tbl>
    <w:p w14:paraId="773480E5">
      <w:pPr>
        <w:snapToGrid w:val="0"/>
        <w:rPr>
          <w:rFonts w:ascii="宋体" w:hAnsi="宋体"/>
        </w:rPr>
      </w:pPr>
      <w:r>
        <w:rPr>
          <w:rFonts w:hint="eastAsia" w:ascii="宋体" w:hAnsi="宋体"/>
        </w:rPr>
        <w:t>此表可延长。</w:t>
      </w:r>
    </w:p>
    <w:p w14:paraId="10FBBBEC">
      <w:pPr>
        <w:snapToGrid w:val="0"/>
        <w:rPr>
          <w:rFonts w:ascii="宋体" w:hAnsi="宋体"/>
        </w:rPr>
      </w:pPr>
    </w:p>
    <w:p w14:paraId="3EBC2DB5">
      <w:pPr>
        <w:snapToGrid w:val="0"/>
        <w:rPr>
          <w:rFonts w:ascii="宋体" w:hAnsi="宋体"/>
          <w:b/>
        </w:rPr>
      </w:pPr>
      <w:r>
        <w:rPr>
          <w:rFonts w:hint="eastAsia" w:ascii="宋体" w:hAnsi="宋体"/>
          <w:b/>
        </w:rPr>
        <w:t>填写说明：</w:t>
      </w:r>
    </w:p>
    <w:p w14:paraId="6D95D87F">
      <w:pPr>
        <w:numPr>
          <w:ilvl w:val="0"/>
          <w:numId w:val="9"/>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000F8AD2">
      <w:pPr>
        <w:numPr>
          <w:ilvl w:val="0"/>
          <w:numId w:val="9"/>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14:paraId="37D52404">
      <w:pPr>
        <w:numPr>
          <w:ilvl w:val="0"/>
          <w:numId w:val="9"/>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14:paraId="79FE33C6">
      <w:pPr>
        <w:rPr>
          <w:rFonts w:ascii="宋体" w:hAnsi="宋体" w:eastAsia="宋体"/>
          <w:color w:val="FF0000"/>
          <w:sz w:val="32"/>
          <w:szCs w:val="32"/>
        </w:rPr>
      </w:pPr>
      <w:r>
        <w:br w:type="page"/>
      </w:r>
    </w:p>
    <w:p w14:paraId="25D5A6C6">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14.</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14:paraId="4390FAF0">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311ACC8">
      <w:pPr>
        <w:pStyle w:val="16"/>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15.售后服务相关资料</w:t>
      </w:r>
      <w:r>
        <w:rPr>
          <w:rFonts w:hint="eastAsia" w:ascii="宋体" w:hAnsi="宋体" w:eastAsia="宋体" w:cs="Times New Roman"/>
          <w:b/>
          <w:bCs/>
          <w:sz w:val="21"/>
          <w:szCs w:val="20"/>
          <w:lang w:val="en-US" w:eastAsia="zh-CN"/>
        </w:rPr>
        <w:t>(如有)</w:t>
      </w:r>
    </w:p>
    <w:p w14:paraId="2F2CE29C">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7BDCB80">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16.产品检测报告(如有)</w:t>
      </w:r>
    </w:p>
    <w:p w14:paraId="165E9E00">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139BEE3">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17.节能产品认证证书</w:t>
      </w:r>
    </w:p>
    <w:p w14:paraId="752B2BCB">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3762F574">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18.设计、施工方案的合理性评价(如有)</w:t>
      </w:r>
    </w:p>
    <w:p w14:paraId="486C13E4">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4389D8C">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19.其他招标文件要求或投标人认为需要补充的内容(如有)</w:t>
      </w:r>
    </w:p>
    <w:p w14:paraId="55251175">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D887BE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center"/>
        <w:rPr>
          <w:rStyle w:val="20"/>
          <w:rFonts w:hint="eastAsia" w:ascii="微软雅黑" w:hAnsi="微软雅黑" w:eastAsia="微软雅黑" w:cs="微软雅黑"/>
          <w:b/>
          <w:bCs/>
          <w:i w:val="0"/>
          <w:iCs w:val="0"/>
          <w:caps w:val="0"/>
          <w:color w:val="FF0000"/>
          <w:spacing w:val="0"/>
          <w:sz w:val="32"/>
          <w:szCs w:val="32"/>
          <w:lang w:val="en-US" w:eastAsia="zh-CN"/>
        </w:rPr>
      </w:pPr>
      <w:r>
        <w:rPr>
          <w:rStyle w:val="20"/>
          <w:rFonts w:hint="eastAsia" w:ascii="微软雅黑" w:hAnsi="微软雅黑" w:eastAsia="微软雅黑" w:cs="微软雅黑"/>
          <w:b/>
          <w:bCs/>
          <w:i w:val="0"/>
          <w:iCs w:val="0"/>
          <w:caps w:val="0"/>
          <w:color w:val="FF0000"/>
          <w:spacing w:val="0"/>
          <w:sz w:val="32"/>
          <w:szCs w:val="32"/>
          <w:lang w:val="en-US" w:eastAsia="zh-CN"/>
        </w:rPr>
        <w:t>20关于符合本国产品标准的声明函</w:t>
      </w:r>
    </w:p>
    <w:p w14:paraId="63B3850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color w:val="FF0000"/>
          <w:highlight w:val="none"/>
        </w:rPr>
      </w:pPr>
      <w:r>
        <w:rPr>
          <w:rFonts w:hint="eastAsia" w:ascii="微软雅黑" w:hAnsi="微软雅黑" w:eastAsia="微软雅黑" w:cs="微软雅黑"/>
          <w:i w:val="0"/>
          <w:iCs w:val="0"/>
          <w:caps w:val="0"/>
          <w:color w:val="232323"/>
          <w:spacing w:val="0"/>
          <w:sz w:val="21"/>
          <w:szCs w:val="21"/>
        </w:rPr>
        <w:t> </w:t>
      </w:r>
      <w:r>
        <w:rPr>
          <w:rFonts w:hint="eastAsia" w:ascii="微软雅黑" w:hAnsi="微软雅黑" w:eastAsia="微软雅黑" w:cs="微软雅黑"/>
          <w:i w:val="0"/>
          <w:iCs w:val="0"/>
          <w:caps w:val="0"/>
          <w:color w:val="FF0000"/>
          <w:spacing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33E7B83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1BD5256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6FD3EBF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w:t>
      </w:r>
    </w:p>
    <w:p w14:paraId="70A9BC3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本公司（单位）对上述声明内容的真实性负责。如有虚假，愿承担相应法律责任。</w:t>
      </w:r>
    </w:p>
    <w:p w14:paraId="3523EF1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 公司（单位）名称（盖章）：　        </w:t>
      </w:r>
    </w:p>
    <w:p w14:paraId="0707FA2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日期：　     年　  月　  日         </w:t>
      </w:r>
    </w:p>
    <w:p w14:paraId="2D00A8E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1.产品如有型号，请在“产品名称”栏一并填写。</w:t>
      </w:r>
    </w:p>
    <w:p w14:paraId="3F9147C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2.生产厂名与厂址应与生产厂营业执照载明的相关信息保持一致。</w:t>
      </w:r>
    </w:p>
    <w:p w14:paraId="4511509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3.该产品的中国境内生产的组件成本占比相关要求实施前，“规定比例”栏可不填，下同。</w:t>
      </w:r>
    </w:p>
    <w:p w14:paraId="5056079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4.该产品的关键组件要求实施前，“关键组件”栏可不填，下同。</w:t>
      </w:r>
    </w:p>
    <w:p w14:paraId="6354793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5.该产品的关键工序要求实施前，“关键工序”栏可不填，下同。</w:t>
      </w:r>
    </w:p>
    <w:p w14:paraId="3E096A6B">
      <w:pPr>
        <w:spacing w:after="60" w:afterLines="25" w:line="300" w:lineRule="auto"/>
        <w:rPr>
          <w:rFonts w:ascii="宋体" w:hAnsi="宋体" w:eastAsia="宋体"/>
          <w:color w:val="FF0000"/>
          <w:sz w:val="32"/>
          <w:szCs w:val="32"/>
        </w:rPr>
      </w:pPr>
      <w:r>
        <w:br w:type="page"/>
      </w:r>
    </w:p>
    <w:p w14:paraId="53AE014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14:paraId="0D42EE1A">
      <w:pPr>
        <w:jc w:val="center"/>
        <w:rPr>
          <w:rFonts w:ascii="宋体" w:hAnsi="宋体" w:eastAsia="黑体"/>
          <w:bCs/>
          <w:kern w:val="44"/>
          <w:sz w:val="28"/>
          <w:szCs w:val="44"/>
        </w:rPr>
      </w:pPr>
      <w:bookmarkStart w:id="16" w:name="_Hlk72574405"/>
      <w:r>
        <w:rPr>
          <w:rFonts w:hint="eastAsia"/>
          <w:b/>
        </w:rPr>
        <w:t>（仅供参考，具体以项目需求及采购结果为准）</w:t>
      </w:r>
      <w:bookmarkEnd w:id="16"/>
    </w:p>
    <w:p w14:paraId="691A6233">
      <w:pPr>
        <w:snapToGrid w:val="0"/>
        <w:spacing w:line="300" w:lineRule="auto"/>
        <w:jc w:val="center"/>
        <w:rPr>
          <w:rFonts w:ascii="仿宋" w:hAnsi="仿宋" w:eastAsia="仿宋"/>
          <w:sz w:val="28"/>
          <w:szCs w:val="28"/>
        </w:rPr>
      </w:pPr>
    </w:p>
    <w:p w14:paraId="17D3091C">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14:paraId="02CDF205">
      <w:pPr>
        <w:snapToGrid w:val="0"/>
        <w:spacing w:line="300" w:lineRule="auto"/>
        <w:rPr>
          <w:rFonts w:ascii="仿宋" w:hAnsi="仿宋" w:eastAsia="仿宋"/>
          <w:sz w:val="28"/>
          <w:szCs w:val="28"/>
        </w:rPr>
      </w:pPr>
      <w:r>
        <w:rPr>
          <w:rFonts w:ascii="仿宋" w:hAnsi="仿宋" w:eastAsia="仿宋"/>
          <w:sz w:val="28"/>
          <w:szCs w:val="28"/>
        </w:rPr>
        <w:t>住所地：住所地：</w:t>
      </w:r>
    </w:p>
    <w:p w14:paraId="3D890B87">
      <w:pPr>
        <w:snapToGrid w:val="0"/>
        <w:spacing w:line="300" w:lineRule="auto"/>
        <w:rPr>
          <w:rFonts w:ascii="仿宋" w:hAnsi="仿宋" w:eastAsia="仿宋"/>
          <w:sz w:val="28"/>
          <w:szCs w:val="28"/>
        </w:rPr>
      </w:pPr>
      <w:r>
        <w:rPr>
          <w:rFonts w:ascii="仿宋" w:hAnsi="仿宋" w:eastAsia="仿宋"/>
          <w:sz w:val="28"/>
          <w:szCs w:val="28"/>
        </w:rPr>
        <w:t>法定代表人：法定代表人：</w:t>
      </w:r>
    </w:p>
    <w:p w14:paraId="218A8B7D">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14:paraId="522A1415">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14:paraId="37A4DCC6">
      <w:pPr>
        <w:snapToGrid w:val="0"/>
        <w:spacing w:line="300" w:lineRule="auto"/>
        <w:rPr>
          <w:rFonts w:ascii="仿宋" w:hAnsi="仿宋" w:eastAsia="仿宋"/>
          <w:sz w:val="28"/>
          <w:szCs w:val="28"/>
        </w:rPr>
      </w:pPr>
      <w:r>
        <w:rPr>
          <w:rFonts w:ascii="仿宋" w:hAnsi="仿宋" w:eastAsia="仿宋"/>
          <w:sz w:val="28"/>
          <w:szCs w:val="28"/>
        </w:rPr>
        <w:t>传真：传真：</w:t>
      </w:r>
    </w:p>
    <w:p w14:paraId="07ACAABB">
      <w:pPr>
        <w:snapToGrid w:val="0"/>
        <w:spacing w:line="300" w:lineRule="auto"/>
        <w:rPr>
          <w:rFonts w:ascii="仿宋" w:hAnsi="仿宋" w:eastAsia="仿宋"/>
          <w:sz w:val="28"/>
          <w:szCs w:val="28"/>
        </w:rPr>
      </w:pPr>
    </w:p>
    <w:p w14:paraId="18A697F2">
      <w:pPr>
        <w:numPr>
          <w:ilvl w:val="0"/>
          <w:numId w:val="10"/>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14:paraId="7C5E2BCD">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14:paraId="7B175423">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14:paraId="58F288F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14:paraId="62D9C72D">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14:paraId="3860908F">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14:paraId="17874D15">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14:paraId="1F11665C">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32D75788">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14:paraId="1741D420">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582C7A2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14:paraId="4C18D9CF">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65F90B3">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14:paraId="0397AB12">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14:paraId="417B6264">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14:paraId="23625040">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14:paraId="0B37F9EB">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14:paraId="165F1EF8">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4818D319">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14:paraId="2955AEF5">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14:paraId="0B75AD2D">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14:paraId="2D7B9D4A">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14:paraId="43114A7A">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14:paraId="0CEE1EDD">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714632DE">
      <w:pPr>
        <w:snapToGrid w:val="0"/>
        <w:spacing w:line="300" w:lineRule="auto"/>
        <w:ind w:firstLine="200"/>
        <w:rPr>
          <w:rFonts w:ascii="仿宋" w:hAnsi="仿宋" w:eastAsia="仿宋"/>
          <w:sz w:val="28"/>
          <w:szCs w:val="28"/>
        </w:rPr>
      </w:pPr>
    </w:p>
    <w:p w14:paraId="1DDD1B2E">
      <w:pPr>
        <w:snapToGrid w:val="0"/>
        <w:spacing w:line="300" w:lineRule="auto"/>
        <w:ind w:firstLine="200"/>
        <w:rPr>
          <w:rFonts w:ascii="仿宋" w:hAnsi="仿宋" w:eastAsia="仿宋"/>
          <w:sz w:val="28"/>
          <w:szCs w:val="28"/>
        </w:rPr>
      </w:pPr>
    </w:p>
    <w:p w14:paraId="569873A4">
      <w:pPr>
        <w:snapToGrid w:val="0"/>
        <w:spacing w:line="300" w:lineRule="auto"/>
        <w:ind w:firstLine="200"/>
        <w:rPr>
          <w:rFonts w:ascii="仿宋" w:hAnsi="仿宋" w:eastAsia="仿宋"/>
          <w:sz w:val="28"/>
          <w:szCs w:val="28"/>
        </w:rPr>
      </w:pPr>
    </w:p>
    <w:p w14:paraId="0BE1DEE3">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14:paraId="0C5C38E8">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14:paraId="28BCABBC">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14:paraId="4160B796">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14:paraId="557E17A8">
      <w:pPr>
        <w:rPr>
          <w:rFonts w:ascii="Arial" w:hAnsi="Arial" w:eastAsia="宋体"/>
          <w:color w:val="FF0000"/>
        </w:rPr>
      </w:pPr>
    </w:p>
    <w:p w14:paraId="7CB6FDF7">
      <w:pPr>
        <w:rPr>
          <w:rFonts w:ascii="宋体" w:hAnsi="宋体" w:eastAsia="黑体"/>
          <w:b/>
          <w:bCs/>
          <w:color w:val="0000FF"/>
          <w:kern w:val="44"/>
          <w:sz w:val="36"/>
          <w:szCs w:val="44"/>
        </w:rPr>
      </w:pPr>
      <w:r>
        <w:br w:type="page"/>
      </w:r>
    </w:p>
    <w:p w14:paraId="156718A0">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14:paraId="05DABB6B">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7" w:name="_Hlk72399513"/>
      <w:r>
        <w:rPr>
          <w:rFonts w:hint="eastAsia" w:ascii="Cambria" w:hAnsi="Cambria" w:eastAsia="宋体"/>
          <w:b/>
          <w:bCs/>
          <w:sz w:val="28"/>
          <w:szCs w:val="28"/>
        </w:rPr>
        <w:t>总则</w:t>
      </w:r>
      <w:bookmarkEnd w:id="17"/>
    </w:p>
    <w:p w14:paraId="5FB4D4CC">
      <w:pPr>
        <w:outlineLvl w:val="2"/>
        <w:rPr>
          <w:rFonts w:ascii="黑体" w:hAnsi="宋体" w:eastAsia="黑体"/>
        </w:rPr>
      </w:pPr>
      <w:r>
        <w:rPr>
          <w:rFonts w:hint="eastAsia" w:ascii="黑体" w:hAnsi="宋体" w:eastAsia="黑体"/>
        </w:rPr>
        <w:t>1. 通用条款说明</w:t>
      </w:r>
    </w:p>
    <w:p w14:paraId="3C76D0CC">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8"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8"/>
    </w:p>
    <w:p w14:paraId="0B22FEDA">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14:paraId="71BFB224">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14:paraId="62D6A2EE">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14:paraId="692C8167">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14:paraId="4A23C277">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14:paraId="144D6998">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14:paraId="348F9D52">
      <w:pPr>
        <w:outlineLvl w:val="2"/>
        <w:rPr>
          <w:rFonts w:ascii="黑体" w:hAnsi="宋体" w:eastAsia="黑体"/>
        </w:rPr>
      </w:pPr>
      <w:r>
        <w:rPr>
          <w:rFonts w:hint="eastAsia" w:ascii="黑体" w:hAnsi="宋体" w:eastAsia="黑体"/>
        </w:rPr>
        <w:t>3．定义</w:t>
      </w:r>
    </w:p>
    <w:p w14:paraId="6D11FFEB">
      <w:pPr>
        <w:ind w:firstLine="480" w:firstLineChars="200"/>
        <w:rPr>
          <w:rFonts w:ascii="宋体" w:hAnsi="宋体" w:eastAsia="宋体"/>
          <w:szCs w:val="21"/>
        </w:rPr>
      </w:pPr>
      <w:r>
        <w:rPr>
          <w:rFonts w:ascii="宋体" w:hAnsi="宋体" w:eastAsia="宋体"/>
          <w:szCs w:val="21"/>
        </w:rPr>
        <w:t>招标文件中下列术语应解释为：</w:t>
      </w:r>
    </w:p>
    <w:p w14:paraId="26CADFE0">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14:paraId="007BAB2F">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14:paraId="67CC4544">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14:paraId="4E8E58A4">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14:paraId="38D82E52">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14:paraId="00DCF014">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14:paraId="774B3E7A">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9" w:name="_Hlk72398581"/>
      <w:r>
        <w:rPr>
          <w:rFonts w:hint="eastAsia" w:ascii="宋体" w:hAnsi="宋体" w:eastAsia="宋体"/>
          <w:szCs w:val="21"/>
        </w:rPr>
        <w:t>；</w:t>
      </w:r>
      <w:bookmarkEnd w:id="19"/>
    </w:p>
    <w:p w14:paraId="17B69F91">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14:paraId="268D55F8">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14:paraId="12DD08B6">
      <w:pPr>
        <w:outlineLvl w:val="2"/>
        <w:rPr>
          <w:rFonts w:ascii="黑体" w:hAnsi="宋体" w:eastAsia="黑体"/>
        </w:rPr>
      </w:pPr>
      <w:r>
        <w:rPr>
          <w:rFonts w:hint="eastAsia" w:ascii="黑体" w:hAnsi="宋体" w:eastAsia="黑体"/>
        </w:rPr>
        <w:t xml:space="preserve">4. </w:t>
      </w:r>
      <w:bookmarkStart w:id="20" w:name="_Hlk72398643"/>
      <w:r>
        <w:rPr>
          <w:rFonts w:hint="eastAsia" w:ascii="黑体" w:hAnsi="宋体" w:eastAsia="黑体"/>
        </w:rPr>
        <w:t>政府采购供应商责任</w:t>
      </w:r>
    </w:p>
    <w:p w14:paraId="5D8FAA73">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14:paraId="49B8EC4C">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14:paraId="3D7F456A">
      <w:pPr>
        <w:outlineLvl w:val="2"/>
        <w:rPr>
          <w:rFonts w:ascii="黑体" w:hAnsi="宋体" w:eastAsia="黑体"/>
        </w:rPr>
      </w:pPr>
      <w:r>
        <w:rPr>
          <w:rFonts w:hint="eastAsia" w:ascii="黑体" w:hAnsi="宋体" w:eastAsia="黑体"/>
        </w:rPr>
        <w:t>5．投标人参加政府采购的条件</w:t>
      </w:r>
    </w:p>
    <w:p w14:paraId="2581FD7B">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14:paraId="1D8D1BF4">
      <w:pPr>
        <w:ind w:firstLine="470" w:firstLineChars="196"/>
        <w:rPr>
          <w:rFonts w:ascii="宋体" w:hAnsi="宋体" w:eastAsia="宋体"/>
          <w:szCs w:val="21"/>
        </w:rPr>
      </w:pPr>
      <w:r>
        <w:rPr>
          <w:rFonts w:hint="eastAsia" w:ascii="宋体" w:hAnsi="宋体" w:eastAsia="宋体"/>
          <w:szCs w:val="21"/>
        </w:rPr>
        <w:t>5.2投标人资格要求</w:t>
      </w:r>
    </w:p>
    <w:p w14:paraId="12F04404">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14:paraId="06EE704A">
      <w:pPr>
        <w:ind w:firstLine="470" w:firstLineChars="196"/>
        <w:rPr>
          <w:rFonts w:ascii="宋体" w:hAnsi="宋体" w:eastAsia="宋体"/>
          <w:szCs w:val="21"/>
        </w:rPr>
      </w:pPr>
      <w:r>
        <w:rPr>
          <w:rFonts w:hint="eastAsia" w:ascii="宋体" w:hAnsi="宋体" w:eastAsia="宋体"/>
          <w:szCs w:val="21"/>
        </w:rPr>
        <w:t>5.3联合体投标</w:t>
      </w:r>
    </w:p>
    <w:p w14:paraId="79311B25">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14:paraId="482F22EF">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14:paraId="360DEB20">
      <w:pPr>
        <w:ind w:firstLine="470" w:firstLineChars="196"/>
        <w:rPr>
          <w:rFonts w:ascii="宋体" w:hAnsi="宋体" w:eastAsia="宋体"/>
        </w:rPr>
      </w:pPr>
      <w:r>
        <w:rPr>
          <w:rFonts w:hint="eastAsia" w:ascii="宋体" w:hAnsi="宋体" w:eastAsia="宋体"/>
        </w:rPr>
        <w:t>（1）投标联合体各方参加政府采购活动应当具备下列条件：</w:t>
      </w:r>
    </w:p>
    <w:p w14:paraId="1AD38F08">
      <w:pPr>
        <w:ind w:left="480" w:leftChars="200" w:firstLine="470" w:firstLineChars="196"/>
        <w:rPr>
          <w:rFonts w:ascii="宋体" w:hAnsi="宋体" w:eastAsia="宋体"/>
        </w:rPr>
      </w:pPr>
      <w:r>
        <w:rPr>
          <w:rFonts w:hint="eastAsia" w:ascii="宋体" w:hAnsi="宋体" w:eastAsia="宋体"/>
        </w:rPr>
        <w:t>1、具有独立承担民事责任的能力；</w:t>
      </w:r>
    </w:p>
    <w:p w14:paraId="17D8E4A5">
      <w:pPr>
        <w:ind w:left="420" w:firstLine="470" w:firstLineChars="196"/>
        <w:rPr>
          <w:rFonts w:ascii="宋体" w:hAnsi="宋体" w:eastAsia="宋体"/>
        </w:rPr>
      </w:pPr>
      <w:r>
        <w:rPr>
          <w:rFonts w:hint="eastAsia" w:ascii="宋体" w:hAnsi="宋体" w:eastAsia="宋体"/>
        </w:rPr>
        <w:t>2、有良好的商业信誉和健全的财务会计制度；</w:t>
      </w:r>
    </w:p>
    <w:p w14:paraId="2607CC84">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14:paraId="7B4D513C">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14:paraId="0BDE4EE7">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14:paraId="12ED74D8">
      <w:pPr>
        <w:ind w:left="480" w:leftChars="200" w:firstLine="470" w:firstLineChars="196"/>
        <w:rPr>
          <w:rFonts w:ascii="宋体" w:hAnsi="宋体" w:eastAsia="宋体"/>
        </w:rPr>
      </w:pPr>
      <w:r>
        <w:rPr>
          <w:rFonts w:hint="eastAsia" w:ascii="宋体" w:hAnsi="宋体" w:eastAsia="宋体"/>
        </w:rPr>
        <w:t>6、法律、行政法规规定的其他条件。</w:t>
      </w:r>
    </w:p>
    <w:p w14:paraId="1C26BE44">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14:paraId="46F8D3F8">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14:paraId="56ED8331">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14:paraId="650CE2BE">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14:paraId="3FD1A987">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14:paraId="15AA0476">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14:paraId="010D9935">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6EA6887E">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14:paraId="61770795">
      <w:pPr>
        <w:outlineLvl w:val="2"/>
        <w:rPr>
          <w:rFonts w:ascii="黑体" w:hAnsi="宋体" w:eastAsia="黑体"/>
        </w:rPr>
      </w:pPr>
      <w:r>
        <w:rPr>
          <w:rFonts w:hint="eastAsia" w:ascii="黑体" w:hAnsi="宋体" w:eastAsia="黑体"/>
        </w:rPr>
        <w:t>6．政策导向</w:t>
      </w:r>
    </w:p>
    <w:p w14:paraId="44F421AC">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14:paraId="474EEC51">
      <w:pPr>
        <w:ind w:firstLine="405"/>
        <w:rPr>
          <w:rFonts w:eastAsia="宋体"/>
          <w:shd w:val="clear" w:color="auto" w:fill="FFFFFF"/>
        </w:rPr>
      </w:pPr>
      <w:r>
        <w:rPr>
          <w:rFonts w:hint="eastAsia" w:ascii="宋体" w:hAnsi="宋体" w:eastAsia="宋体"/>
        </w:rPr>
        <w:t>6.2本项目落实政府采购供应商诚信管理政策要求。</w:t>
      </w:r>
    </w:p>
    <w:p w14:paraId="7AD2D5EA">
      <w:pPr>
        <w:outlineLvl w:val="2"/>
        <w:rPr>
          <w:rFonts w:ascii="黑体" w:hAnsi="宋体" w:eastAsia="黑体"/>
        </w:rPr>
      </w:pPr>
      <w:r>
        <w:rPr>
          <w:rFonts w:hint="eastAsia" w:ascii="黑体" w:hAnsi="宋体" w:eastAsia="黑体"/>
        </w:rPr>
        <w:t>7. 本项目若涉及采购货物，则合格的货物及相应服务应满足以下要求：</w:t>
      </w:r>
    </w:p>
    <w:p w14:paraId="25126181">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14:paraId="2E012807">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14:paraId="29FF1627">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6F116E3">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1"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1"/>
    </w:p>
    <w:p w14:paraId="065FD5DF">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A4BB9DC">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14:paraId="4D1A5C37">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14:paraId="24A9BF08">
      <w:pPr>
        <w:outlineLvl w:val="2"/>
        <w:rPr>
          <w:rFonts w:ascii="黑体" w:hAnsi="宋体" w:eastAsia="黑体"/>
        </w:rPr>
      </w:pPr>
      <w:r>
        <w:rPr>
          <w:rFonts w:hint="eastAsia" w:ascii="黑体" w:hAnsi="宋体" w:eastAsia="黑体"/>
        </w:rPr>
        <w:t>8．投标费用</w:t>
      </w:r>
    </w:p>
    <w:p w14:paraId="661EC641">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14:paraId="3ACD6DC9">
      <w:pPr>
        <w:outlineLvl w:val="2"/>
        <w:rPr>
          <w:rFonts w:ascii="黑体" w:hAnsi="宋体" w:eastAsia="黑体"/>
        </w:rPr>
      </w:pPr>
      <w:r>
        <w:rPr>
          <w:rFonts w:hint="eastAsia" w:ascii="黑体" w:hAnsi="宋体" w:eastAsia="黑体"/>
        </w:rPr>
        <w:t>9．踏勘现场</w:t>
      </w:r>
    </w:p>
    <w:p w14:paraId="259902B8">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70577BB">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14:paraId="3981BE79">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14:paraId="4D062E1D">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14:paraId="4B1312EA">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14:paraId="4C6C0EEC">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14:paraId="4725D7E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14:paraId="660C6EEC">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14:paraId="3940623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20"/>
    </w:p>
    <w:p w14:paraId="4839C9F4">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14:paraId="2074249E">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2" w:name="_Hlk72399819"/>
      <w:r>
        <w:rPr>
          <w:rFonts w:hint="eastAsia" w:ascii="黑体" w:hAnsi="宋体" w:eastAsia="黑体"/>
        </w:rPr>
        <w:t>招标文件的编制与组成</w:t>
      </w:r>
    </w:p>
    <w:p w14:paraId="0C5D90D9">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14:paraId="697CB4EC">
      <w:pPr>
        <w:ind w:firstLine="470" w:firstLineChars="196"/>
        <w:rPr>
          <w:rFonts w:ascii="宋体" w:hAnsi="宋体" w:eastAsia="宋体"/>
          <w:szCs w:val="21"/>
        </w:rPr>
      </w:pPr>
      <w:r>
        <w:rPr>
          <w:rFonts w:hint="eastAsia" w:ascii="宋体" w:hAnsi="宋体" w:eastAsia="宋体"/>
          <w:szCs w:val="21"/>
        </w:rPr>
        <w:t>招标文件包括下列内容：</w:t>
      </w:r>
    </w:p>
    <w:p w14:paraId="62102134">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14:paraId="33661545">
      <w:pPr>
        <w:ind w:left="1234" w:leftChars="514"/>
        <w:rPr>
          <w:rFonts w:ascii="宋体" w:hAnsi="宋体" w:eastAsia="宋体"/>
          <w:b/>
          <w:szCs w:val="21"/>
        </w:rPr>
      </w:pPr>
      <w:r>
        <w:rPr>
          <w:rFonts w:hint="eastAsia" w:ascii="宋体" w:hAnsi="宋体" w:eastAsia="宋体"/>
          <w:b/>
          <w:szCs w:val="21"/>
        </w:rPr>
        <w:t>关键信息</w:t>
      </w:r>
    </w:p>
    <w:p w14:paraId="2B48560D">
      <w:pPr>
        <w:ind w:left="720" w:leftChars="300" w:firstLine="470" w:firstLineChars="196"/>
        <w:rPr>
          <w:rFonts w:ascii="宋体" w:hAnsi="宋体" w:eastAsia="宋体"/>
          <w:szCs w:val="21"/>
        </w:rPr>
      </w:pPr>
      <w:r>
        <w:rPr>
          <w:rFonts w:hint="eastAsia" w:ascii="宋体" w:hAnsi="宋体" w:eastAsia="宋体"/>
          <w:szCs w:val="21"/>
        </w:rPr>
        <w:t>第一章  招标公告</w:t>
      </w:r>
    </w:p>
    <w:p w14:paraId="56F2E240">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14:paraId="2365A5E3">
      <w:pPr>
        <w:ind w:left="720" w:leftChars="300" w:firstLine="470" w:firstLineChars="196"/>
        <w:rPr>
          <w:rFonts w:ascii="宋体" w:hAnsi="宋体" w:eastAsia="宋体"/>
          <w:szCs w:val="21"/>
        </w:rPr>
      </w:pPr>
      <w:r>
        <w:rPr>
          <w:rFonts w:hint="eastAsia" w:ascii="宋体" w:hAnsi="宋体" w:eastAsia="宋体"/>
          <w:szCs w:val="21"/>
        </w:rPr>
        <w:t>第三章  用户需求书</w:t>
      </w:r>
    </w:p>
    <w:p w14:paraId="227E3819">
      <w:pPr>
        <w:ind w:left="720" w:leftChars="300" w:firstLine="470" w:firstLineChars="196"/>
        <w:rPr>
          <w:rFonts w:ascii="宋体" w:hAnsi="宋体" w:eastAsia="宋体"/>
          <w:szCs w:val="21"/>
        </w:rPr>
      </w:pPr>
      <w:r>
        <w:rPr>
          <w:rFonts w:hint="eastAsia" w:eastAsia="宋体"/>
        </w:rPr>
        <w:t>第四章投标文件格式及附件</w:t>
      </w:r>
    </w:p>
    <w:p w14:paraId="0E648909">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14:paraId="37F01539">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14:paraId="5E4AA023">
      <w:pPr>
        <w:ind w:left="720" w:leftChars="300" w:firstLine="470" w:firstLineChars="196"/>
        <w:rPr>
          <w:rFonts w:ascii="宋体" w:hAnsi="宋体" w:eastAsia="宋体"/>
          <w:szCs w:val="21"/>
        </w:rPr>
      </w:pPr>
      <w:r>
        <w:rPr>
          <w:rFonts w:hint="eastAsia" w:ascii="宋体" w:hAnsi="宋体" w:eastAsia="宋体"/>
          <w:szCs w:val="21"/>
        </w:rPr>
        <w:t>第一章  总则</w:t>
      </w:r>
    </w:p>
    <w:p w14:paraId="1E6240EA">
      <w:pPr>
        <w:ind w:left="720" w:leftChars="300" w:firstLine="470" w:firstLineChars="196"/>
        <w:rPr>
          <w:rFonts w:ascii="宋体" w:hAnsi="宋体" w:eastAsia="宋体"/>
          <w:szCs w:val="21"/>
        </w:rPr>
      </w:pPr>
      <w:r>
        <w:rPr>
          <w:rFonts w:hint="eastAsia" w:ascii="宋体" w:hAnsi="宋体" w:eastAsia="宋体"/>
          <w:szCs w:val="21"/>
        </w:rPr>
        <w:t>第二章  招标文件</w:t>
      </w:r>
    </w:p>
    <w:p w14:paraId="18C0FD60">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14:paraId="537252E5">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14:paraId="3BC7EBC3">
      <w:pPr>
        <w:ind w:left="720" w:leftChars="300" w:firstLine="470" w:firstLineChars="196"/>
        <w:rPr>
          <w:rFonts w:ascii="宋体" w:hAnsi="宋体" w:eastAsia="宋体"/>
          <w:szCs w:val="21"/>
        </w:rPr>
      </w:pPr>
      <w:r>
        <w:rPr>
          <w:rFonts w:hint="eastAsia" w:ascii="宋体" w:hAnsi="宋体" w:eastAsia="宋体"/>
          <w:szCs w:val="21"/>
        </w:rPr>
        <w:t>第五章  开标</w:t>
      </w:r>
    </w:p>
    <w:p w14:paraId="03377CD3">
      <w:pPr>
        <w:ind w:left="720" w:leftChars="300" w:firstLine="470" w:firstLineChars="196"/>
        <w:rPr>
          <w:rFonts w:ascii="宋体" w:hAnsi="宋体" w:eastAsia="宋体"/>
          <w:szCs w:val="21"/>
        </w:rPr>
      </w:pPr>
      <w:r>
        <w:rPr>
          <w:rFonts w:hint="eastAsia" w:ascii="宋体" w:hAnsi="宋体" w:eastAsia="宋体"/>
          <w:szCs w:val="21"/>
        </w:rPr>
        <w:t>第六章  评审要求</w:t>
      </w:r>
    </w:p>
    <w:p w14:paraId="33D4F11E">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14:paraId="54F319DF">
      <w:pPr>
        <w:ind w:left="720" w:leftChars="300" w:firstLine="470" w:firstLineChars="196"/>
        <w:rPr>
          <w:rFonts w:ascii="宋体" w:hAnsi="宋体" w:eastAsia="宋体"/>
          <w:szCs w:val="21"/>
        </w:rPr>
      </w:pPr>
      <w:r>
        <w:rPr>
          <w:rFonts w:hint="eastAsia" w:ascii="宋体" w:hAnsi="宋体" w:eastAsia="宋体"/>
          <w:szCs w:val="21"/>
        </w:rPr>
        <w:t>第八章  定标及公示</w:t>
      </w:r>
    </w:p>
    <w:p w14:paraId="17ADA176">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14:paraId="3658B3EE">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14:paraId="0F9791C8">
      <w:pPr>
        <w:ind w:left="720" w:leftChars="300" w:firstLine="470" w:firstLineChars="196"/>
        <w:rPr>
          <w:rFonts w:ascii="宋体" w:hAnsi="宋体" w:eastAsia="宋体"/>
          <w:szCs w:val="21"/>
        </w:rPr>
      </w:pPr>
      <w:r>
        <w:rPr>
          <w:rFonts w:hint="eastAsia" w:ascii="宋体" w:hAnsi="宋体" w:eastAsia="宋体"/>
          <w:szCs w:val="21"/>
        </w:rPr>
        <w:t>第十一章  质疑处理</w:t>
      </w:r>
    </w:p>
    <w:p w14:paraId="1603ADEA">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FEF30E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14:paraId="70C9ADA4">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14:paraId="382780F5">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14:paraId="75CD7C0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14:paraId="02C01CA1">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14:paraId="7F05DB18">
      <w:pPr>
        <w:rPr>
          <w:rFonts w:ascii="黑体" w:hAnsi="宋体" w:eastAsia="黑体"/>
        </w:rPr>
      </w:pPr>
      <w:r>
        <w:rPr>
          <w:rFonts w:ascii="黑体" w:hAnsi="宋体" w:eastAsia="黑体"/>
        </w:rPr>
        <w:t>1</w:t>
      </w:r>
      <w:r>
        <w:rPr>
          <w:rFonts w:hint="eastAsia" w:ascii="黑体" w:hAnsi="宋体" w:eastAsia="黑体"/>
        </w:rPr>
        <w:t>3．招标文件的修改</w:t>
      </w:r>
    </w:p>
    <w:p w14:paraId="3557EF6B">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14:paraId="0F50CAC9">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14:paraId="420F479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14:paraId="444DFD63">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2"/>
    </w:p>
    <w:p w14:paraId="4691DF85">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投标文件的编制</w:t>
      </w:r>
    </w:p>
    <w:p w14:paraId="45112BD5">
      <w:pPr>
        <w:rPr>
          <w:rFonts w:ascii="黑体" w:hAnsi="宋体" w:eastAsia="黑体"/>
        </w:rPr>
      </w:pPr>
      <w:r>
        <w:rPr>
          <w:rFonts w:hint="eastAsia" w:ascii="黑体" w:hAnsi="宋体" w:eastAsia="黑体"/>
        </w:rPr>
        <w:t>14．</w:t>
      </w:r>
      <w:bookmarkStart w:id="23" w:name="_Hlk72400236"/>
      <w:r>
        <w:rPr>
          <w:rFonts w:hint="eastAsia" w:ascii="黑体" w:hAnsi="宋体" w:eastAsia="黑体"/>
        </w:rPr>
        <w:t>投标文件的语言及度量单位</w:t>
      </w:r>
    </w:p>
    <w:p w14:paraId="2C998B45">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44D8705">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3"/>
    </w:p>
    <w:p w14:paraId="65D6F777">
      <w:pPr>
        <w:rPr>
          <w:rFonts w:ascii="黑体" w:hAnsi="宋体" w:eastAsia="黑体"/>
        </w:rPr>
      </w:pPr>
      <w:r>
        <w:rPr>
          <w:rFonts w:hint="eastAsia" w:ascii="黑体" w:hAnsi="宋体" w:eastAsia="黑体"/>
        </w:rPr>
        <w:t>15．</w:t>
      </w:r>
      <w:bookmarkStart w:id="24" w:name="_Hlk72401567"/>
      <w:r>
        <w:rPr>
          <w:rFonts w:hint="eastAsia" w:ascii="黑体" w:hAnsi="宋体" w:eastAsia="黑体"/>
        </w:rPr>
        <w:t>投标文件的组成</w:t>
      </w:r>
    </w:p>
    <w:p w14:paraId="4E2DCD02">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14:paraId="46101283">
      <w:pPr>
        <w:rPr>
          <w:rFonts w:ascii="黑体" w:hAnsi="宋体" w:eastAsia="黑体"/>
        </w:rPr>
      </w:pPr>
      <w:r>
        <w:rPr>
          <w:rFonts w:ascii="黑体" w:hAnsi="宋体" w:eastAsia="黑体"/>
        </w:rPr>
        <w:t>16．投标文件格式</w:t>
      </w:r>
    </w:p>
    <w:p w14:paraId="72ADFC6C">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14:paraId="6C6035F0">
      <w:pPr>
        <w:rPr>
          <w:rFonts w:ascii="黑体" w:hAnsi="宋体" w:eastAsia="黑体"/>
        </w:rPr>
      </w:pPr>
      <w:r>
        <w:rPr>
          <w:rFonts w:hint="eastAsia" w:ascii="黑体" w:hAnsi="宋体" w:eastAsia="黑体"/>
        </w:rPr>
        <w:t>17．投标货币</w:t>
      </w:r>
    </w:p>
    <w:p w14:paraId="3B332CD6">
      <w:pPr>
        <w:ind w:firstLine="470" w:firstLineChars="196"/>
        <w:rPr>
          <w:rFonts w:ascii="宋体" w:hAnsi="宋体" w:eastAsia="宋体"/>
          <w:szCs w:val="21"/>
        </w:rPr>
      </w:pPr>
      <w:r>
        <w:rPr>
          <w:rFonts w:hint="eastAsia" w:ascii="宋体" w:hAnsi="宋体" w:eastAsia="宋体"/>
          <w:szCs w:val="21"/>
        </w:rPr>
        <w:t>本项目的投标报价应以人民币计。</w:t>
      </w:r>
      <w:bookmarkEnd w:id="24"/>
    </w:p>
    <w:p w14:paraId="34B520E9">
      <w:pPr>
        <w:rPr>
          <w:rFonts w:ascii="黑体" w:hAnsi="宋体" w:eastAsia="黑体"/>
        </w:rPr>
      </w:pPr>
      <w:r>
        <w:rPr>
          <w:rFonts w:hint="eastAsia" w:ascii="黑体" w:hAnsi="宋体" w:eastAsia="黑体"/>
        </w:rPr>
        <w:t>18．</w:t>
      </w:r>
      <w:bookmarkStart w:id="25" w:name="_Hlk72401735"/>
      <w:r>
        <w:rPr>
          <w:rFonts w:hint="eastAsia" w:ascii="黑体" w:hAnsi="宋体" w:eastAsia="黑体"/>
        </w:rPr>
        <w:t>证明投标文件投标技术方案的合格性和符合招标文件规定的文件要求</w:t>
      </w:r>
    </w:p>
    <w:p w14:paraId="6CE9E9E3">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14:paraId="6D911499">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A2927E0">
      <w:pPr>
        <w:ind w:firstLine="470" w:firstLineChars="196"/>
        <w:rPr>
          <w:rFonts w:ascii="宋体" w:hAnsi="宋体" w:eastAsia="宋体"/>
          <w:szCs w:val="21"/>
        </w:rPr>
      </w:pPr>
      <w:r>
        <w:rPr>
          <w:rFonts w:hint="eastAsia" w:ascii="宋体" w:hAnsi="宋体" w:eastAsia="宋体"/>
          <w:szCs w:val="21"/>
        </w:rPr>
        <w:t>18.2.1主要技术指标和性能的详细说明。</w:t>
      </w:r>
    </w:p>
    <w:p w14:paraId="4BD588D1">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14:paraId="11A03228">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1F6D23A6">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14:paraId="4959F0E4">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18.2.5我国政府机构出具的产品检验和核准证件应为证件正面、背面和附件标注的全部具体内容；产品检验和核准证件的尺寸和清晰度应该能够在电脑上被阅读、识别和判断，提供扫描件。</w:t>
      </w:r>
    </w:p>
    <w:p w14:paraId="6AAEE26D">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14:paraId="31E88524">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14:paraId="6BE9E1B9">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5"/>
    </w:p>
    <w:p w14:paraId="2A382748">
      <w:pPr>
        <w:rPr>
          <w:rFonts w:ascii="黑体" w:hAnsi="宋体" w:eastAsia="黑体"/>
        </w:rPr>
      </w:pPr>
      <w:r>
        <w:rPr>
          <w:rFonts w:hint="eastAsia" w:ascii="黑体" w:hAnsi="宋体" w:eastAsia="黑体"/>
        </w:rPr>
        <w:t>19．</w:t>
      </w:r>
      <w:bookmarkStart w:id="26" w:name="_Hlk72402034"/>
      <w:r>
        <w:rPr>
          <w:rFonts w:hint="eastAsia" w:ascii="黑体" w:hAnsi="宋体" w:eastAsia="黑体"/>
        </w:rPr>
        <w:t>投标文件其他证明文件的要求</w:t>
      </w:r>
    </w:p>
    <w:p w14:paraId="629B4BDD">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7" w:name="_Hlk71407299"/>
      <w:bookmarkEnd w:id="27"/>
    </w:p>
    <w:p w14:paraId="184880CD">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CF8C211">
      <w:pPr>
        <w:rPr>
          <w:rFonts w:ascii="黑体" w:hAnsi="宋体" w:eastAsia="黑体"/>
        </w:rPr>
      </w:pPr>
      <w:r>
        <w:rPr>
          <w:rFonts w:hint="eastAsia" w:ascii="黑体" w:hAnsi="宋体" w:eastAsia="黑体"/>
        </w:rPr>
        <w:t>20．投标有效期</w:t>
      </w:r>
    </w:p>
    <w:bookmarkEnd w:id="26"/>
    <w:p w14:paraId="44B0D292">
      <w:pPr>
        <w:ind w:firstLine="470" w:firstLineChars="196"/>
        <w:rPr>
          <w:rFonts w:ascii="宋体" w:hAnsi="宋体" w:eastAsia="宋体"/>
          <w:szCs w:val="21"/>
        </w:rPr>
      </w:pPr>
      <w:bookmarkStart w:id="28"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14:paraId="42CF1935">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3A3BE5">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8"/>
    </w:p>
    <w:p w14:paraId="1293C806">
      <w:pPr>
        <w:rPr>
          <w:rFonts w:ascii="黑体" w:hAnsi="宋体" w:eastAsia="黑体"/>
        </w:rPr>
      </w:pPr>
      <w:r>
        <w:rPr>
          <w:rFonts w:hint="eastAsia" w:ascii="黑体" w:hAnsi="宋体" w:eastAsia="黑体"/>
        </w:rPr>
        <w:t>21．</w:t>
      </w:r>
      <w:bookmarkStart w:id="29" w:name="_Hlk72402325"/>
      <w:r>
        <w:rPr>
          <w:rFonts w:hint="eastAsia" w:ascii="黑体" w:hAnsi="宋体" w:eastAsia="黑体"/>
        </w:rPr>
        <w:t xml:space="preserve">关于投标保证金 </w:t>
      </w:r>
    </w:p>
    <w:p w14:paraId="6523C2AE">
      <w:pPr>
        <w:pStyle w:val="10"/>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14:paraId="2E048F08">
      <w:pPr>
        <w:rPr>
          <w:rFonts w:ascii="黑体" w:hAnsi="宋体" w:eastAsia="黑体"/>
        </w:rPr>
      </w:pPr>
      <w:r>
        <w:rPr>
          <w:rFonts w:hint="eastAsia" w:ascii="黑体" w:hAnsi="宋体" w:eastAsia="黑体"/>
        </w:rPr>
        <w:t>22．投标人的替代方案</w:t>
      </w:r>
    </w:p>
    <w:p w14:paraId="338D75A2">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2616190">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9"/>
    </w:p>
    <w:p w14:paraId="6AA4FB24">
      <w:pPr>
        <w:rPr>
          <w:rFonts w:ascii="黑体" w:hAnsi="宋体" w:eastAsia="黑体"/>
        </w:rPr>
      </w:pPr>
      <w:r>
        <w:rPr>
          <w:rFonts w:hint="eastAsia" w:ascii="黑体" w:hAnsi="宋体" w:eastAsia="黑体"/>
        </w:rPr>
        <w:t>23．</w:t>
      </w:r>
      <w:bookmarkStart w:id="30"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14:paraId="6589999A">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14:paraId="6C6E74C3">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电脑、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14:paraId="33938962">
      <w:pPr>
        <w:ind w:firstLine="470" w:firstLineChars="196"/>
        <w:rPr>
          <w:rFonts w:ascii="宋体" w:hAnsi="宋体" w:eastAsia="宋体"/>
        </w:rPr>
      </w:pPr>
      <w:r>
        <w:rPr>
          <w:rFonts w:hint="eastAsia" w:ascii="宋体" w:hAnsi="宋体" w:eastAsia="宋体"/>
        </w:rPr>
        <w:t>23.3电报、电话、传真形式的投标概不接受。</w:t>
      </w:r>
    </w:p>
    <w:p w14:paraId="13A32C90">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30"/>
    </w:p>
    <w:p w14:paraId="7315BC84">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投标文件的递交</w:t>
      </w:r>
    </w:p>
    <w:p w14:paraId="277F6F88">
      <w:pPr>
        <w:jc w:val="center"/>
        <w:rPr>
          <w:rFonts w:ascii="宋体" w:hAnsi="宋体" w:eastAsia="宋体" w:cs="宋体"/>
        </w:rPr>
      </w:pPr>
      <w:bookmarkStart w:id="31" w:name="_Hlk72405459"/>
      <w:r>
        <w:rPr>
          <w:rFonts w:hint="eastAsia" w:ascii="黑体" w:hAnsi="宋体" w:eastAsia="黑体"/>
        </w:rPr>
        <w:t>24．电子加密投标文件上传至政府采购云平台投标客户端</w:t>
      </w:r>
    </w:p>
    <w:p w14:paraId="73E2314A">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14:paraId="328D089C">
      <w:pPr>
        <w:jc w:val="center"/>
        <w:rPr>
          <w:rFonts w:eastAsia="宋体"/>
        </w:rPr>
      </w:pPr>
    </w:p>
    <w:bookmarkEnd w:id="31"/>
    <w:p w14:paraId="4B816325">
      <w:pPr>
        <w:rPr>
          <w:rFonts w:ascii="黑体" w:hAnsi="宋体" w:eastAsia="黑体"/>
        </w:rPr>
      </w:pPr>
      <w:bookmarkStart w:id="32"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14:paraId="6E658176">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14:paraId="100398DC">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14:paraId="704F2E2F">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14:paraId="4F5A6BD4">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2"/>
    </w:p>
    <w:p w14:paraId="77B97E2B">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14:paraId="39E0BAA9">
      <w:pPr>
        <w:rPr>
          <w:rFonts w:ascii="黑体" w:hAnsi="宋体" w:eastAsia="黑体"/>
        </w:rPr>
      </w:pPr>
      <w:r>
        <w:rPr>
          <w:rFonts w:hint="eastAsia" w:ascii="黑体" w:hAnsi="宋体" w:eastAsia="黑体"/>
        </w:rPr>
        <w:t>28．开标</w:t>
      </w:r>
    </w:p>
    <w:p w14:paraId="61069588">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14:paraId="2155F7FA">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14:paraId="380DE3B6">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14:paraId="02F42AA1">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14:paraId="6FE9DF42">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14:paraId="6F781402">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14:paraId="6D558561">
      <w:pPr>
        <w:rPr>
          <w:rFonts w:ascii="黑体" w:hAnsi="宋体" w:eastAsia="黑体"/>
          <w:color w:val="auto"/>
        </w:rPr>
      </w:pPr>
      <w:r>
        <w:rPr>
          <w:rFonts w:hint="eastAsia" w:ascii="黑体" w:hAnsi="宋体" w:eastAsia="黑体"/>
          <w:color w:val="auto"/>
        </w:rPr>
        <w:t>29．评审委员会组成</w:t>
      </w:r>
    </w:p>
    <w:p w14:paraId="1D5F29A8">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3"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3"/>
    </w:p>
    <w:p w14:paraId="1594A8E3">
      <w:pPr>
        <w:ind w:firstLine="470" w:firstLineChars="196"/>
        <w:rPr>
          <w:rFonts w:ascii="宋体" w:hAnsi="宋体" w:eastAsia="宋体"/>
        </w:rPr>
      </w:pPr>
      <w:r>
        <w:rPr>
          <w:rFonts w:hint="eastAsia" w:ascii="宋体" w:hAnsi="宋体" w:eastAsia="宋体"/>
        </w:rPr>
        <w:t>29.2评审定标应当遵循公平、公正、科学、择优的原则。</w:t>
      </w:r>
    </w:p>
    <w:p w14:paraId="626EB473">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14:paraId="459A6DEB">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14:paraId="22809909">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14:paraId="16DF88E1">
      <w:pPr>
        <w:rPr>
          <w:rFonts w:ascii="黑体" w:hAnsi="宋体" w:eastAsia="黑体"/>
        </w:rPr>
      </w:pPr>
      <w:r>
        <w:rPr>
          <w:rFonts w:hint="eastAsia" w:ascii="黑体" w:hAnsi="宋体" w:eastAsia="黑体"/>
        </w:rPr>
        <w:t>30．向评审委员会提供的资料</w:t>
      </w:r>
    </w:p>
    <w:p w14:paraId="2EB48454">
      <w:pPr>
        <w:ind w:firstLine="470" w:firstLineChars="196"/>
        <w:rPr>
          <w:rFonts w:ascii="宋体" w:hAnsi="宋体" w:eastAsia="宋体"/>
        </w:rPr>
      </w:pPr>
      <w:r>
        <w:rPr>
          <w:rFonts w:hint="eastAsia" w:ascii="宋体" w:hAnsi="宋体" w:eastAsia="宋体"/>
        </w:rPr>
        <w:t>30.1公开发布的招标文件，包括图纸、服务清单、答疑文件等；</w:t>
      </w:r>
    </w:p>
    <w:p w14:paraId="5607703E">
      <w:pPr>
        <w:ind w:firstLine="470" w:firstLineChars="196"/>
        <w:rPr>
          <w:rFonts w:ascii="宋体" w:hAnsi="宋体" w:eastAsia="宋体"/>
        </w:rPr>
      </w:pPr>
      <w:r>
        <w:rPr>
          <w:rFonts w:hint="eastAsia" w:ascii="宋体" w:hAnsi="宋体" w:eastAsia="宋体"/>
        </w:rPr>
        <w:t>30.2其他评标必须的资料。</w:t>
      </w:r>
    </w:p>
    <w:p w14:paraId="2853FE42">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14:paraId="278F7E38">
      <w:pPr>
        <w:ind w:firstLine="470" w:firstLineChars="196"/>
        <w:rPr>
          <w:rFonts w:ascii="宋体" w:hAnsi="宋体" w:eastAsia="宋体"/>
        </w:rPr>
      </w:pPr>
      <w:r>
        <w:rPr>
          <w:rFonts w:hint="eastAsia" w:ascii="宋体" w:hAnsi="宋体" w:eastAsia="宋体"/>
        </w:rPr>
        <w:t>（1）招标的目的；</w:t>
      </w:r>
    </w:p>
    <w:p w14:paraId="25BF9078">
      <w:pPr>
        <w:ind w:firstLine="470" w:firstLineChars="196"/>
        <w:rPr>
          <w:rFonts w:ascii="宋体" w:hAnsi="宋体" w:eastAsia="宋体"/>
        </w:rPr>
      </w:pPr>
      <w:r>
        <w:rPr>
          <w:rFonts w:hint="eastAsia" w:ascii="宋体" w:hAnsi="宋体" w:eastAsia="宋体"/>
        </w:rPr>
        <w:t>（2）招标项目需求的范围和性质；</w:t>
      </w:r>
    </w:p>
    <w:p w14:paraId="4415F75E">
      <w:pPr>
        <w:ind w:firstLine="470" w:firstLineChars="196"/>
        <w:rPr>
          <w:rFonts w:ascii="宋体" w:hAnsi="宋体" w:eastAsia="宋体"/>
        </w:rPr>
      </w:pPr>
      <w:r>
        <w:rPr>
          <w:rFonts w:hint="eastAsia" w:ascii="宋体" w:hAnsi="宋体" w:eastAsia="宋体"/>
        </w:rPr>
        <w:t>（3）招标文件规定的投标人的资格、财政预算限额、商务条款；</w:t>
      </w:r>
    </w:p>
    <w:p w14:paraId="31FAE981">
      <w:pPr>
        <w:ind w:firstLine="470" w:firstLineChars="196"/>
        <w:rPr>
          <w:rFonts w:ascii="宋体" w:hAnsi="宋体" w:eastAsia="宋体"/>
        </w:rPr>
      </w:pPr>
      <w:r>
        <w:rPr>
          <w:rFonts w:hint="eastAsia" w:ascii="宋体" w:hAnsi="宋体" w:eastAsia="宋体"/>
        </w:rPr>
        <w:t>（4）招标文件规定的评标程序、评标方法和评标因素；</w:t>
      </w:r>
    </w:p>
    <w:p w14:paraId="1A15EB81">
      <w:pPr>
        <w:ind w:firstLine="470" w:firstLineChars="196"/>
        <w:rPr>
          <w:rFonts w:ascii="宋体" w:hAnsi="宋体" w:eastAsia="宋体"/>
        </w:rPr>
      </w:pPr>
      <w:r>
        <w:rPr>
          <w:rFonts w:hint="eastAsia" w:ascii="宋体" w:hAnsi="宋体" w:eastAsia="宋体"/>
        </w:rPr>
        <w:t>（5）招标文件所列示的资格性审查表及符合性审查表。</w:t>
      </w:r>
    </w:p>
    <w:p w14:paraId="6647F25B">
      <w:pPr>
        <w:rPr>
          <w:rFonts w:ascii="黑体" w:hAnsi="宋体" w:eastAsia="黑体"/>
        </w:rPr>
      </w:pPr>
      <w:r>
        <w:rPr>
          <w:rFonts w:hint="eastAsia" w:ascii="黑体" w:hAnsi="宋体" w:eastAsia="黑体"/>
        </w:rPr>
        <w:t>31．独立评审</w:t>
      </w:r>
    </w:p>
    <w:p w14:paraId="27C4EF6A">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14:paraId="1A88B4D8">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14:paraId="54E4905D">
      <w:pPr>
        <w:rPr>
          <w:rFonts w:ascii="黑体" w:hAnsi="宋体" w:eastAsia="黑体"/>
        </w:rPr>
      </w:pPr>
      <w:r>
        <w:rPr>
          <w:rFonts w:hint="eastAsia" w:ascii="黑体" w:hAnsi="宋体" w:eastAsia="黑体"/>
        </w:rPr>
        <w:t>32．投标文件初审</w:t>
      </w:r>
    </w:p>
    <w:p w14:paraId="5B686FEF">
      <w:pPr>
        <w:ind w:firstLine="470" w:firstLineChars="196"/>
        <w:rPr>
          <w:rFonts w:ascii="宋体" w:hAnsi="宋体" w:eastAsia="宋体"/>
        </w:rPr>
      </w:pPr>
      <w:r>
        <w:rPr>
          <w:rFonts w:hint="eastAsia" w:ascii="宋体" w:hAnsi="宋体" w:eastAsia="宋体"/>
        </w:rPr>
        <w:t>32.1投标文件初审包括资格性审查和符合性审查。</w:t>
      </w:r>
    </w:p>
    <w:p w14:paraId="1AF25C48">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14:paraId="04929C0D">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14:paraId="0FE26F20">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14:paraId="2AEBC4F7">
      <w:pPr>
        <w:ind w:firstLine="470" w:firstLineChars="196"/>
        <w:rPr>
          <w:rFonts w:ascii="宋体" w:hAnsi="宋体" w:eastAsia="宋体"/>
          <w:bCs/>
        </w:rPr>
      </w:pPr>
      <w:r>
        <w:rPr>
          <w:rFonts w:hint="eastAsia" w:ascii="宋体" w:hAnsi="宋体" w:eastAsia="宋体"/>
          <w:bCs/>
        </w:rPr>
        <w:t>32.3 投标文件初审中关于供应商家数的计算:</w:t>
      </w:r>
    </w:p>
    <w:p w14:paraId="7A824819">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A32EE7C">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14:paraId="4342A5FB">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14:paraId="66DFFAFA">
      <w:pPr>
        <w:ind w:firstLine="470" w:firstLineChars="196"/>
        <w:rPr>
          <w:rFonts w:ascii="宋体" w:hAnsi="宋体" w:eastAsia="宋体"/>
        </w:rPr>
      </w:pPr>
      <w:r>
        <w:rPr>
          <w:rFonts w:hint="eastAsia" w:ascii="宋体" w:hAnsi="宋体" w:eastAsia="宋体"/>
        </w:rPr>
        <w:t>32.4投标人投标文件作无效处理的情形，具体包括但不限于以下：</w:t>
      </w:r>
    </w:p>
    <w:p w14:paraId="2743D2FF">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14:paraId="3C132080">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14:paraId="310334D9">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14:paraId="27C2E64F">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14:paraId="4AE21AAE">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14:paraId="1A88C922">
      <w:pPr>
        <w:ind w:firstLine="470" w:firstLineChars="196"/>
        <w:rPr>
          <w:rFonts w:ascii="宋体" w:hAnsi="宋体" w:eastAsia="宋体"/>
        </w:rPr>
      </w:pPr>
      <w:r>
        <w:rPr>
          <w:rFonts w:hint="eastAsia" w:ascii="宋体" w:hAnsi="宋体" w:eastAsia="宋体"/>
        </w:rPr>
        <w:t>32.4.6投标供应商之间相互约定给予未中标的供应商利益补偿；</w:t>
      </w:r>
    </w:p>
    <w:p w14:paraId="017DE266">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14:paraId="7F6F7C2A">
      <w:pPr>
        <w:ind w:firstLine="470" w:firstLineChars="196"/>
        <w:rPr>
          <w:rFonts w:ascii="宋体" w:hAnsi="宋体" w:eastAsia="宋体"/>
        </w:rPr>
      </w:pPr>
      <w:r>
        <w:rPr>
          <w:rFonts w:hint="eastAsia" w:ascii="宋体" w:hAnsi="宋体" w:eastAsia="宋体"/>
        </w:rPr>
        <w:t>32.4.8不同投标供应商的投标文件内容存在非正常一致；</w:t>
      </w:r>
    </w:p>
    <w:p w14:paraId="4C405972">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14:paraId="382A8447">
      <w:pPr>
        <w:ind w:firstLine="470" w:firstLineChars="196"/>
        <w:rPr>
          <w:rFonts w:ascii="宋体" w:hAnsi="宋体" w:eastAsia="宋体"/>
        </w:rPr>
      </w:pPr>
      <w:r>
        <w:rPr>
          <w:rFonts w:hint="eastAsia" w:ascii="宋体" w:hAnsi="宋体" w:eastAsia="宋体"/>
        </w:rPr>
        <w:t>32.4.10主管部门依照法律、法规认定的其他情形。</w:t>
      </w:r>
    </w:p>
    <w:p w14:paraId="370C1340">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14:paraId="025B011E">
      <w:pPr>
        <w:rPr>
          <w:rFonts w:ascii="黑体" w:hAnsi="宋体" w:eastAsia="黑体"/>
        </w:rPr>
      </w:pPr>
      <w:r>
        <w:rPr>
          <w:rFonts w:hint="eastAsia" w:ascii="黑体" w:hAnsi="宋体" w:eastAsia="黑体"/>
        </w:rPr>
        <w:t>33．澄清有关问题</w:t>
      </w:r>
    </w:p>
    <w:p w14:paraId="0E0D2758">
      <w:pPr>
        <w:ind w:firstLine="470" w:firstLineChars="196"/>
        <w:rPr>
          <w:rFonts w:ascii="宋体" w:hAnsi="宋体" w:eastAsia="宋体"/>
        </w:rPr>
      </w:pPr>
      <w:bookmarkStart w:id="34"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4"/>
    </w:p>
    <w:p w14:paraId="428810E8">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14:paraId="1C118225">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14:paraId="64409DBC">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FCEE95B">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14:paraId="0A22209E">
      <w:pPr>
        <w:rPr>
          <w:rFonts w:ascii="黑体" w:hAnsi="宋体" w:eastAsia="黑体"/>
        </w:rPr>
      </w:pPr>
      <w:bookmarkStart w:id="35" w:name="_Toc73521669"/>
      <w:bookmarkStart w:id="36" w:name="_Toc100052400"/>
      <w:bookmarkStart w:id="37" w:name="_Toc73517673"/>
      <w:bookmarkStart w:id="38" w:name="_Toc73518151"/>
      <w:bookmarkStart w:id="39" w:name="_Toc73521581"/>
      <w:r>
        <w:rPr>
          <w:rFonts w:hint="eastAsia" w:ascii="黑体" w:hAnsi="宋体" w:eastAsia="黑体"/>
        </w:rPr>
        <w:t>34．错误的修正</w:t>
      </w:r>
      <w:bookmarkEnd w:id="35"/>
      <w:bookmarkEnd w:id="36"/>
      <w:bookmarkEnd w:id="37"/>
      <w:bookmarkEnd w:id="38"/>
      <w:bookmarkEnd w:id="39"/>
    </w:p>
    <w:p w14:paraId="37C4DF2F">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14:paraId="612D0790">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14:paraId="1B16A324">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14:paraId="26F7D415">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14:paraId="7443E1EF">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14:paraId="1143F9F2">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14:paraId="611F0AB5">
      <w:pPr>
        <w:rPr>
          <w:rFonts w:ascii="黑体" w:hAnsi="宋体" w:eastAsia="黑体"/>
        </w:rPr>
      </w:pPr>
      <w:r>
        <w:rPr>
          <w:rFonts w:hint="eastAsia" w:ascii="黑体" w:hAnsi="宋体" w:eastAsia="黑体"/>
        </w:rPr>
        <w:t>35．投标文件的比较与评价</w:t>
      </w:r>
    </w:p>
    <w:p w14:paraId="2B6C611F">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14:paraId="6E6FBA68">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14:paraId="587E8E74">
      <w:pPr>
        <w:rPr>
          <w:rFonts w:ascii="黑体" w:hAnsi="宋体" w:eastAsia="黑体"/>
        </w:rPr>
      </w:pPr>
      <w:r>
        <w:rPr>
          <w:rFonts w:hint="eastAsia" w:ascii="黑体" w:hAnsi="宋体" w:eastAsia="黑体"/>
        </w:rPr>
        <w:t>36. 实地考察或资料查验</w:t>
      </w:r>
    </w:p>
    <w:p w14:paraId="298463BB">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14:paraId="5CBEF536">
      <w:pPr>
        <w:rPr>
          <w:rFonts w:ascii="黑体" w:hAnsi="宋体" w:eastAsia="黑体"/>
        </w:rPr>
      </w:pPr>
      <w:r>
        <w:rPr>
          <w:rFonts w:hint="eastAsia" w:ascii="黑体" w:hAnsi="宋体" w:eastAsia="黑体"/>
        </w:rPr>
        <w:t>37．评审方法</w:t>
      </w:r>
    </w:p>
    <w:p w14:paraId="2AA3C76D">
      <w:pPr>
        <w:ind w:firstLine="472" w:firstLineChars="196"/>
        <w:rPr>
          <w:rFonts w:ascii="宋体" w:hAnsi="宋体" w:eastAsia="宋体"/>
          <w:b/>
          <w:bCs/>
          <w:szCs w:val="21"/>
        </w:rPr>
      </w:pPr>
      <w:r>
        <w:rPr>
          <w:rFonts w:hint="eastAsia" w:ascii="宋体" w:hAnsi="宋体" w:eastAsia="宋体"/>
          <w:b/>
          <w:bCs/>
          <w:szCs w:val="21"/>
        </w:rPr>
        <w:t>37.1.1最低价法</w:t>
      </w:r>
    </w:p>
    <w:p w14:paraId="3E415A3E">
      <w:pPr>
        <w:ind w:firstLine="470" w:firstLineChars="196"/>
        <w:rPr>
          <w:rFonts w:ascii="ˎ̥" w:hAnsi="ˎ̥" w:eastAsia="宋体"/>
        </w:rPr>
      </w:pPr>
      <w:bookmarkStart w:id="40"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14:paraId="08F9F389">
      <w:pPr>
        <w:ind w:firstLine="472" w:firstLineChars="196"/>
        <w:rPr>
          <w:rFonts w:ascii="宋体" w:hAnsi="宋体" w:eastAsia="宋体"/>
          <w:b/>
          <w:bCs/>
          <w:szCs w:val="21"/>
        </w:rPr>
      </w:pPr>
      <w:r>
        <w:rPr>
          <w:rFonts w:hint="eastAsia" w:ascii="宋体" w:hAnsi="宋体" w:eastAsia="宋体"/>
          <w:b/>
          <w:bCs/>
          <w:szCs w:val="21"/>
        </w:rPr>
        <w:t>37.1.2综合评分法</w:t>
      </w:r>
    </w:p>
    <w:p w14:paraId="38861926">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40"/>
    </w:p>
    <w:p w14:paraId="164EE6C9">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14:paraId="68F14F31">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14:paraId="472352FB">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14:paraId="17A92C2D">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14:paraId="1C190768">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14:paraId="38D7D7E1">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14:paraId="5F5A5227">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14:paraId="688D08F2">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51D5D82E">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14:paraId="00269C4F">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14:paraId="2554CED2">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14:paraId="4F6263B5">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14:paraId="44462603">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14:paraId="73EBEFB6">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14:paraId="0E4D540B">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14:paraId="0E81F8F0">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14:paraId="5E3ECFE6">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14:paraId="760A8BEE">
      <w:pPr>
        <w:rPr>
          <w:rFonts w:ascii="宋体" w:hAnsi="宋体" w:eastAsia="宋体"/>
          <w:szCs w:val="21"/>
        </w:rPr>
      </w:pPr>
      <w:r>
        <w:rPr>
          <w:rFonts w:hint="eastAsia" w:ascii="黑体" w:hAnsi="宋体" w:eastAsia="黑体"/>
        </w:rPr>
        <w:t>38．</w:t>
      </w:r>
      <w:bookmarkStart w:id="41" w:name="_Hlk73782795"/>
      <w:r>
        <w:rPr>
          <w:rFonts w:hint="eastAsia" w:ascii="黑体" w:hAnsi="宋体" w:eastAsia="黑体"/>
        </w:rPr>
        <w:t>中标候选人的确定原则及标准</w:t>
      </w:r>
    </w:p>
    <w:p w14:paraId="71617650">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14:paraId="141371B1">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2"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2"/>
      <w:r>
        <w:rPr>
          <w:rFonts w:ascii="ˎ̥" w:hAnsi="ˎ̥" w:eastAsia="宋体"/>
        </w:rPr>
        <w:t>）。</w:t>
      </w:r>
    </w:p>
    <w:p w14:paraId="0E3540B7">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1"/>
    <w:p w14:paraId="04F57C38">
      <w:pPr>
        <w:rPr>
          <w:rFonts w:ascii="黑体" w:hAnsi="宋体" w:eastAsia="黑体"/>
        </w:rPr>
      </w:pPr>
      <w:r>
        <w:rPr>
          <w:rFonts w:hint="eastAsia" w:ascii="黑体" w:hAnsi="宋体" w:eastAsia="黑体"/>
        </w:rPr>
        <w:t>39．编写评审报告</w:t>
      </w:r>
    </w:p>
    <w:p w14:paraId="6176F104">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B7150F8">
      <w:pPr>
        <w:rPr>
          <w:rFonts w:ascii="黑体" w:hAnsi="宋体" w:eastAsia="黑体"/>
        </w:rPr>
      </w:pPr>
      <w:r>
        <w:rPr>
          <w:rFonts w:hint="eastAsia" w:ascii="黑体" w:hAnsi="宋体" w:eastAsia="黑体"/>
        </w:rPr>
        <w:t>40．中标公告</w:t>
      </w:r>
    </w:p>
    <w:p w14:paraId="64BE03FA">
      <w:pPr>
        <w:ind w:firstLine="470" w:firstLineChars="196"/>
        <w:rPr>
          <w:rFonts w:ascii="宋体" w:hAnsi="宋体" w:eastAsia="宋体"/>
          <w:szCs w:val="21"/>
        </w:rPr>
      </w:pPr>
      <w:r>
        <w:rPr>
          <w:rFonts w:hint="eastAsia" w:ascii="宋体" w:hAnsi="宋体" w:eastAsia="宋体"/>
          <w:szCs w:val="21"/>
        </w:rPr>
        <w:t>40.1</w:t>
      </w:r>
      <w:bookmarkStart w:id="43"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3"/>
      <w:bookmarkStart w:id="44"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4"/>
    </w:p>
    <w:p w14:paraId="4AC36E39">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14:paraId="638B08DB">
      <w:pPr>
        <w:rPr>
          <w:rFonts w:ascii="黑体" w:hAnsi="宋体" w:eastAsia="黑体"/>
        </w:rPr>
      </w:pPr>
      <w:r>
        <w:rPr>
          <w:rFonts w:hint="eastAsia" w:ascii="黑体" w:hAnsi="宋体" w:eastAsia="黑体"/>
        </w:rPr>
        <w:t>41．中标通知书</w:t>
      </w:r>
    </w:p>
    <w:p w14:paraId="48E8B3B3">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14:paraId="19E531D7">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14:paraId="202B6D05">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14:paraId="4DD05B7F">
      <w:pPr>
        <w:ind w:firstLine="470" w:firstLineChars="196"/>
        <w:rPr>
          <w:rFonts w:ascii="宋体" w:hAnsi="宋体" w:eastAsia="宋体"/>
          <w:szCs w:val="21"/>
        </w:rPr>
      </w:pPr>
      <w:bookmarkStart w:id="45"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5"/>
    </w:p>
    <w:p w14:paraId="6652147F">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公开招标失败的后续处理</w:t>
      </w:r>
    </w:p>
    <w:p w14:paraId="24E2AA6C">
      <w:pPr>
        <w:rPr>
          <w:rFonts w:ascii="黑体" w:hAnsi="宋体" w:eastAsia="黑体"/>
        </w:rPr>
      </w:pPr>
      <w:r>
        <w:rPr>
          <w:rFonts w:hint="eastAsia" w:ascii="黑体" w:hAnsi="宋体" w:eastAsia="黑体"/>
        </w:rPr>
        <w:t>42．公开招标失败的处理</w:t>
      </w:r>
    </w:p>
    <w:p w14:paraId="75FAD1CD">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14:paraId="19B268D6">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14:paraId="2CA786A6">
      <w:pPr>
        <w:ind w:firstLine="470" w:firstLineChars="196"/>
        <w:rPr>
          <w:rFonts w:ascii="宋体" w:hAnsi="宋体" w:eastAsia="宋体"/>
          <w:szCs w:val="21"/>
        </w:rPr>
      </w:pPr>
      <w:r>
        <w:rPr>
          <w:rFonts w:hint="eastAsia" w:ascii="宋体" w:hAnsi="宋体" w:eastAsia="宋体"/>
          <w:szCs w:val="21"/>
        </w:rPr>
        <w:t>42.3重新组织采购有以下两种组织形式：</w:t>
      </w:r>
    </w:p>
    <w:p w14:paraId="29912C28">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14:paraId="281DB6FF">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14:paraId="5F301A03">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14:paraId="40B4B154">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14:paraId="76D13E2E">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6" w:name="_Hlk72439043"/>
      <w:r>
        <w:rPr>
          <w:rFonts w:hint="eastAsia" w:ascii="Cambria" w:hAnsi="Cambria" w:eastAsia="宋体"/>
          <w:b/>
          <w:bCs/>
          <w:sz w:val="28"/>
          <w:szCs w:val="28"/>
        </w:rPr>
        <w:t>合同的授予与备案</w:t>
      </w:r>
      <w:bookmarkEnd w:id="46"/>
    </w:p>
    <w:p w14:paraId="613726D5">
      <w:pPr>
        <w:rPr>
          <w:rFonts w:ascii="黑体" w:hAnsi="宋体" w:eastAsia="黑体"/>
        </w:rPr>
      </w:pPr>
      <w:bookmarkStart w:id="47" w:name="_Toc73518157"/>
      <w:bookmarkStart w:id="48" w:name="_Toc73521674"/>
      <w:bookmarkStart w:id="49" w:name="_Toc73517679"/>
      <w:bookmarkStart w:id="50" w:name="_Toc73521586"/>
      <w:bookmarkStart w:id="51" w:name="_Toc100052408"/>
      <w:bookmarkStart w:id="52" w:name="_Hlk72439088"/>
      <w:r>
        <w:rPr>
          <w:rFonts w:hint="eastAsia" w:ascii="黑体" w:hAnsi="宋体" w:eastAsia="黑体"/>
        </w:rPr>
        <w:t>43．合同授予标准</w:t>
      </w:r>
      <w:bookmarkEnd w:id="47"/>
      <w:bookmarkEnd w:id="48"/>
      <w:bookmarkEnd w:id="49"/>
      <w:bookmarkEnd w:id="50"/>
      <w:bookmarkEnd w:id="51"/>
    </w:p>
    <w:p w14:paraId="0B548B08">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14:paraId="228E9B16">
      <w:pPr>
        <w:rPr>
          <w:rFonts w:ascii="黑体" w:hAnsi="宋体" w:eastAsia="黑体"/>
        </w:rPr>
      </w:pPr>
      <w:bookmarkStart w:id="53" w:name="_Toc73521587"/>
      <w:bookmarkStart w:id="54" w:name="_Toc73521675"/>
      <w:bookmarkStart w:id="55" w:name="_Toc100052409"/>
      <w:bookmarkStart w:id="56" w:name="_Toc73518158"/>
      <w:bookmarkStart w:id="57" w:name="_Toc73517680"/>
      <w:r>
        <w:rPr>
          <w:rFonts w:hint="eastAsia" w:ascii="黑体" w:hAnsi="宋体" w:eastAsia="黑体"/>
        </w:rPr>
        <w:t>44．</w:t>
      </w:r>
      <w:bookmarkEnd w:id="53"/>
      <w:bookmarkEnd w:id="54"/>
      <w:bookmarkEnd w:id="55"/>
      <w:bookmarkEnd w:id="56"/>
      <w:bookmarkEnd w:id="57"/>
      <w:r>
        <w:rPr>
          <w:rFonts w:hint="eastAsia" w:ascii="黑体" w:hAnsi="宋体" w:eastAsia="黑体"/>
        </w:rPr>
        <w:t>接受和拒绝任何或所有投标的权力</w:t>
      </w:r>
    </w:p>
    <w:p w14:paraId="7DCB2531">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E1FC198">
      <w:pPr>
        <w:rPr>
          <w:rFonts w:ascii="黑体" w:hAnsi="宋体" w:eastAsia="黑体"/>
        </w:rPr>
      </w:pPr>
      <w:bookmarkStart w:id="58" w:name="_Toc73518160"/>
      <w:bookmarkStart w:id="59" w:name="_Toc73521589"/>
      <w:bookmarkStart w:id="60" w:name="_Toc100052410"/>
      <w:bookmarkStart w:id="61" w:name="_Toc73521677"/>
      <w:bookmarkStart w:id="62" w:name="_Toc73517682"/>
      <w:r>
        <w:rPr>
          <w:rFonts w:hint="eastAsia" w:ascii="黑体" w:hAnsi="宋体" w:eastAsia="黑体"/>
        </w:rPr>
        <w:t>45．合同的签订</w:t>
      </w:r>
      <w:bookmarkEnd w:id="58"/>
      <w:bookmarkEnd w:id="59"/>
      <w:bookmarkEnd w:id="60"/>
      <w:bookmarkEnd w:id="61"/>
      <w:bookmarkEnd w:id="62"/>
    </w:p>
    <w:p w14:paraId="5EEAB805">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14:paraId="62BC34A6">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14:paraId="424BA323">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14:paraId="34E0518E">
      <w:pPr>
        <w:rPr>
          <w:rFonts w:ascii="黑体" w:hAnsi="宋体" w:eastAsia="黑体"/>
        </w:rPr>
      </w:pPr>
      <w:bookmarkStart w:id="63" w:name="_Toc73518161"/>
      <w:bookmarkStart w:id="64" w:name="_Toc73517683"/>
      <w:bookmarkStart w:id="65" w:name="_Toc73521678"/>
      <w:bookmarkStart w:id="66" w:name="_Toc73521590"/>
      <w:bookmarkStart w:id="67" w:name="_Toc100052411"/>
      <w:r>
        <w:rPr>
          <w:rFonts w:hint="eastAsia" w:ascii="黑体" w:hAnsi="宋体" w:eastAsia="黑体"/>
        </w:rPr>
        <w:t>46．履约担保</w:t>
      </w:r>
      <w:bookmarkEnd w:id="63"/>
      <w:bookmarkEnd w:id="64"/>
      <w:bookmarkEnd w:id="65"/>
      <w:bookmarkEnd w:id="66"/>
      <w:bookmarkEnd w:id="67"/>
    </w:p>
    <w:p w14:paraId="2D1AAE7F">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14:paraId="3C9F04E8">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14:paraId="74AA1785">
      <w:pPr>
        <w:rPr>
          <w:rFonts w:ascii="黑体" w:hAnsi="宋体" w:eastAsia="黑体"/>
        </w:rPr>
      </w:pPr>
      <w:r>
        <w:rPr>
          <w:rFonts w:hint="eastAsia" w:ascii="黑体" w:hAnsi="宋体" w:eastAsia="黑体"/>
        </w:rPr>
        <w:t>47. 合同备案</w:t>
      </w:r>
    </w:p>
    <w:p w14:paraId="54500FF8">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14:paraId="7C56CBD3">
      <w:pPr>
        <w:rPr>
          <w:rFonts w:ascii="黑体" w:hAnsi="宋体" w:eastAsia="黑体"/>
        </w:rPr>
      </w:pPr>
      <w:r>
        <w:rPr>
          <w:rFonts w:hint="eastAsia" w:ascii="黑体" w:hAnsi="宋体" w:eastAsia="黑体"/>
        </w:rPr>
        <w:t>48. 合同变更</w:t>
      </w:r>
    </w:p>
    <w:p w14:paraId="7AF0BAA1">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14:paraId="34BC5272">
      <w:pPr>
        <w:rPr>
          <w:rFonts w:ascii="黑体" w:hAnsi="宋体" w:eastAsia="黑体"/>
        </w:rPr>
      </w:pPr>
      <w:r>
        <w:rPr>
          <w:rFonts w:hint="eastAsia" w:ascii="黑体" w:hAnsi="宋体" w:eastAsia="黑体"/>
        </w:rPr>
        <w:t>49. 项目验收</w:t>
      </w:r>
    </w:p>
    <w:p w14:paraId="1D645BF9">
      <w:pPr>
        <w:ind w:right="176" w:firstLine="420"/>
        <w:rPr>
          <w:rFonts w:ascii="宋体" w:hAnsi="宋体" w:eastAsia="宋体"/>
        </w:rPr>
      </w:pPr>
      <w:r>
        <w:rPr>
          <w:rFonts w:hint="eastAsia" w:ascii="宋体" w:hAnsi="宋体" w:eastAsia="宋体"/>
        </w:rPr>
        <w:t>49.1采购人应当按照招标文件和合同规定的标准和方法，及时组织验收。</w:t>
      </w:r>
    </w:p>
    <w:p w14:paraId="4DB1974F">
      <w:pPr>
        <w:rPr>
          <w:rFonts w:ascii="黑体" w:hAnsi="宋体" w:eastAsia="黑体"/>
        </w:rPr>
      </w:pPr>
      <w:r>
        <w:rPr>
          <w:rFonts w:hint="eastAsia" w:ascii="黑体" w:hAnsi="宋体" w:eastAsia="黑体"/>
        </w:rPr>
        <w:t>50. 宣传</w:t>
      </w:r>
    </w:p>
    <w:p w14:paraId="128C2EF6">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14:paraId="38142042">
      <w:pPr>
        <w:ind w:left="240" w:leftChars="100" w:firstLine="470" w:firstLineChars="196"/>
        <w:rPr>
          <w:rFonts w:ascii="宋体" w:hAnsi="宋体" w:eastAsia="宋体"/>
        </w:rPr>
      </w:pPr>
      <w:r>
        <w:rPr>
          <w:rFonts w:ascii="宋体" w:hAnsi="宋体" w:eastAsia="宋体"/>
        </w:rPr>
        <w:t>a.名片、宣传册、广告标语等；</w:t>
      </w:r>
    </w:p>
    <w:p w14:paraId="42BF0264">
      <w:pPr>
        <w:ind w:left="240" w:leftChars="100" w:firstLine="470" w:firstLineChars="196"/>
        <w:rPr>
          <w:rFonts w:ascii="宋体" w:hAnsi="宋体" w:eastAsia="宋体"/>
        </w:rPr>
      </w:pPr>
      <w:r>
        <w:rPr>
          <w:rFonts w:ascii="宋体" w:hAnsi="宋体" w:eastAsia="宋体"/>
        </w:rPr>
        <w:t>b.案例介绍、推广等；</w:t>
      </w:r>
    </w:p>
    <w:p w14:paraId="3A2C5B9F">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2"/>
    <w:p w14:paraId="1CFAFD49">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14:paraId="5FF8504D">
      <w:pPr>
        <w:rPr>
          <w:rFonts w:ascii="黑体" w:hAnsi="宋体" w:eastAsia="黑体"/>
        </w:rPr>
      </w:pPr>
      <w:bookmarkStart w:id="68" w:name="_Hlk72439706"/>
      <w:r>
        <w:rPr>
          <w:rFonts w:hint="eastAsia" w:ascii="黑体" w:hAnsi="宋体" w:eastAsia="黑体"/>
          <w:lang w:eastAsia="zh-CN"/>
        </w:rPr>
        <w:t>51.</w:t>
      </w:r>
      <w:r>
        <w:rPr>
          <w:rFonts w:hint="eastAsia" w:ascii="黑体" w:hAnsi="宋体" w:eastAsia="黑体"/>
        </w:rPr>
        <w:t>质疑提出与答复</w:t>
      </w:r>
    </w:p>
    <w:p w14:paraId="59613E15">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14:paraId="4E391891">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14:paraId="6D4E0624">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14:paraId="60E001B6">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14:paraId="2D3FAEBB">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14:paraId="0419A0A8">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9" w:name="_Hlk75374941"/>
      <w:r>
        <w:rPr>
          <w:rFonts w:hint="eastAsia" w:ascii="宋体" w:hAnsi="宋体" w:eastAsia="宋体"/>
          <w:szCs w:val="21"/>
        </w:rPr>
        <w:t>以联合体形式参与的，质疑应当由组成联合体的所有成员共同提出</w:t>
      </w:r>
      <w:bookmarkEnd w:id="69"/>
      <w:r>
        <w:rPr>
          <w:rFonts w:hint="eastAsia" w:ascii="宋体" w:hAnsi="宋体" w:eastAsia="宋体"/>
          <w:szCs w:val="21"/>
        </w:rPr>
        <w:t>；</w:t>
      </w:r>
    </w:p>
    <w:p w14:paraId="6202FC5C">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AA17CE0">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14:paraId="7CB70A3E">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14:paraId="2B60D97F">
      <w:pPr>
        <w:ind w:firstLine="480" w:firstLineChars="200"/>
        <w:rPr>
          <w:rFonts w:ascii="宋体" w:hAnsi="宋体" w:eastAsia="宋体"/>
          <w:szCs w:val="21"/>
        </w:rPr>
      </w:pPr>
      <w:r>
        <w:rPr>
          <w:rFonts w:hint="eastAsia" w:ascii="宋体" w:hAnsi="宋体" w:eastAsia="宋体"/>
          <w:szCs w:val="21"/>
        </w:rPr>
        <w:t>（2）质疑项目的名称、编号；</w:t>
      </w:r>
    </w:p>
    <w:p w14:paraId="3B17D1D3">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14:paraId="3525C220">
      <w:pPr>
        <w:ind w:firstLine="480" w:firstLineChars="200"/>
        <w:rPr>
          <w:rFonts w:ascii="宋体" w:hAnsi="宋体" w:eastAsia="宋体"/>
          <w:szCs w:val="21"/>
        </w:rPr>
      </w:pPr>
      <w:r>
        <w:rPr>
          <w:rFonts w:hint="eastAsia" w:ascii="宋体" w:hAnsi="宋体" w:eastAsia="宋体"/>
          <w:szCs w:val="21"/>
        </w:rPr>
        <w:t>（4）因质疑事项而受损害的权益；</w:t>
      </w:r>
    </w:p>
    <w:p w14:paraId="23009ADB">
      <w:pPr>
        <w:ind w:firstLine="480" w:firstLineChars="200"/>
        <w:rPr>
          <w:rFonts w:ascii="宋体" w:hAnsi="宋体" w:eastAsia="宋体"/>
          <w:szCs w:val="21"/>
        </w:rPr>
      </w:pPr>
      <w:r>
        <w:rPr>
          <w:rFonts w:hint="eastAsia" w:ascii="宋体" w:hAnsi="宋体" w:eastAsia="宋体"/>
          <w:szCs w:val="21"/>
        </w:rPr>
        <w:t>（5）事实依据；</w:t>
      </w:r>
    </w:p>
    <w:p w14:paraId="1FD811A1">
      <w:pPr>
        <w:ind w:firstLine="480" w:firstLineChars="200"/>
        <w:rPr>
          <w:rFonts w:ascii="宋体" w:hAnsi="宋体" w:eastAsia="宋体"/>
          <w:szCs w:val="21"/>
        </w:rPr>
      </w:pPr>
      <w:r>
        <w:rPr>
          <w:rFonts w:hint="eastAsia" w:ascii="宋体" w:hAnsi="宋体" w:eastAsia="宋体"/>
          <w:szCs w:val="21"/>
        </w:rPr>
        <w:t>（6）必要的法律依据；</w:t>
      </w:r>
    </w:p>
    <w:p w14:paraId="5035930A">
      <w:pPr>
        <w:ind w:firstLine="480" w:firstLineChars="200"/>
        <w:rPr>
          <w:rFonts w:ascii="宋体" w:hAnsi="宋体" w:eastAsia="宋体"/>
          <w:szCs w:val="21"/>
        </w:rPr>
      </w:pPr>
      <w:r>
        <w:rPr>
          <w:rFonts w:hint="eastAsia" w:ascii="宋体" w:hAnsi="宋体" w:eastAsia="宋体"/>
          <w:szCs w:val="21"/>
        </w:rPr>
        <w:t>（7）提出质疑的日期。</w:t>
      </w:r>
    </w:p>
    <w:p w14:paraId="3DBF04FA">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07B434F6">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14:paraId="3DCDC8C0">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91AA757">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68D0075">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14:paraId="5A1A9054">
      <w:pPr>
        <w:ind w:firstLine="482" w:firstLineChars="200"/>
        <w:rPr>
          <w:rFonts w:ascii="宋体" w:hAnsi="宋体" w:eastAsia="宋体"/>
          <w:b/>
          <w:bCs/>
          <w:szCs w:val="21"/>
        </w:rPr>
      </w:pPr>
      <w:r>
        <w:rPr>
          <w:rFonts w:hint="eastAsia" w:ascii="宋体" w:hAnsi="宋体" w:eastAsia="宋体"/>
          <w:b/>
          <w:bCs/>
          <w:szCs w:val="21"/>
        </w:rPr>
        <w:t>地址：</w:t>
      </w:r>
      <w:r>
        <w:rPr>
          <w:rFonts w:hint="eastAsia" w:ascii="宋体" w:hAnsi="宋体" w:eastAsia="宋体"/>
          <w:b/>
          <w:bCs/>
          <w:szCs w:val="21"/>
          <w:lang w:eastAsia="zh-CN"/>
        </w:rPr>
        <w:t>喀什市教育局</w:t>
      </w:r>
      <w:r>
        <w:rPr>
          <w:rFonts w:hint="eastAsia" w:ascii="宋体" w:hAnsi="宋体" w:eastAsia="宋体"/>
          <w:b/>
          <w:bCs/>
          <w:szCs w:val="21"/>
        </w:rPr>
        <w:t>（</w:t>
      </w:r>
      <w:r>
        <w:rPr>
          <w:rFonts w:hint="eastAsia" w:ascii="宋体" w:hAnsi="宋体" w:eastAsia="宋体"/>
          <w:b/>
          <w:bCs/>
          <w:szCs w:val="21"/>
          <w:lang w:eastAsia="zh-CN"/>
        </w:rPr>
        <w:t>喀什市教育局</w:t>
      </w:r>
      <w:r>
        <w:rPr>
          <w:rFonts w:hint="eastAsia" w:ascii="宋体" w:hAnsi="宋体" w:eastAsia="宋体"/>
          <w:b/>
          <w:bCs/>
          <w:szCs w:val="21"/>
        </w:rPr>
        <w:t>），质疑咨询电话：</w:t>
      </w:r>
      <w:r>
        <w:rPr>
          <w:rFonts w:hint="eastAsia" w:ascii="宋体" w:hAnsi="宋体" w:eastAsia="宋体"/>
          <w:b/>
          <w:bCs/>
          <w:szCs w:val="21"/>
          <w:lang w:eastAsia="zh-CN"/>
        </w:rPr>
        <w:t>伏亮亮</w:t>
      </w:r>
      <w:r>
        <w:rPr>
          <w:rFonts w:hint="eastAsia" w:ascii="宋体" w:hAnsi="宋体" w:eastAsia="宋体"/>
          <w:b/>
          <w:bCs/>
          <w:szCs w:val="21"/>
        </w:rPr>
        <w:t>，</w:t>
      </w:r>
      <w:r>
        <w:rPr>
          <w:rFonts w:hint="eastAsia" w:ascii="宋体" w:hAnsi="宋体" w:eastAsia="宋体"/>
          <w:b/>
          <w:bCs/>
          <w:szCs w:val="21"/>
          <w:lang w:eastAsia="zh-CN"/>
        </w:rPr>
        <w:t>18409825821</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w:t>
      </w:r>
      <w:r>
        <w:rPr>
          <w:rFonts w:hint="eastAsia" w:ascii="宋体" w:hAnsi="宋体" w:eastAsia="宋体"/>
          <w:b/>
          <w:bCs/>
          <w:szCs w:val="21"/>
          <w:lang w:eastAsia="zh-CN"/>
        </w:rPr>
        <w:t>供应商以邮寄方式提交质疑函的，凡质疑函符合法定形式、在法定质疑期内交邮的，均予以接收并依法处理。</w:t>
      </w:r>
    </w:p>
    <w:p w14:paraId="1B93541D">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14:paraId="72DA623A">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14:paraId="17E802DA">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14:paraId="00809199">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14:paraId="38DFA44B">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14:paraId="38242C93">
      <w:pPr>
        <w:ind w:firstLine="480" w:firstLineChars="200"/>
        <w:rPr>
          <w:rFonts w:ascii="宋体" w:hAnsi="宋体" w:eastAsia="宋体"/>
          <w:szCs w:val="21"/>
        </w:rPr>
      </w:pPr>
      <w:r>
        <w:rPr>
          <w:rFonts w:hint="eastAsia" w:ascii="宋体" w:hAnsi="宋体" w:eastAsia="宋体"/>
          <w:szCs w:val="21"/>
        </w:rPr>
        <w:t>（1）质疑主体不满足要求的；</w:t>
      </w:r>
    </w:p>
    <w:p w14:paraId="49B06B18">
      <w:pPr>
        <w:ind w:firstLine="480" w:firstLineChars="200"/>
        <w:rPr>
          <w:rFonts w:ascii="宋体" w:hAnsi="宋体" w:eastAsia="宋体"/>
          <w:szCs w:val="21"/>
        </w:rPr>
      </w:pPr>
      <w:r>
        <w:rPr>
          <w:rFonts w:hint="eastAsia" w:ascii="宋体" w:hAnsi="宋体" w:eastAsia="宋体"/>
          <w:szCs w:val="21"/>
        </w:rPr>
        <w:t>（2）供应商自身权益未受到损害的；</w:t>
      </w:r>
    </w:p>
    <w:p w14:paraId="3297B560">
      <w:pPr>
        <w:ind w:firstLine="480" w:firstLineChars="200"/>
        <w:rPr>
          <w:rFonts w:ascii="宋体" w:hAnsi="宋体" w:eastAsia="宋体"/>
          <w:szCs w:val="21"/>
        </w:rPr>
      </w:pPr>
      <w:r>
        <w:rPr>
          <w:rFonts w:hint="eastAsia" w:ascii="宋体" w:hAnsi="宋体" w:eastAsia="宋体"/>
          <w:szCs w:val="21"/>
        </w:rPr>
        <w:t>（3）供应商未在法定质疑期限内提出质疑的；</w:t>
      </w:r>
    </w:p>
    <w:p w14:paraId="496C397D">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293484FE">
      <w:pPr>
        <w:ind w:firstLine="480" w:firstLineChars="200"/>
        <w:rPr>
          <w:rFonts w:ascii="宋体" w:hAnsi="宋体" w:eastAsia="宋体"/>
          <w:szCs w:val="21"/>
        </w:rPr>
      </w:pPr>
      <w:r>
        <w:rPr>
          <w:rFonts w:hint="eastAsia" w:ascii="宋体" w:hAnsi="宋体" w:eastAsia="宋体"/>
          <w:szCs w:val="21"/>
        </w:rPr>
        <w:t>（5）其他不符合受理条件情形的。</w:t>
      </w:r>
    </w:p>
    <w:p w14:paraId="6B162A58">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14:paraId="5D7CE045">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14:paraId="212FFA48">
      <w:pPr>
        <w:rPr>
          <w:rFonts w:ascii="宋体" w:hAnsi="宋体" w:eastAsia="宋体"/>
          <w:szCs w:val="21"/>
        </w:rPr>
      </w:pPr>
      <w:r>
        <w:rPr>
          <w:rFonts w:hint="eastAsia" w:ascii="宋体" w:hAnsi="宋体" w:eastAsia="宋体"/>
          <w:szCs w:val="21"/>
        </w:rPr>
        <w:t xml:space="preserve">    自收文之日起七个工作日内。</w:t>
      </w:r>
    </w:p>
    <w:p w14:paraId="6BFD9F1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14:paraId="72CF752C">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14:paraId="4B4017B9">
      <w:pPr>
        <w:rPr>
          <w:rFonts w:ascii="黑体" w:hAnsi="宋体" w:eastAsia="黑体"/>
        </w:rPr>
      </w:pPr>
      <w:r>
        <w:rPr>
          <w:rFonts w:hint="eastAsia" w:ascii="黑体" w:hAnsi="宋体" w:eastAsia="黑体"/>
        </w:rPr>
        <w:t>53. 质疑后续处理</w:t>
      </w:r>
    </w:p>
    <w:p w14:paraId="0C7E5ECF">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14:paraId="04A90064">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05902594">
      <w:pPr>
        <w:jc w:val="center"/>
        <w:rPr>
          <w:rFonts w:eastAsia="宋体"/>
        </w:rPr>
      </w:pPr>
      <w:r>
        <w:rPr>
          <w:rFonts w:eastAsia="宋体"/>
        </w:rPr>
        <w:t>---- END ----</w:t>
      </w:r>
      <w:bookmarkEnd w:id="68"/>
    </w:p>
    <w:p w14:paraId="164BFB04">
      <w:pPr>
        <w:rPr>
          <w:rFonts w:ascii="宋体" w:hAnsi="宋体" w:eastAsia="黑体"/>
          <w:b/>
          <w:bCs/>
          <w:color w:val="0000FF"/>
          <w:kern w:val="44"/>
          <w:sz w:val="36"/>
          <w:szCs w:val="44"/>
        </w:rPr>
      </w:pPr>
    </w:p>
    <w:p w14:paraId="5B61D75E"/>
    <w:p w14:paraId="520201D2"/>
    <w:sectPr>
      <w:headerReference r:id="rId8" w:type="default"/>
      <w:footerReference r:id="rId9" w:type="default"/>
      <w:pgSz w:w="11906" w:h="16838"/>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A00002EF" w:usb1="4000004B"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AFA8A">
    <w:pPr>
      <w:pStyle w:val="11"/>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1EAEB">
    <w:pPr>
      <w:pStyle w:val="11"/>
      <w:ind w:right="360" w:firstLine="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2B402">
    <w:pPr>
      <w:pStyle w:val="1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8F72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388F72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5F4E3">
    <w:pPr>
      <w:pStyle w:val="11"/>
      <w:ind w:right="360" w:firstLine="360"/>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97F27">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8697F27">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720E8">
    <w:pPr>
      <w:pStyle w:val="11"/>
      <w:rPr>
        <w:rStyle w:val="21"/>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172E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43172E5">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0C06F401">
    <w:pPr>
      <w:pStyle w:val="11"/>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5A71B">
    <w:pPr>
      <w:pStyle w:val="11"/>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570DD">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F2570DD">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F3240">
    <w:pPr>
      <w:pStyle w:val="12"/>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5F814"/>
    <w:multiLevelType w:val="singleLevel"/>
    <w:tmpl w:val="ABD5F814"/>
    <w:lvl w:ilvl="0" w:tentative="0">
      <w:start w:val="1"/>
      <w:numFmt w:val="chineseCounting"/>
      <w:suff w:val="nothing"/>
      <w:lvlText w:val="（%1）"/>
      <w:lvlJc w:val="left"/>
      <w:rPr>
        <w:rFonts w:hint="eastAsia"/>
      </w:rPr>
    </w:lvl>
  </w:abstractNum>
  <w:abstractNum w:abstractNumId="1">
    <w:nsid w:val="B6A1A4BE"/>
    <w:multiLevelType w:val="singleLevel"/>
    <w:tmpl w:val="B6A1A4BE"/>
    <w:lvl w:ilvl="0" w:tentative="0">
      <w:start w:val="2"/>
      <w:numFmt w:val="decimal"/>
      <w:suff w:val="nothing"/>
      <w:lvlText w:val="%1、"/>
      <w:lvlJc w:val="left"/>
    </w:lvl>
  </w:abstractNum>
  <w:abstractNum w:abstractNumId="2">
    <w:nsid w:val="D4E84D68"/>
    <w:multiLevelType w:val="singleLevel"/>
    <w:tmpl w:val="D4E84D68"/>
    <w:lvl w:ilvl="0" w:tentative="0">
      <w:start w:val="4"/>
      <w:numFmt w:val="chineseCounting"/>
      <w:suff w:val="nothing"/>
      <w:lvlText w:val="%1、"/>
      <w:lvlJc w:val="left"/>
      <w:rPr>
        <w:rFonts w:hint="eastAsia"/>
      </w:rPr>
    </w:lvl>
  </w:abstractNum>
  <w:abstractNum w:abstractNumId="3">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4E409BB"/>
    <w:multiLevelType w:val="multilevel"/>
    <w:tmpl w:val="24E409BB"/>
    <w:lvl w:ilvl="0" w:tentative="0">
      <w:start w:val="1"/>
      <w:numFmt w:val="decimal"/>
      <w:pStyle w:val="25"/>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9"/>
  </w:num>
  <w:num w:numId="2">
    <w:abstractNumId w:val="10"/>
  </w:num>
  <w:num w:numId="3">
    <w:abstractNumId w:val="0"/>
  </w:num>
  <w:num w:numId="4">
    <w:abstractNumId w:val="2"/>
  </w:num>
  <w:num w:numId="5">
    <w:abstractNumId w:val="3"/>
  </w:num>
  <w:num w:numId="6">
    <w:abstractNumId w:val="1"/>
  </w:num>
  <w:num w:numId="7">
    <w:abstractNumId w:val="4"/>
  </w:num>
  <w:num w:numId="8">
    <w:abstractNumId w:val="5"/>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DJkMTcwMGI3ODk5Y2RkZTJmNjEzOTc4ZDYzNmQifQ=="/>
  </w:docVars>
  <w:rsids>
    <w:rsidRoot w:val="00000000"/>
    <w:rsid w:val="002A37D5"/>
    <w:rsid w:val="00F62D6F"/>
    <w:rsid w:val="011E43F5"/>
    <w:rsid w:val="030750A8"/>
    <w:rsid w:val="032A2EC2"/>
    <w:rsid w:val="038251E4"/>
    <w:rsid w:val="04B6088C"/>
    <w:rsid w:val="04FB554F"/>
    <w:rsid w:val="053B5831"/>
    <w:rsid w:val="061709BB"/>
    <w:rsid w:val="066F61BA"/>
    <w:rsid w:val="07061165"/>
    <w:rsid w:val="0771024E"/>
    <w:rsid w:val="07CE6076"/>
    <w:rsid w:val="07E22A0A"/>
    <w:rsid w:val="080C42F3"/>
    <w:rsid w:val="08272839"/>
    <w:rsid w:val="0889017A"/>
    <w:rsid w:val="08CE1D46"/>
    <w:rsid w:val="093C03DB"/>
    <w:rsid w:val="0A084FFE"/>
    <w:rsid w:val="0A21662D"/>
    <w:rsid w:val="0AB42B4F"/>
    <w:rsid w:val="0B137E4E"/>
    <w:rsid w:val="0B2E174C"/>
    <w:rsid w:val="0BEB721A"/>
    <w:rsid w:val="0CBB0573"/>
    <w:rsid w:val="0CE95576"/>
    <w:rsid w:val="0D250F7C"/>
    <w:rsid w:val="0D3A744A"/>
    <w:rsid w:val="0DF57054"/>
    <w:rsid w:val="0F1778CD"/>
    <w:rsid w:val="0F255064"/>
    <w:rsid w:val="0F4136F3"/>
    <w:rsid w:val="0FE53B0B"/>
    <w:rsid w:val="1046648D"/>
    <w:rsid w:val="105F0547"/>
    <w:rsid w:val="10EA6A77"/>
    <w:rsid w:val="1192589F"/>
    <w:rsid w:val="12B45F9C"/>
    <w:rsid w:val="138C5906"/>
    <w:rsid w:val="142F3F28"/>
    <w:rsid w:val="14640782"/>
    <w:rsid w:val="14C262F5"/>
    <w:rsid w:val="14D40085"/>
    <w:rsid w:val="14DF4477"/>
    <w:rsid w:val="157403EC"/>
    <w:rsid w:val="169C38B2"/>
    <w:rsid w:val="16C056AB"/>
    <w:rsid w:val="16E441B9"/>
    <w:rsid w:val="174A68DC"/>
    <w:rsid w:val="17530433"/>
    <w:rsid w:val="17DB2032"/>
    <w:rsid w:val="18861828"/>
    <w:rsid w:val="18DE241D"/>
    <w:rsid w:val="18E76BE1"/>
    <w:rsid w:val="19255582"/>
    <w:rsid w:val="19492A45"/>
    <w:rsid w:val="19D74121"/>
    <w:rsid w:val="1A386D0E"/>
    <w:rsid w:val="1AFA1BD0"/>
    <w:rsid w:val="1AFA79D1"/>
    <w:rsid w:val="1B890C51"/>
    <w:rsid w:val="1B9F78CD"/>
    <w:rsid w:val="1DA048C4"/>
    <w:rsid w:val="1E0E5ED3"/>
    <w:rsid w:val="1E9E467A"/>
    <w:rsid w:val="1ED5358C"/>
    <w:rsid w:val="1F5C3D1D"/>
    <w:rsid w:val="1F820F6D"/>
    <w:rsid w:val="1F9E5A3F"/>
    <w:rsid w:val="20596F74"/>
    <w:rsid w:val="20E23BAD"/>
    <w:rsid w:val="20ED4250"/>
    <w:rsid w:val="210821C0"/>
    <w:rsid w:val="214634D5"/>
    <w:rsid w:val="21C4062D"/>
    <w:rsid w:val="22FD2004"/>
    <w:rsid w:val="2330262C"/>
    <w:rsid w:val="245A1CC8"/>
    <w:rsid w:val="24AA7AF3"/>
    <w:rsid w:val="24D1617A"/>
    <w:rsid w:val="24EC66D5"/>
    <w:rsid w:val="250410F2"/>
    <w:rsid w:val="25A474B9"/>
    <w:rsid w:val="267A507C"/>
    <w:rsid w:val="2729727B"/>
    <w:rsid w:val="280A4341"/>
    <w:rsid w:val="283038F0"/>
    <w:rsid w:val="287F06FD"/>
    <w:rsid w:val="296C066D"/>
    <w:rsid w:val="2A1755A3"/>
    <w:rsid w:val="2A2348E7"/>
    <w:rsid w:val="2A870AD2"/>
    <w:rsid w:val="2AB33F52"/>
    <w:rsid w:val="2B675A24"/>
    <w:rsid w:val="2B7C2D1A"/>
    <w:rsid w:val="2C3122F3"/>
    <w:rsid w:val="2C366F69"/>
    <w:rsid w:val="2CD52CB9"/>
    <w:rsid w:val="2D4775CA"/>
    <w:rsid w:val="2D847558"/>
    <w:rsid w:val="2D9774DB"/>
    <w:rsid w:val="2E0979F4"/>
    <w:rsid w:val="2EFA653D"/>
    <w:rsid w:val="2F8A0903"/>
    <w:rsid w:val="2FBD5759"/>
    <w:rsid w:val="2FCE39F5"/>
    <w:rsid w:val="302A6951"/>
    <w:rsid w:val="30334664"/>
    <w:rsid w:val="309C64CF"/>
    <w:rsid w:val="30A64860"/>
    <w:rsid w:val="310F0A0C"/>
    <w:rsid w:val="311A02B3"/>
    <w:rsid w:val="3137687A"/>
    <w:rsid w:val="315A2E08"/>
    <w:rsid w:val="317364CC"/>
    <w:rsid w:val="31955AF7"/>
    <w:rsid w:val="32265D43"/>
    <w:rsid w:val="3229728F"/>
    <w:rsid w:val="323C629C"/>
    <w:rsid w:val="325E7BE3"/>
    <w:rsid w:val="328D2734"/>
    <w:rsid w:val="33543124"/>
    <w:rsid w:val="337C7542"/>
    <w:rsid w:val="34724A5F"/>
    <w:rsid w:val="34DD74E5"/>
    <w:rsid w:val="35503953"/>
    <w:rsid w:val="357F5535"/>
    <w:rsid w:val="35EA5AC8"/>
    <w:rsid w:val="362516C4"/>
    <w:rsid w:val="36CF0EC8"/>
    <w:rsid w:val="36E02B59"/>
    <w:rsid w:val="37134E69"/>
    <w:rsid w:val="37257F04"/>
    <w:rsid w:val="39B76241"/>
    <w:rsid w:val="3A964C7D"/>
    <w:rsid w:val="3B01630F"/>
    <w:rsid w:val="3B1B27B1"/>
    <w:rsid w:val="3BA61AF4"/>
    <w:rsid w:val="3BD5148E"/>
    <w:rsid w:val="3BE3002B"/>
    <w:rsid w:val="3C795F8F"/>
    <w:rsid w:val="3C7C70DC"/>
    <w:rsid w:val="3CB90451"/>
    <w:rsid w:val="3CB971DE"/>
    <w:rsid w:val="3D007123"/>
    <w:rsid w:val="3D012277"/>
    <w:rsid w:val="3D224849"/>
    <w:rsid w:val="3D484A54"/>
    <w:rsid w:val="3D551BD0"/>
    <w:rsid w:val="3D721D7A"/>
    <w:rsid w:val="3D863DAC"/>
    <w:rsid w:val="3D876C9A"/>
    <w:rsid w:val="3E2703D9"/>
    <w:rsid w:val="3E52449D"/>
    <w:rsid w:val="3E6A66F5"/>
    <w:rsid w:val="3E937CBC"/>
    <w:rsid w:val="3E9A489A"/>
    <w:rsid w:val="3EDA4ED4"/>
    <w:rsid w:val="3F332A95"/>
    <w:rsid w:val="3F3601F1"/>
    <w:rsid w:val="3F4B59E3"/>
    <w:rsid w:val="402C7D5E"/>
    <w:rsid w:val="40B51C9C"/>
    <w:rsid w:val="41551971"/>
    <w:rsid w:val="420434D8"/>
    <w:rsid w:val="429750D7"/>
    <w:rsid w:val="42F57A32"/>
    <w:rsid w:val="4422077D"/>
    <w:rsid w:val="443020B6"/>
    <w:rsid w:val="45024BF8"/>
    <w:rsid w:val="46351352"/>
    <w:rsid w:val="4695327F"/>
    <w:rsid w:val="48AA43D6"/>
    <w:rsid w:val="498D43D6"/>
    <w:rsid w:val="4A29520E"/>
    <w:rsid w:val="4A4F7527"/>
    <w:rsid w:val="4B5C0F6F"/>
    <w:rsid w:val="4BB415B9"/>
    <w:rsid w:val="4CBD0D73"/>
    <w:rsid w:val="4D2C2FDF"/>
    <w:rsid w:val="4E601A65"/>
    <w:rsid w:val="4F6A77C6"/>
    <w:rsid w:val="50093AE6"/>
    <w:rsid w:val="51206B83"/>
    <w:rsid w:val="51300F5F"/>
    <w:rsid w:val="51570C73"/>
    <w:rsid w:val="51680854"/>
    <w:rsid w:val="51B44C64"/>
    <w:rsid w:val="523124A5"/>
    <w:rsid w:val="524E5317"/>
    <w:rsid w:val="526B5AC6"/>
    <w:rsid w:val="526D1A50"/>
    <w:rsid w:val="52713992"/>
    <w:rsid w:val="53096FE2"/>
    <w:rsid w:val="53B829B7"/>
    <w:rsid w:val="53F83FD3"/>
    <w:rsid w:val="540C5D72"/>
    <w:rsid w:val="54113878"/>
    <w:rsid w:val="54656B86"/>
    <w:rsid w:val="546E6951"/>
    <w:rsid w:val="549A40FC"/>
    <w:rsid w:val="54CC69D8"/>
    <w:rsid w:val="550D372B"/>
    <w:rsid w:val="562B2188"/>
    <w:rsid w:val="56606BE9"/>
    <w:rsid w:val="5662250A"/>
    <w:rsid w:val="57195913"/>
    <w:rsid w:val="574D2CF7"/>
    <w:rsid w:val="579730CB"/>
    <w:rsid w:val="57BE3ECB"/>
    <w:rsid w:val="58155A5A"/>
    <w:rsid w:val="582D62E3"/>
    <w:rsid w:val="58F807C1"/>
    <w:rsid w:val="59112DDA"/>
    <w:rsid w:val="59D2767F"/>
    <w:rsid w:val="5C211245"/>
    <w:rsid w:val="5CBF7454"/>
    <w:rsid w:val="5CED16D9"/>
    <w:rsid w:val="5E6C4478"/>
    <w:rsid w:val="5F186198"/>
    <w:rsid w:val="5FB20F0C"/>
    <w:rsid w:val="60173081"/>
    <w:rsid w:val="604E7BD7"/>
    <w:rsid w:val="6082485E"/>
    <w:rsid w:val="620E3E31"/>
    <w:rsid w:val="63901245"/>
    <w:rsid w:val="63B96AC2"/>
    <w:rsid w:val="63D84EDF"/>
    <w:rsid w:val="643D1580"/>
    <w:rsid w:val="643E619F"/>
    <w:rsid w:val="643E7E0D"/>
    <w:rsid w:val="653C01C1"/>
    <w:rsid w:val="6594282D"/>
    <w:rsid w:val="66590A9D"/>
    <w:rsid w:val="66AA497C"/>
    <w:rsid w:val="67140BE8"/>
    <w:rsid w:val="67283F04"/>
    <w:rsid w:val="67352DB6"/>
    <w:rsid w:val="673F14F0"/>
    <w:rsid w:val="67CB1507"/>
    <w:rsid w:val="67DC1861"/>
    <w:rsid w:val="68653FE4"/>
    <w:rsid w:val="68A76B92"/>
    <w:rsid w:val="68CF0BBE"/>
    <w:rsid w:val="69A725C4"/>
    <w:rsid w:val="69CB65F7"/>
    <w:rsid w:val="69EB2313"/>
    <w:rsid w:val="6AE129ED"/>
    <w:rsid w:val="6B0005F0"/>
    <w:rsid w:val="6B1729F4"/>
    <w:rsid w:val="6BA4026E"/>
    <w:rsid w:val="6BF502A5"/>
    <w:rsid w:val="6C5B5032"/>
    <w:rsid w:val="6C7015D3"/>
    <w:rsid w:val="6C8D36A3"/>
    <w:rsid w:val="6CA60D1F"/>
    <w:rsid w:val="6CB95133"/>
    <w:rsid w:val="6CEB406B"/>
    <w:rsid w:val="6D0810DB"/>
    <w:rsid w:val="6D4E436F"/>
    <w:rsid w:val="6ED332D0"/>
    <w:rsid w:val="6F421E56"/>
    <w:rsid w:val="6F450465"/>
    <w:rsid w:val="6F840FE6"/>
    <w:rsid w:val="6FD25210"/>
    <w:rsid w:val="708B1138"/>
    <w:rsid w:val="70D10D69"/>
    <w:rsid w:val="70F16DE1"/>
    <w:rsid w:val="7112385C"/>
    <w:rsid w:val="711F649C"/>
    <w:rsid w:val="715C0B2F"/>
    <w:rsid w:val="71606F22"/>
    <w:rsid w:val="71D4290B"/>
    <w:rsid w:val="7223194D"/>
    <w:rsid w:val="72476B05"/>
    <w:rsid w:val="72500730"/>
    <w:rsid w:val="726953A0"/>
    <w:rsid w:val="72CC003C"/>
    <w:rsid w:val="72DE4D4B"/>
    <w:rsid w:val="7375655F"/>
    <w:rsid w:val="73BF6E3A"/>
    <w:rsid w:val="73C9540C"/>
    <w:rsid w:val="741221C2"/>
    <w:rsid w:val="743F3033"/>
    <w:rsid w:val="744E3935"/>
    <w:rsid w:val="74AC7D08"/>
    <w:rsid w:val="74B45AB7"/>
    <w:rsid w:val="752776A3"/>
    <w:rsid w:val="762C4BB0"/>
    <w:rsid w:val="762F0C47"/>
    <w:rsid w:val="7663186E"/>
    <w:rsid w:val="779C18C8"/>
    <w:rsid w:val="78512F4B"/>
    <w:rsid w:val="78CF6693"/>
    <w:rsid w:val="79273811"/>
    <w:rsid w:val="79955522"/>
    <w:rsid w:val="7A407E45"/>
    <w:rsid w:val="7AFE6E3A"/>
    <w:rsid w:val="7BAF7AFB"/>
    <w:rsid w:val="7BC211A8"/>
    <w:rsid w:val="7C70631A"/>
    <w:rsid w:val="7C8123F0"/>
    <w:rsid w:val="7CBA64E1"/>
    <w:rsid w:val="7CED4825"/>
    <w:rsid w:val="7D2700CC"/>
    <w:rsid w:val="7DB432CA"/>
    <w:rsid w:val="7DF35163"/>
    <w:rsid w:val="7F0659BA"/>
    <w:rsid w:val="7F2716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rPr>
  </w:style>
  <w:style w:type="paragraph" w:styleId="2">
    <w:name w:val="heading 1"/>
    <w:basedOn w:val="1"/>
    <w:next w:val="1"/>
    <w:link w:val="26"/>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7"/>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2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9"/>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tabs>
        <w:tab w:val="left" w:pos="567"/>
      </w:tabs>
      <w:spacing w:before="120" w:line="22" w:lineRule="atLeast"/>
    </w:pPr>
    <w:rPr>
      <w:rFonts w:ascii="宋体" w:hAnsi="宋体"/>
      <w:sz w:val="24"/>
    </w:rPr>
  </w:style>
  <w:style w:type="paragraph" w:styleId="9">
    <w:name w:val="Body Text Indent"/>
    <w:basedOn w:val="1"/>
    <w:autoRedefine/>
    <w:qFormat/>
    <w:uiPriority w:val="0"/>
    <w:pPr>
      <w:spacing w:after="120"/>
      <w:ind w:left="420" w:leftChars="200"/>
    </w:pPr>
  </w:style>
  <w:style w:type="paragraph" w:styleId="10">
    <w:name w:val="Plain Text"/>
    <w:basedOn w:val="1"/>
    <w:autoRedefine/>
    <w:qFormat/>
    <w:uiPriority w:val="0"/>
    <w:rPr>
      <w:rFonts w:ascii="宋体" w:hAnsi="Courier New"/>
      <w:szCs w:val="20"/>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autoRedefine/>
    <w:qFormat/>
    <w:uiPriority w:val="99"/>
    <w:pPr>
      <w:snapToGrid w:val="0"/>
      <w:jc w:val="left"/>
    </w:pPr>
    <w:rPr>
      <w:sz w:val="18"/>
    </w:rPr>
  </w:style>
  <w:style w:type="paragraph" w:styleId="14">
    <w:name w:val="Body Text 2"/>
    <w:basedOn w:val="1"/>
    <w:autoRedefine/>
    <w:qFormat/>
    <w:uiPriority w:val="0"/>
    <w:pPr>
      <w:spacing w:after="120" w:line="480" w:lineRule="auto"/>
    </w:pPr>
    <w:rPr>
      <w:rFonts w:ascii="Arial" w:hAnsi="Arial"/>
      <w:sz w:val="24"/>
    </w:rPr>
  </w:style>
  <w:style w:type="paragraph" w:styleId="15">
    <w:name w:val="Normal (Web)"/>
    <w:basedOn w:val="1"/>
    <w:autoRedefine/>
    <w:qFormat/>
    <w:uiPriority w:val="99"/>
    <w:pPr>
      <w:widowControl/>
      <w:spacing w:before="100" w:beforeAutospacing="1" w:afterAutospacing="1"/>
      <w:jc w:val="left"/>
    </w:pPr>
    <w:rPr>
      <w:rFonts w:ascii="宋体" w:hAnsi="宋体"/>
      <w:sz w:val="24"/>
      <w:szCs w:val="24"/>
    </w:rPr>
  </w:style>
  <w:style w:type="paragraph" w:styleId="16">
    <w:name w:val="Body Text First Indent"/>
    <w:basedOn w:val="8"/>
    <w:next w:val="1"/>
    <w:autoRedefine/>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9"/>
    <w:autoRedefine/>
    <w:qFormat/>
    <w:uiPriority w:val="0"/>
    <w:pPr>
      <w:ind w:firstLine="420" w:firstLineChars="200"/>
    </w:pPr>
  </w:style>
  <w:style w:type="character" w:styleId="20">
    <w:name w:val="Strong"/>
    <w:basedOn w:val="19"/>
    <w:qFormat/>
    <w:uiPriority w:val="0"/>
    <w:rPr>
      <w:b/>
    </w:rPr>
  </w:style>
  <w:style w:type="character" w:styleId="21">
    <w:name w:val="page number"/>
    <w:basedOn w:val="19"/>
    <w:autoRedefine/>
    <w:qFormat/>
    <w:uiPriority w:val="0"/>
    <w:rPr>
      <w:rFonts w:eastAsia="宋体"/>
      <w:sz w:val="24"/>
      <w:szCs w:val="24"/>
      <w:lang w:val="en-US" w:eastAsia="zh-CN" w:bidi="ar-SA"/>
    </w:rPr>
  </w:style>
  <w:style w:type="character" w:styleId="22">
    <w:name w:val="Hyperlink"/>
    <w:autoRedefine/>
    <w:qFormat/>
    <w:uiPriority w:val="0"/>
    <w:rPr>
      <w:rFonts w:eastAsia="宋体"/>
      <w:color w:val="0000FF"/>
      <w:sz w:val="24"/>
      <w:szCs w:val="24"/>
      <w:u w:val="single"/>
      <w:lang w:val="en-US" w:eastAsia="zh-CN" w:bidi="ar-SA"/>
    </w:rPr>
  </w:style>
  <w:style w:type="paragraph" w:customStyle="1" w:styleId="23">
    <w:name w:val="Heading 1"/>
    <w:basedOn w:val="1"/>
    <w:next w:val="1"/>
    <w:link w:val="24"/>
    <w:autoRedefine/>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4">
    <w:name w:val="标题 1 Char"/>
    <w:basedOn w:val="19"/>
    <w:link w:val="23"/>
    <w:autoRedefine/>
    <w:qFormat/>
    <w:uiPriority w:val="0"/>
    <w:rPr>
      <w:rFonts w:ascii="Arial" w:hAnsi="Arial" w:eastAsia="宋体" w:cs="Times New Roman"/>
      <w:b/>
      <w:bCs/>
      <w:kern w:val="44"/>
      <w:sz w:val="44"/>
      <w:szCs w:val="44"/>
    </w:rPr>
  </w:style>
  <w:style w:type="paragraph" w:customStyle="1" w:styleId="25">
    <w:name w:val="表名称"/>
    <w:basedOn w:val="6"/>
    <w:autoRedefine/>
    <w:qFormat/>
    <w:uiPriority w:val="0"/>
    <w:pPr>
      <w:numPr>
        <w:ilvl w:val="0"/>
        <w:numId w:val="1"/>
      </w:numPr>
      <w:ind w:firstLine="0" w:firstLineChars="0"/>
      <w:jc w:val="center"/>
    </w:pPr>
  </w:style>
  <w:style w:type="character" w:customStyle="1" w:styleId="26">
    <w:name w:val="标题 1 Char1"/>
    <w:link w:val="2"/>
    <w:autoRedefine/>
    <w:qFormat/>
    <w:uiPriority w:val="0"/>
    <w:rPr>
      <w:b/>
      <w:kern w:val="44"/>
      <w:sz w:val="44"/>
    </w:rPr>
  </w:style>
  <w:style w:type="character" w:customStyle="1" w:styleId="27">
    <w:name w:val="标题 2 Char"/>
    <w:link w:val="3"/>
    <w:autoRedefine/>
    <w:qFormat/>
    <w:uiPriority w:val="0"/>
    <w:rPr>
      <w:rFonts w:ascii="Arial" w:hAnsi="Arial" w:eastAsia="黑体"/>
      <w:b/>
      <w:kern w:val="0"/>
      <w:sz w:val="30"/>
      <w:szCs w:val="20"/>
    </w:rPr>
  </w:style>
  <w:style w:type="character" w:customStyle="1" w:styleId="28">
    <w:name w:val="标题 3 Char"/>
    <w:link w:val="4"/>
    <w:autoRedefine/>
    <w:qFormat/>
    <w:uiPriority w:val="0"/>
    <w:rPr>
      <w:b/>
      <w:sz w:val="32"/>
    </w:rPr>
  </w:style>
  <w:style w:type="character" w:customStyle="1" w:styleId="29">
    <w:name w:val="标题 4 Char"/>
    <w:link w:val="5"/>
    <w:autoRedefine/>
    <w:qFormat/>
    <w:uiPriority w:val="0"/>
    <w:rPr>
      <w:rFonts w:ascii="Arial" w:hAnsi="Arial" w:eastAsia="黑体"/>
      <w:b/>
      <w:sz w:val="28"/>
    </w:rPr>
  </w:style>
  <w:style w:type="paragraph" w:customStyle="1" w:styleId="30">
    <w:name w:val="标书正文"/>
    <w:basedOn w:val="1"/>
    <w:autoRedefine/>
    <w:qFormat/>
    <w:uiPriority w:val="0"/>
    <w:pPr>
      <w:spacing w:line="560" w:lineRule="exact"/>
      <w:ind w:firstLine="723" w:firstLineChars="200"/>
      <w:jc w:val="center"/>
    </w:pPr>
    <w:rPr>
      <w:rFonts w:ascii="仿宋_GB2312" w:eastAsia="仿宋_GB2312"/>
      <w:b/>
      <w:sz w:val="36"/>
    </w:rPr>
  </w:style>
  <w:style w:type="character" w:customStyle="1" w:styleId="31">
    <w:name w:val="font41"/>
    <w:basedOn w:val="19"/>
    <w:autoRedefine/>
    <w:qFormat/>
    <w:uiPriority w:val="0"/>
    <w:rPr>
      <w:rFonts w:ascii="新宋体" w:hAnsi="新宋体" w:eastAsia="新宋体" w:cs="新宋体"/>
      <w:color w:val="000000"/>
      <w:sz w:val="20"/>
      <w:szCs w:val="20"/>
      <w:u w:val="none"/>
    </w:rPr>
  </w:style>
  <w:style w:type="paragraph" w:customStyle="1" w:styleId="32">
    <w:name w:val="标题 5（有编号）（绿盟科技）"/>
    <w:basedOn w:val="1"/>
    <w:next w:val="33"/>
    <w:autoRedefine/>
    <w:qFormat/>
    <w:uiPriority w:val="0"/>
    <w:pPr>
      <w:keepNext/>
      <w:keepLines/>
      <w:numPr>
        <w:ilvl w:val="4"/>
        <w:numId w:val="2"/>
      </w:numPr>
      <w:spacing w:before="280" w:after="156" w:line="377" w:lineRule="auto"/>
      <w:outlineLvl w:val="4"/>
    </w:pPr>
    <w:rPr>
      <w:rFonts w:ascii="Arial" w:hAnsi="Arial" w:eastAsia="黑体"/>
      <w:b/>
      <w:sz w:val="24"/>
      <w:szCs w:val="28"/>
    </w:rPr>
  </w:style>
  <w:style w:type="paragraph" w:customStyle="1" w:styleId="3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4">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table" w:customStyle="1" w:styleId="36">
    <w:name w:val="Table Normal"/>
    <w:autoRedefine/>
    <w:unhideWhenUsed/>
    <w:qFormat/>
    <w:uiPriority w:val="0"/>
    <w:tblPr>
      <w:tblCellMar>
        <w:top w:w="0" w:type="dxa"/>
        <w:left w:w="0" w:type="dxa"/>
        <w:bottom w:w="0" w:type="dxa"/>
        <w:right w:w="0" w:type="dxa"/>
      </w:tblCellMar>
    </w:tblPr>
  </w:style>
  <w:style w:type="character" w:customStyle="1" w:styleId="37">
    <w:name w:val="font51"/>
    <w:basedOn w:val="19"/>
    <w:qFormat/>
    <w:uiPriority w:val="0"/>
    <w:rPr>
      <w:rFonts w:hint="eastAsia" w:ascii="宋体" w:hAnsi="宋体" w:eastAsia="宋体" w:cs="宋体"/>
      <w:b/>
      <w:bCs/>
      <w:color w:val="000000"/>
      <w:sz w:val="21"/>
      <w:szCs w:val="21"/>
      <w:u w:val="none"/>
    </w:rPr>
  </w:style>
  <w:style w:type="character" w:customStyle="1" w:styleId="38">
    <w:name w:val="font31"/>
    <w:basedOn w:val="19"/>
    <w:qFormat/>
    <w:uiPriority w:val="0"/>
    <w:rPr>
      <w:rFonts w:hint="eastAsia" w:ascii="宋体" w:hAnsi="宋体" w:eastAsia="宋体" w:cs="宋体"/>
      <w:color w:val="000000"/>
      <w:sz w:val="21"/>
      <w:szCs w:val="21"/>
      <w:u w:val="none"/>
    </w:rPr>
  </w:style>
  <w:style w:type="character" w:customStyle="1" w:styleId="39">
    <w:name w:val="font61"/>
    <w:basedOn w:val="19"/>
    <w:qFormat/>
    <w:uiPriority w:val="0"/>
    <w:rPr>
      <w:rFonts w:hint="eastAsia" w:ascii="宋体" w:hAnsi="宋体" w:eastAsia="宋体" w:cs="宋体"/>
      <w:b/>
      <w:bCs/>
      <w:color w:val="000000"/>
      <w:sz w:val="22"/>
      <w:szCs w:val="22"/>
      <w:u w:val="none"/>
    </w:rPr>
  </w:style>
  <w:style w:type="paragraph" w:customStyle="1" w:styleId="40">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41">
    <w:name w:val="font71"/>
    <w:basedOn w:val="19"/>
    <w:qFormat/>
    <w:uiPriority w:val="0"/>
    <w:rPr>
      <w:rFonts w:ascii="Symbol" w:hAnsi="Symbol" w:cs="Symbol"/>
      <w:color w:val="000000"/>
      <w:sz w:val="20"/>
      <w:szCs w:val="20"/>
      <w:u w:val="none"/>
    </w:rPr>
  </w:style>
  <w:style w:type="character" w:customStyle="1" w:styleId="42">
    <w:name w:val="font91"/>
    <w:basedOn w:val="19"/>
    <w:qFormat/>
    <w:uiPriority w:val="0"/>
    <w:rPr>
      <w:rFonts w:ascii="Arial" w:hAnsi="Arial" w:cs="Arial"/>
      <w:color w:val="000000"/>
      <w:sz w:val="20"/>
      <w:szCs w:val="20"/>
      <w:u w:val="none"/>
    </w:rPr>
  </w:style>
  <w:style w:type="character" w:customStyle="1" w:styleId="43">
    <w:name w:val="font101"/>
    <w:basedOn w:val="19"/>
    <w:qFormat/>
    <w:uiPriority w:val="0"/>
    <w:rPr>
      <w:rFonts w:hint="eastAsia" w:ascii="宋体" w:hAnsi="宋体" w:eastAsia="宋体" w:cs="宋体"/>
      <w:color w:val="000000"/>
      <w:sz w:val="20"/>
      <w:szCs w:val="20"/>
      <w:u w:val="none"/>
    </w:rPr>
  </w:style>
  <w:style w:type="character" w:customStyle="1" w:styleId="44">
    <w:name w:val="font112"/>
    <w:basedOn w:val="19"/>
    <w:qFormat/>
    <w:uiPriority w:val="0"/>
    <w:rPr>
      <w:rFonts w:hint="default" w:ascii="Times New Roman" w:hAnsi="Times New Roman" w:cs="Times New Roman"/>
      <w:color w:val="000000"/>
      <w:sz w:val="20"/>
      <w:szCs w:val="20"/>
      <w:u w:val="none"/>
    </w:rPr>
  </w:style>
  <w:style w:type="character" w:customStyle="1" w:styleId="45">
    <w:name w:val="font8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89</Pages>
  <Words>1154</Words>
  <Characters>1207</Characters>
  <Lines>1</Lines>
  <Paragraphs>1</Paragraphs>
  <TotalTime>2</TotalTime>
  <ScaleCrop>false</ScaleCrop>
  <LinksUpToDate>false</LinksUpToDate>
  <CharactersWithSpaces>1240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WPS_1750420902</cp:lastModifiedBy>
  <cp:lastPrinted>2025-05-22T11:51:00Z</cp:lastPrinted>
  <dcterms:modified xsi:type="dcterms:W3CDTF">2026-06-05T05:34:16Z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E2193C00F7914759BA72B9ED833BC6EB_13</vt:lpwstr>
  </property>
  <property fmtid="{D5CDD505-2E9C-101B-9397-08002B2CF9AE}" pid="4" name="KSOTemplateDocerSaveRecord">
    <vt:lpwstr>eyJoZGlkIjoiYWQzZDJkMTcwMGI3ODk5Y2RkZTJmNjEzOTc4ZDYzNmQiLCJ1c2VySWQiOiIxNzEyMTM0Njk0In0=</vt:lpwstr>
  </property>
</Properties>
</file>