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B75B">
      <w:pPr>
        <w:jc w:val="right"/>
        <w:rPr>
          <w:rFonts w:hint="eastAsia" w:ascii="仿宋" w:hAnsi="仿宋" w:eastAsia="仿宋" w:cs="仿宋"/>
          <w:b/>
          <w:bCs/>
          <w:color w:val="auto"/>
          <w:kern w:val="0"/>
          <w:sz w:val="44"/>
          <w:szCs w:val="44"/>
          <w:highlight w:val="none"/>
        </w:rPr>
      </w:pPr>
      <w:bookmarkStart w:id="0" w:name="_Toc21215"/>
      <w:bookmarkStart w:id="1" w:name="_Toc21015"/>
      <w:bookmarkStart w:id="2" w:name="_Toc216582805"/>
      <w:bookmarkStart w:id="3" w:name="_Toc515647757"/>
      <w:bookmarkStart w:id="4" w:name="_Toc520356143"/>
      <w:r>
        <w:rPr>
          <w:rFonts w:hint="eastAsia" w:ascii="仿宋" w:hAnsi="仿宋" w:eastAsia="仿宋" w:cs="仿宋"/>
          <w:b/>
          <w:bCs/>
          <w:kern w:val="0"/>
          <w:sz w:val="28"/>
          <w:szCs w:val="28"/>
          <w:lang w:eastAsia="zh-CN"/>
        </w:rPr>
        <w:t>公开</w:t>
      </w:r>
      <w:r>
        <w:rPr>
          <w:rFonts w:hint="eastAsia" w:ascii="仿宋" w:hAnsi="仿宋" w:eastAsia="仿宋" w:cs="仿宋"/>
          <w:b/>
          <w:bCs/>
          <w:kern w:val="0"/>
          <w:sz w:val="28"/>
          <w:szCs w:val="28"/>
          <w:lang w:val="en-US" w:eastAsia="zh-CN"/>
        </w:rPr>
        <w:t xml:space="preserve">                  </w:t>
      </w:r>
    </w:p>
    <w:p w14:paraId="0790D203">
      <w:pPr>
        <w:ind w:left="520" w:hanging="520" w:hangingChars="100"/>
        <w:jc w:val="center"/>
        <w:rPr>
          <w:rFonts w:hint="eastAsia" w:ascii="仿宋" w:hAnsi="仿宋" w:eastAsia="仿宋" w:cs="仿宋"/>
          <w:b/>
          <w:bCs/>
          <w:kern w:val="0"/>
          <w:sz w:val="28"/>
          <w:szCs w:val="28"/>
        </w:rPr>
      </w:pPr>
      <w:r>
        <w:rPr>
          <w:rFonts w:hint="eastAsia" w:ascii="仿宋" w:hAnsi="仿宋" w:eastAsia="仿宋" w:cs="仿宋"/>
          <w:b/>
          <w:bCs/>
          <w:color w:val="auto"/>
          <w:kern w:val="0"/>
          <w:sz w:val="52"/>
          <w:szCs w:val="52"/>
          <w:highlight w:val="none"/>
          <w:lang w:eastAsia="zh-CN"/>
        </w:rPr>
        <w:t>莎车县国有农用地管理及农村集体土地清理数据库建立项目</w:t>
      </w:r>
    </w:p>
    <w:p w14:paraId="2F28110A">
      <w:pPr>
        <w:jc w:val="both"/>
        <w:rPr>
          <w:rFonts w:hint="eastAsia" w:ascii="仿宋" w:hAnsi="仿宋" w:eastAsia="仿宋" w:cs="仿宋"/>
          <w:b/>
          <w:bCs/>
          <w:kern w:val="0"/>
          <w:sz w:val="28"/>
          <w:szCs w:val="28"/>
        </w:rPr>
      </w:pPr>
    </w:p>
    <w:p w14:paraId="36BA625D">
      <w:pPr>
        <w:ind w:firstLine="2240" w:firstLineChars="800"/>
        <w:jc w:val="both"/>
        <w:rPr>
          <w:rFonts w:hint="default" w:ascii="仿宋" w:hAnsi="仿宋" w:eastAsia="仿宋" w:cs="仿宋"/>
          <w:b/>
          <w:sz w:val="44"/>
          <w:szCs w:val="44"/>
          <w:lang w:val="en-US" w:eastAsia="zh-CN"/>
        </w:rPr>
      </w:pPr>
      <w:r>
        <w:rPr>
          <w:rFonts w:hint="eastAsia" w:ascii="仿宋" w:hAnsi="仿宋" w:eastAsia="仿宋" w:cs="仿宋"/>
          <w:b/>
          <w:bCs/>
          <w:kern w:val="0"/>
          <w:sz w:val="28"/>
          <w:szCs w:val="28"/>
        </w:rPr>
        <w:t>项目编号：SSQY(SCCGGK)2026-02</w:t>
      </w:r>
    </w:p>
    <w:p w14:paraId="1C58A273">
      <w:pPr>
        <w:pStyle w:val="11"/>
        <w:rPr>
          <w:rFonts w:hint="eastAsia"/>
        </w:rPr>
      </w:pPr>
    </w:p>
    <w:p w14:paraId="765555C6">
      <w:pPr>
        <w:rPr>
          <w:rFonts w:hint="eastAsia"/>
        </w:rPr>
      </w:pPr>
    </w:p>
    <w:p w14:paraId="2FB58D33">
      <w:pPr>
        <w:spacing w:line="240" w:lineRule="atLeast"/>
        <w:ind w:left="1079" w:leftChars="257" w:hanging="540"/>
        <w:jc w:val="center"/>
        <w:rPr>
          <w:rFonts w:hint="eastAsia" w:ascii="仿宋" w:hAnsi="仿宋" w:eastAsia="仿宋" w:cs="仿宋"/>
          <w:b/>
          <w:bCs/>
          <w:color w:val="auto"/>
          <w:kern w:val="0"/>
          <w:sz w:val="56"/>
          <w:szCs w:val="56"/>
          <w:highlight w:val="none"/>
        </w:rPr>
      </w:pPr>
      <w:r>
        <w:rPr>
          <w:rFonts w:hint="eastAsia" w:ascii="仿宋" w:hAnsi="仿宋" w:eastAsia="仿宋" w:cs="仿宋"/>
          <w:b/>
          <w:bCs/>
          <w:color w:val="auto"/>
          <w:kern w:val="0"/>
          <w:sz w:val="72"/>
          <w:szCs w:val="72"/>
          <w:highlight w:val="none"/>
        </w:rPr>
        <w:t>招</w:t>
      </w:r>
      <w:r>
        <w:rPr>
          <w:rFonts w:hint="eastAsia" w:ascii="仿宋" w:hAnsi="仿宋" w:eastAsia="仿宋" w:cs="仿宋"/>
          <w:b/>
          <w:bCs/>
          <w:color w:val="auto"/>
          <w:kern w:val="0"/>
          <w:sz w:val="72"/>
          <w:szCs w:val="72"/>
          <w:highlight w:val="none"/>
          <w:lang w:val="en-US" w:eastAsia="zh-CN"/>
        </w:rPr>
        <w:t xml:space="preserve"> </w:t>
      </w:r>
      <w:r>
        <w:rPr>
          <w:rFonts w:hint="eastAsia" w:ascii="仿宋" w:hAnsi="仿宋" w:eastAsia="仿宋" w:cs="仿宋"/>
          <w:b/>
          <w:bCs/>
          <w:color w:val="auto"/>
          <w:kern w:val="0"/>
          <w:sz w:val="72"/>
          <w:szCs w:val="72"/>
          <w:highlight w:val="none"/>
        </w:rPr>
        <w:t>标</w:t>
      </w:r>
      <w:r>
        <w:rPr>
          <w:rFonts w:hint="eastAsia" w:ascii="仿宋" w:hAnsi="仿宋" w:eastAsia="仿宋" w:cs="仿宋"/>
          <w:b/>
          <w:bCs/>
          <w:color w:val="auto"/>
          <w:kern w:val="0"/>
          <w:sz w:val="72"/>
          <w:szCs w:val="72"/>
          <w:highlight w:val="none"/>
          <w:lang w:val="en-US" w:eastAsia="zh-CN"/>
        </w:rPr>
        <w:t xml:space="preserve"> </w:t>
      </w:r>
      <w:r>
        <w:rPr>
          <w:rFonts w:hint="eastAsia" w:ascii="仿宋" w:hAnsi="仿宋" w:eastAsia="仿宋" w:cs="仿宋"/>
          <w:b/>
          <w:bCs/>
          <w:color w:val="auto"/>
          <w:kern w:val="0"/>
          <w:sz w:val="72"/>
          <w:szCs w:val="72"/>
          <w:highlight w:val="none"/>
        </w:rPr>
        <w:t>文</w:t>
      </w:r>
      <w:r>
        <w:rPr>
          <w:rFonts w:hint="eastAsia" w:ascii="仿宋" w:hAnsi="仿宋" w:eastAsia="仿宋" w:cs="仿宋"/>
          <w:b/>
          <w:bCs/>
          <w:color w:val="auto"/>
          <w:kern w:val="0"/>
          <w:sz w:val="72"/>
          <w:szCs w:val="72"/>
          <w:highlight w:val="none"/>
          <w:lang w:val="en-US" w:eastAsia="zh-CN"/>
        </w:rPr>
        <w:t xml:space="preserve"> </w:t>
      </w:r>
      <w:r>
        <w:rPr>
          <w:rFonts w:hint="eastAsia" w:ascii="仿宋" w:hAnsi="仿宋" w:eastAsia="仿宋" w:cs="仿宋"/>
          <w:b/>
          <w:bCs/>
          <w:color w:val="auto"/>
          <w:kern w:val="0"/>
          <w:sz w:val="72"/>
          <w:szCs w:val="72"/>
          <w:highlight w:val="none"/>
        </w:rPr>
        <w:t>件</w:t>
      </w:r>
    </w:p>
    <w:p w14:paraId="21AC6B3D">
      <w:pPr>
        <w:pStyle w:val="27"/>
        <w:rPr>
          <w:rFonts w:hint="eastAsia" w:ascii="仿宋" w:hAnsi="仿宋" w:eastAsia="仿宋" w:cs="仿宋"/>
          <w:b/>
          <w:color w:val="auto"/>
          <w:sz w:val="52"/>
          <w:highlight w:val="none"/>
        </w:rPr>
      </w:pPr>
    </w:p>
    <w:p w14:paraId="1921510A">
      <w:pPr>
        <w:pStyle w:val="2"/>
        <w:rPr>
          <w:rFonts w:hint="eastAsia"/>
        </w:rPr>
      </w:pPr>
    </w:p>
    <w:tbl>
      <w:tblPr>
        <w:tblStyle w:val="41"/>
        <w:tblpPr w:leftFromText="180" w:rightFromText="180" w:vertAnchor="text" w:horzAnchor="page" w:tblpX="1947" w:tblpY="617"/>
        <w:tblOverlap w:val="never"/>
        <w:tblW w:w="8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3"/>
        <w:gridCol w:w="5946"/>
      </w:tblGrid>
      <w:tr w14:paraId="6144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1472916A">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rPr>
              <w:t>采购人：</w:t>
            </w:r>
          </w:p>
        </w:tc>
        <w:tc>
          <w:tcPr>
            <w:tcW w:w="5946" w:type="dxa"/>
            <w:vAlign w:val="top"/>
          </w:tcPr>
          <w:p w14:paraId="1552B397">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莎车县自然资源局 </w:t>
            </w:r>
          </w:p>
        </w:tc>
      </w:tr>
      <w:tr w14:paraId="1B9B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20E6B803">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rPr>
              <w:t>联系人：</w:t>
            </w:r>
          </w:p>
        </w:tc>
        <w:tc>
          <w:tcPr>
            <w:tcW w:w="5946" w:type="dxa"/>
            <w:vAlign w:val="top"/>
          </w:tcPr>
          <w:p w14:paraId="6F105E65">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王先生</w:t>
            </w:r>
          </w:p>
        </w:tc>
      </w:tr>
      <w:tr w14:paraId="37FD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57CAF4F0">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highlight w:val="none"/>
              </w:rPr>
              <w:t>联系电话：</w:t>
            </w:r>
          </w:p>
        </w:tc>
        <w:tc>
          <w:tcPr>
            <w:tcW w:w="5946" w:type="dxa"/>
            <w:vAlign w:val="top"/>
          </w:tcPr>
          <w:p w14:paraId="5AE3D7AB">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13199808816</w:t>
            </w:r>
          </w:p>
        </w:tc>
      </w:tr>
      <w:tr w14:paraId="176F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7E83CA4C">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8"/>
                <w:szCs w:val="28"/>
              </w:rPr>
            </w:pPr>
            <w:r>
              <w:rPr>
                <w:rFonts w:hint="eastAsia" w:ascii="仿宋" w:hAnsi="仿宋" w:eastAsia="仿宋" w:cs="仿宋"/>
                <w:b/>
                <w:bCs/>
                <w:sz w:val="28"/>
                <w:szCs w:val="28"/>
              </w:rPr>
              <w:t>地址：</w:t>
            </w:r>
          </w:p>
        </w:tc>
        <w:tc>
          <w:tcPr>
            <w:tcW w:w="5946" w:type="dxa"/>
            <w:vAlign w:val="top"/>
          </w:tcPr>
          <w:p w14:paraId="1298FC08">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新疆喀什地区莎车县体育路 15 号</w:t>
            </w:r>
          </w:p>
        </w:tc>
      </w:tr>
      <w:tr w14:paraId="5F8D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0E40C765">
            <w:pPr>
              <w:keepNext w:val="0"/>
              <w:keepLines w:val="0"/>
              <w:suppressLineNumbers w:val="0"/>
              <w:spacing w:before="0" w:beforeAutospacing="0" w:after="0" w:afterAutospacing="0"/>
              <w:ind w:left="146" w:leftChars="0" w:right="0" w:rightChars="0" w:hanging="146" w:hangingChars="73"/>
              <w:jc w:val="distribute"/>
              <w:rPr>
                <w:rFonts w:ascii="仿宋" w:hAnsi="仿宋" w:eastAsia="仿宋" w:cs="仿宋"/>
                <w:b/>
                <w:bCs/>
                <w:sz w:val="20"/>
                <w:szCs w:val="22"/>
              </w:rPr>
            </w:pPr>
          </w:p>
        </w:tc>
        <w:tc>
          <w:tcPr>
            <w:tcW w:w="5946" w:type="dxa"/>
            <w:vAlign w:val="top"/>
          </w:tcPr>
          <w:p w14:paraId="09173C38">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p>
        </w:tc>
      </w:tr>
      <w:tr w14:paraId="56F9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366E80DD">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0"/>
                <w:szCs w:val="22"/>
              </w:rPr>
            </w:pPr>
            <w:r>
              <w:rPr>
                <w:rFonts w:hint="eastAsia" w:ascii="仿宋" w:hAnsi="仿宋" w:eastAsia="仿宋" w:cs="仿宋"/>
                <w:b/>
                <w:bCs/>
                <w:sz w:val="28"/>
                <w:szCs w:val="28"/>
              </w:rPr>
              <w:t>代理机构：</w:t>
            </w:r>
          </w:p>
        </w:tc>
        <w:tc>
          <w:tcPr>
            <w:tcW w:w="5946" w:type="dxa"/>
            <w:vAlign w:val="top"/>
          </w:tcPr>
          <w:p w14:paraId="53EAFF17">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新疆盛世乾元工程项目管理咨询有限公司</w:t>
            </w:r>
          </w:p>
        </w:tc>
      </w:tr>
      <w:tr w14:paraId="5771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0451233C">
            <w:pPr>
              <w:keepNext w:val="0"/>
              <w:keepLines w:val="0"/>
              <w:suppressLineNumbers w:val="0"/>
              <w:spacing w:before="0" w:beforeAutospacing="0" w:after="0" w:afterAutospacing="0"/>
              <w:ind w:left="2441" w:leftChars="0" w:right="0" w:rightChars="0" w:hanging="2441" w:hangingChars="872"/>
              <w:jc w:val="distribute"/>
              <w:rPr>
                <w:rFonts w:ascii="仿宋" w:hAnsi="仿宋" w:eastAsia="仿宋" w:cs="仿宋"/>
                <w:b/>
                <w:bCs/>
                <w:sz w:val="28"/>
                <w:szCs w:val="28"/>
              </w:rPr>
            </w:pPr>
            <w:r>
              <w:rPr>
                <w:rFonts w:hint="eastAsia" w:ascii="仿宋" w:hAnsi="仿宋" w:eastAsia="仿宋" w:cs="仿宋"/>
                <w:b/>
                <w:bCs/>
                <w:sz w:val="28"/>
                <w:szCs w:val="28"/>
              </w:rPr>
              <w:t>联系人：</w:t>
            </w:r>
          </w:p>
        </w:tc>
        <w:tc>
          <w:tcPr>
            <w:tcW w:w="5946" w:type="dxa"/>
            <w:vAlign w:val="top"/>
          </w:tcPr>
          <w:p w14:paraId="4FF59745">
            <w:pPr>
              <w:keepNext w:val="0"/>
              <w:keepLines w:val="0"/>
              <w:suppressLineNumbers w:val="0"/>
              <w:spacing w:before="0" w:beforeAutospacing="0" w:after="0" w:afterAutospacing="0"/>
              <w:ind w:left="204" w:leftChars="0" w:right="0" w:rightChars="0" w:hanging="204" w:hangingChars="73"/>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杨昌明</w:t>
            </w:r>
          </w:p>
        </w:tc>
      </w:tr>
      <w:tr w14:paraId="7DA5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653" w:type="dxa"/>
            <w:vAlign w:val="top"/>
          </w:tcPr>
          <w:p w14:paraId="50F1732B">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b/>
                <w:bCs/>
                <w:sz w:val="20"/>
                <w:szCs w:val="22"/>
              </w:rPr>
            </w:pPr>
            <w:r>
              <w:rPr>
                <w:rFonts w:hint="eastAsia" w:ascii="仿宋" w:hAnsi="仿宋" w:eastAsia="仿宋" w:cs="仿宋"/>
                <w:b/>
                <w:bCs/>
                <w:sz w:val="28"/>
                <w:szCs w:val="28"/>
              </w:rPr>
              <w:t>联系电话：</w:t>
            </w:r>
          </w:p>
        </w:tc>
        <w:tc>
          <w:tcPr>
            <w:tcW w:w="5946" w:type="dxa"/>
            <w:vAlign w:val="top"/>
          </w:tcPr>
          <w:p w14:paraId="254C70C3">
            <w:pPr>
              <w:keepNext w:val="0"/>
              <w:keepLines w:val="0"/>
              <w:suppressLineNumbers w:val="0"/>
              <w:spacing w:before="0" w:beforeAutospacing="0" w:after="0" w:afterAutospacing="0"/>
              <w:ind w:left="204" w:leftChars="0" w:right="0" w:rightChars="0" w:hanging="204" w:hangingChars="73"/>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19351171168</w:t>
            </w:r>
          </w:p>
        </w:tc>
      </w:tr>
      <w:tr w14:paraId="069C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653" w:type="dxa"/>
            <w:vAlign w:val="top"/>
          </w:tcPr>
          <w:p w14:paraId="1F13F8D3">
            <w:pPr>
              <w:keepNext w:val="0"/>
              <w:keepLines w:val="0"/>
              <w:suppressLineNumbers w:val="0"/>
              <w:spacing w:before="0" w:beforeAutospacing="0" w:after="0" w:afterAutospacing="0"/>
              <w:ind w:left="204" w:leftChars="0" w:right="0" w:rightChars="0" w:hanging="204" w:hangingChars="73"/>
              <w:jc w:val="distribute"/>
              <w:rPr>
                <w:rFonts w:ascii="仿宋" w:hAnsi="仿宋" w:eastAsia="仿宋" w:cs="仿宋"/>
                <w:sz w:val="20"/>
                <w:szCs w:val="22"/>
              </w:rPr>
            </w:pPr>
            <w:r>
              <w:rPr>
                <w:rFonts w:hint="eastAsia" w:ascii="仿宋" w:hAnsi="仿宋" w:eastAsia="仿宋" w:cs="仿宋"/>
                <w:b/>
                <w:bCs/>
                <w:sz w:val="28"/>
                <w:szCs w:val="28"/>
              </w:rPr>
              <w:t>代理机构地址：</w:t>
            </w:r>
          </w:p>
        </w:tc>
        <w:tc>
          <w:tcPr>
            <w:tcW w:w="5946" w:type="dxa"/>
            <w:vAlign w:val="top"/>
          </w:tcPr>
          <w:p w14:paraId="2A90E46A">
            <w:pPr>
              <w:keepNext w:val="0"/>
              <w:keepLines w:val="0"/>
              <w:suppressLineNumbers w:val="0"/>
              <w:spacing w:before="0" w:beforeAutospacing="0" w:after="0" w:afterAutospacing="0"/>
              <w:ind w:left="0" w:right="0" w:rightChars="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新疆乌鲁木齐市水磨沟区南湖北路1956号亚欧财富广场 A 座1603室</w:t>
            </w:r>
          </w:p>
        </w:tc>
      </w:tr>
    </w:tbl>
    <w:p w14:paraId="21A65BF1">
      <w:pPr>
        <w:spacing w:line="240" w:lineRule="atLeast"/>
        <w:jc w:val="both"/>
        <w:rPr>
          <w:rFonts w:hint="eastAsia" w:ascii="仿宋" w:hAnsi="仿宋" w:eastAsia="仿宋" w:cs="仿宋"/>
          <w:b/>
          <w:color w:val="auto"/>
          <w:sz w:val="32"/>
          <w:highlight w:val="none"/>
        </w:rPr>
      </w:pPr>
    </w:p>
    <w:p w14:paraId="74F40730">
      <w:pPr>
        <w:spacing w:line="240" w:lineRule="atLeast"/>
        <w:ind w:left="1079" w:leftChars="257" w:hanging="54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14:paraId="69A972B7">
      <w:pPr>
        <w:spacing w:line="240" w:lineRule="atLeast"/>
        <w:ind w:left="1079" w:leftChars="257" w:hanging="540"/>
        <w:jc w:val="center"/>
        <w:rPr>
          <w:rFonts w:hint="eastAsia" w:ascii="仿宋" w:hAnsi="仿宋" w:eastAsia="仿宋" w:cs="仿宋"/>
          <w:b/>
          <w:color w:val="auto"/>
          <w:sz w:val="32"/>
          <w:highlight w:val="none"/>
        </w:rPr>
      </w:pPr>
    </w:p>
    <w:p w14:paraId="2FEC4A1D">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_Toc8912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eastAsia="zh-CN"/>
        </w:rPr>
        <w:t>第一章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投标人须知</w:t>
      </w:r>
      <w:r>
        <w:tab/>
      </w:r>
      <w:r>
        <w:fldChar w:fldCharType="begin"/>
      </w:r>
      <w:r>
        <w:instrText xml:space="preserve"> PAGEREF _Toc8912 \h </w:instrText>
      </w:r>
      <w:r>
        <w:fldChar w:fldCharType="separate"/>
      </w:r>
      <w:r>
        <w:t>1</w:t>
      </w:r>
      <w:r>
        <w:fldChar w:fldCharType="end"/>
      </w:r>
      <w:r>
        <w:rPr>
          <w:rFonts w:hint="eastAsia" w:ascii="仿宋" w:hAnsi="仿宋" w:eastAsia="仿宋" w:cs="仿宋"/>
          <w:color w:val="auto"/>
          <w:kern w:val="0"/>
          <w:szCs w:val="21"/>
          <w:highlight w:val="none"/>
        </w:rPr>
        <w:fldChar w:fldCharType="end"/>
      </w:r>
    </w:p>
    <w:p w14:paraId="79A3390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_Toc32625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_Toc32625 \h </w:instrText>
      </w:r>
      <w:r>
        <w:fldChar w:fldCharType="separate"/>
      </w:r>
      <w:r>
        <w:t>1</w:t>
      </w:r>
      <w:r>
        <w:fldChar w:fldCharType="end"/>
      </w:r>
      <w:r>
        <w:rPr>
          <w:rFonts w:hint="eastAsia" w:ascii="仿宋" w:hAnsi="仿宋" w:eastAsia="仿宋" w:cs="仿宋"/>
          <w:color w:val="auto"/>
          <w:kern w:val="0"/>
          <w:szCs w:val="21"/>
          <w:highlight w:val="none"/>
        </w:rPr>
        <w:fldChar w:fldCharType="end"/>
      </w:r>
    </w:p>
    <w:p w14:paraId="573DFC25">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1.采购人、采购代理机构及投标人</w:t>
      </w:r>
      <w:r>
        <w:tab/>
      </w:r>
      <w:r>
        <w:fldChar w:fldCharType="begin"/>
      </w:r>
      <w:r>
        <w:instrText xml:space="preserve"> PAGEREF _Toc80 \h </w:instrText>
      </w:r>
      <w:r>
        <w:fldChar w:fldCharType="separate"/>
      </w:r>
      <w:r>
        <w:t>1</w:t>
      </w:r>
      <w:r>
        <w:fldChar w:fldCharType="end"/>
      </w:r>
      <w:r>
        <w:rPr>
          <w:rFonts w:hint="eastAsia" w:ascii="仿宋" w:hAnsi="仿宋" w:eastAsia="仿宋" w:cs="仿宋"/>
          <w:color w:val="auto"/>
          <w:kern w:val="0"/>
          <w:szCs w:val="21"/>
          <w:highlight w:val="none"/>
        </w:rPr>
        <w:fldChar w:fldCharType="end"/>
      </w:r>
    </w:p>
    <w:p w14:paraId="620D1CC4">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_Toc18078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_Toc18078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4964E5ED">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_Toc12642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_Toc12642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247368E1">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_Toc11963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_Toc11963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7F602EBD">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_Toc22957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招标文件</w:t>
      </w:r>
      <w:r>
        <w:tab/>
      </w:r>
      <w:r>
        <w:fldChar w:fldCharType="begin"/>
      </w:r>
      <w:r>
        <w:instrText xml:space="preserve"> PAGEREF _Toc22957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31E71F06">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_Toc7184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5.招标文件构成</w:t>
      </w:r>
      <w:r>
        <w:tab/>
      </w:r>
      <w:r>
        <w:fldChar w:fldCharType="begin"/>
      </w:r>
      <w:r>
        <w:instrText xml:space="preserve"> PAGEREF _Toc7184 \h </w:instrText>
      </w:r>
      <w:r>
        <w:fldChar w:fldCharType="separate"/>
      </w:r>
      <w:r>
        <w:t>2</w:t>
      </w:r>
      <w:r>
        <w:fldChar w:fldCharType="end"/>
      </w:r>
      <w:r>
        <w:rPr>
          <w:rFonts w:hint="eastAsia" w:ascii="仿宋" w:hAnsi="仿宋" w:eastAsia="仿宋" w:cs="仿宋"/>
          <w:color w:val="auto"/>
          <w:kern w:val="0"/>
          <w:szCs w:val="21"/>
          <w:highlight w:val="none"/>
        </w:rPr>
        <w:fldChar w:fldCharType="end"/>
      </w:r>
    </w:p>
    <w:p w14:paraId="723C622C">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_Toc18096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6.招标文件的澄清与修改</w:t>
      </w:r>
      <w:r>
        <w:tab/>
      </w:r>
      <w:r>
        <w:fldChar w:fldCharType="begin"/>
      </w:r>
      <w:r>
        <w:instrText xml:space="preserve"> PAGEREF _Toc18096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2CD65200">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_Toc32553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7.投标截止时间的顺延</w:t>
      </w:r>
      <w:r>
        <w:tab/>
      </w:r>
      <w:r>
        <w:fldChar w:fldCharType="begin"/>
      </w:r>
      <w:r>
        <w:instrText xml:space="preserve"> PAGEREF _Toc32553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7090466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_Toc17314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投标文件的编制</w:t>
      </w:r>
      <w:r>
        <w:tab/>
      </w:r>
      <w:r>
        <w:fldChar w:fldCharType="begin"/>
      </w:r>
      <w:r>
        <w:instrText xml:space="preserve"> PAGEREF _Toc17314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447189AA">
      <w:pPr>
        <w:pStyle w:val="16"/>
        <w:tabs>
          <w:tab w:val="right" w:pos="3600"/>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_Toc10167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tab/>
      </w:r>
      <w:r>
        <w:rPr>
          <w:rFonts w:hint="eastAsia" w:ascii="仿宋" w:hAnsi="仿宋" w:eastAsia="仿宋" w:cs="仿宋"/>
          <w:highlight w:val="none"/>
        </w:rPr>
        <w:t>投标范围及投标文件中标准和计量单位的使用</w:t>
      </w:r>
      <w:r>
        <w:tab/>
      </w:r>
      <w:r>
        <w:fldChar w:fldCharType="begin"/>
      </w:r>
      <w:r>
        <w:instrText xml:space="preserve"> PAGEREF _Toc10167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05353FD4">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_Toc13670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9.</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投标文件构成</w:t>
      </w:r>
      <w:r>
        <w:tab/>
      </w:r>
      <w:r>
        <w:fldChar w:fldCharType="begin"/>
      </w:r>
      <w:r>
        <w:instrText xml:space="preserve"> PAGEREF _Toc13670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44AFD16C">
      <w:pPr>
        <w:pStyle w:val="16"/>
        <w:tabs>
          <w:tab w:val="right" w:pos="3600"/>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_Toc13122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10.</w:t>
      </w:r>
      <w:r>
        <w:rPr>
          <w:rFonts w:hint="eastAsia" w:ascii="仿宋" w:hAnsi="仿宋" w:eastAsia="仿宋" w:cs="仿宋"/>
          <w:highlight w:val="none"/>
        </w:rPr>
        <w:tab/>
      </w:r>
      <w:r>
        <w:rPr>
          <w:rFonts w:hint="eastAsia" w:ascii="仿宋" w:hAnsi="仿宋" w:eastAsia="仿宋" w:cs="仿宋"/>
          <w:highlight w:val="none"/>
        </w:rPr>
        <w:t>证明投标标的的合格性和符合招标文件规定的技术文件</w:t>
      </w:r>
      <w:r>
        <w:rPr>
          <w:rFonts w:hint="eastAsia" w:ascii="仿宋" w:hAnsi="仿宋" w:eastAsia="仿宋" w:cs="仿宋"/>
          <w:highlight w:val="none"/>
          <w:lang w:eastAsia="zh-CN"/>
        </w:rPr>
        <w:t>。</w:t>
      </w:r>
      <w:r>
        <w:tab/>
      </w:r>
      <w:r>
        <w:fldChar w:fldCharType="begin"/>
      </w:r>
      <w:r>
        <w:instrText xml:space="preserve"> PAGEREF _Toc13122 \h </w:instrText>
      </w:r>
      <w:r>
        <w:fldChar w:fldCharType="separate"/>
      </w:r>
      <w:r>
        <w:t>3</w:t>
      </w:r>
      <w:r>
        <w:fldChar w:fldCharType="end"/>
      </w:r>
      <w:r>
        <w:rPr>
          <w:rFonts w:hint="eastAsia" w:ascii="仿宋" w:hAnsi="仿宋" w:eastAsia="仿宋" w:cs="仿宋"/>
          <w:color w:val="auto"/>
          <w:kern w:val="0"/>
          <w:szCs w:val="21"/>
          <w:highlight w:val="none"/>
        </w:rPr>
        <w:fldChar w:fldCharType="end"/>
      </w:r>
    </w:p>
    <w:p w14:paraId="4A53BBC5">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_Toc1768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11.投标报价</w:t>
      </w:r>
      <w:r>
        <w:tab/>
      </w:r>
      <w:r>
        <w:fldChar w:fldCharType="begin"/>
      </w:r>
      <w:r>
        <w:instrText xml:space="preserve"> PAGEREF _Toc1768 \h </w:instrText>
      </w:r>
      <w:r>
        <w:fldChar w:fldCharType="separate"/>
      </w:r>
      <w:r>
        <w:t>4</w:t>
      </w:r>
      <w:r>
        <w:fldChar w:fldCharType="end"/>
      </w:r>
      <w:r>
        <w:rPr>
          <w:rFonts w:hint="eastAsia" w:ascii="仿宋" w:hAnsi="仿宋" w:eastAsia="仿宋" w:cs="仿宋"/>
          <w:color w:val="auto"/>
          <w:kern w:val="0"/>
          <w:szCs w:val="21"/>
          <w:highlight w:val="none"/>
        </w:rPr>
        <w:fldChar w:fldCharType="end"/>
      </w:r>
    </w:p>
    <w:p w14:paraId="45644679">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_Toc7803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12.投标保证金</w:t>
      </w:r>
      <w:r>
        <w:tab/>
      </w:r>
      <w:r>
        <w:fldChar w:fldCharType="begin"/>
      </w:r>
      <w:r>
        <w:instrText xml:space="preserve"> PAGEREF _Toc7803 \h </w:instrText>
      </w:r>
      <w:r>
        <w:fldChar w:fldCharType="separate"/>
      </w:r>
      <w:r>
        <w:t>4</w:t>
      </w:r>
      <w:r>
        <w:fldChar w:fldCharType="end"/>
      </w:r>
      <w:r>
        <w:rPr>
          <w:rFonts w:hint="eastAsia" w:ascii="仿宋" w:hAnsi="仿宋" w:eastAsia="仿宋" w:cs="仿宋"/>
          <w:color w:val="auto"/>
          <w:kern w:val="0"/>
          <w:szCs w:val="21"/>
          <w:highlight w:val="none"/>
        </w:rPr>
        <w:fldChar w:fldCharType="end"/>
      </w:r>
    </w:p>
    <w:p w14:paraId="58E2F451">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_Toc29090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13.投标有效期</w:t>
      </w:r>
      <w:r>
        <w:tab/>
      </w:r>
      <w:r>
        <w:fldChar w:fldCharType="begin"/>
      </w:r>
      <w:r>
        <w:instrText xml:space="preserve"> PAGEREF _Toc29090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3A6BAE83">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_Toc30271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14.投标文件的签署及规定</w:t>
      </w:r>
      <w:r>
        <w:tab/>
      </w:r>
      <w:r>
        <w:fldChar w:fldCharType="begin"/>
      </w:r>
      <w:r>
        <w:instrText xml:space="preserve"> PAGEREF _Toc30271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5529A14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_Toc19231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投标文件的递交</w:t>
      </w:r>
      <w:r>
        <w:tab/>
      </w:r>
      <w:r>
        <w:fldChar w:fldCharType="begin"/>
      </w:r>
      <w:r>
        <w:instrText xml:space="preserve"> PAGEREF _Toc19231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799DF827">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_Toc19844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15.投标文件的密封和标记</w:t>
      </w:r>
      <w:r>
        <w:tab/>
      </w:r>
      <w:r>
        <w:fldChar w:fldCharType="begin"/>
      </w:r>
      <w:r>
        <w:instrText xml:space="preserve"> PAGEREF _Toc19844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2A1E8D4A">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_Toc1970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16.投标截止</w:t>
      </w:r>
      <w:r>
        <w:tab/>
      </w:r>
      <w:r>
        <w:fldChar w:fldCharType="begin"/>
      </w:r>
      <w:r>
        <w:instrText xml:space="preserve"> PAGEREF _Toc1970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75C4B5D9">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17.投标文件的接收、修改与撤回</w:t>
      </w:r>
      <w:r>
        <w:tab/>
      </w:r>
      <w:r>
        <w:fldChar w:fldCharType="begin"/>
      </w:r>
      <w:r>
        <w:instrText xml:space="preserve"> PAGEREF _Toc1986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2B7C0010">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_Toc25528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_Toc25528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44A716FB">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_Toc17304 </w:instrText>
      </w:r>
      <w:r>
        <w:rPr>
          <w:rFonts w:hint="eastAsia" w:ascii="仿宋" w:hAnsi="仿宋" w:eastAsia="仿宋" w:cs="仿宋"/>
          <w:kern w:val="0"/>
          <w:szCs w:val="21"/>
          <w:highlight w:val="none"/>
        </w:rPr>
        <w:fldChar w:fldCharType="separate"/>
      </w:r>
      <w:r>
        <w:rPr>
          <w:rFonts w:hint="eastAsia" w:ascii="仿宋" w:hAnsi="仿宋" w:eastAsia="仿宋" w:cs="仿宋"/>
        </w:rPr>
        <w:t xml:space="preserve">18. </w:t>
      </w:r>
      <w:r>
        <w:rPr>
          <w:rFonts w:hint="eastAsia" w:ascii="仿宋" w:hAnsi="仿宋" w:eastAsia="仿宋" w:cs="仿宋"/>
          <w:highlight w:val="none"/>
        </w:rPr>
        <w:t>开标</w:t>
      </w:r>
      <w:r>
        <w:tab/>
      </w:r>
      <w:r>
        <w:fldChar w:fldCharType="begin"/>
      </w:r>
      <w:r>
        <w:instrText xml:space="preserve"> PAGEREF _Toc17304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5E640553">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_Toc28704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19.资格审查及组建评标委员会</w:t>
      </w:r>
      <w:r>
        <w:tab/>
      </w:r>
      <w:r>
        <w:fldChar w:fldCharType="begin"/>
      </w:r>
      <w:r>
        <w:instrText xml:space="preserve"> PAGEREF _Toc28704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0306EB94">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_Toc20420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20.投标文件符合性审查与澄清</w:t>
      </w:r>
      <w:r>
        <w:tab/>
      </w:r>
      <w:r>
        <w:fldChar w:fldCharType="begin"/>
      </w:r>
      <w:r>
        <w:instrText xml:space="preserve"> PAGEREF _Toc20420 \h </w:instrText>
      </w:r>
      <w:r>
        <w:fldChar w:fldCharType="separate"/>
      </w:r>
      <w:r>
        <w:t>8</w:t>
      </w:r>
      <w:r>
        <w:fldChar w:fldCharType="end"/>
      </w:r>
      <w:r>
        <w:rPr>
          <w:rFonts w:hint="eastAsia" w:ascii="仿宋" w:hAnsi="仿宋" w:eastAsia="仿宋" w:cs="仿宋"/>
          <w:color w:val="auto"/>
          <w:kern w:val="0"/>
          <w:szCs w:val="21"/>
          <w:highlight w:val="none"/>
        </w:rPr>
        <w:fldChar w:fldCharType="end"/>
      </w:r>
    </w:p>
    <w:p w14:paraId="081DC8BD">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_Toc25618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21.投标偏离</w:t>
      </w:r>
      <w:r>
        <w:tab/>
      </w:r>
      <w:r>
        <w:fldChar w:fldCharType="begin"/>
      </w:r>
      <w:r>
        <w:instrText xml:space="preserve"> PAGEREF _Toc25618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54A48A58">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_Toc9380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22.投标无效</w:t>
      </w:r>
      <w:r>
        <w:tab/>
      </w:r>
      <w:r>
        <w:fldChar w:fldCharType="begin"/>
      </w:r>
      <w:r>
        <w:instrText xml:space="preserve"> PAGEREF _Toc9380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00C73C0E">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_Toc25835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23.比较与评价</w:t>
      </w:r>
      <w:r>
        <w:tab/>
      </w:r>
      <w:r>
        <w:fldChar w:fldCharType="begin"/>
      </w:r>
      <w:r>
        <w:instrText xml:space="preserve"> PAGEREF _Toc25835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29BA64A1">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_Toc28367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24.废标</w:t>
      </w:r>
      <w:r>
        <w:tab/>
      </w:r>
      <w:r>
        <w:fldChar w:fldCharType="begin"/>
      </w:r>
      <w:r>
        <w:instrText xml:space="preserve"> PAGEREF _Toc28367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6AA2B919">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_Toc16099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25.保密原则</w:t>
      </w:r>
      <w:r>
        <w:tab/>
      </w:r>
      <w:r>
        <w:fldChar w:fldCharType="begin"/>
      </w:r>
      <w:r>
        <w:instrText xml:space="preserve"> PAGEREF _Toc16099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0A3C7780">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_Toc23448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六   确定中标</w:t>
      </w:r>
      <w:r>
        <w:tab/>
      </w:r>
      <w:r>
        <w:fldChar w:fldCharType="begin"/>
      </w:r>
      <w:r>
        <w:instrText xml:space="preserve"> PAGEREF _Toc23448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55DCD221">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_Toc7192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26.中标候选人的确定原则及标准</w:t>
      </w:r>
      <w:r>
        <w:tab/>
      </w:r>
      <w:r>
        <w:fldChar w:fldCharType="begin"/>
      </w:r>
      <w:r>
        <w:instrText xml:space="preserve"> PAGEREF _Toc7192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6618FE6C">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_Toc7790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27.确定中标候选人和中标人</w:t>
      </w:r>
      <w:r>
        <w:tab/>
      </w:r>
      <w:r>
        <w:fldChar w:fldCharType="begin"/>
      </w:r>
      <w:r>
        <w:instrText xml:space="preserve"> PAGEREF _Toc7790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580BF658">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_Toc29914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28.采购任务取消</w:t>
      </w:r>
      <w:r>
        <w:tab/>
      </w:r>
      <w:r>
        <w:fldChar w:fldCharType="begin"/>
      </w:r>
      <w:r>
        <w:instrText xml:space="preserve"> PAGEREF _Toc29914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2C207EAE">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_Toc7800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29.中标通知书和招标结果通知书</w:t>
      </w:r>
      <w:r>
        <w:tab/>
      </w:r>
      <w:r>
        <w:fldChar w:fldCharType="begin"/>
      </w:r>
      <w:r>
        <w:instrText xml:space="preserve"> PAGEREF _Toc7800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2519892E">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_Toc2921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30.签订合同</w:t>
      </w:r>
      <w:r>
        <w:tab/>
      </w:r>
      <w:r>
        <w:fldChar w:fldCharType="begin"/>
      </w:r>
      <w:r>
        <w:instrText xml:space="preserve"> PAGEREF _Toc2921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14:paraId="42935426">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_Toc30179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32.中标服务费</w:t>
      </w:r>
      <w:r>
        <w:tab/>
      </w:r>
      <w:r>
        <w:fldChar w:fldCharType="begin"/>
      </w:r>
      <w:r>
        <w:instrText xml:space="preserve"> PAGEREF _Toc30179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1D6D4404">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_Toc5763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33.政府采购信用担保</w:t>
      </w:r>
      <w:r>
        <w:tab/>
      </w:r>
      <w:r>
        <w:fldChar w:fldCharType="begin"/>
      </w:r>
      <w:r>
        <w:instrText xml:space="preserve"> PAGEREF _Toc5763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30B33B39">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_Toc30896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34.廉洁自律规定</w:t>
      </w:r>
      <w:r>
        <w:tab/>
      </w:r>
      <w:r>
        <w:fldChar w:fldCharType="begin"/>
      </w:r>
      <w:r>
        <w:instrText xml:space="preserve"> PAGEREF _Toc30896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063AB2F2">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_Toc6509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35.人员回避</w:t>
      </w:r>
      <w:r>
        <w:tab/>
      </w:r>
      <w:r>
        <w:fldChar w:fldCharType="begin"/>
      </w:r>
      <w:r>
        <w:instrText xml:space="preserve"> PAGEREF _Toc6509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5D3885F7">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_Toc26391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36.质疑与</w:t>
      </w:r>
      <w:r>
        <w:rPr>
          <w:rFonts w:hint="eastAsia" w:ascii="仿宋" w:hAnsi="仿宋" w:eastAsia="仿宋" w:cs="仿宋"/>
          <w:highlight w:val="none"/>
          <w:lang w:eastAsia="zh-CN"/>
        </w:rPr>
        <w:t>投诉</w:t>
      </w:r>
      <w:r>
        <w:tab/>
      </w:r>
      <w:r>
        <w:fldChar w:fldCharType="begin"/>
      </w:r>
      <w:r>
        <w:instrText xml:space="preserve"> PAGEREF _Toc26391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4BC9F729">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_Toc7530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_Toc7530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14:paraId="65378A3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_Toc20393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_Toc20393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14:paraId="7D2F7C70">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_Toc24505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_Toc24505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14:paraId="1BCFBE90">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_Toc2007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eastAsia="zh-CN"/>
        </w:rPr>
        <w:t>第</w:t>
      </w:r>
      <w:r>
        <w:rPr>
          <w:rFonts w:hint="eastAsia" w:ascii="仿宋" w:hAnsi="仿宋" w:eastAsia="仿宋" w:cs="仿宋"/>
          <w:highlight w:val="none"/>
          <w:lang w:val="en-US" w:eastAsia="zh-CN"/>
        </w:rPr>
        <w:t xml:space="preserve">2章    </w:t>
      </w:r>
      <w:r>
        <w:rPr>
          <w:rFonts w:hint="eastAsia" w:ascii="仿宋" w:hAnsi="仿宋" w:eastAsia="仿宋" w:cs="仿宋"/>
          <w:highlight w:val="none"/>
        </w:rPr>
        <w:t>投标文件格式</w:t>
      </w:r>
      <w:r>
        <w:tab/>
      </w:r>
      <w:r>
        <w:fldChar w:fldCharType="begin"/>
      </w:r>
      <w:r>
        <w:instrText xml:space="preserve"> PAGEREF _Toc2007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14:paraId="20B1E62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_Toc24707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_Toc24707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14:paraId="7300677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_Toc5529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  开标一览表（投标文件格式一）</w:t>
      </w:r>
      <w:r>
        <w:tab/>
      </w:r>
      <w:r>
        <w:fldChar w:fldCharType="begin"/>
      </w:r>
      <w:r>
        <w:instrText xml:space="preserve"> PAGEREF _Toc5529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14:paraId="5799FDE1">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_Toc25204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2  </w:t>
      </w:r>
      <w:r>
        <w:rPr>
          <w:rFonts w:hint="eastAsia" w:ascii="仿宋" w:hAnsi="仿宋" w:eastAsia="仿宋" w:cs="仿宋"/>
          <w:highlight w:val="none"/>
          <w:lang w:eastAsia="zh-CN"/>
        </w:rPr>
        <w:t>法人或者非法人组织的营业执照等证明文件或自然人的身份证明</w:t>
      </w:r>
      <w:r>
        <w:tab/>
      </w:r>
      <w:r>
        <w:fldChar w:fldCharType="begin"/>
      </w:r>
      <w:r>
        <w:instrText xml:space="preserve"> PAGEREF _Toc25204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14:paraId="56EAE951">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_Toc31548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3  </w:t>
      </w:r>
      <w:r>
        <w:rPr>
          <w:rFonts w:hint="eastAsia" w:ascii="仿宋" w:hAnsi="仿宋" w:eastAsia="仿宋" w:cs="仿宋"/>
          <w:szCs w:val="24"/>
        </w:rPr>
        <w:t>法定代表人资格证明书或法人授权委托书及被授权人身份证</w:t>
      </w:r>
      <w:r>
        <w:rPr>
          <w:rFonts w:hint="eastAsia" w:ascii="仿宋" w:hAnsi="仿宋" w:eastAsia="仿宋" w:cs="仿宋"/>
          <w:szCs w:val="24"/>
          <w:lang w:eastAsia="zh-CN"/>
        </w:rPr>
        <w:t>（</w:t>
      </w:r>
      <w:r>
        <w:rPr>
          <w:rFonts w:hint="eastAsia" w:ascii="仿宋" w:hAnsi="仿宋" w:eastAsia="仿宋" w:cs="仿宋"/>
          <w:highlight w:val="none"/>
        </w:rPr>
        <w:t>投标文件格式二，自然人投标的无需提供</w:t>
      </w:r>
      <w:r>
        <w:rPr>
          <w:rFonts w:hint="eastAsia" w:ascii="仿宋" w:hAnsi="仿宋" w:eastAsia="仿宋" w:cs="仿宋"/>
          <w:highlight w:val="none"/>
          <w:lang w:eastAsia="zh-CN"/>
        </w:rPr>
        <w:t>）</w:t>
      </w:r>
      <w:r>
        <w:tab/>
      </w:r>
      <w:r>
        <w:fldChar w:fldCharType="begin"/>
      </w:r>
      <w:r>
        <w:instrText xml:space="preserve"> PAGEREF _Toc31548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14:paraId="4DD3DBB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_Toc10185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3.1法定代表人身份证明</w:t>
      </w:r>
      <w:r>
        <w:tab/>
      </w:r>
      <w:r>
        <w:fldChar w:fldCharType="begin"/>
      </w:r>
      <w:r>
        <w:instrText xml:space="preserve"> PAGEREF _Toc10185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14:paraId="59ED932E">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_Toc7839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3.2法定代表人授权委托书</w:t>
      </w:r>
      <w:r>
        <w:tab/>
      </w:r>
      <w:r>
        <w:fldChar w:fldCharType="begin"/>
      </w:r>
      <w:r>
        <w:instrText xml:space="preserve"> PAGEREF _Toc7839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5F412A21">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_Toc24857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highlight w:val="none"/>
          <w:lang w:eastAsia="zh-CN"/>
        </w:rPr>
        <w:t>近期（投标截止日期前六个月内任意一个月）依法缴纳社会保障金的缴费证明或银行出具的“银行电子缴纳社会保障金付款凭证”（新成立公司提供相关证明文件）</w:t>
      </w:r>
      <w:r>
        <w:tab/>
      </w:r>
      <w:r>
        <w:fldChar w:fldCharType="begin"/>
      </w:r>
      <w:r>
        <w:instrText xml:space="preserve"> PAGEREF _Toc24857 \h </w:instrText>
      </w:r>
      <w:r>
        <w:fldChar w:fldCharType="separate"/>
      </w:r>
      <w:r>
        <w:t>26</w:t>
      </w:r>
      <w:r>
        <w:fldChar w:fldCharType="end"/>
      </w:r>
      <w:r>
        <w:rPr>
          <w:rFonts w:hint="eastAsia" w:ascii="仿宋" w:hAnsi="仿宋" w:eastAsia="仿宋" w:cs="仿宋"/>
          <w:color w:val="auto"/>
          <w:kern w:val="0"/>
          <w:szCs w:val="21"/>
          <w:highlight w:val="none"/>
        </w:rPr>
        <w:fldChar w:fldCharType="end"/>
      </w:r>
    </w:p>
    <w:p w14:paraId="75EE66EC">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_Toc3947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5  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r>
        <w:tab/>
      </w:r>
      <w:r>
        <w:fldChar w:fldCharType="begin"/>
      </w:r>
      <w:r>
        <w:instrText xml:space="preserve"> PAGEREF _Toc3947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14:paraId="2F7CB676">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_Toc8998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6 提供2024年或2025年任意一年完整的财务审计报告（成立未满十二个月的新公司可提供近三个月内任意一个月的银行资信证明））；</w:t>
      </w:r>
      <w:r>
        <w:tab/>
      </w:r>
      <w:r>
        <w:fldChar w:fldCharType="begin"/>
      </w:r>
      <w:r>
        <w:instrText xml:space="preserve"> PAGEREF _Toc8998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14:paraId="38972C0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_Toc19471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7  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r>
        <w:tab/>
      </w:r>
      <w:r>
        <w:fldChar w:fldCharType="begin"/>
      </w:r>
      <w:r>
        <w:instrText xml:space="preserve"> PAGEREF _Toc19471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14:paraId="1F10280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_Toc9336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8  供应商具备履行合同所必需的设备和专业技术能力的证明材料（投标格式三）</w:t>
      </w:r>
      <w:r>
        <w:tab/>
      </w:r>
      <w:r>
        <w:fldChar w:fldCharType="begin"/>
      </w:r>
      <w:r>
        <w:instrText xml:space="preserve"> PAGEREF _Toc9336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14:paraId="1E7497ED">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_Toc25471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8.1</w:t>
      </w:r>
      <w:r>
        <w:rPr>
          <w:rFonts w:hint="eastAsia" w:ascii="仿宋" w:hAnsi="仿宋" w:eastAsia="仿宋" w:cs="仿宋"/>
          <w:kern w:val="0"/>
          <w:highlight w:val="none"/>
          <w:lang w:val="en-US" w:eastAsia="zh-CN"/>
        </w:rPr>
        <w:t>具备履行合同所必需的设备和专业技术能力的承诺</w:t>
      </w:r>
      <w:r>
        <w:tab/>
      </w:r>
      <w:r>
        <w:fldChar w:fldCharType="begin"/>
      </w:r>
      <w:r>
        <w:instrText xml:space="preserve"> PAGEREF _Toc25471 \h </w:instrText>
      </w:r>
      <w:r>
        <w:fldChar w:fldCharType="separate"/>
      </w:r>
      <w:r>
        <w:t>30</w:t>
      </w:r>
      <w:r>
        <w:fldChar w:fldCharType="end"/>
      </w:r>
      <w:r>
        <w:rPr>
          <w:rFonts w:hint="eastAsia" w:ascii="仿宋" w:hAnsi="仿宋" w:eastAsia="仿宋" w:cs="仿宋"/>
          <w:color w:val="auto"/>
          <w:kern w:val="0"/>
          <w:szCs w:val="21"/>
          <w:highlight w:val="none"/>
        </w:rPr>
        <w:fldChar w:fldCharType="end"/>
      </w:r>
    </w:p>
    <w:p w14:paraId="661CBE4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_Toc18579 </w:instrText>
      </w:r>
      <w:r>
        <w:rPr>
          <w:rFonts w:hint="eastAsia" w:ascii="仿宋" w:hAnsi="仿宋" w:eastAsia="仿宋" w:cs="仿宋"/>
          <w:kern w:val="0"/>
          <w:szCs w:val="21"/>
          <w:highlight w:val="none"/>
        </w:rPr>
        <w:fldChar w:fldCharType="separate"/>
      </w:r>
      <w:r>
        <w:rPr>
          <w:rFonts w:hint="eastAsia" w:ascii="仿宋" w:hAnsi="仿宋" w:eastAsia="仿宋" w:cs="仿宋"/>
          <w:kern w:val="0"/>
          <w:lang w:val="en-US" w:eastAsia="zh-CN"/>
        </w:rPr>
        <w:t>8.2具备履行合同所必须的设备表</w:t>
      </w:r>
      <w:r>
        <w:tab/>
      </w:r>
      <w:r>
        <w:fldChar w:fldCharType="begin"/>
      </w:r>
      <w:r>
        <w:instrText xml:space="preserve"> PAGEREF _Toc18579 \h </w:instrText>
      </w:r>
      <w:r>
        <w:fldChar w:fldCharType="separate"/>
      </w:r>
      <w:r>
        <w:t>31</w:t>
      </w:r>
      <w:r>
        <w:fldChar w:fldCharType="end"/>
      </w:r>
      <w:r>
        <w:rPr>
          <w:rFonts w:hint="eastAsia" w:ascii="仿宋" w:hAnsi="仿宋" w:eastAsia="仿宋" w:cs="仿宋"/>
          <w:color w:val="auto"/>
          <w:kern w:val="0"/>
          <w:szCs w:val="21"/>
          <w:highlight w:val="none"/>
        </w:rPr>
        <w:fldChar w:fldCharType="end"/>
      </w:r>
    </w:p>
    <w:p w14:paraId="60C8C0A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_Toc523 </w:instrText>
      </w:r>
      <w:r>
        <w:rPr>
          <w:rFonts w:hint="eastAsia" w:ascii="仿宋" w:hAnsi="仿宋" w:eastAsia="仿宋" w:cs="仿宋"/>
          <w:kern w:val="0"/>
          <w:szCs w:val="21"/>
          <w:highlight w:val="none"/>
        </w:rPr>
        <w:fldChar w:fldCharType="separate"/>
      </w:r>
      <w:r>
        <w:rPr>
          <w:rFonts w:hint="eastAsia" w:ascii="仿宋" w:hAnsi="仿宋" w:eastAsia="仿宋" w:cs="仿宋"/>
          <w:kern w:val="0"/>
          <w:lang w:val="en-US" w:eastAsia="zh-CN"/>
        </w:rPr>
        <w:t>8.3具备履行合同所必须的专业技术能力</w:t>
      </w:r>
      <w:r>
        <w:tab/>
      </w:r>
      <w:r>
        <w:fldChar w:fldCharType="begin"/>
      </w:r>
      <w:r>
        <w:instrText xml:space="preserve"> PAGEREF _Toc523 \h </w:instrText>
      </w:r>
      <w:r>
        <w:fldChar w:fldCharType="separate"/>
      </w:r>
      <w:r>
        <w:t>32</w:t>
      </w:r>
      <w:r>
        <w:fldChar w:fldCharType="end"/>
      </w:r>
      <w:r>
        <w:rPr>
          <w:rFonts w:hint="eastAsia" w:ascii="仿宋" w:hAnsi="仿宋" w:eastAsia="仿宋" w:cs="仿宋"/>
          <w:color w:val="auto"/>
          <w:kern w:val="0"/>
          <w:szCs w:val="21"/>
          <w:highlight w:val="none"/>
        </w:rPr>
        <w:fldChar w:fldCharType="end"/>
      </w:r>
    </w:p>
    <w:p w14:paraId="444364B2">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_Toc28158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9  </w:t>
      </w:r>
      <w:r>
        <w:rPr>
          <w:rFonts w:hint="eastAsia" w:ascii="仿宋" w:hAnsi="仿宋" w:eastAsia="仿宋" w:cs="仿宋"/>
        </w:rPr>
        <w:t>针对本次项目《反商业贿赂承诺书》</w:t>
      </w:r>
      <w:r>
        <w:rPr>
          <w:rFonts w:hint="eastAsia" w:ascii="仿宋" w:hAnsi="仿宋" w:eastAsia="仿宋" w:cs="仿宋"/>
          <w:highlight w:val="none"/>
          <w:lang w:val="en-US" w:eastAsia="zh-CN"/>
        </w:rPr>
        <w:t>；</w:t>
      </w:r>
      <w:r>
        <w:tab/>
      </w:r>
      <w:r>
        <w:fldChar w:fldCharType="begin"/>
      </w:r>
      <w:r>
        <w:instrText xml:space="preserve"> PAGEREF _Toc28158 \h </w:instrText>
      </w:r>
      <w:r>
        <w:fldChar w:fldCharType="separate"/>
      </w:r>
      <w:r>
        <w:t>33</w:t>
      </w:r>
      <w:r>
        <w:fldChar w:fldCharType="end"/>
      </w:r>
      <w:r>
        <w:rPr>
          <w:rFonts w:hint="eastAsia" w:ascii="仿宋" w:hAnsi="仿宋" w:eastAsia="仿宋" w:cs="仿宋"/>
          <w:color w:val="auto"/>
          <w:kern w:val="0"/>
          <w:szCs w:val="21"/>
          <w:highlight w:val="none"/>
        </w:rPr>
        <w:fldChar w:fldCharType="end"/>
      </w:r>
    </w:p>
    <w:p w14:paraId="2106B4B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_Toc10692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10  </w:t>
      </w:r>
      <w:r>
        <w:rPr>
          <w:rFonts w:hint="eastAsia" w:ascii="仿宋" w:hAnsi="仿宋" w:eastAsia="仿宋" w:cs="仿宋"/>
          <w:highlight w:val="none"/>
        </w:rPr>
        <w:t>参加政府采购活动前3年内在经营活动中没有重大违法记录的书面声明</w:t>
      </w:r>
      <w:r>
        <w:rPr>
          <w:rFonts w:hint="eastAsia" w:ascii="仿宋" w:hAnsi="仿宋" w:eastAsia="仿宋" w:cs="仿宋"/>
          <w:highlight w:val="none"/>
          <w:lang w:eastAsia="zh-CN"/>
        </w:rPr>
        <w:t>；</w:t>
      </w:r>
      <w:r>
        <w:tab/>
      </w:r>
      <w:r>
        <w:fldChar w:fldCharType="begin"/>
      </w:r>
      <w:r>
        <w:instrText xml:space="preserve"> PAGEREF _Toc10692 \h </w:instrText>
      </w:r>
      <w:r>
        <w:fldChar w:fldCharType="separate"/>
      </w:r>
      <w:r>
        <w:t>33</w:t>
      </w:r>
      <w:r>
        <w:fldChar w:fldCharType="end"/>
      </w:r>
      <w:r>
        <w:rPr>
          <w:rFonts w:hint="eastAsia" w:ascii="仿宋" w:hAnsi="仿宋" w:eastAsia="仿宋" w:cs="仿宋"/>
          <w:color w:val="auto"/>
          <w:kern w:val="0"/>
          <w:szCs w:val="21"/>
          <w:highlight w:val="none"/>
        </w:rPr>
        <w:fldChar w:fldCharType="end"/>
      </w:r>
    </w:p>
    <w:p w14:paraId="2804B4DF">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_Toc23936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11</w:t>
      </w: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rPr>
        <w:t>投标保证金缴纳凭证或投标担保函</w:t>
      </w:r>
      <w:r>
        <w:tab/>
      </w:r>
      <w:r>
        <w:fldChar w:fldCharType="begin"/>
      </w:r>
      <w:r>
        <w:instrText xml:space="preserve"> PAGEREF _Toc23936 \h </w:instrText>
      </w:r>
      <w:r>
        <w:fldChar w:fldCharType="separate"/>
      </w:r>
      <w:r>
        <w:t>34</w:t>
      </w:r>
      <w:r>
        <w:fldChar w:fldCharType="end"/>
      </w:r>
      <w:r>
        <w:rPr>
          <w:rFonts w:hint="eastAsia" w:ascii="仿宋" w:hAnsi="仿宋" w:eastAsia="仿宋" w:cs="仿宋"/>
          <w:color w:val="auto"/>
          <w:kern w:val="0"/>
          <w:szCs w:val="21"/>
          <w:highlight w:val="none"/>
        </w:rPr>
        <w:fldChar w:fldCharType="end"/>
      </w:r>
    </w:p>
    <w:p w14:paraId="06296943">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_Toc6995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12  </w:t>
      </w:r>
      <w:r>
        <w:rPr>
          <w:rFonts w:hint="eastAsia" w:ascii="仿宋" w:hAnsi="仿宋" w:eastAsia="仿宋" w:cs="仿宋"/>
          <w:highlight w:val="none"/>
        </w:rPr>
        <w:t>投标人须知资料表要求的其他资格证明文件</w:t>
      </w:r>
      <w:r>
        <w:tab/>
      </w:r>
      <w:r>
        <w:fldChar w:fldCharType="begin"/>
      </w:r>
      <w:r>
        <w:instrText xml:space="preserve"> PAGEREF _Toc6995 \h </w:instrText>
      </w:r>
      <w:r>
        <w:fldChar w:fldCharType="separate"/>
      </w:r>
      <w:r>
        <w:t>36</w:t>
      </w:r>
      <w:r>
        <w:fldChar w:fldCharType="end"/>
      </w:r>
      <w:r>
        <w:rPr>
          <w:rFonts w:hint="eastAsia" w:ascii="仿宋" w:hAnsi="仿宋" w:eastAsia="仿宋" w:cs="仿宋"/>
          <w:color w:val="auto"/>
          <w:kern w:val="0"/>
          <w:szCs w:val="21"/>
          <w:highlight w:val="none"/>
        </w:rPr>
        <w:fldChar w:fldCharType="end"/>
      </w:r>
    </w:p>
    <w:p w14:paraId="6FF85A9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_Toc27703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第二部分  商务及技术文件</w:t>
      </w:r>
      <w:r>
        <w:tab/>
      </w:r>
      <w:r>
        <w:fldChar w:fldCharType="begin"/>
      </w:r>
      <w:r>
        <w:instrText xml:space="preserve"> PAGEREF _Toc27703 \h </w:instrText>
      </w:r>
      <w:r>
        <w:fldChar w:fldCharType="separate"/>
      </w:r>
      <w:r>
        <w:t>37</w:t>
      </w:r>
      <w:r>
        <w:fldChar w:fldCharType="end"/>
      </w:r>
      <w:r>
        <w:rPr>
          <w:rFonts w:hint="eastAsia" w:ascii="仿宋" w:hAnsi="仿宋" w:eastAsia="仿宋" w:cs="仿宋"/>
          <w:color w:val="auto"/>
          <w:kern w:val="0"/>
          <w:szCs w:val="21"/>
          <w:highlight w:val="none"/>
        </w:rPr>
        <w:fldChar w:fldCharType="end"/>
      </w:r>
    </w:p>
    <w:p w14:paraId="05149603">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_Toc23078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1   投标书（投标文件格式</w:t>
      </w:r>
      <w:r>
        <w:rPr>
          <w:rFonts w:hint="eastAsia" w:ascii="仿宋" w:hAnsi="仿宋" w:eastAsia="仿宋" w:cs="仿宋"/>
          <w:szCs w:val="24"/>
          <w:lang w:eastAsia="zh-CN"/>
        </w:rPr>
        <w:t>五</w:t>
      </w:r>
      <w:r>
        <w:rPr>
          <w:rFonts w:hint="eastAsia" w:ascii="仿宋" w:hAnsi="仿宋" w:eastAsia="仿宋" w:cs="仿宋"/>
          <w:szCs w:val="24"/>
        </w:rPr>
        <w:t>）</w:t>
      </w:r>
      <w:r>
        <w:tab/>
      </w:r>
      <w:r>
        <w:fldChar w:fldCharType="begin"/>
      </w:r>
      <w:r>
        <w:instrText xml:space="preserve"> PAGEREF _Toc23078 \h </w:instrText>
      </w:r>
      <w:r>
        <w:fldChar w:fldCharType="separate"/>
      </w:r>
      <w:r>
        <w:t>38</w:t>
      </w:r>
      <w:r>
        <w:fldChar w:fldCharType="end"/>
      </w:r>
      <w:r>
        <w:rPr>
          <w:rFonts w:hint="eastAsia" w:ascii="仿宋" w:hAnsi="仿宋" w:eastAsia="仿宋" w:cs="仿宋"/>
          <w:color w:val="auto"/>
          <w:kern w:val="0"/>
          <w:szCs w:val="21"/>
          <w:highlight w:val="none"/>
        </w:rPr>
        <w:fldChar w:fldCharType="end"/>
      </w:r>
    </w:p>
    <w:p w14:paraId="026CB97C">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_Toc12150 </w:instrText>
      </w:r>
      <w:r>
        <w:rPr>
          <w:rFonts w:hint="eastAsia" w:ascii="仿宋" w:hAnsi="仿宋" w:eastAsia="仿宋" w:cs="仿宋"/>
          <w:kern w:val="0"/>
          <w:szCs w:val="21"/>
          <w:highlight w:val="none"/>
        </w:rPr>
        <w:fldChar w:fldCharType="separate"/>
      </w:r>
      <w:r>
        <w:rPr>
          <w:rFonts w:hint="eastAsia" w:ascii="仿宋" w:hAnsi="仿宋" w:eastAsia="仿宋" w:cs="仿宋"/>
        </w:rPr>
        <w:t>2   投标保证金缴纳凭证或投标担保函</w:t>
      </w:r>
      <w:r>
        <w:tab/>
      </w:r>
      <w:r>
        <w:fldChar w:fldCharType="begin"/>
      </w:r>
      <w:r>
        <w:instrText xml:space="preserve"> PAGEREF _Toc12150 \h </w:instrText>
      </w:r>
      <w:r>
        <w:fldChar w:fldCharType="separate"/>
      </w:r>
      <w:r>
        <w:t>39</w:t>
      </w:r>
      <w:r>
        <w:fldChar w:fldCharType="end"/>
      </w:r>
      <w:r>
        <w:rPr>
          <w:rFonts w:hint="eastAsia" w:ascii="仿宋" w:hAnsi="仿宋" w:eastAsia="仿宋" w:cs="仿宋"/>
          <w:color w:val="auto"/>
          <w:kern w:val="0"/>
          <w:szCs w:val="21"/>
          <w:highlight w:val="none"/>
        </w:rPr>
        <w:fldChar w:fldCharType="end"/>
      </w:r>
    </w:p>
    <w:p w14:paraId="6EB1AB9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_Toc20317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 xml:space="preserve">3   </w:t>
      </w:r>
      <w:r>
        <w:rPr>
          <w:rFonts w:hint="eastAsia" w:ascii="仿宋" w:hAnsi="仿宋" w:eastAsia="仿宋" w:cs="仿宋"/>
          <w:szCs w:val="24"/>
          <w:lang w:val="en-US" w:eastAsia="zh-CN"/>
        </w:rPr>
        <w:t>服务</w:t>
      </w:r>
      <w:r>
        <w:rPr>
          <w:rFonts w:hint="eastAsia" w:ascii="仿宋" w:hAnsi="仿宋" w:eastAsia="仿宋" w:cs="仿宋"/>
          <w:szCs w:val="24"/>
        </w:rPr>
        <w:t>分项报价表（</w:t>
      </w:r>
      <w:r>
        <w:rPr>
          <w:rFonts w:hint="eastAsia" w:ascii="仿宋" w:hAnsi="仿宋" w:eastAsia="仿宋" w:cs="仿宋"/>
          <w:szCs w:val="24"/>
          <w:lang w:val="en-US" w:eastAsia="zh-CN"/>
        </w:rPr>
        <w:t>招标</w:t>
      </w:r>
      <w:r>
        <w:rPr>
          <w:rFonts w:hint="eastAsia" w:ascii="仿宋" w:hAnsi="仿宋" w:eastAsia="仿宋" w:cs="仿宋"/>
          <w:szCs w:val="24"/>
        </w:rPr>
        <w:t>文件格式七）</w:t>
      </w:r>
      <w:r>
        <w:tab/>
      </w:r>
      <w:r>
        <w:fldChar w:fldCharType="begin"/>
      </w:r>
      <w:r>
        <w:instrText xml:space="preserve"> PAGEREF _Toc20317 \h </w:instrText>
      </w:r>
      <w:r>
        <w:fldChar w:fldCharType="separate"/>
      </w:r>
      <w:r>
        <w:t>41</w:t>
      </w:r>
      <w:r>
        <w:fldChar w:fldCharType="end"/>
      </w:r>
      <w:r>
        <w:rPr>
          <w:rFonts w:hint="eastAsia" w:ascii="仿宋" w:hAnsi="仿宋" w:eastAsia="仿宋" w:cs="仿宋"/>
          <w:color w:val="auto"/>
          <w:kern w:val="0"/>
          <w:szCs w:val="21"/>
          <w:highlight w:val="none"/>
        </w:rPr>
        <w:fldChar w:fldCharType="end"/>
      </w:r>
    </w:p>
    <w:p w14:paraId="5E4F933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_Toc22673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 xml:space="preserve">4   </w:t>
      </w:r>
      <w:r>
        <w:rPr>
          <w:rFonts w:hint="eastAsia" w:ascii="仿宋" w:hAnsi="仿宋" w:eastAsia="仿宋" w:cs="仿宋"/>
          <w:szCs w:val="24"/>
          <w:lang w:eastAsia="zh-CN"/>
        </w:rPr>
        <w:t>服务</w:t>
      </w:r>
      <w:r>
        <w:rPr>
          <w:rFonts w:hint="eastAsia" w:ascii="仿宋" w:hAnsi="仿宋" w:eastAsia="仿宋" w:cs="仿宋"/>
          <w:szCs w:val="24"/>
        </w:rPr>
        <w:t>说明一览表（投标文件格式八）</w:t>
      </w:r>
      <w:r>
        <w:tab/>
      </w:r>
      <w:r>
        <w:fldChar w:fldCharType="begin"/>
      </w:r>
      <w:r>
        <w:instrText xml:space="preserve"> PAGEREF _Toc22673 \h </w:instrText>
      </w:r>
      <w:r>
        <w:fldChar w:fldCharType="separate"/>
      </w:r>
      <w:r>
        <w:t>42</w:t>
      </w:r>
      <w:r>
        <w:fldChar w:fldCharType="end"/>
      </w:r>
      <w:r>
        <w:rPr>
          <w:rFonts w:hint="eastAsia" w:ascii="仿宋" w:hAnsi="仿宋" w:eastAsia="仿宋" w:cs="仿宋"/>
          <w:color w:val="auto"/>
          <w:kern w:val="0"/>
          <w:szCs w:val="21"/>
          <w:highlight w:val="none"/>
        </w:rPr>
        <w:fldChar w:fldCharType="end"/>
      </w:r>
    </w:p>
    <w:p w14:paraId="23F4DAB0">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_Toc26857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5   技术规格偏离表（投标文件格式九）</w:t>
      </w:r>
      <w:r>
        <w:tab/>
      </w:r>
      <w:r>
        <w:fldChar w:fldCharType="begin"/>
      </w:r>
      <w:r>
        <w:instrText xml:space="preserve"> PAGEREF _Toc26857 \h </w:instrText>
      </w:r>
      <w:r>
        <w:fldChar w:fldCharType="separate"/>
      </w:r>
      <w:r>
        <w:t>43</w:t>
      </w:r>
      <w:r>
        <w:fldChar w:fldCharType="end"/>
      </w:r>
      <w:r>
        <w:rPr>
          <w:rFonts w:hint="eastAsia" w:ascii="仿宋" w:hAnsi="仿宋" w:eastAsia="仿宋" w:cs="仿宋"/>
          <w:color w:val="auto"/>
          <w:kern w:val="0"/>
          <w:szCs w:val="21"/>
          <w:highlight w:val="none"/>
        </w:rPr>
        <w:fldChar w:fldCharType="end"/>
      </w:r>
    </w:p>
    <w:p w14:paraId="58B2E601">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_Toc16379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6   商务条款偏离表（投标文件格式十）</w:t>
      </w:r>
      <w:r>
        <w:tab/>
      </w:r>
      <w:r>
        <w:fldChar w:fldCharType="begin"/>
      </w:r>
      <w:r>
        <w:instrText xml:space="preserve"> PAGEREF _Toc16379 \h </w:instrText>
      </w:r>
      <w:r>
        <w:fldChar w:fldCharType="separate"/>
      </w:r>
      <w:r>
        <w:t>44</w:t>
      </w:r>
      <w:r>
        <w:fldChar w:fldCharType="end"/>
      </w:r>
      <w:r>
        <w:rPr>
          <w:rFonts w:hint="eastAsia" w:ascii="仿宋" w:hAnsi="仿宋" w:eastAsia="仿宋" w:cs="仿宋"/>
          <w:color w:val="auto"/>
          <w:kern w:val="0"/>
          <w:szCs w:val="21"/>
          <w:highlight w:val="none"/>
        </w:rPr>
        <w:fldChar w:fldCharType="end"/>
      </w:r>
    </w:p>
    <w:p w14:paraId="6832B2C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_Toc16041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4"/>
          <w:lang w:val="en-US" w:eastAsia="zh-CN" w:bidi="ar-SA"/>
        </w:rPr>
        <w:t>7 中小企业声明函</w:t>
      </w:r>
      <w:r>
        <w:tab/>
      </w:r>
      <w:r>
        <w:fldChar w:fldCharType="begin"/>
      </w:r>
      <w:r>
        <w:instrText xml:space="preserve"> PAGEREF _Toc16041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14:paraId="4025DF4C">
      <w:pPr>
        <w:pStyle w:val="16"/>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_Toc8803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4"/>
          <w:lang w:val="en-US" w:eastAsia="zh-CN" w:bidi="ar-SA"/>
        </w:rPr>
        <w:t>7-1、中小企业声明函（工程、服务）</w:t>
      </w:r>
      <w:r>
        <w:tab/>
      </w:r>
      <w:r>
        <w:fldChar w:fldCharType="begin"/>
      </w:r>
      <w:r>
        <w:instrText xml:space="preserve"> PAGEREF _Toc8803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14:paraId="546EE9CD">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_Toc21914 </w:instrText>
      </w:r>
      <w:r>
        <w:rPr>
          <w:rFonts w:hint="eastAsia" w:ascii="仿宋" w:hAnsi="仿宋" w:eastAsia="仿宋" w:cs="仿宋"/>
          <w:kern w:val="0"/>
          <w:szCs w:val="21"/>
          <w:highlight w:val="none"/>
        </w:rPr>
        <w:fldChar w:fldCharType="separate"/>
      </w:r>
      <w:r>
        <w:rPr>
          <w:rFonts w:hint="eastAsia" w:ascii="仿宋" w:hAnsi="仿宋" w:eastAsia="仿宋" w:cs="仿宋"/>
          <w:szCs w:val="24"/>
          <w:lang w:val="en-US" w:eastAsia="zh-CN"/>
        </w:rPr>
        <w:t>7.2  残疾人福利性单位声明函（投标文件格式十二）</w:t>
      </w:r>
      <w:r>
        <w:tab/>
      </w:r>
      <w:r>
        <w:fldChar w:fldCharType="begin"/>
      </w:r>
      <w:r>
        <w:instrText xml:space="preserve"> PAGEREF _Toc21914 \h </w:instrText>
      </w:r>
      <w:r>
        <w:fldChar w:fldCharType="separate"/>
      </w:r>
      <w:r>
        <w:t>46</w:t>
      </w:r>
      <w:r>
        <w:fldChar w:fldCharType="end"/>
      </w:r>
      <w:r>
        <w:rPr>
          <w:rFonts w:hint="eastAsia" w:ascii="仿宋" w:hAnsi="仿宋" w:eastAsia="仿宋" w:cs="仿宋"/>
          <w:color w:val="auto"/>
          <w:kern w:val="0"/>
          <w:szCs w:val="21"/>
          <w:highlight w:val="none"/>
        </w:rPr>
        <w:fldChar w:fldCharType="end"/>
      </w:r>
    </w:p>
    <w:p w14:paraId="4859415B">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_Toc26550 </w:instrText>
      </w:r>
      <w:r>
        <w:rPr>
          <w:rFonts w:hint="eastAsia" w:ascii="仿宋" w:hAnsi="仿宋" w:eastAsia="仿宋" w:cs="仿宋"/>
          <w:kern w:val="0"/>
          <w:szCs w:val="21"/>
          <w:highlight w:val="none"/>
        </w:rPr>
        <w:fldChar w:fldCharType="separate"/>
      </w:r>
      <w:r>
        <w:rPr>
          <w:rFonts w:hint="eastAsia" w:ascii="仿宋" w:hAnsi="仿宋" w:eastAsia="仿宋" w:cs="仿宋"/>
        </w:rPr>
        <w:t>8   投标人关联单位的说明</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lang w:eastAsia="zh-CN"/>
        </w:rPr>
        <w:t>）</w:t>
      </w:r>
      <w:r>
        <w:tab/>
      </w:r>
      <w:r>
        <w:fldChar w:fldCharType="begin"/>
      </w:r>
      <w:r>
        <w:instrText xml:space="preserve"> PAGEREF _Toc26550 \h </w:instrText>
      </w:r>
      <w:r>
        <w:fldChar w:fldCharType="separate"/>
      </w:r>
      <w:r>
        <w:t>47</w:t>
      </w:r>
      <w:r>
        <w:fldChar w:fldCharType="end"/>
      </w:r>
      <w:r>
        <w:rPr>
          <w:rFonts w:hint="eastAsia" w:ascii="仿宋" w:hAnsi="仿宋" w:eastAsia="仿宋" w:cs="仿宋"/>
          <w:color w:val="auto"/>
          <w:kern w:val="0"/>
          <w:szCs w:val="21"/>
          <w:highlight w:val="none"/>
        </w:rPr>
        <w:fldChar w:fldCharType="end"/>
      </w:r>
    </w:p>
    <w:p w14:paraId="57F3FCC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_Toc6479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9  投标文件还应包括投标人须知第10条的所有技术文件</w:t>
      </w:r>
      <w:r>
        <w:tab/>
      </w:r>
      <w:r>
        <w:fldChar w:fldCharType="begin"/>
      </w:r>
      <w:r>
        <w:instrText xml:space="preserve"> PAGEREF _Toc6479 \h </w:instrText>
      </w:r>
      <w:r>
        <w:fldChar w:fldCharType="separate"/>
      </w:r>
      <w:r>
        <w:t>48</w:t>
      </w:r>
      <w:r>
        <w:fldChar w:fldCharType="end"/>
      </w:r>
      <w:r>
        <w:rPr>
          <w:rFonts w:hint="eastAsia" w:ascii="仿宋" w:hAnsi="仿宋" w:eastAsia="仿宋" w:cs="仿宋"/>
          <w:color w:val="auto"/>
          <w:kern w:val="0"/>
          <w:szCs w:val="21"/>
          <w:highlight w:val="none"/>
        </w:rPr>
        <w:fldChar w:fldCharType="end"/>
      </w:r>
    </w:p>
    <w:p w14:paraId="400433AA">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_Toc19245 </w:instrText>
      </w:r>
      <w:r>
        <w:rPr>
          <w:rFonts w:hint="eastAsia" w:ascii="仿宋" w:hAnsi="仿宋" w:eastAsia="仿宋" w:cs="仿宋"/>
          <w:kern w:val="0"/>
          <w:szCs w:val="21"/>
          <w:highlight w:val="none"/>
        </w:rPr>
        <w:fldChar w:fldCharType="separate"/>
      </w:r>
      <w:r>
        <w:rPr>
          <w:rFonts w:hint="eastAsia" w:ascii="仿宋" w:hAnsi="仿宋" w:eastAsia="仿宋" w:cs="仿宋"/>
          <w:bCs/>
          <w:szCs w:val="32"/>
          <w:lang w:eastAsia="zh-CN"/>
        </w:rPr>
        <w:t>第</w:t>
      </w:r>
      <w:r>
        <w:rPr>
          <w:rFonts w:hint="eastAsia" w:ascii="仿宋" w:hAnsi="仿宋" w:eastAsia="仿宋" w:cs="仿宋"/>
          <w:bCs/>
          <w:szCs w:val="32"/>
          <w:lang w:val="en-US" w:eastAsia="zh-CN"/>
        </w:rPr>
        <w:t xml:space="preserve">3章  </w:t>
      </w:r>
      <w:r>
        <w:rPr>
          <w:rFonts w:hint="eastAsia" w:ascii="仿宋" w:hAnsi="仿宋" w:eastAsia="仿宋" w:cs="仿宋"/>
          <w:bCs/>
          <w:szCs w:val="32"/>
        </w:rPr>
        <w:t>投标邀请</w:t>
      </w:r>
      <w:r>
        <w:tab/>
      </w:r>
      <w:r>
        <w:fldChar w:fldCharType="begin"/>
      </w:r>
      <w:r>
        <w:instrText xml:space="preserve"> PAGEREF _Toc19245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7158BD8C">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_Toc9797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eastAsia="zh-CN"/>
        </w:rPr>
        <w:t>莎车县国有农用地管理及农村集体土地清理数据库建立项目</w:t>
      </w:r>
      <w:r>
        <w:rPr>
          <w:rFonts w:hint="eastAsia" w:ascii="仿宋" w:hAnsi="仿宋" w:eastAsia="仿宋" w:cs="仿宋"/>
          <w:highlight w:val="none"/>
        </w:rPr>
        <w:t>招标公告</w:t>
      </w:r>
      <w:r>
        <w:tab/>
      </w:r>
      <w:r>
        <w:fldChar w:fldCharType="begin"/>
      </w:r>
      <w:r>
        <w:instrText xml:space="preserve"> PAGEREF _Toc9797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7C42854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_Toc13523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一、项目基本情况</w:t>
      </w:r>
      <w:r>
        <w:tab/>
      </w:r>
      <w:r>
        <w:fldChar w:fldCharType="begin"/>
      </w:r>
      <w:r>
        <w:instrText xml:space="preserve"> PAGEREF _Toc13523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2F455AF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_Toc5082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二、申请人的资格要求：</w:t>
      </w:r>
      <w:r>
        <w:tab/>
      </w:r>
      <w:r>
        <w:fldChar w:fldCharType="begin"/>
      </w:r>
      <w:r>
        <w:instrText xml:space="preserve"> PAGEREF _Toc5082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774A519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_Toc22562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三、获取招标文件</w:t>
      </w:r>
      <w:r>
        <w:tab/>
      </w:r>
      <w:r>
        <w:fldChar w:fldCharType="begin"/>
      </w:r>
      <w:r>
        <w:instrText xml:space="preserve"> PAGEREF _Toc22562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2132A92E">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_Toc8936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四、提交投标文件截止时间、开标时间和地点</w:t>
      </w:r>
      <w:r>
        <w:tab/>
      </w:r>
      <w:r>
        <w:fldChar w:fldCharType="begin"/>
      </w:r>
      <w:r>
        <w:instrText xml:space="preserve"> PAGEREF _Toc8936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2FA6A611">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_Toc2217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五、公告期限</w:t>
      </w:r>
      <w:r>
        <w:tab/>
      </w:r>
      <w:r>
        <w:fldChar w:fldCharType="begin"/>
      </w:r>
      <w:r>
        <w:instrText xml:space="preserve"> PAGEREF _Toc2217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33178E6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_Toc7768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 xml:space="preserve">六、 </w:t>
      </w:r>
      <w:r>
        <w:rPr>
          <w:rFonts w:hint="eastAsia" w:ascii="仿宋" w:hAnsi="仿宋" w:eastAsia="仿宋" w:cs="仿宋"/>
          <w:szCs w:val="24"/>
          <w:highlight w:val="none"/>
        </w:rPr>
        <w:t>其他补充事宜</w:t>
      </w:r>
      <w:r>
        <w:tab/>
      </w:r>
      <w:r>
        <w:fldChar w:fldCharType="begin"/>
      </w:r>
      <w:r>
        <w:instrText xml:space="preserve"> PAGEREF _Toc7768 \h </w:instrText>
      </w:r>
      <w:r>
        <w:fldChar w:fldCharType="separate"/>
      </w:r>
      <w:r>
        <w:t>53</w:t>
      </w:r>
      <w:r>
        <w:fldChar w:fldCharType="end"/>
      </w:r>
      <w:r>
        <w:rPr>
          <w:rFonts w:hint="eastAsia" w:ascii="仿宋" w:hAnsi="仿宋" w:eastAsia="仿宋" w:cs="仿宋"/>
          <w:color w:val="auto"/>
          <w:kern w:val="0"/>
          <w:szCs w:val="21"/>
          <w:highlight w:val="none"/>
        </w:rPr>
        <w:fldChar w:fldCharType="end"/>
      </w:r>
    </w:p>
    <w:p w14:paraId="7EFD0089">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_Toc31971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kern w:val="2"/>
          <w:szCs w:val="24"/>
          <w:lang w:val="en-US" w:eastAsia="zh-CN" w:bidi="ar-SA"/>
        </w:rPr>
        <w:t>凡对本次招标提出询问，请按以下方式联系</w:t>
      </w:r>
      <w:r>
        <w:tab/>
      </w:r>
      <w:r>
        <w:fldChar w:fldCharType="begin"/>
      </w:r>
      <w:r>
        <w:instrText xml:space="preserve"> PAGEREF _Toc31971 \h </w:instrText>
      </w:r>
      <w:r>
        <w:fldChar w:fldCharType="separate"/>
      </w:r>
      <w:r>
        <w:t>54</w:t>
      </w:r>
      <w:r>
        <w:fldChar w:fldCharType="end"/>
      </w:r>
      <w:r>
        <w:rPr>
          <w:rFonts w:hint="eastAsia" w:ascii="仿宋" w:hAnsi="仿宋" w:eastAsia="仿宋" w:cs="仿宋"/>
          <w:color w:val="auto"/>
          <w:kern w:val="0"/>
          <w:szCs w:val="21"/>
          <w:highlight w:val="none"/>
        </w:rPr>
        <w:fldChar w:fldCharType="end"/>
      </w:r>
    </w:p>
    <w:p w14:paraId="59FDD7B9">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_Toc25896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第4章 投标人须知资料表</w:t>
      </w:r>
      <w:r>
        <w:tab/>
      </w:r>
      <w:r>
        <w:fldChar w:fldCharType="begin"/>
      </w:r>
      <w:r>
        <w:instrText xml:space="preserve"> PAGEREF _Toc25896 \h </w:instrText>
      </w:r>
      <w:r>
        <w:fldChar w:fldCharType="separate"/>
      </w:r>
      <w:r>
        <w:t>55</w:t>
      </w:r>
      <w:r>
        <w:fldChar w:fldCharType="end"/>
      </w:r>
      <w:r>
        <w:rPr>
          <w:rFonts w:hint="eastAsia" w:ascii="仿宋" w:hAnsi="仿宋" w:eastAsia="仿宋" w:cs="仿宋"/>
          <w:color w:val="auto"/>
          <w:kern w:val="0"/>
          <w:szCs w:val="21"/>
          <w:highlight w:val="none"/>
        </w:rPr>
        <w:fldChar w:fldCharType="end"/>
      </w:r>
    </w:p>
    <w:p w14:paraId="1E9421C4">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_Toc14490 </w:instrText>
      </w:r>
      <w:r>
        <w:rPr>
          <w:rFonts w:hint="eastAsia" w:ascii="仿宋" w:hAnsi="仿宋" w:eastAsia="仿宋" w:cs="仿宋"/>
          <w:kern w:val="0"/>
          <w:szCs w:val="21"/>
          <w:highlight w:val="none"/>
        </w:rPr>
        <w:fldChar w:fldCharType="separate"/>
      </w:r>
      <w:r>
        <w:rPr>
          <w:rFonts w:hint="eastAsia" w:ascii="仿宋" w:hAnsi="仿宋" w:eastAsia="仿宋" w:cs="仿宋"/>
        </w:rPr>
        <w:t>第5章 货物需求一览表及技术规格</w:t>
      </w:r>
      <w:r>
        <w:tab/>
      </w:r>
      <w:r>
        <w:fldChar w:fldCharType="begin"/>
      </w:r>
      <w:r>
        <w:instrText xml:space="preserve"> PAGEREF _Toc14490 \h </w:instrText>
      </w:r>
      <w:r>
        <w:fldChar w:fldCharType="separate"/>
      </w:r>
      <w:r>
        <w:t>64</w:t>
      </w:r>
      <w:r>
        <w:fldChar w:fldCharType="end"/>
      </w:r>
      <w:r>
        <w:rPr>
          <w:rFonts w:hint="eastAsia" w:ascii="仿宋" w:hAnsi="仿宋" w:eastAsia="仿宋" w:cs="仿宋"/>
          <w:color w:val="auto"/>
          <w:kern w:val="0"/>
          <w:szCs w:val="21"/>
          <w:highlight w:val="none"/>
        </w:rPr>
        <w:fldChar w:fldCharType="end"/>
      </w:r>
    </w:p>
    <w:p w14:paraId="46968B4D">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_Toc4530 </w:instrText>
      </w:r>
      <w:r>
        <w:rPr>
          <w:rFonts w:hint="eastAsia" w:ascii="仿宋" w:hAnsi="仿宋" w:eastAsia="仿宋" w:cs="仿宋"/>
          <w:kern w:val="0"/>
          <w:szCs w:val="21"/>
          <w:highlight w:val="none"/>
        </w:rPr>
        <w:fldChar w:fldCharType="separate"/>
      </w:r>
      <w:r>
        <w:rPr>
          <w:rFonts w:hint="eastAsia" w:ascii="仿宋" w:hAnsi="仿宋" w:eastAsia="仿宋" w:cs="仿宋"/>
          <w:szCs w:val="18"/>
          <w:lang w:val="en-US" w:eastAsia="zh-CN"/>
        </w:rPr>
        <w:t>第6章  评标方法和标准</w:t>
      </w:r>
      <w:r>
        <w:tab/>
      </w:r>
      <w:r>
        <w:fldChar w:fldCharType="begin"/>
      </w:r>
      <w:r>
        <w:instrText xml:space="preserve"> PAGEREF _Toc4530 \h </w:instrText>
      </w:r>
      <w:r>
        <w:fldChar w:fldCharType="separate"/>
      </w:r>
      <w:r>
        <w:t>66</w:t>
      </w:r>
      <w:r>
        <w:fldChar w:fldCharType="end"/>
      </w:r>
      <w:r>
        <w:rPr>
          <w:rFonts w:hint="eastAsia" w:ascii="仿宋" w:hAnsi="仿宋" w:eastAsia="仿宋" w:cs="仿宋"/>
          <w:color w:val="auto"/>
          <w:kern w:val="0"/>
          <w:szCs w:val="21"/>
          <w:highlight w:val="none"/>
        </w:rPr>
        <w:fldChar w:fldCharType="end"/>
      </w:r>
    </w:p>
    <w:p w14:paraId="58EA7FF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_Toc25486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1. </w:t>
      </w:r>
      <w:r>
        <w:rPr>
          <w:rFonts w:hint="eastAsia" w:ascii="仿宋" w:hAnsi="仿宋" w:eastAsia="仿宋" w:cs="仿宋"/>
          <w:szCs w:val="24"/>
          <w:highlight w:val="none"/>
        </w:rPr>
        <w:t>总则</w:t>
      </w:r>
      <w:r>
        <w:tab/>
      </w:r>
      <w:r>
        <w:fldChar w:fldCharType="begin"/>
      </w:r>
      <w:r>
        <w:instrText xml:space="preserve"> PAGEREF _Toc25486 \h </w:instrText>
      </w:r>
      <w:r>
        <w:fldChar w:fldCharType="separate"/>
      </w:r>
      <w:r>
        <w:t>66</w:t>
      </w:r>
      <w:r>
        <w:fldChar w:fldCharType="end"/>
      </w:r>
      <w:r>
        <w:rPr>
          <w:rFonts w:hint="eastAsia" w:ascii="仿宋" w:hAnsi="仿宋" w:eastAsia="仿宋" w:cs="仿宋"/>
          <w:color w:val="auto"/>
          <w:kern w:val="0"/>
          <w:szCs w:val="21"/>
          <w:highlight w:val="none"/>
        </w:rPr>
        <w:fldChar w:fldCharType="end"/>
      </w:r>
    </w:p>
    <w:p w14:paraId="7007428D">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_Toc4163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lang w:val="en-US" w:eastAsia="zh-CN"/>
        </w:rPr>
        <w:t xml:space="preserve">2. </w:t>
      </w:r>
      <w:r>
        <w:rPr>
          <w:rFonts w:hint="eastAsia" w:ascii="仿宋" w:hAnsi="仿宋" w:eastAsia="仿宋" w:cs="仿宋"/>
          <w:szCs w:val="24"/>
          <w:highlight w:val="none"/>
          <w:lang w:val="en-US" w:eastAsia="zh-CN"/>
        </w:rPr>
        <w:t>开标程序</w:t>
      </w:r>
      <w:r>
        <w:tab/>
      </w:r>
      <w:r>
        <w:fldChar w:fldCharType="begin"/>
      </w:r>
      <w:r>
        <w:instrText xml:space="preserve"> PAGEREF _Toc4163 \h </w:instrText>
      </w:r>
      <w:r>
        <w:fldChar w:fldCharType="separate"/>
      </w:r>
      <w:r>
        <w:t>66</w:t>
      </w:r>
      <w:r>
        <w:fldChar w:fldCharType="end"/>
      </w:r>
      <w:r>
        <w:rPr>
          <w:rFonts w:hint="eastAsia" w:ascii="仿宋" w:hAnsi="仿宋" w:eastAsia="仿宋" w:cs="仿宋"/>
          <w:color w:val="auto"/>
          <w:kern w:val="0"/>
          <w:szCs w:val="21"/>
          <w:highlight w:val="none"/>
        </w:rPr>
        <w:fldChar w:fldCharType="end"/>
      </w:r>
    </w:p>
    <w:p w14:paraId="59B3D29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_Toc13883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3. </w:t>
      </w:r>
      <w:r>
        <w:rPr>
          <w:rFonts w:hint="eastAsia" w:ascii="仿宋" w:hAnsi="仿宋" w:eastAsia="仿宋" w:cs="仿宋"/>
          <w:szCs w:val="24"/>
          <w:highlight w:val="none"/>
        </w:rPr>
        <w:t>评标</w:t>
      </w:r>
      <w:r>
        <w:rPr>
          <w:rFonts w:hint="eastAsia" w:ascii="仿宋" w:hAnsi="仿宋" w:eastAsia="仿宋" w:cs="仿宋"/>
          <w:szCs w:val="24"/>
          <w:highlight w:val="none"/>
          <w:lang w:eastAsia="zh-CN"/>
        </w:rPr>
        <w:t>程序</w:t>
      </w:r>
      <w:r>
        <w:tab/>
      </w:r>
      <w:r>
        <w:fldChar w:fldCharType="begin"/>
      </w:r>
      <w:r>
        <w:instrText xml:space="preserve"> PAGEREF _Toc13883 \h </w:instrText>
      </w:r>
      <w:r>
        <w:fldChar w:fldCharType="separate"/>
      </w:r>
      <w:r>
        <w:t>66</w:t>
      </w:r>
      <w:r>
        <w:fldChar w:fldCharType="end"/>
      </w:r>
      <w:r>
        <w:rPr>
          <w:rFonts w:hint="eastAsia" w:ascii="仿宋" w:hAnsi="仿宋" w:eastAsia="仿宋" w:cs="仿宋"/>
          <w:color w:val="auto"/>
          <w:kern w:val="0"/>
          <w:szCs w:val="21"/>
          <w:highlight w:val="none"/>
        </w:rPr>
        <w:fldChar w:fldCharType="end"/>
      </w:r>
    </w:p>
    <w:p w14:paraId="39068A2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_Toc18234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4. </w:t>
      </w:r>
      <w:r>
        <w:rPr>
          <w:rFonts w:hint="eastAsia" w:ascii="仿宋" w:hAnsi="仿宋" w:eastAsia="仿宋" w:cs="仿宋"/>
          <w:szCs w:val="24"/>
          <w:highlight w:val="none"/>
        </w:rPr>
        <w:t>定标程序</w:t>
      </w:r>
      <w:r>
        <w:tab/>
      </w:r>
      <w:r>
        <w:fldChar w:fldCharType="begin"/>
      </w:r>
      <w:r>
        <w:instrText xml:space="preserve"> PAGEREF _Toc18234 \h </w:instrText>
      </w:r>
      <w:r>
        <w:fldChar w:fldCharType="separate"/>
      </w:r>
      <w:r>
        <w:t>69</w:t>
      </w:r>
      <w:r>
        <w:fldChar w:fldCharType="end"/>
      </w:r>
      <w:r>
        <w:rPr>
          <w:rFonts w:hint="eastAsia" w:ascii="仿宋" w:hAnsi="仿宋" w:eastAsia="仿宋" w:cs="仿宋"/>
          <w:color w:val="auto"/>
          <w:kern w:val="0"/>
          <w:szCs w:val="21"/>
          <w:highlight w:val="none"/>
        </w:rPr>
        <w:fldChar w:fldCharType="end"/>
      </w:r>
    </w:p>
    <w:p w14:paraId="11D3008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_Toc13815 </w:instrText>
      </w:r>
      <w:r>
        <w:rPr>
          <w:rFonts w:hint="eastAsia" w:ascii="仿宋" w:hAnsi="仿宋" w:eastAsia="仿宋" w:cs="仿宋"/>
          <w:kern w:val="0"/>
          <w:szCs w:val="21"/>
          <w:highlight w:val="none"/>
        </w:rPr>
        <w:fldChar w:fldCharType="separate"/>
      </w:r>
      <w:r>
        <w:rPr>
          <w:rFonts w:hint="default" w:ascii="宋体" w:hAnsi="宋体" w:eastAsia="宋体" w:cs="宋体"/>
          <w:bCs/>
          <w:spacing w:val="0"/>
          <w:w w:val="99"/>
          <w:szCs w:val="22"/>
        </w:rPr>
        <w:t xml:space="preserve">5. </w:t>
      </w:r>
      <w:r>
        <w:rPr>
          <w:rFonts w:hint="eastAsia" w:ascii="仿宋" w:hAnsi="仿宋" w:eastAsia="仿宋" w:cs="仿宋"/>
          <w:szCs w:val="24"/>
          <w:highlight w:val="none"/>
        </w:rPr>
        <w:t>评标细则及标准（综合评分法）</w:t>
      </w:r>
      <w:r>
        <w:tab/>
      </w:r>
      <w:r>
        <w:fldChar w:fldCharType="begin"/>
      </w:r>
      <w:r>
        <w:instrText xml:space="preserve"> PAGEREF _Toc13815 \h </w:instrText>
      </w:r>
      <w:r>
        <w:fldChar w:fldCharType="separate"/>
      </w:r>
      <w:r>
        <w:t>69</w:t>
      </w:r>
      <w:r>
        <w:fldChar w:fldCharType="end"/>
      </w:r>
      <w:r>
        <w:rPr>
          <w:rFonts w:hint="eastAsia" w:ascii="仿宋" w:hAnsi="仿宋" w:eastAsia="仿宋" w:cs="仿宋"/>
          <w:color w:val="auto"/>
          <w:kern w:val="0"/>
          <w:szCs w:val="21"/>
          <w:highlight w:val="none"/>
        </w:rPr>
        <w:fldChar w:fldCharType="end"/>
      </w:r>
    </w:p>
    <w:p w14:paraId="5F5E1DDE">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_Toc17734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6.投标无效的情形：</w:t>
      </w:r>
      <w:r>
        <w:tab/>
      </w:r>
      <w:r>
        <w:fldChar w:fldCharType="begin"/>
      </w:r>
      <w:r>
        <w:instrText xml:space="preserve"> PAGEREF _Toc17734 \h </w:instrText>
      </w:r>
      <w:r>
        <w:fldChar w:fldCharType="separate"/>
      </w:r>
      <w:r>
        <w:t>70</w:t>
      </w:r>
      <w:r>
        <w:fldChar w:fldCharType="end"/>
      </w:r>
      <w:r>
        <w:rPr>
          <w:rFonts w:hint="eastAsia" w:ascii="仿宋" w:hAnsi="仿宋" w:eastAsia="仿宋" w:cs="仿宋"/>
          <w:color w:val="auto"/>
          <w:kern w:val="0"/>
          <w:szCs w:val="21"/>
          <w:highlight w:val="none"/>
        </w:rPr>
        <w:fldChar w:fldCharType="end"/>
      </w:r>
    </w:p>
    <w:p w14:paraId="39E3A208">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_Toc693 </w:instrText>
      </w:r>
      <w:r>
        <w:rPr>
          <w:rFonts w:hint="eastAsia" w:ascii="仿宋" w:hAnsi="仿宋" w:eastAsia="仿宋" w:cs="仿宋"/>
          <w:kern w:val="0"/>
          <w:szCs w:val="21"/>
          <w:highlight w:val="none"/>
        </w:rPr>
        <w:fldChar w:fldCharType="separate"/>
      </w:r>
      <w:r>
        <w:rPr>
          <w:rFonts w:hint="eastAsia" w:ascii="仿宋" w:hAnsi="仿宋" w:eastAsia="仿宋" w:cs="仿宋"/>
          <w:szCs w:val="28"/>
        </w:rPr>
        <w:t>综合评分表</w:t>
      </w:r>
      <w:r>
        <w:tab/>
      </w:r>
      <w:r>
        <w:fldChar w:fldCharType="begin"/>
      </w:r>
      <w:r>
        <w:instrText xml:space="preserve"> PAGEREF _Toc693 \h </w:instrText>
      </w:r>
      <w:r>
        <w:fldChar w:fldCharType="separate"/>
      </w:r>
      <w:r>
        <w:t>76</w:t>
      </w:r>
      <w:r>
        <w:fldChar w:fldCharType="end"/>
      </w:r>
      <w:r>
        <w:rPr>
          <w:rFonts w:hint="eastAsia" w:ascii="仿宋" w:hAnsi="仿宋" w:eastAsia="仿宋" w:cs="仿宋"/>
          <w:color w:val="auto"/>
          <w:kern w:val="0"/>
          <w:szCs w:val="21"/>
          <w:highlight w:val="none"/>
        </w:rPr>
        <w:fldChar w:fldCharType="end"/>
      </w:r>
    </w:p>
    <w:p w14:paraId="747BFA15">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_Toc20099 </w:instrText>
      </w:r>
      <w:r>
        <w:rPr>
          <w:rFonts w:hint="eastAsia" w:ascii="仿宋" w:hAnsi="仿宋" w:eastAsia="仿宋" w:cs="仿宋"/>
          <w:kern w:val="0"/>
          <w:szCs w:val="21"/>
          <w:highlight w:val="none"/>
        </w:rPr>
        <w:fldChar w:fldCharType="separate"/>
      </w:r>
      <w:r>
        <w:rPr>
          <w:rFonts w:hint="eastAsia" w:ascii="仿宋" w:hAnsi="仿宋" w:eastAsia="仿宋" w:cs="仿宋"/>
          <w:szCs w:val="44"/>
        </w:rPr>
        <w:t>政府采购合同参考范本</w:t>
      </w:r>
      <w:r>
        <w:tab/>
      </w:r>
      <w:r>
        <w:fldChar w:fldCharType="begin"/>
      </w:r>
      <w:r>
        <w:instrText xml:space="preserve"> PAGEREF _Toc20099 \h </w:instrText>
      </w:r>
      <w:r>
        <w:fldChar w:fldCharType="separate"/>
      </w:r>
      <w:r>
        <w:t>79</w:t>
      </w:r>
      <w:r>
        <w:fldChar w:fldCharType="end"/>
      </w:r>
      <w:r>
        <w:rPr>
          <w:rFonts w:hint="eastAsia" w:ascii="仿宋" w:hAnsi="仿宋" w:eastAsia="仿宋" w:cs="仿宋"/>
          <w:color w:val="auto"/>
          <w:kern w:val="0"/>
          <w:szCs w:val="21"/>
          <w:highlight w:val="none"/>
        </w:rPr>
        <w:fldChar w:fldCharType="end"/>
      </w:r>
    </w:p>
    <w:p w14:paraId="6A328FF4">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_Toc19509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第一部分 合同书</w:t>
      </w:r>
      <w:r>
        <w:tab/>
      </w:r>
      <w:r>
        <w:fldChar w:fldCharType="begin"/>
      </w:r>
      <w:r>
        <w:instrText xml:space="preserve"> PAGEREF _Toc19509 \h </w:instrText>
      </w:r>
      <w:r>
        <w:fldChar w:fldCharType="separate"/>
      </w:r>
      <w:r>
        <w:t>79</w:t>
      </w:r>
      <w:r>
        <w:fldChar w:fldCharType="end"/>
      </w:r>
      <w:r>
        <w:rPr>
          <w:rFonts w:hint="eastAsia" w:ascii="仿宋" w:hAnsi="仿宋" w:eastAsia="仿宋" w:cs="仿宋"/>
          <w:color w:val="auto"/>
          <w:kern w:val="0"/>
          <w:szCs w:val="21"/>
          <w:highlight w:val="none"/>
        </w:rPr>
        <w:fldChar w:fldCharType="end"/>
      </w:r>
    </w:p>
    <w:p w14:paraId="45AB3B0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_Toc10112 </w:instrText>
      </w:r>
      <w:r>
        <w:rPr>
          <w:rFonts w:hint="eastAsia" w:ascii="仿宋" w:hAnsi="仿宋" w:eastAsia="仿宋" w:cs="仿宋"/>
          <w:kern w:val="0"/>
          <w:szCs w:val="21"/>
          <w:highlight w:val="none"/>
        </w:rPr>
        <w:fldChar w:fldCharType="separate"/>
      </w:r>
      <w:r>
        <w:rPr>
          <w:rFonts w:hint="eastAsia" w:ascii="仿宋" w:hAnsi="仿宋" w:eastAsia="仿宋" w:cs="仿宋"/>
        </w:rPr>
        <w:t>1.1 合同组成部分</w:t>
      </w:r>
      <w:r>
        <w:tab/>
      </w:r>
      <w:r>
        <w:fldChar w:fldCharType="begin"/>
      </w:r>
      <w:r>
        <w:instrText xml:space="preserve"> PAGEREF _Toc10112 \h </w:instrText>
      </w:r>
      <w:r>
        <w:fldChar w:fldCharType="separate"/>
      </w:r>
      <w:r>
        <w:t>80</w:t>
      </w:r>
      <w:r>
        <w:fldChar w:fldCharType="end"/>
      </w:r>
      <w:r>
        <w:rPr>
          <w:rFonts w:hint="eastAsia" w:ascii="仿宋" w:hAnsi="仿宋" w:eastAsia="仿宋" w:cs="仿宋"/>
          <w:color w:val="auto"/>
          <w:kern w:val="0"/>
          <w:szCs w:val="21"/>
          <w:highlight w:val="none"/>
        </w:rPr>
        <w:fldChar w:fldCharType="end"/>
      </w:r>
    </w:p>
    <w:p w14:paraId="5D165E2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_Toc29036 </w:instrText>
      </w:r>
      <w:r>
        <w:rPr>
          <w:rFonts w:hint="eastAsia" w:ascii="仿宋" w:hAnsi="仿宋" w:eastAsia="仿宋" w:cs="仿宋"/>
          <w:kern w:val="0"/>
          <w:szCs w:val="21"/>
          <w:highlight w:val="none"/>
        </w:rPr>
        <w:fldChar w:fldCharType="separate"/>
      </w:r>
      <w:r>
        <w:rPr>
          <w:rFonts w:hint="eastAsia" w:ascii="仿宋" w:hAnsi="仿宋" w:eastAsia="仿宋" w:cs="仿宋"/>
        </w:rPr>
        <w:t>1.2 标的</w:t>
      </w:r>
      <w:r>
        <w:tab/>
      </w:r>
      <w:r>
        <w:fldChar w:fldCharType="begin"/>
      </w:r>
      <w:r>
        <w:instrText xml:space="preserve"> PAGEREF _Toc29036 \h </w:instrText>
      </w:r>
      <w:r>
        <w:fldChar w:fldCharType="separate"/>
      </w:r>
      <w:r>
        <w:t>80</w:t>
      </w:r>
      <w:r>
        <w:fldChar w:fldCharType="end"/>
      </w:r>
      <w:r>
        <w:rPr>
          <w:rFonts w:hint="eastAsia" w:ascii="仿宋" w:hAnsi="仿宋" w:eastAsia="仿宋" w:cs="仿宋"/>
          <w:color w:val="auto"/>
          <w:kern w:val="0"/>
          <w:szCs w:val="21"/>
          <w:highlight w:val="none"/>
        </w:rPr>
        <w:fldChar w:fldCharType="end"/>
      </w:r>
    </w:p>
    <w:p w14:paraId="6044F10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_Toc13685 </w:instrText>
      </w:r>
      <w:r>
        <w:rPr>
          <w:rFonts w:hint="eastAsia" w:ascii="仿宋" w:hAnsi="仿宋" w:eastAsia="仿宋" w:cs="仿宋"/>
          <w:kern w:val="0"/>
          <w:szCs w:val="21"/>
          <w:highlight w:val="none"/>
        </w:rPr>
        <w:fldChar w:fldCharType="separate"/>
      </w:r>
      <w:r>
        <w:rPr>
          <w:rFonts w:hint="eastAsia" w:ascii="仿宋" w:hAnsi="仿宋" w:eastAsia="仿宋" w:cs="仿宋"/>
        </w:rPr>
        <w:t>1.3 价款</w:t>
      </w:r>
      <w:r>
        <w:tab/>
      </w:r>
      <w:r>
        <w:fldChar w:fldCharType="begin"/>
      </w:r>
      <w:r>
        <w:instrText xml:space="preserve"> PAGEREF _Toc13685 \h </w:instrText>
      </w:r>
      <w:r>
        <w:fldChar w:fldCharType="separate"/>
      </w:r>
      <w:r>
        <w:t>80</w:t>
      </w:r>
      <w:r>
        <w:fldChar w:fldCharType="end"/>
      </w:r>
      <w:r>
        <w:rPr>
          <w:rFonts w:hint="eastAsia" w:ascii="仿宋" w:hAnsi="仿宋" w:eastAsia="仿宋" w:cs="仿宋"/>
          <w:color w:val="auto"/>
          <w:kern w:val="0"/>
          <w:szCs w:val="21"/>
          <w:highlight w:val="none"/>
        </w:rPr>
        <w:fldChar w:fldCharType="end"/>
      </w:r>
    </w:p>
    <w:p w14:paraId="3308CE4D">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_Toc9313 </w:instrText>
      </w:r>
      <w:r>
        <w:rPr>
          <w:rFonts w:hint="eastAsia" w:ascii="仿宋" w:hAnsi="仿宋" w:eastAsia="仿宋" w:cs="仿宋"/>
          <w:kern w:val="0"/>
          <w:szCs w:val="21"/>
          <w:highlight w:val="none"/>
        </w:rPr>
        <w:fldChar w:fldCharType="separate"/>
      </w:r>
      <w:r>
        <w:rPr>
          <w:rFonts w:hint="eastAsia" w:ascii="仿宋" w:hAnsi="仿宋" w:eastAsia="仿宋" w:cs="仿宋"/>
        </w:rPr>
        <w:t>1.4 付款方式和发票开具方式</w:t>
      </w:r>
      <w:r>
        <w:tab/>
      </w:r>
      <w:r>
        <w:fldChar w:fldCharType="begin"/>
      </w:r>
      <w:r>
        <w:instrText xml:space="preserve"> PAGEREF _Toc9313 \h </w:instrText>
      </w:r>
      <w:r>
        <w:fldChar w:fldCharType="separate"/>
      </w:r>
      <w:r>
        <w:t>80</w:t>
      </w:r>
      <w:r>
        <w:fldChar w:fldCharType="end"/>
      </w:r>
      <w:r>
        <w:rPr>
          <w:rFonts w:hint="eastAsia" w:ascii="仿宋" w:hAnsi="仿宋" w:eastAsia="仿宋" w:cs="仿宋"/>
          <w:color w:val="auto"/>
          <w:kern w:val="0"/>
          <w:szCs w:val="21"/>
          <w:highlight w:val="none"/>
        </w:rPr>
        <w:fldChar w:fldCharType="end"/>
      </w:r>
    </w:p>
    <w:p w14:paraId="4393818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_Toc1334 </w:instrText>
      </w:r>
      <w:r>
        <w:rPr>
          <w:rFonts w:hint="eastAsia" w:ascii="仿宋" w:hAnsi="仿宋" w:eastAsia="仿宋" w:cs="仿宋"/>
          <w:kern w:val="0"/>
          <w:szCs w:val="21"/>
          <w:highlight w:val="none"/>
        </w:rPr>
        <w:fldChar w:fldCharType="separate"/>
      </w:r>
      <w:r>
        <w:rPr>
          <w:rFonts w:hint="eastAsia" w:ascii="仿宋" w:hAnsi="仿宋" w:eastAsia="仿宋" w:cs="仿宋"/>
        </w:rPr>
        <w:t>1.5 履行期限、地点和方式</w:t>
      </w:r>
      <w:r>
        <w:tab/>
      </w:r>
      <w:r>
        <w:fldChar w:fldCharType="begin"/>
      </w:r>
      <w:r>
        <w:instrText xml:space="preserve"> PAGEREF _Toc1334 \h </w:instrText>
      </w:r>
      <w:r>
        <w:fldChar w:fldCharType="separate"/>
      </w:r>
      <w:r>
        <w:t>80</w:t>
      </w:r>
      <w:r>
        <w:fldChar w:fldCharType="end"/>
      </w:r>
      <w:r>
        <w:rPr>
          <w:rFonts w:hint="eastAsia" w:ascii="仿宋" w:hAnsi="仿宋" w:eastAsia="仿宋" w:cs="仿宋"/>
          <w:color w:val="auto"/>
          <w:kern w:val="0"/>
          <w:szCs w:val="21"/>
          <w:highlight w:val="none"/>
        </w:rPr>
        <w:fldChar w:fldCharType="end"/>
      </w:r>
    </w:p>
    <w:p w14:paraId="2152DF6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_Toc32222 </w:instrText>
      </w:r>
      <w:r>
        <w:rPr>
          <w:rFonts w:hint="eastAsia" w:ascii="仿宋" w:hAnsi="仿宋" w:eastAsia="仿宋" w:cs="仿宋"/>
          <w:kern w:val="0"/>
          <w:szCs w:val="21"/>
          <w:highlight w:val="none"/>
        </w:rPr>
        <w:fldChar w:fldCharType="separate"/>
      </w:r>
      <w:r>
        <w:rPr>
          <w:rFonts w:hint="eastAsia" w:ascii="仿宋" w:hAnsi="仿宋" w:eastAsia="仿宋" w:cs="仿宋"/>
        </w:rPr>
        <w:t>1.6 违约责任</w:t>
      </w:r>
      <w:r>
        <w:tab/>
      </w:r>
      <w:r>
        <w:fldChar w:fldCharType="begin"/>
      </w:r>
      <w:r>
        <w:instrText xml:space="preserve"> PAGEREF _Toc32222 \h </w:instrText>
      </w:r>
      <w:r>
        <w:fldChar w:fldCharType="separate"/>
      </w:r>
      <w:r>
        <w:t>81</w:t>
      </w:r>
      <w:r>
        <w:fldChar w:fldCharType="end"/>
      </w:r>
      <w:r>
        <w:rPr>
          <w:rFonts w:hint="eastAsia" w:ascii="仿宋" w:hAnsi="仿宋" w:eastAsia="仿宋" w:cs="仿宋"/>
          <w:color w:val="auto"/>
          <w:kern w:val="0"/>
          <w:szCs w:val="21"/>
          <w:highlight w:val="none"/>
        </w:rPr>
        <w:fldChar w:fldCharType="end"/>
      </w:r>
    </w:p>
    <w:p w14:paraId="0F86848E">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_Toc5792 </w:instrText>
      </w:r>
      <w:r>
        <w:rPr>
          <w:rFonts w:hint="eastAsia" w:ascii="仿宋" w:hAnsi="仿宋" w:eastAsia="仿宋" w:cs="仿宋"/>
          <w:kern w:val="0"/>
          <w:szCs w:val="21"/>
          <w:highlight w:val="none"/>
        </w:rPr>
        <w:fldChar w:fldCharType="separate"/>
      </w:r>
      <w:r>
        <w:rPr>
          <w:rFonts w:hint="eastAsia" w:ascii="仿宋" w:hAnsi="仿宋" w:eastAsia="仿宋" w:cs="仿宋"/>
        </w:rPr>
        <w:t>1.7 合同争议的解决</w:t>
      </w:r>
      <w:r>
        <w:tab/>
      </w:r>
      <w:r>
        <w:fldChar w:fldCharType="begin"/>
      </w:r>
      <w:r>
        <w:instrText xml:space="preserve"> PAGEREF _Toc5792 \h </w:instrText>
      </w:r>
      <w:r>
        <w:fldChar w:fldCharType="separate"/>
      </w:r>
      <w:r>
        <w:t>81</w:t>
      </w:r>
      <w:r>
        <w:fldChar w:fldCharType="end"/>
      </w:r>
      <w:r>
        <w:rPr>
          <w:rFonts w:hint="eastAsia" w:ascii="仿宋" w:hAnsi="仿宋" w:eastAsia="仿宋" w:cs="仿宋"/>
          <w:color w:val="auto"/>
          <w:kern w:val="0"/>
          <w:szCs w:val="21"/>
          <w:highlight w:val="none"/>
        </w:rPr>
        <w:fldChar w:fldCharType="end"/>
      </w:r>
    </w:p>
    <w:p w14:paraId="475F592C">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_Toc1946 </w:instrText>
      </w:r>
      <w:r>
        <w:rPr>
          <w:rFonts w:hint="eastAsia" w:ascii="仿宋" w:hAnsi="仿宋" w:eastAsia="仿宋" w:cs="仿宋"/>
          <w:kern w:val="0"/>
          <w:szCs w:val="21"/>
          <w:highlight w:val="none"/>
        </w:rPr>
        <w:fldChar w:fldCharType="separate"/>
      </w:r>
      <w:r>
        <w:rPr>
          <w:rFonts w:hint="eastAsia" w:ascii="仿宋" w:hAnsi="仿宋" w:eastAsia="仿宋" w:cs="仿宋"/>
        </w:rPr>
        <w:t>1.8 合同生效</w:t>
      </w:r>
      <w:r>
        <w:tab/>
      </w:r>
      <w:r>
        <w:fldChar w:fldCharType="begin"/>
      </w:r>
      <w:r>
        <w:instrText xml:space="preserve"> PAGEREF _Toc1946 \h </w:instrText>
      </w:r>
      <w:r>
        <w:fldChar w:fldCharType="separate"/>
      </w:r>
      <w:r>
        <w:t>82</w:t>
      </w:r>
      <w:r>
        <w:fldChar w:fldCharType="end"/>
      </w:r>
      <w:r>
        <w:rPr>
          <w:rFonts w:hint="eastAsia" w:ascii="仿宋" w:hAnsi="仿宋" w:eastAsia="仿宋" w:cs="仿宋"/>
          <w:color w:val="auto"/>
          <w:kern w:val="0"/>
          <w:szCs w:val="21"/>
          <w:highlight w:val="none"/>
        </w:rPr>
        <w:fldChar w:fldCharType="end"/>
      </w:r>
    </w:p>
    <w:p w14:paraId="48D83E70">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_Toc30872 </w:instrText>
      </w:r>
      <w:r>
        <w:rPr>
          <w:rFonts w:hint="eastAsia" w:ascii="仿宋" w:hAnsi="仿宋" w:eastAsia="仿宋" w:cs="仿宋"/>
          <w:kern w:val="0"/>
          <w:szCs w:val="21"/>
          <w:highlight w:val="none"/>
        </w:rPr>
        <w:fldChar w:fldCharType="separate"/>
      </w:r>
      <w:r>
        <w:rPr>
          <w:rFonts w:hint="eastAsia" w:ascii="仿宋" w:hAnsi="仿宋" w:eastAsia="仿宋" w:cs="仿宋"/>
          <w:szCs w:val="24"/>
        </w:rPr>
        <w:t>第二部分 合同一般条款</w:t>
      </w:r>
      <w:r>
        <w:tab/>
      </w:r>
      <w:r>
        <w:fldChar w:fldCharType="begin"/>
      </w:r>
      <w:r>
        <w:instrText xml:space="preserve"> PAGEREF _Toc30872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411A6E80">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_Toc14541 </w:instrText>
      </w:r>
      <w:r>
        <w:rPr>
          <w:rFonts w:hint="eastAsia" w:ascii="仿宋" w:hAnsi="仿宋" w:eastAsia="仿宋" w:cs="仿宋"/>
          <w:kern w:val="0"/>
          <w:szCs w:val="21"/>
          <w:highlight w:val="none"/>
        </w:rPr>
        <w:fldChar w:fldCharType="separate"/>
      </w:r>
      <w:r>
        <w:rPr>
          <w:rFonts w:hint="eastAsia" w:ascii="仿宋" w:hAnsi="仿宋" w:eastAsia="仿宋" w:cs="仿宋"/>
        </w:rPr>
        <w:t>2.1 定义</w:t>
      </w:r>
      <w:r>
        <w:tab/>
      </w:r>
      <w:r>
        <w:fldChar w:fldCharType="begin"/>
      </w:r>
      <w:r>
        <w:instrText xml:space="preserve"> PAGEREF _Toc14541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2ECC6F0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_Toc25041 </w:instrText>
      </w:r>
      <w:r>
        <w:rPr>
          <w:rFonts w:hint="eastAsia" w:ascii="仿宋" w:hAnsi="仿宋" w:eastAsia="仿宋" w:cs="仿宋"/>
          <w:kern w:val="0"/>
          <w:szCs w:val="21"/>
          <w:highlight w:val="none"/>
        </w:rPr>
        <w:fldChar w:fldCharType="separate"/>
      </w:r>
      <w:r>
        <w:rPr>
          <w:rFonts w:hint="eastAsia" w:ascii="仿宋" w:hAnsi="仿宋" w:eastAsia="仿宋" w:cs="仿宋"/>
        </w:rPr>
        <w:t>2.2 技术规范</w:t>
      </w:r>
      <w:r>
        <w:tab/>
      </w:r>
      <w:r>
        <w:fldChar w:fldCharType="begin"/>
      </w:r>
      <w:r>
        <w:instrText xml:space="preserve"> PAGEREF _Toc25041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61596D69">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_Toc76 </w:instrText>
      </w:r>
      <w:r>
        <w:rPr>
          <w:rFonts w:hint="eastAsia" w:ascii="仿宋" w:hAnsi="仿宋" w:eastAsia="仿宋" w:cs="仿宋"/>
          <w:kern w:val="0"/>
          <w:szCs w:val="21"/>
          <w:highlight w:val="none"/>
        </w:rPr>
        <w:fldChar w:fldCharType="separate"/>
      </w:r>
      <w:r>
        <w:rPr>
          <w:rFonts w:hint="eastAsia" w:ascii="仿宋" w:hAnsi="仿宋" w:eastAsia="仿宋" w:cs="仿宋"/>
        </w:rPr>
        <w:t>2.3 知识产权</w:t>
      </w:r>
      <w:r>
        <w:tab/>
      </w:r>
      <w:r>
        <w:fldChar w:fldCharType="begin"/>
      </w:r>
      <w:r>
        <w:instrText xml:space="preserve"> PAGEREF _Toc76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18E0D3A9">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_Toc5364 </w:instrText>
      </w:r>
      <w:r>
        <w:rPr>
          <w:rFonts w:hint="eastAsia" w:ascii="仿宋" w:hAnsi="仿宋" w:eastAsia="仿宋" w:cs="仿宋"/>
          <w:kern w:val="0"/>
          <w:szCs w:val="21"/>
          <w:highlight w:val="none"/>
        </w:rPr>
        <w:fldChar w:fldCharType="separate"/>
      </w:r>
      <w:r>
        <w:rPr>
          <w:rFonts w:hint="eastAsia" w:ascii="仿宋" w:hAnsi="仿宋" w:eastAsia="仿宋" w:cs="仿宋"/>
        </w:rPr>
        <w:t>2.4 履约检查和问题反馈</w:t>
      </w:r>
      <w:r>
        <w:tab/>
      </w:r>
      <w:r>
        <w:fldChar w:fldCharType="begin"/>
      </w:r>
      <w:r>
        <w:instrText xml:space="preserve"> PAGEREF _Toc5364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63EE059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_Toc4256 </w:instrText>
      </w:r>
      <w:r>
        <w:rPr>
          <w:rFonts w:hint="eastAsia" w:ascii="仿宋" w:hAnsi="仿宋" w:eastAsia="仿宋" w:cs="仿宋"/>
          <w:kern w:val="0"/>
          <w:szCs w:val="21"/>
          <w:highlight w:val="none"/>
        </w:rPr>
        <w:fldChar w:fldCharType="separate"/>
      </w:r>
      <w:r>
        <w:rPr>
          <w:rFonts w:hint="eastAsia" w:ascii="仿宋" w:hAnsi="仿宋" w:eastAsia="仿宋" w:cs="仿宋"/>
        </w:rPr>
        <w:t>2.5 结算方式和付款条件</w:t>
      </w:r>
      <w:r>
        <w:tab/>
      </w:r>
      <w:r>
        <w:fldChar w:fldCharType="begin"/>
      </w:r>
      <w:r>
        <w:instrText xml:space="preserve"> PAGEREF _Toc4256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208BE05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_Toc4835 </w:instrText>
      </w:r>
      <w:r>
        <w:rPr>
          <w:rFonts w:hint="eastAsia" w:ascii="仿宋" w:hAnsi="仿宋" w:eastAsia="仿宋" w:cs="仿宋"/>
          <w:kern w:val="0"/>
          <w:szCs w:val="21"/>
          <w:highlight w:val="none"/>
        </w:rPr>
        <w:fldChar w:fldCharType="separate"/>
      </w:r>
      <w:r>
        <w:rPr>
          <w:rFonts w:hint="eastAsia" w:ascii="仿宋" w:hAnsi="仿宋" w:eastAsia="仿宋" w:cs="仿宋"/>
        </w:rPr>
        <w:t>2.6 技术资料和保密义务</w:t>
      </w:r>
      <w:r>
        <w:tab/>
      </w:r>
      <w:r>
        <w:fldChar w:fldCharType="begin"/>
      </w:r>
      <w:r>
        <w:instrText xml:space="preserve"> PAGEREF _Toc4835 \h </w:instrText>
      </w:r>
      <w:r>
        <w:fldChar w:fldCharType="separate"/>
      </w:r>
      <w:r>
        <w:t>84</w:t>
      </w:r>
      <w:r>
        <w:fldChar w:fldCharType="end"/>
      </w:r>
      <w:r>
        <w:rPr>
          <w:rFonts w:hint="eastAsia" w:ascii="仿宋" w:hAnsi="仿宋" w:eastAsia="仿宋" w:cs="仿宋"/>
          <w:color w:val="auto"/>
          <w:kern w:val="0"/>
          <w:szCs w:val="21"/>
          <w:highlight w:val="none"/>
        </w:rPr>
        <w:fldChar w:fldCharType="end"/>
      </w:r>
    </w:p>
    <w:p w14:paraId="37224EEA">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_Toc1458 </w:instrText>
      </w:r>
      <w:r>
        <w:rPr>
          <w:rFonts w:hint="eastAsia" w:ascii="仿宋" w:hAnsi="仿宋" w:eastAsia="仿宋" w:cs="仿宋"/>
          <w:kern w:val="0"/>
          <w:szCs w:val="21"/>
          <w:highlight w:val="none"/>
        </w:rPr>
        <w:fldChar w:fldCharType="separate"/>
      </w:r>
      <w:r>
        <w:rPr>
          <w:rFonts w:hint="eastAsia" w:ascii="仿宋" w:hAnsi="仿宋" w:eastAsia="仿宋" w:cs="仿宋"/>
        </w:rPr>
        <w:t>2.7 质量保证</w:t>
      </w:r>
      <w:r>
        <w:tab/>
      </w:r>
      <w:r>
        <w:fldChar w:fldCharType="begin"/>
      </w:r>
      <w:r>
        <w:instrText xml:space="preserve"> PAGEREF _Toc1458 \h </w:instrText>
      </w:r>
      <w:r>
        <w:fldChar w:fldCharType="separate"/>
      </w:r>
      <w:r>
        <w:t>84</w:t>
      </w:r>
      <w:r>
        <w:fldChar w:fldCharType="end"/>
      </w:r>
      <w:r>
        <w:rPr>
          <w:rFonts w:hint="eastAsia" w:ascii="仿宋" w:hAnsi="仿宋" w:eastAsia="仿宋" w:cs="仿宋"/>
          <w:color w:val="auto"/>
          <w:kern w:val="0"/>
          <w:szCs w:val="21"/>
          <w:highlight w:val="none"/>
        </w:rPr>
        <w:fldChar w:fldCharType="end"/>
      </w:r>
    </w:p>
    <w:p w14:paraId="55B1970E">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_Toc29738 </w:instrText>
      </w:r>
      <w:r>
        <w:rPr>
          <w:rFonts w:hint="eastAsia" w:ascii="仿宋" w:hAnsi="仿宋" w:eastAsia="仿宋" w:cs="仿宋"/>
          <w:kern w:val="0"/>
          <w:szCs w:val="21"/>
          <w:highlight w:val="none"/>
        </w:rPr>
        <w:fldChar w:fldCharType="separate"/>
      </w:r>
      <w:r>
        <w:rPr>
          <w:rFonts w:hint="eastAsia" w:ascii="仿宋" w:hAnsi="仿宋" w:eastAsia="仿宋" w:cs="仿宋"/>
        </w:rPr>
        <w:t>2.8 延迟履行</w:t>
      </w:r>
      <w:r>
        <w:tab/>
      </w:r>
      <w:r>
        <w:fldChar w:fldCharType="begin"/>
      </w:r>
      <w:r>
        <w:instrText xml:space="preserve"> PAGEREF _Toc29738 \h </w:instrText>
      </w:r>
      <w:r>
        <w:fldChar w:fldCharType="separate"/>
      </w:r>
      <w:r>
        <w:t>84</w:t>
      </w:r>
      <w:r>
        <w:fldChar w:fldCharType="end"/>
      </w:r>
      <w:r>
        <w:rPr>
          <w:rFonts w:hint="eastAsia" w:ascii="仿宋" w:hAnsi="仿宋" w:eastAsia="仿宋" w:cs="仿宋"/>
          <w:color w:val="auto"/>
          <w:kern w:val="0"/>
          <w:szCs w:val="21"/>
          <w:highlight w:val="none"/>
        </w:rPr>
        <w:fldChar w:fldCharType="end"/>
      </w:r>
    </w:p>
    <w:p w14:paraId="4779831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_Toc30983 </w:instrText>
      </w:r>
      <w:r>
        <w:rPr>
          <w:rFonts w:hint="eastAsia" w:ascii="仿宋" w:hAnsi="仿宋" w:eastAsia="仿宋" w:cs="仿宋"/>
          <w:kern w:val="0"/>
          <w:szCs w:val="21"/>
          <w:highlight w:val="none"/>
        </w:rPr>
        <w:fldChar w:fldCharType="separate"/>
      </w:r>
      <w:r>
        <w:rPr>
          <w:rFonts w:hint="eastAsia" w:ascii="仿宋" w:hAnsi="仿宋" w:eastAsia="仿宋" w:cs="仿宋"/>
        </w:rPr>
        <w:t>2.9 合同变更</w:t>
      </w:r>
      <w:r>
        <w:tab/>
      </w:r>
      <w:r>
        <w:fldChar w:fldCharType="begin"/>
      </w:r>
      <w:r>
        <w:instrText xml:space="preserve"> PAGEREF _Toc30983 \h </w:instrText>
      </w:r>
      <w:r>
        <w:fldChar w:fldCharType="separate"/>
      </w:r>
      <w:r>
        <w:t>84</w:t>
      </w:r>
      <w:r>
        <w:fldChar w:fldCharType="end"/>
      </w:r>
      <w:r>
        <w:rPr>
          <w:rFonts w:hint="eastAsia" w:ascii="仿宋" w:hAnsi="仿宋" w:eastAsia="仿宋" w:cs="仿宋"/>
          <w:color w:val="auto"/>
          <w:kern w:val="0"/>
          <w:szCs w:val="21"/>
          <w:highlight w:val="none"/>
        </w:rPr>
        <w:fldChar w:fldCharType="end"/>
      </w:r>
    </w:p>
    <w:p w14:paraId="0DF57B45">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_Toc19160 </w:instrText>
      </w:r>
      <w:r>
        <w:rPr>
          <w:rFonts w:hint="eastAsia" w:ascii="仿宋" w:hAnsi="仿宋" w:eastAsia="仿宋" w:cs="仿宋"/>
          <w:kern w:val="0"/>
          <w:szCs w:val="21"/>
          <w:highlight w:val="none"/>
        </w:rPr>
        <w:fldChar w:fldCharType="separate"/>
      </w:r>
      <w:r>
        <w:rPr>
          <w:rFonts w:hint="eastAsia" w:ascii="仿宋" w:hAnsi="仿宋" w:eastAsia="仿宋" w:cs="仿宋"/>
        </w:rPr>
        <w:t>2.10 合同转让和分包</w:t>
      </w:r>
      <w:r>
        <w:tab/>
      </w:r>
      <w:r>
        <w:fldChar w:fldCharType="begin"/>
      </w:r>
      <w:r>
        <w:instrText xml:space="preserve"> PAGEREF _Toc19160 \h </w:instrText>
      </w:r>
      <w:r>
        <w:fldChar w:fldCharType="separate"/>
      </w:r>
      <w:r>
        <w:t>84</w:t>
      </w:r>
      <w:r>
        <w:fldChar w:fldCharType="end"/>
      </w:r>
      <w:r>
        <w:rPr>
          <w:rFonts w:hint="eastAsia" w:ascii="仿宋" w:hAnsi="仿宋" w:eastAsia="仿宋" w:cs="仿宋"/>
          <w:color w:val="auto"/>
          <w:kern w:val="0"/>
          <w:szCs w:val="21"/>
          <w:highlight w:val="none"/>
        </w:rPr>
        <w:fldChar w:fldCharType="end"/>
      </w:r>
    </w:p>
    <w:p w14:paraId="7AD2CAAD">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_Toc154 </w:instrText>
      </w:r>
      <w:r>
        <w:rPr>
          <w:rFonts w:hint="eastAsia" w:ascii="仿宋" w:hAnsi="仿宋" w:eastAsia="仿宋" w:cs="仿宋"/>
          <w:kern w:val="0"/>
          <w:szCs w:val="21"/>
          <w:highlight w:val="none"/>
        </w:rPr>
        <w:fldChar w:fldCharType="separate"/>
      </w:r>
      <w:r>
        <w:rPr>
          <w:rFonts w:hint="eastAsia" w:ascii="仿宋" w:hAnsi="仿宋" w:eastAsia="仿宋" w:cs="仿宋"/>
        </w:rPr>
        <w:t>2.11 不可抗力</w:t>
      </w:r>
      <w:r>
        <w:tab/>
      </w:r>
      <w:r>
        <w:fldChar w:fldCharType="begin"/>
      </w:r>
      <w:r>
        <w:instrText xml:space="preserve"> PAGEREF _Toc154 \h </w:instrText>
      </w:r>
      <w:r>
        <w:fldChar w:fldCharType="separate"/>
      </w:r>
      <w:r>
        <w:t>84</w:t>
      </w:r>
      <w:r>
        <w:fldChar w:fldCharType="end"/>
      </w:r>
      <w:r>
        <w:rPr>
          <w:rFonts w:hint="eastAsia" w:ascii="仿宋" w:hAnsi="仿宋" w:eastAsia="仿宋" w:cs="仿宋"/>
          <w:color w:val="auto"/>
          <w:kern w:val="0"/>
          <w:szCs w:val="21"/>
          <w:highlight w:val="none"/>
        </w:rPr>
        <w:fldChar w:fldCharType="end"/>
      </w:r>
    </w:p>
    <w:p w14:paraId="39CFDC3F">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_Toc14432 </w:instrText>
      </w:r>
      <w:r>
        <w:rPr>
          <w:rFonts w:hint="eastAsia" w:ascii="仿宋" w:hAnsi="仿宋" w:eastAsia="仿宋" w:cs="仿宋"/>
          <w:kern w:val="0"/>
          <w:szCs w:val="21"/>
          <w:highlight w:val="none"/>
        </w:rPr>
        <w:fldChar w:fldCharType="separate"/>
      </w:r>
      <w:r>
        <w:rPr>
          <w:rFonts w:hint="eastAsia" w:ascii="仿宋" w:hAnsi="仿宋" w:eastAsia="仿宋" w:cs="仿宋"/>
        </w:rPr>
        <w:t>2.12 税费</w:t>
      </w:r>
      <w:r>
        <w:tab/>
      </w:r>
      <w:r>
        <w:fldChar w:fldCharType="begin"/>
      </w:r>
      <w:r>
        <w:instrText xml:space="preserve"> PAGEREF _Toc14432 \h </w:instrText>
      </w:r>
      <w:r>
        <w:fldChar w:fldCharType="separate"/>
      </w:r>
      <w:r>
        <w:t>85</w:t>
      </w:r>
      <w:r>
        <w:fldChar w:fldCharType="end"/>
      </w:r>
      <w:r>
        <w:rPr>
          <w:rFonts w:hint="eastAsia" w:ascii="仿宋" w:hAnsi="仿宋" w:eastAsia="仿宋" w:cs="仿宋"/>
          <w:color w:val="auto"/>
          <w:kern w:val="0"/>
          <w:szCs w:val="21"/>
          <w:highlight w:val="none"/>
        </w:rPr>
        <w:fldChar w:fldCharType="end"/>
      </w:r>
    </w:p>
    <w:p w14:paraId="3D93AA3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_Toc13790 </w:instrText>
      </w:r>
      <w:r>
        <w:rPr>
          <w:rFonts w:hint="eastAsia" w:ascii="仿宋" w:hAnsi="仿宋" w:eastAsia="仿宋" w:cs="仿宋"/>
          <w:kern w:val="0"/>
          <w:szCs w:val="21"/>
          <w:highlight w:val="none"/>
        </w:rPr>
        <w:fldChar w:fldCharType="separate"/>
      </w:r>
      <w:r>
        <w:rPr>
          <w:rFonts w:hint="eastAsia" w:ascii="仿宋" w:hAnsi="仿宋" w:eastAsia="仿宋" w:cs="仿宋"/>
        </w:rPr>
        <w:t>2.13 乙方破产</w:t>
      </w:r>
      <w:r>
        <w:tab/>
      </w:r>
      <w:r>
        <w:fldChar w:fldCharType="begin"/>
      </w:r>
      <w:r>
        <w:instrText xml:space="preserve"> PAGEREF _Toc13790 \h </w:instrText>
      </w:r>
      <w:r>
        <w:fldChar w:fldCharType="separate"/>
      </w:r>
      <w:r>
        <w:t>85</w:t>
      </w:r>
      <w:r>
        <w:fldChar w:fldCharType="end"/>
      </w:r>
      <w:r>
        <w:rPr>
          <w:rFonts w:hint="eastAsia" w:ascii="仿宋" w:hAnsi="仿宋" w:eastAsia="仿宋" w:cs="仿宋"/>
          <w:color w:val="auto"/>
          <w:kern w:val="0"/>
          <w:szCs w:val="21"/>
          <w:highlight w:val="none"/>
        </w:rPr>
        <w:fldChar w:fldCharType="end"/>
      </w:r>
    </w:p>
    <w:p w14:paraId="011E2981">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_Toc3433 </w:instrText>
      </w:r>
      <w:r>
        <w:rPr>
          <w:rFonts w:hint="eastAsia" w:ascii="仿宋" w:hAnsi="仿宋" w:eastAsia="仿宋" w:cs="仿宋"/>
          <w:kern w:val="0"/>
          <w:szCs w:val="21"/>
          <w:highlight w:val="none"/>
        </w:rPr>
        <w:fldChar w:fldCharType="separate"/>
      </w:r>
      <w:r>
        <w:rPr>
          <w:rFonts w:hint="eastAsia" w:ascii="仿宋" w:hAnsi="仿宋" w:eastAsia="仿宋" w:cs="仿宋"/>
        </w:rPr>
        <w:t>2.14 合同中止、终止</w:t>
      </w:r>
      <w:r>
        <w:tab/>
      </w:r>
      <w:r>
        <w:fldChar w:fldCharType="begin"/>
      </w:r>
      <w:r>
        <w:instrText xml:space="preserve"> PAGEREF _Toc3433 \h </w:instrText>
      </w:r>
      <w:r>
        <w:fldChar w:fldCharType="separate"/>
      </w:r>
      <w:r>
        <w:t>85</w:t>
      </w:r>
      <w:r>
        <w:fldChar w:fldCharType="end"/>
      </w:r>
      <w:r>
        <w:rPr>
          <w:rFonts w:hint="eastAsia" w:ascii="仿宋" w:hAnsi="仿宋" w:eastAsia="仿宋" w:cs="仿宋"/>
          <w:color w:val="auto"/>
          <w:kern w:val="0"/>
          <w:szCs w:val="21"/>
          <w:highlight w:val="none"/>
        </w:rPr>
        <w:fldChar w:fldCharType="end"/>
      </w:r>
    </w:p>
    <w:p w14:paraId="39FB3A3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_Toc22006 </w:instrText>
      </w:r>
      <w:r>
        <w:rPr>
          <w:rFonts w:hint="eastAsia" w:ascii="仿宋" w:hAnsi="仿宋" w:eastAsia="仿宋" w:cs="仿宋"/>
          <w:kern w:val="0"/>
          <w:szCs w:val="21"/>
          <w:highlight w:val="none"/>
        </w:rPr>
        <w:fldChar w:fldCharType="separate"/>
      </w:r>
      <w:r>
        <w:rPr>
          <w:rFonts w:hint="eastAsia" w:ascii="仿宋" w:hAnsi="仿宋" w:eastAsia="仿宋" w:cs="仿宋"/>
        </w:rPr>
        <w:t>2.15 检验和验收</w:t>
      </w:r>
      <w:r>
        <w:tab/>
      </w:r>
      <w:r>
        <w:fldChar w:fldCharType="begin"/>
      </w:r>
      <w:r>
        <w:instrText xml:space="preserve"> PAGEREF _Toc22006 \h </w:instrText>
      </w:r>
      <w:r>
        <w:fldChar w:fldCharType="separate"/>
      </w:r>
      <w:r>
        <w:t>85</w:t>
      </w:r>
      <w:r>
        <w:fldChar w:fldCharType="end"/>
      </w:r>
      <w:r>
        <w:rPr>
          <w:rFonts w:hint="eastAsia" w:ascii="仿宋" w:hAnsi="仿宋" w:eastAsia="仿宋" w:cs="仿宋"/>
          <w:color w:val="auto"/>
          <w:kern w:val="0"/>
          <w:szCs w:val="21"/>
          <w:highlight w:val="none"/>
        </w:rPr>
        <w:fldChar w:fldCharType="end"/>
      </w:r>
    </w:p>
    <w:p w14:paraId="78EFB6B4">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_Toc19796 </w:instrText>
      </w:r>
      <w:r>
        <w:rPr>
          <w:rFonts w:hint="eastAsia" w:ascii="仿宋" w:hAnsi="仿宋" w:eastAsia="仿宋" w:cs="仿宋"/>
          <w:kern w:val="0"/>
          <w:szCs w:val="21"/>
          <w:highlight w:val="none"/>
        </w:rPr>
        <w:fldChar w:fldCharType="separate"/>
      </w:r>
      <w:r>
        <w:rPr>
          <w:rFonts w:hint="eastAsia" w:ascii="仿宋" w:hAnsi="仿宋" w:eastAsia="仿宋" w:cs="仿宋"/>
        </w:rPr>
        <w:t>2.16 通知和送达</w:t>
      </w:r>
      <w:r>
        <w:tab/>
      </w:r>
      <w:r>
        <w:fldChar w:fldCharType="begin"/>
      </w:r>
      <w:r>
        <w:instrText xml:space="preserve"> PAGEREF _Toc19796 \h </w:instrText>
      </w:r>
      <w:r>
        <w:fldChar w:fldCharType="separate"/>
      </w:r>
      <w:r>
        <w:t>85</w:t>
      </w:r>
      <w:r>
        <w:fldChar w:fldCharType="end"/>
      </w:r>
      <w:r>
        <w:rPr>
          <w:rFonts w:hint="eastAsia" w:ascii="仿宋" w:hAnsi="仿宋" w:eastAsia="仿宋" w:cs="仿宋"/>
          <w:color w:val="auto"/>
          <w:kern w:val="0"/>
          <w:szCs w:val="21"/>
          <w:highlight w:val="none"/>
        </w:rPr>
        <w:fldChar w:fldCharType="end"/>
      </w:r>
    </w:p>
    <w:p w14:paraId="5303C6A7">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_Toc13145 </w:instrText>
      </w:r>
      <w:r>
        <w:rPr>
          <w:rFonts w:hint="eastAsia" w:ascii="仿宋" w:hAnsi="仿宋" w:eastAsia="仿宋" w:cs="仿宋"/>
          <w:kern w:val="0"/>
          <w:szCs w:val="21"/>
          <w:highlight w:val="none"/>
        </w:rPr>
        <w:fldChar w:fldCharType="separate"/>
      </w:r>
      <w:r>
        <w:rPr>
          <w:rFonts w:hint="eastAsia" w:ascii="仿宋" w:hAnsi="仿宋" w:eastAsia="仿宋" w:cs="仿宋"/>
        </w:rPr>
        <w:t>2.17 合同使用的文字和适用的法律</w:t>
      </w:r>
      <w:r>
        <w:tab/>
      </w:r>
      <w:r>
        <w:fldChar w:fldCharType="begin"/>
      </w:r>
      <w:r>
        <w:instrText xml:space="preserve"> PAGEREF _Toc13145 \h </w:instrText>
      </w:r>
      <w:r>
        <w:fldChar w:fldCharType="separate"/>
      </w:r>
      <w:r>
        <w:t>86</w:t>
      </w:r>
      <w:r>
        <w:fldChar w:fldCharType="end"/>
      </w:r>
      <w:r>
        <w:rPr>
          <w:rFonts w:hint="eastAsia" w:ascii="仿宋" w:hAnsi="仿宋" w:eastAsia="仿宋" w:cs="仿宋"/>
          <w:color w:val="auto"/>
          <w:kern w:val="0"/>
          <w:szCs w:val="21"/>
          <w:highlight w:val="none"/>
        </w:rPr>
        <w:fldChar w:fldCharType="end"/>
      </w:r>
    </w:p>
    <w:p w14:paraId="51CA95D9">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_Toc8030 </w:instrText>
      </w:r>
      <w:r>
        <w:rPr>
          <w:rFonts w:hint="eastAsia" w:ascii="仿宋" w:hAnsi="仿宋" w:eastAsia="仿宋" w:cs="仿宋"/>
          <w:kern w:val="0"/>
          <w:szCs w:val="21"/>
          <w:highlight w:val="none"/>
        </w:rPr>
        <w:fldChar w:fldCharType="separate"/>
      </w:r>
      <w:r>
        <w:rPr>
          <w:rFonts w:hint="eastAsia" w:ascii="仿宋" w:hAnsi="仿宋" w:eastAsia="仿宋" w:cs="仿宋"/>
        </w:rPr>
        <w:t>2.18 履约保证金</w:t>
      </w:r>
      <w:r>
        <w:tab/>
      </w:r>
      <w:r>
        <w:fldChar w:fldCharType="begin"/>
      </w:r>
      <w:r>
        <w:instrText xml:space="preserve"> PAGEREF _Toc8030 \h </w:instrText>
      </w:r>
      <w:r>
        <w:fldChar w:fldCharType="separate"/>
      </w:r>
      <w:r>
        <w:t>86</w:t>
      </w:r>
      <w:r>
        <w:fldChar w:fldCharType="end"/>
      </w:r>
      <w:r>
        <w:rPr>
          <w:rFonts w:hint="eastAsia" w:ascii="仿宋" w:hAnsi="仿宋" w:eastAsia="仿宋" w:cs="仿宋"/>
          <w:color w:val="auto"/>
          <w:kern w:val="0"/>
          <w:szCs w:val="21"/>
          <w:highlight w:val="none"/>
        </w:rPr>
        <w:fldChar w:fldCharType="end"/>
      </w:r>
    </w:p>
    <w:p w14:paraId="2A91D9AF">
      <w:pPr>
        <w:pStyle w:val="3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_Toc14780 </w:instrText>
      </w:r>
      <w:r>
        <w:rPr>
          <w:rFonts w:hint="eastAsia" w:ascii="仿宋" w:hAnsi="仿宋" w:eastAsia="仿宋" w:cs="仿宋"/>
          <w:kern w:val="0"/>
          <w:szCs w:val="21"/>
          <w:highlight w:val="none"/>
        </w:rPr>
        <w:fldChar w:fldCharType="separate"/>
      </w:r>
      <w:r>
        <w:rPr>
          <w:rFonts w:hint="eastAsia" w:ascii="仿宋" w:hAnsi="仿宋" w:eastAsia="仿宋" w:cs="仿宋"/>
        </w:rPr>
        <w:t>2.19 合同份数</w:t>
      </w:r>
      <w:r>
        <w:tab/>
      </w:r>
      <w:r>
        <w:fldChar w:fldCharType="begin"/>
      </w:r>
      <w:r>
        <w:instrText xml:space="preserve"> PAGEREF _Toc14780 \h </w:instrText>
      </w:r>
      <w:r>
        <w:fldChar w:fldCharType="separate"/>
      </w:r>
      <w:r>
        <w:t>86</w:t>
      </w:r>
      <w:r>
        <w:fldChar w:fldCharType="end"/>
      </w:r>
      <w:r>
        <w:rPr>
          <w:rFonts w:hint="eastAsia" w:ascii="仿宋" w:hAnsi="仿宋" w:eastAsia="仿宋" w:cs="仿宋"/>
          <w:color w:val="auto"/>
          <w:kern w:val="0"/>
          <w:szCs w:val="21"/>
          <w:highlight w:val="none"/>
        </w:rPr>
        <w:fldChar w:fldCharType="end"/>
      </w:r>
    </w:p>
    <w:p w14:paraId="560E2A3A">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_Toc25932 </w:instrText>
      </w:r>
      <w:r>
        <w:rPr>
          <w:rFonts w:hint="eastAsia" w:ascii="仿宋" w:hAnsi="仿宋" w:eastAsia="仿宋" w:cs="仿宋"/>
          <w:kern w:val="0"/>
          <w:szCs w:val="21"/>
          <w:highlight w:val="none"/>
        </w:rPr>
        <w:fldChar w:fldCharType="separate"/>
      </w:r>
      <w:r>
        <w:rPr>
          <w:rFonts w:hint="eastAsia" w:ascii="仿宋" w:hAnsi="仿宋" w:eastAsia="仿宋" w:cs="仿宋"/>
        </w:rPr>
        <w:t>第三部分  合同专用条款</w:t>
      </w:r>
      <w:r>
        <w:tab/>
      </w:r>
      <w:r>
        <w:fldChar w:fldCharType="begin"/>
      </w:r>
      <w:r>
        <w:instrText xml:space="preserve"> PAGEREF _Toc25932 \h </w:instrText>
      </w:r>
      <w:r>
        <w:fldChar w:fldCharType="separate"/>
      </w:r>
      <w:r>
        <w:t>86</w:t>
      </w:r>
      <w:r>
        <w:fldChar w:fldCharType="end"/>
      </w:r>
      <w:r>
        <w:rPr>
          <w:rFonts w:hint="eastAsia" w:ascii="仿宋" w:hAnsi="仿宋" w:eastAsia="仿宋" w:cs="仿宋"/>
          <w:color w:val="auto"/>
          <w:kern w:val="0"/>
          <w:szCs w:val="21"/>
          <w:highlight w:val="none"/>
        </w:rPr>
        <w:fldChar w:fldCharType="end"/>
      </w:r>
    </w:p>
    <w:p w14:paraId="3B0757F7">
      <w:pPr>
        <w:numPr>
          <w:ilvl w:val="0"/>
          <w:numId w:val="0"/>
        </w:numPr>
        <w:tabs>
          <w:tab w:val="left" w:pos="0"/>
        </w:tabs>
        <w:spacing w:before="0" w:after="0" w:line="240" w:lineRule="atLeast"/>
        <w:ind w:leftChars="0"/>
        <w:jc w:val="both"/>
        <w:outlineLvl w:val="9"/>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fldChar w:fldCharType="end"/>
      </w:r>
      <w:r>
        <w:rPr>
          <w:rFonts w:hint="eastAsia" w:ascii="仿宋" w:hAnsi="仿宋" w:eastAsia="仿宋" w:cs="仿宋"/>
          <w:color w:val="auto"/>
          <w:kern w:val="0"/>
          <w:szCs w:val="21"/>
          <w:highlight w:val="none"/>
          <w:lang w:val="en-US" w:eastAsia="zh-CN"/>
        </w:rPr>
        <w:t xml:space="preserve">                        </w:t>
      </w:r>
    </w:p>
    <w:p w14:paraId="4EFEB6B0">
      <w:pPr>
        <w:numPr>
          <w:ilvl w:val="0"/>
          <w:numId w:val="0"/>
        </w:numPr>
        <w:tabs>
          <w:tab w:val="left" w:pos="0"/>
        </w:tabs>
        <w:spacing w:before="0" w:after="0" w:line="240" w:lineRule="atLeast"/>
        <w:ind w:firstLine="1890" w:firstLineChars="900"/>
        <w:jc w:val="both"/>
        <w:outlineLvl w:val="9"/>
        <w:rPr>
          <w:rFonts w:hint="eastAsia" w:ascii="仿宋" w:hAnsi="仿宋" w:eastAsia="仿宋" w:cs="仿宋"/>
          <w:color w:val="auto"/>
          <w:highlight w:val="none"/>
          <w:lang w:eastAsia="zh-CN"/>
        </w:rPr>
      </w:pPr>
    </w:p>
    <w:p w14:paraId="14DB47B1">
      <w:pPr>
        <w:numPr>
          <w:ilvl w:val="0"/>
          <w:numId w:val="0"/>
        </w:numPr>
        <w:tabs>
          <w:tab w:val="left" w:pos="0"/>
        </w:tabs>
        <w:spacing w:before="0" w:after="0" w:line="240" w:lineRule="atLeast"/>
        <w:jc w:val="both"/>
        <w:outlineLvl w:val="9"/>
        <w:rPr>
          <w:rFonts w:hint="eastAsia" w:ascii="仿宋" w:hAnsi="仿宋" w:eastAsia="仿宋" w:cs="仿宋"/>
          <w:color w:val="auto"/>
          <w:highlight w:val="none"/>
          <w:lang w:eastAsia="zh-CN"/>
        </w:rPr>
      </w:pPr>
    </w:p>
    <w:bookmarkEnd w:id="0"/>
    <w:bookmarkEnd w:id="1"/>
    <w:bookmarkEnd w:id="2"/>
    <w:bookmarkEnd w:id="3"/>
    <w:bookmarkEnd w:id="4"/>
    <w:p w14:paraId="706AB7E2">
      <w:pPr>
        <w:pStyle w:val="4"/>
        <w:numPr>
          <w:ilvl w:val="0"/>
          <w:numId w:val="0"/>
        </w:numPr>
        <w:tabs>
          <w:tab w:val="left" w:pos="0"/>
        </w:tabs>
        <w:spacing w:before="0" w:after="0" w:line="240" w:lineRule="atLeast"/>
        <w:ind w:firstLine="2880" w:firstLineChars="900"/>
        <w:jc w:val="both"/>
        <w:rPr>
          <w:rFonts w:hint="eastAsia" w:ascii="仿宋" w:hAnsi="仿宋" w:eastAsia="仿宋" w:cs="仿宋"/>
          <w:color w:val="auto"/>
          <w:highlight w:val="none"/>
          <w:lang w:eastAsia="zh-CN"/>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5" w:name="_Toc520356144"/>
      <w:bookmarkStart w:id="6" w:name="_Toc32189"/>
      <w:bookmarkStart w:id="7" w:name="_Toc32623"/>
      <w:bookmarkStart w:id="8" w:name="_Toc515647758"/>
    </w:p>
    <w:p w14:paraId="28F6A323">
      <w:pPr>
        <w:pStyle w:val="4"/>
        <w:numPr>
          <w:ilvl w:val="0"/>
          <w:numId w:val="0"/>
        </w:numPr>
        <w:tabs>
          <w:tab w:val="left" w:pos="0"/>
        </w:tabs>
        <w:spacing w:before="0" w:after="0" w:line="240" w:lineRule="atLeast"/>
        <w:ind w:firstLine="2880" w:firstLineChars="900"/>
        <w:jc w:val="both"/>
        <w:rPr>
          <w:rFonts w:hint="eastAsia" w:ascii="仿宋" w:hAnsi="仿宋" w:eastAsia="仿宋" w:cs="仿宋"/>
          <w:color w:val="auto"/>
          <w:highlight w:val="none"/>
        </w:rPr>
      </w:pPr>
      <w:bookmarkStart w:id="9" w:name="_Toc8912"/>
      <w:r>
        <w:rPr>
          <w:rFonts w:hint="eastAsia" w:ascii="仿宋" w:hAnsi="仿宋" w:eastAsia="仿宋" w:cs="仿宋"/>
          <w:color w:val="auto"/>
          <w:highlight w:val="none"/>
          <w:lang w:eastAsia="zh-CN"/>
        </w:rPr>
        <w:t>第一章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投标人须知</w:t>
      </w:r>
      <w:bookmarkEnd w:id="9"/>
    </w:p>
    <w:p w14:paraId="192FE5FE">
      <w:pPr>
        <w:pStyle w:val="5"/>
        <w:spacing w:before="0" w:line="240" w:lineRule="atLeast"/>
        <w:ind w:firstLine="3640" w:firstLineChars="1300"/>
        <w:jc w:val="both"/>
        <w:rPr>
          <w:rFonts w:hint="eastAsia" w:ascii="仿宋" w:hAnsi="仿宋" w:eastAsia="仿宋" w:cs="仿宋"/>
          <w:color w:val="auto"/>
          <w:sz w:val="28"/>
          <w:highlight w:val="none"/>
        </w:rPr>
      </w:pPr>
      <w:bookmarkStart w:id="10" w:name="_Toc32625"/>
      <w:r>
        <w:rPr>
          <w:rFonts w:hint="eastAsia" w:ascii="仿宋" w:hAnsi="仿宋" w:eastAsia="仿宋" w:cs="仿宋"/>
          <w:color w:val="auto"/>
          <w:sz w:val="28"/>
          <w:highlight w:val="none"/>
        </w:rPr>
        <w:t>一   总 则</w:t>
      </w:r>
      <w:bookmarkEnd w:id="10"/>
    </w:p>
    <w:p w14:paraId="20777646">
      <w:pPr>
        <w:pStyle w:val="6"/>
        <w:spacing w:before="0" w:after="0" w:line="240" w:lineRule="atLeast"/>
        <w:rPr>
          <w:rFonts w:hint="eastAsia" w:ascii="仿宋" w:hAnsi="仿宋" w:eastAsia="仿宋" w:cs="仿宋"/>
          <w:color w:val="auto"/>
          <w:highlight w:val="none"/>
          <w:u w:val="none"/>
        </w:rPr>
      </w:pPr>
      <w:bookmarkStart w:id="11" w:name="_Toc80"/>
      <w:r>
        <w:rPr>
          <w:rFonts w:hint="eastAsia" w:ascii="仿宋" w:hAnsi="仿宋" w:eastAsia="仿宋" w:cs="仿宋"/>
          <w:color w:val="auto"/>
          <w:highlight w:val="none"/>
          <w:u w:val="none"/>
        </w:rPr>
        <w:t>1.采购人、采购代理机构及</w:t>
      </w:r>
      <w:bookmarkEnd w:id="5"/>
      <w:r>
        <w:rPr>
          <w:rFonts w:hint="eastAsia" w:ascii="仿宋" w:hAnsi="仿宋" w:eastAsia="仿宋" w:cs="仿宋"/>
          <w:color w:val="auto"/>
          <w:highlight w:val="none"/>
          <w:u w:val="none"/>
        </w:rPr>
        <w:t>投标人</w:t>
      </w:r>
      <w:bookmarkEnd w:id="6"/>
      <w:bookmarkEnd w:id="7"/>
      <w:bookmarkEnd w:id="8"/>
      <w:bookmarkEnd w:id="11"/>
    </w:p>
    <w:p w14:paraId="7E1BA9C8">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14:paraId="22C03E19">
      <w:pPr>
        <w:tabs>
          <w:tab w:val="left" w:pos="0"/>
        </w:tabs>
        <w:spacing w:line="240" w:lineRule="atLeast"/>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746ACE28">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64C7A2C9">
      <w:pPr>
        <w:numPr>
          <w:ilvl w:val="1"/>
          <w:numId w:val="2"/>
        </w:numPr>
        <w:spacing w:line="240" w:lineRule="atLeast"/>
        <w:ind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投标人：是指向采购人提供货物、工程或者服务的法人、非法人组织或者自然人。本项目的投标人及其投标货物须满足以下条件：</w:t>
      </w:r>
    </w:p>
    <w:p w14:paraId="571B5EC3">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14:paraId="46E25E4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14:paraId="53FB5A9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以采购代理机构认可的方式获得了本项目的招标文件。</w:t>
      </w:r>
    </w:p>
    <w:p w14:paraId="657F1D0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中规定的其他要求。</w:t>
      </w:r>
    </w:p>
    <w:p w14:paraId="77EA53C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中写明允许采购进口产品，投标人应保证所投产品可履行合法通关手续进入中国关境内。</w:t>
      </w:r>
    </w:p>
    <w:p w14:paraId="0947A1D0">
      <w:pPr>
        <w:spacing w:line="240" w:lineRule="atLeast"/>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中未写明允许采购进口产品，如投标人所投产品为进口产品，其投标将被认定为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729D678">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1.3.6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中写明专门面向中小企业采购的，如投标人为非中小企业</w:t>
      </w:r>
      <w:r>
        <w:rPr>
          <w:rFonts w:hint="eastAsia" w:ascii="仿宋" w:hAnsi="仿宋" w:eastAsia="仿宋" w:cs="仿宋"/>
          <w:color w:val="auto"/>
          <w:sz w:val="24"/>
          <w:highlight w:val="none"/>
          <w:lang w:eastAsia="zh-CN"/>
        </w:rPr>
        <w:t>（工程、服务）或</w:t>
      </w:r>
      <w:r>
        <w:rPr>
          <w:rFonts w:hint="eastAsia" w:ascii="仿宋" w:hAnsi="仿宋" w:eastAsia="仿宋" w:cs="仿宋"/>
          <w:color w:val="auto"/>
          <w:sz w:val="24"/>
          <w:highlight w:val="none"/>
        </w:rPr>
        <w:t>所投产品为非中小企业产品</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E0062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中允许联合体投标，对联合体规定如下：</w:t>
      </w:r>
    </w:p>
    <w:p w14:paraId="2F042B7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两个以上供应商可以组成一个投标联合体，以一个投标人的身份投标。</w:t>
      </w:r>
    </w:p>
    <w:p w14:paraId="68F0A8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14:paraId="116A33B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14:paraId="0BBC55E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联合体各方应签订共同投标协议，明确约定联合体各方承担的工作和相应的责任，并将共同投标协议连同作为投标文件第一部分的内容提交。</w:t>
      </w:r>
    </w:p>
    <w:p w14:paraId="3BA6F4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大中型企业、其他自然人、法人或者非法人组织与小型、微型企业组成联合体共同参加投标，共同投标协议中应写明小型、微型企业的协议合同金额占共同投标协议投标总金额的比例。</w:t>
      </w:r>
    </w:p>
    <w:p w14:paraId="5160E4C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1.4.6  联合体中有同类资质的供应商按照联合体分工承担相同工作的，按照较低的资质等级确定联合体的资质等级。</w:t>
      </w:r>
    </w:p>
    <w:p w14:paraId="13DE17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453D180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18A96D2F">
      <w:pPr>
        <w:spacing w:line="240" w:lineRule="atLeast"/>
        <w:ind w:left="900" w:hanging="900" w:hangingChars="375"/>
        <w:rPr>
          <w:rFonts w:hint="eastAsia" w:ascii="仿宋" w:hAnsi="仿宋" w:eastAsia="仿宋" w:cs="仿宋"/>
          <w:color w:val="auto"/>
          <w:sz w:val="24"/>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color w:val="auto"/>
          <w:sz w:val="24"/>
          <w:highlight w:val="none"/>
        </w:rPr>
        <w:t>1.5    单位负责人为同一人或者存在直接控股、管理关系的不同供应商，其相</w:t>
      </w:r>
    </w:p>
    <w:p w14:paraId="7549764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46A1DB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16D986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4D422B54">
      <w:pPr>
        <w:pStyle w:val="6"/>
        <w:spacing w:before="0" w:after="0" w:line="240" w:lineRule="atLeast"/>
        <w:rPr>
          <w:rFonts w:hint="eastAsia" w:ascii="仿宋" w:hAnsi="仿宋" w:eastAsia="仿宋" w:cs="仿宋"/>
          <w:color w:val="auto"/>
          <w:highlight w:val="none"/>
          <w:u w:val="none"/>
        </w:rPr>
      </w:pPr>
      <w:bookmarkStart w:id="12" w:name="_Toc515647759"/>
      <w:bookmarkStart w:id="13" w:name="_Toc12139"/>
      <w:bookmarkStart w:id="14" w:name="_Toc5286"/>
      <w:bookmarkStart w:id="15" w:name="_Toc18078"/>
      <w:r>
        <w:rPr>
          <w:rFonts w:hint="eastAsia" w:ascii="仿宋" w:hAnsi="仿宋" w:eastAsia="仿宋" w:cs="仿宋"/>
          <w:color w:val="auto"/>
          <w:highlight w:val="none"/>
          <w:u w:val="none"/>
        </w:rPr>
        <w:t>2.资金来源</w:t>
      </w:r>
      <w:bookmarkEnd w:id="12"/>
      <w:bookmarkEnd w:id="13"/>
      <w:bookmarkEnd w:id="14"/>
      <w:bookmarkEnd w:id="15"/>
    </w:p>
    <w:p w14:paraId="409F7A1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14:paraId="0EF7AA1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见投标人须知资料表</w:t>
      </w:r>
      <w:r>
        <w:rPr>
          <w:rFonts w:hint="eastAsia" w:ascii="仿宋" w:hAnsi="仿宋" w:eastAsia="仿宋" w:cs="仿宋"/>
          <w:color w:val="auto"/>
          <w:sz w:val="24"/>
          <w:highlight w:val="none"/>
        </w:rPr>
        <w:t>。</w:t>
      </w:r>
    </w:p>
    <w:p w14:paraId="7B63F97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1B5BB631">
      <w:pPr>
        <w:pStyle w:val="6"/>
        <w:spacing w:before="0" w:after="0" w:line="240" w:lineRule="atLeast"/>
        <w:rPr>
          <w:rFonts w:hint="eastAsia" w:ascii="仿宋" w:hAnsi="仿宋" w:eastAsia="仿宋" w:cs="仿宋"/>
          <w:color w:val="auto"/>
          <w:highlight w:val="none"/>
          <w:u w:val="none"/>
        </w:rPr>
      </w:pPr>
      <w:bookmarkStart w:id="16" w:name="_Toc20526"/>
      <w:bookmarkStart w:id="17" w:name="_Toc515647760"/>
      <w:bookmarkStart w:id="18" w:name="_Toc15936"/>
      <w:bookmarkStart w:id="19" w:name="_Toc12642"/>
      <w:bookmarkStart w:id="20" w:name="_Toc520356145"/>
      <w:r>
        <w:rPr>
          <w:rFonts w:hint="eastAsia" w:ascii="仿宋" w:hAnsi="仿宋" w:eastAsia="仿宋" w:cs="仿宋"/>
          <w:color w:val="auto"/>
          <w:highlight w:val="none"/>
          <w:u w:val="none"/>
        </w:rPr>
        <w:t>3.投标费用</w:t>
      </w:r>
      <w:bookmarkEnd w:id="16"/>
      <w:bookmarkEnd w:id="17"/>
      <w:bookmarkEnd w:id="18"/>
      <w:bookmarkEnd w:id="19"/>
      <w:bookmarkEnd w:id="20"/>
    </w:p>
    <w:p w14:paraId="5ED1BC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不论投标的结果如何，投标人应承担所有与准备和参加投标有关的费用。</w:t>
      </w:r>
    </w:p>
    <w:p w14:paraId="4FD3DE0A">
      <w:pPr>
        <w:pStyle w:val="6"/>
        <w:spacing w:before="0" w:after="0" w:line="240" w:lineRule="atLeast"/>
        <w:rPr>
          <w:rFonts w:hint="eastAsia" w:ascii="仿宋" w:hAnsi="仿宋" w:eastAsia="仿宋" w:cs="仿宋"/>
          <w:color w:val="auto"/>
          <w:highlight w:val="none"/>
          <w:u w:val="none"/>
        </w:rPr>
      </w:pPr>
      <w:bookmarkStart w:id="21" w:name="_Toc11963"/>
      <w:bookmarkStart w:id="22" w:name="_Toc6116"/>
      <w:bookmarkStart w:id="23" w:name="_Toc515647761"/>
      <w:bookmarkStart w:id="24" w:name="_Toc4463"/>
      <w:r>
        <w:rPr>
          <w:rFonts w:hint="eastAsia" w:ascii="仿宋" w:hAnsi="仿宋" w:eastAsia="仿宋" w:cs="仿宋"/>
          <w:color w:val="auto"/>
          <w:highlight w:val="none"/>
          <w:u w:val="none"/>
        </w:rPr>
        <w:t>4.适用法律</w:t>
      </w:r>
      <w:bookmarkEnd w:id="21"/>
      <w:bookmarkEnd w:id="22"/>
      <w:bookmarkEnd w:id="23"/>
      <w:bookmarkEnd w:id="24"/>
    </w:p>
    <w:p w14:paraId="617DE81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本项目采购人、采购代理机构、投标人、评标委员会的相关行为均受《中华人民共和国政府采购法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中华人民共和国政府采购法实施条例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政府采购货物和服务招标投标管理办法》（财政部第 </w:t>
      </w: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 xml:space="preserve"> 号令）</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本项目本级和上级财政部门政府采购有关规定的约束，其权利受到上述法律法规的保护。</w:t>
      </w:r>
    </w:p>
    <w:p w14:paraId="3D7AF64F">
      <w:pPr>
        <w:spacing w:line="240" w:lineRule="atLeast"/>
        <w:rPr>
          <w:rFonts w:hint="eastAsia" w:ascii="仿宋" w:hAnsi="仿宋" w:eastAsia="仿宋" w:cs="仿宋"/>
          <w:color w:val="auto"/>
          <w:sz w:val="24"/>
          <w:highlight w:val="none"/>
        </w:rPr>
      </w:pPr>
    </w:p>
    <w:p w14:paraId="048C069F">
      <w:pPr>
        <w:pStyle w:val="5"/>
        <w:spacing w:before="0" w:line="240" w:lineRule="atLeast"/>
        <w:ind w:left="1079" w:leftChars="257" w:hanging="540"/>
        <w:rPr>
          <w:rFonts w:hint="eastAsia" w:ascii="仿宋" w:hAnsi="仿宋" w:eastAsia="仿宋" w:cs="仿宋"/>
          <w:color w:val="auto"/>
          <w:sz w:val="28"/>
          <w:highlight w:val="none"/>
        </w:rPr>
      </w:pPr>
      <w:bookmarkStart w:id="25" w:name="_Toc4365"/>
      <w:bookmarkStart w:id="26" w:name="_Toc216582806"/>
      <w:bookmarkStart w:id="27" w:name="_Toc515647762"/>
      <w:bookmarkStart w:id="28" w:name="_Toc22957"/>
      <w:bookmarkStart w:id="29" w:name="_Toc21566"/>
      <w:bookmarkStart w:id="30" w:name="_Toc520356146"/>
      <w:r>
        <w:rPr>
          <w:rFonts w:hint="eastAsia" w:ascii="仿宋" w:hAnsi="仿宋" w:eastAsia="仿宋" w:cs="仿宋"/>
          <w:color w:val="auto"/>
          <w:sz w:val="28"/>
          <w:highlight w:val="none"/>
        </w:rPr>
        <w:t>二   招标文件</w:t>
      </w:r>
      <w:bookmarkEnd w:id="25"/>
      <w:bookmarkEnd w:id="26"/>
      <w:bookmarkEnd w:id="27"/>
      <w:bookmarkEnd w:id="28"/>
      <w:bookmarkEnd w:id="29"/>
      <w:bookmarkEnd w:id="30"/>
    </w:p>
    <w:p w14:paraId="064E41EC">
      <w:pPr>
        <w:pStyle w:val="11"/>
        <w:rPr>
          <w:rFonts w:hint="eastAsia" w:ascii="仿宋" w:hAnsi="仿宋" w:eastAsia="仿宋" w:cs="仿宋"/>
          <w:color w:val="auto"/>
          <w:highlight w:val="none"/>
        </w:rPr>
      </w:pPr>
    </w:p>
    <w:p w14:paraId="4B9FA164">
      <w:pPr>
        <w:pStyle w:val="6"/>
        <w:spacing w:before="0" w:after="0" w:line="240" w:lineRule="atLeast"/>
        <w:rPr>
          <w:rFonts w:hint="eastAsia" w:ascii="仿宋" w:hAnsi="仿宋" w:eastAsia="仿宋" w:cs="仿宋"/>
          <w:color w:val="auto"/>
          <w:highlight w:val="none"/>
          <w:u w:val="none"/>
        </w:rPr>
      </w:pPr>
      <w:bookmarkStart w:id="31" w:name="_Toc520356147"/>
      <w:bookmarkStart w:id="32" w:name="_Toc25743"/>
      <w:bookmarkStart w:id="33" w:name="_Toc515647763"/>
      <w:bookmarkStart w:id="34" w:name="_Toc14084"/>
      <w:bookmarkStart w:id="35" w:name="_Toc7184"/>
      <w:r>
        <w:rPr>
          <w:rFonts w:hint="eastAsia" w:ascii="仿宋" w:hAnsi="仿宋" w:eastAsia="仿宋" w:cs="仿宋"/>
          <w:color w:val="auto"/>
          <w:highlight w:val="none"/>
          <w:u w:val="none"/>
        </w:rPr>
        <w:t>5.招标文件构成</w:t>
      </w:r>
      <w:bookmarkEnd w:id="31"/>
      <w:bookmarkEnd w:id="32"/>
      <w:bookmarkEnd w:id="33"/>
      <w:bookmarkEnd w:id="34"/>
      <w:bookmarkEnd w:id="35"/>
    </w:p>
    <w:p w14:paraId="546FE7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招标文件分为三册共7章，内容如下：</w:t>
      </w:r>
    </w:p>
    <w:p w14:paraId="5D74E3B1">
      <w:pPr>
        <w:spacing w:line="240" w:lineRule="atLeast"/>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14:paraId="3A3F7AEB">
      <w:pPr>
        <w:numPr>
          <w:ilvl w:val="0"/>
          <w:numId w:val="3"/>
        </w:numPr>
        <w:tabs>
          <w:tab w:val="left" w:pos="0"/>
        </w:tabs>
        <w:spacing w:line="240" w:lineRule="atLeast"/>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w:t>
      </w:r>
    </w:p>
    <w:p w14:paraId="7E329E2C">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投标文件格式</w:t>
      </w:r>
    </w:p>
    <w:p w14:paraId="0CC8830B">
      <w:p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14:paraId="18A862DE">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14:paraId="224C0FCF">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投标人须知资料表</w:t>
      </w:r>
    </w:p>
    <w:p w14:paraId="64784C83">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货物需求一览表及技术规格</w:t>
      </w:r>
    </w:p>
    <w:p w14:paraId="2164566A">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14:paraId="4B518199">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14:paraId="5918E167">
      <w:pPr>
        <w:numPr>
          <w:ilvl w:val="0"/>
          <w:numId w:val="3"/>
        </w:numPr>
        <w:spacing w:line="240" w:lineRule="atLeast"/>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政府采购合同格式</w:t>
      </w:r>
    </w:p>
    <w:p w14:paraId="0E8348D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14:paraId="3ED0E41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5B08455">
      <w:pPr>
        <w:pStyle w:val="6"/>
        <w:spacing w:before="0" w:after="0" w:line="240" w:lineRule="atLeast"/>
        <w:rPr>
          <w:rFonts w:hint="eastAsia" w:ascii="仿宋" w:hAnsi="仿宋" w:eastAsia="仿宋" w:cs="仿宋"/>
          <w:color w:val="auto"/>
          <w:highlight w:val="none"/>
          <w:u w:val="none"/>
        </w:rPr>
      </w:pPr>
      <w:bookmarkStart w:id="36" w:name="_Toc515904805"/>
      <w:bookmarkStart w:id="37" w:name="_Toc520356148"/>
      <w:bookmarkStart w:id="38" w:name="_Toc26044"/>
      <w:bookmarkStart w:id="39" w:name="_Toc9232"/>
      <w:bookmarkStart w:id="40" w:name="_Toc18096"/>
      <w:r>
        <w:rPr>
          <w:rFonts w:hint="eastAsia" w:ascii="仿宋" w:hAnsi="仿宋" w:eastAsia="仿宋" w:cs="仿宋"/>
          <w:color w:val="auto"/>
          <w:highlight w:val="none"/>
          <w:u w:val="none"/>
        </w:rPr>
        <w:t>6.招标文件的澄清</w:t>
      </w:r>
      <w:bookmarkEnd w:id="36"/>
      <w:bookmarkEnd w:id="37"/>
      <w:r>
        <w:rPr>
          <w:rFonts w:hint="eastAsia" w:ascii="仿宋" w:hAnsi="仿宋" w:eastAsia="仿宋" w:cs="仿宋"/>
          <w:color w:val="auto"/>
          <w:highlight w:val="none"/>
          <w:u w:val="none"/>
        </w:rPr>
        <w:t>与修改</w:t>
      </w:r>
      <w:bookmarkEnd w:id="38"/>
      <w:bookmarkEnd w:id="39"/>
      <w:bookmarkEnd w:id="40"/>
    </w:p>
    <w:p w14:paraId="10FC0B4B">
      <w:pPr>
        <w:pStyle w:val="11"/>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14:paraId="645679A4">
      <w:pPr>
        <w:pStyle w:val="11"/>
        <w:ind w:left="840" w:hanging="840" w:hangingChars="350"/>
        <w:rPr>
          <w:rFonts w:hint="eastAsia" w:ascii="仿宋" w:hAnsi="仿宋" w:eastAsia="仿宋" w:cs="仿宋"/>
          <w:color w:val="auto"/>
          <w:szCs w:val="24"/>
          <w:highlight w:val="none"/>
        </w:rPr>
      </w:pPr>
      <w:bookmarkStart w:id="41" w:name="_Toc520356149"/>
      <w:bookmarkStart w:id="42" w:name="_Ref467378678"/>
      <w:bookmarkStart w:id="43" w:name="_Toc515904806"/>
      <w:r>
        <w:rPr>
          <w:rFonts w:hint="eastAsia" w:ascii="仿宋" w:hAnsi="仿宋" w:eastAsia="仿宋" w:cs="仿宋"/>
          <w:color w:val="auto"/>
          <w:szCs w:val="24"/>
          <w:highlight w:val="none"/>
        </w:rPr>
        <w:t>6.2</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3E39CCB7">
      <w:pPr>
        <w:pStyle w:val="11"/>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2D92D24A">
      <w:pPr>
        <w:pStyle w:val="6"/>
        <w:tabs>
          <w:tab w:val="left" w:pos="900"/>
        </w:tabs>
        <w:spacing w:before="0" w:after="0" w:line="240" w:lineRule="atLeast"/>
        <w:rPr>
          <w:rFonts w:hint="eastAsia" w:ascii="仿宋" w:hAnsi="仿宋" w:eastAsia="仿宋" w:cs="仿宋"/>
          <w:color w:val="auto"/>
          <w:highlight w:val="none"/>
          <w:u w:val="none"/>
        </w:rPr>
      </w:pPr>
      <w:bookmarkStart w:id="44" w:name="_Toc25635"/>
      <w:bookmarkStart w:id="45" w:name="_Toc32553"/>
      <w:bookmarkStart w:id="46" w:name="_Toc14569"/>
      <w:r>
        <w:rPr>
          <w:rFonts w:hint="eastAsia" w:ascii="仿宋" w:hAnsi="仿宋" w:eastAsia="仿宋" w:cs="仿宋"/>
          <w:color w:val="auto"/>
          <w:highlight w:val="none"/>
          <w:u w:val="none"/>
        </w:rPr>
        <w:t>7</w:t>
      </w:r>
      <w:bookmarkEnd w:id="41"/>
      <w:bookmarkEnd w:id="42"/>
      <w:bookmarkEnd w:id="43"/>
      <w:r>
        <w:rPr>
          <w:rFonts w:hint="eastAsia" w:ascii="仿宋" w:hAnsi="仿宋" w:eastAsia="仿宋" w:cs="仿宋"/>
          <w:color w:val="auto"/>
          <w:highlight w:val="none"/>
          <w:u w:val="none"/>
        </w:rPr>
        <w:t>.投标截止时间的顺延</w:t>
      </w:r>
      <w:bookmarkEnd w:id="44"/>
      <w:bookmarkEnd w:id="45"/>
      <w:bookmarkEnd w:id="46"/>
    </w:p>
    <w:p w14:paraId="5E7FDC9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为使投标人准备投标时有足够的时间对招标文件的澄清或者修改部分进行研究，采购人将依法决定是否顺延投标截止时间。</w:t>
      </w:r>
    </w:p>
    <w:p w14:paraId="01546988">
      <w:pPr>
        <w:spacing w:line="240" w:lineRule="atLeast"/>
        <w:ind w:left="900" w:hanging="900" w:hangingChars="375"/>
        <w:rPr>
          <w:rFonts w:hint="eastAsia" w:ascii="仿宋" w:hAnsi="仿宋" w:eastAsia="仿宋" w:cs="仿宋"/>
          <w:color w:val="auto"/>
          <w:sz w:val="24"/>
          <w:highlight w:val="none"/>
        </w:rPr>
      </w:pPr>
    </w:p>
    <w:p w14:paraId="7F6181E0">
      <w:pPr>
        <w:pStyle w:val="5"/>
        <w:tabs>
          <w:tab w:val="left" w:pos="900"/>
        </w:tabs>
        <w:spacing w:before="0" w:line="240" w:lineRule="atLeast"/>
        <w:ind w:left="1079" w:leftChars="257" w:hanging="540"/>
        <w:rPr>
          <w:rFonts w:hint="eastAsia" w:ascii="仿宋" w:hAnsi="仿宋" w:eastAsia="仿宋" w:cs="仿宋"/>
          <w:color w:val="auto"/>
          <w:sz w:val="28"/>
          <w:highlight w:val="none"/>
        </w:rPr>
      </w:pPr>
      <w:bookmarkStart w:id="47" w:name="_Toc516367020"/>
      <w:bookmarkStart w:id="48" w:name="_Toc216582807"/>
      <w:bookmarkStart w:id="49" w:name="_Toc520356150"/>
      <w:bookmarkStart w:id="50" w:name="_Toc17314"/>
      <w:bookmarkStart w:id="51" w:name="_Toc30808"/>
      <w:bookmarkStart w:id="52" w:name="_Toc7636"/>
      <w:bookmarkStart w:id="53" w:name="_Toc515647766"/>
      <w:r>
        <w:rPr>
          <w:rFonts w:hint="eastAsia" w:ascii="仿宋" w:hAnsi="仿宋" w:eastAsia="仿宋" w:cs="仿宋"/>
          <w:color w:val="auto"/>
          <w:sz w:val="28"/>
          <w:highlight w:val="none"/>
        </w:rPr>
        <w:t>三   投标文件</w:t>
      </w:r>
      <w:bookmarkEnd w:id="47"/>
      <w:r>
        <w:rPr>
          <w:rFonts w:hint="eastAsia" w:ascii="仿宋" w:hAnsi="仿宋" w:eastAsia="仿宋" w:cs="仿宋"/>
          <w:color w:val="auto"/>
          <w:sz w:val="28"/>
          <w:highlight w:val="none"/>
        </w:rPr>
        <w:t>的编制</w:t>
      </w:r>
      <w:bookmarkEnd w:id="48"/>
      <w:bookmarkEnd w:id="49"/>
      <w:bookmarkEnd w:id="50"/>
      <w:bookmarkEnd w:id="51"/>
      <w:bookmarkEnd w:id="52"/>
      <w:bookmarkEnd w:id="53"/>
    </w:p>
    <w:p w14:paraId="661CB08F">
      <w:pPr>
        <w:pStyle w:val="11"/>
        <w:rPr>
          <w:rFonts w:hint="eastAsia" w:ascii="仿宋" w:hAnsi="仿宋" w:eastAsia="仿宋" w:cs="仿宋"/>
          <w:color w:val="auto"/>
          <w:highlight w:val="none"/>
        </w:rPr>
      </w:pPr>
    </w:p>
    <w:p w14:paraId="2CB238D5">
      <w:pPr>
        <w:pStyle w:val="6"/>
        <w:tabs>
          <w:tab w:val="left" w:pos="900"/>
        </w:tabs>
        <w:spacing w:before="0" w:after="0" w:line="240" w:lineRule="atLeast"/>
        <w:rPr>
          <w:rFonts w:hint="eastAsia" w:ascii="仿宋" w:hAnsi="仿宋" w:eastAsia="仿宋" w:cs="仿宋"/>
          <w:color w:val="auto"/>
          <w:highlight w:val="none"/>
          <w:u w:val="none"/>
        </w:rPr>
      </w:pPr>
      <w:bookmarkStart w:id="54" w:name="_Toc520356151"/>
      <w:bookmarkStart w:id="55" w:name="_Toc516367021"/>
      <w:bookmarkStart w:id="56" w:name="_Toc10167"/>
      <w:bookmarkStart w:id="57" w:name="_Toc515647767"/>
      <w:bookmarkStart w:id="58" w:name="_Toc3553"/>
      <w:bookmarkStart w:id="59" w:name="_Toc7786"/>
      <w:r>
        <w:rPr>
          <w:rFonts w:hint="eastAsia" w:ascii="仿宋" w:hAnsi="仿宋" w:eastAsia="仿宋" w:cs="仿宋"/>
          <w:color w:val="auto"/>
          <w:highlight w:val="none"/>
          <w:u w:val="none"/>
        </w:rPr>
        <w:t>8.</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投标范围及投标文件中标准和计量单位的使用</w:t>
      </w:r>
      <w:bookmarkEnd w:id="54"/>
      <w:bookmarkEnd w:id="55"/>
      <w:bookmarkEnd w:id="56"/>
      <w:bookmarkEnd w:id="57"/>
      <w:bookmarkEnd w:id="58"/>
      <w:bookmarkEnd w:id="59"/>
    </w:p>
    <w:p w14:paraId="589A9B6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项目有分包的，投标人可对招标文件其中某一个或几个分包货物进行投标，除非在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中另有规定。</w:t>
      </w:r>
    </w:p>
    <w:p w14:paraId="676ABB6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投标人应当对所投分包招标文件中“服务需求”所列的所有内容进行投标，如仅响应某一包中的部分内容，其该包投标将被认定为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03611E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无论招标文件第5章货物需求一览表及技术规格中是否要求，投标人所投货物均应符合国家强制性标准。</w:t>
      </w:r>
    </w:p>
    <w:p w14:paraId="38697E8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14:paraId="0ADECA08">
      <w:pPr>
        <w:pStyle w:val="6"/>
        <w:tabs>
          <w:tab w:val="left" w:pos="900"/>
        </w:tabs>
        <w:spacing w:before="0" w:after="0" w:line="240" w:lineRule="atLeast"/>
        <w:rPr>
          <w:rFonts w:hint="eastAsia" w:ascii="仿宋" w:hAnsi="仿宋" w:eastAsia="仿宋" w:cs="仿宋"/>
          <w:color w:val="auto"/>
          <w:highlight w:val="none"/>
          <w:u w:val="none"/>
        </w:rPr>
      </w:pPr>
      <w:bookmarkStart w:id="60" w:name="_Ref467306676"/>
      <w:bookmarkStart w:id="61" w:name="_Ref467306195"/>
      <w:bookmarkStart w:id="62" w:name="_Toc516367022"/>
      <w:bookmarkStart w:id="63" w:name="_Toc28307"/>
      <w:bookmarkStart w:id="64" w:name="_Toc520356152"/>
      <w:bookmarkStart w:id="65" w:name="_Toc13670"/>
      <w:bookmarkStart w:id="66" w:name="_Toc515647768"/>
      <w:bookmarkStart w:id="67" w:name="_Toc10364"/>
      <w:r>
        <w:rPr>
          <w:rFonts w:hint="eastAsia" w:ascii="仿宋" w:hAnsi="仿宋" w:eastAsia="仿宋" w:cs="仿宋"/>
          <w:color w:val="auto"/>
          <w:highlight w:val="none"/>
          <w:u w:val="none"/>
        </w:rPr>
        <w:t>9.</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u w:val="none"/>
        </w:rPr>
        <w:t>投标文件</w:t>
      </w:r>
      <w:bookmarkEnd w:id="60"/>
      <w:bookmarkEnd w:id="61"/>
      <w:bookmarkEnd w:id="62"/>
      <w:r>
        <w:rPr>
          <w:rFonts w:hint="eastAsia" w:ascii="仿宋" w:hAnsi="仿宋" w:eastAsia="仿宋" w:cs="仿宋"/>
          <w:color w:val="auto"/>
          <w:highlight w:val="none"/>
          <w:u w:val="none"/>
        </w:rPr>
        <w:t>构成</w:t>
      </w:r>
      <w:bookmarkEnd w:id="63"/>
      <w:bookmarkEnd w:id="64"/>
      <w:bookmarkEnd w:id="65"/>
      <w:bookmarkEnd w:id="66"/>
      <w:bookmarkEnd w:id="67"/>
    </w:p>
    <w:p w14:paraId="3D0D84F4">
      <w:pPr>
        <w:tabs>
          <w:tab w:val="left" w:pos="900"/>
          <w:tab w:val="left" w:pos="5580"/>
        </w:tabs>
        <w:spacing w:line="240" w:lineRule="atLeast"/>
        <w:ind w:left="960" w:hanging="960" w:hangingChars="400"/>
        <w:jc w:val="left"/>
        <w:rPr>
          <w:rFonts w:hint="eastAsia" w:ascii="仿宋" w:hAnsi="仿宋" w:eastAsia="仿宋" w:cs="仿宋"/>
          <w:color w:val="auto"/>
          <w:sz w:val="24"/>
          <w:highlight w:val="none"/>
          <w:u w:val="single"/>
        </w:rPr>
      </w:pPr>
      <w:bookmarkStart w:id="68" w:name="_Ref467052588"/>
      <w:r>
        <w:rPr>
          <w:rFonts w:hint="eastAsia" w:ascii="仿宋" w:hAnsi="仿宋" w:eastAsia="仿宋" w:cs="仿宋"/>
          <w:color w:val="auto"/>
          <w:sz w:val="24"/>
          <w:highlight w:val="none"/>
        </w:rPr>
        <w:t xml:space="preserve">9.1     </w:t>
      </w:r>
      <w:r>
        <w:rPr>
          <w:rFonts w:hint="eastAsia" w:ascii="仿宋" w:hAnsi="仿宋" w:eastAsia="仿宋" w:cs="仿宋"/>
          <w:color w:val="auto"/>
          <w:sz w:val="24"/>
          <w:highlight w:val="none"/>
          <w:u w:val="single"/>
        </w:rPr>
        <w:t>投标人应完整地按招标文件提供的投标文件格式及要求</w:t>
      </w:r>
      <w:r>
        <w:rPr>
          <w:rFonts w:hint="eastAsia" w:ascii="仿宋" w:hAnsi="仿宋" w:eastAsia="仿宋" w:cs="仿宋"/>
          <w:color w:val="auto"/>
          <w:sz w:val="24"/>
          <w:highlight w:val="none"/>
          <w:u w:val="single"/>
          <w:lang w:eastAsia="zh-CN"/>
        </w:rPr>
        <w:t>编</w:t>
      </w:r>
      <w:r>
        <w:rPr>
          <w:rFonts w:hint="eastAsia" w:ascii="仿宋" w:hAnsi="仿宋" w:eastAsia="仿宋" w:cs="仿宋"/>
          <w:color w:val="auto"/>
          <w:sz w:val="24"/>
          <w:highlight w:val="none"/>
          <w:u w:val="single"/>
        </w:rPr>
        <w:t>写投标文件</w:t>
      </w:r>
      <w:r>
        <w:rPr>
          <w:rFonts w:hint="eastAsia" w:ascii="仿宋" w:hAnsi="仿宋" w:eastAsia="仿宋" w:cs="仿宋"/>
          <w:color w:val="auto"/>
          <w:sz w:val="24"/>
          <w:highlight w:val="none"/>
          <w:u w:val="single"/>
          <w:lang w:eastAsia="zh-CN"/>
        </w:rPr>
        <w:t>（未提供格式的，格式自拟）</w:t>
      </w:r>
      <w:r>
        <w:rPr>
          <w:rFonts w:hint="eastAsia" w:ascii="仿宋" w:hAnsi="仿宋" w:eastAsia="仿宋" w:cs="仿宋"/>
          <w:color w:val="auto"/>
          <w:sz w:val="24"/>
          <w:highlight w:val="none"/>
          <w:u w:val="single"/>
        </w:rPr>
        <w:t>，投标文件应包括“开标一览表及资格证明文件”和“商务及技术文件”两部分</w:t>
      </w:r>
      <w:r>
        <w:rPr>
          <w:rFonts w:hint="eastAsia" w:ascii="仿宋" w:hAnsi="仿宋" w:eastAsia="仿宋" w:cs="仿宋"/>
          <w:color w:val="auto"/>
          <w:sz w:val="24"/>
          <w:highlight w:val="none"/>
          <w:u w:val="single"/>
          <w:lang w:eastAsia="zh-CN"/>
        </w:rPr>
        <w:t>，分别在政采云系统相应模块上传</w:t>
      </w:r>
      <w:r>
        <w:rPr>
          <w:rFonts w:hint="eastAsia" w:ascii="仿宋" w:hAnsi="仿宋" w:eastAsia="仿宋" w:cs="仿宋"/>
          <w:color w:val="auto"/>
          <w:sz w:val="24"/>
          <w:highlight w:val="none"/>
          <w:u w:val="single"/>
        </w:rPr>
        <w:t>。</w:t>
      </w:r>
    </w:p>
    <w:p w14:paraId="3E592C4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上述文件应按照招标文件规定的格式填写、签署和盖章。</w:t>
      </w:r>
    </w:p>
    <w:bookmarkEnd w:id="68"/>
    <w:p w14:paraId="0564D11A">
      <w:pPr>
        <w:pStyle w:val="6"/>
        <w:tabs>
          <w:tab w:val="left" w:pos="900"/>
        </w:tabs>
        <w:spacing w:before="0" w:after="0" w:line="240" w:lineRule="atLeast"/>
        <w:rPr>
          <w:rFonts w:hint="eastAsia" w:ascii="仿宋" w:hAnsi="仿宋" w:eastAsia="仿宋" w:cs="仿宋"/>
          <w:color w:val="auto"/>
          <w:highlight w:val="none"/>
          <w:u w:val="none"/>
          <w:lang w:eastAsia="zh-CN"/>
        </w:rPr>
      </w:pPr>
      <w:bookmarkStart w:id="69" w:name="_Toc4601"/>
      <w:bookmarkStart w:id="70" w:name="_Toc516367023"/>
      <w:bookmarkStart w:id="71" w:name="_Toc520356153"/>
      <w:bookmarkStart w:id="72" w:name="_Toc10379"/>
      <w:bookmarkStart w:id="73" w:name="_Toc515647769"/>
      <w:bookmarkStart w:id="74" w:name="_Toc13122"/>
      <w:r>
        <w:rPr>
          <w:rFonts w:hint="eastAsia" w:ascii="仿宋" w:hAnsi="仿宋" w:eastAsia="仿宋" w:cs="仿宋"/>
          <w:color w:val="auto"/>
          <w:highlight w:val="none"/>
          <w:u w:val="none"/>
        </w:rPr>
        <w:t>10.</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证明投标标的的合格性和符合招标文件规定的技术文件</w:t>
      </w:r>
      <w:bookmarkEnd w:id="69"/>
      <w:bookmarkEnd w:id="70"/>
      <w:bookmarkEnd w:id="71"/>
      <w:bookmarkEnd w:id="72"/>
      <w:bookmarkEnd w:id="73"/>
      <w:r>
        <w:rPr>
          <w:rFonts w:hint="eastAsia" w:ascii="仿宋" w:hAnsi="仿宋" w:eastAsia="仿宋" w:cs="仿宋"/>
          <w:color w:val="auto"/>
          <w:highlight w:val="none"/>
          <w:u w:val="none"/>
          <w:lang w:eastAsia="zh-CN"/>
        </w:rPr>
        <w:t>。</w:t>
      </w:r>
      <w:bookmarkEnd w:id="74"/>
    </w:p>
    <w:p w14:paraId="20C2B55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投标人应提交证明文件，证明其投标内容符合招标文件规定。该证明文件是投标文件的一部分。</w:t>
      </w:r>
    </w:p>
    <w:p w14:paraId="33412C57">
      <w:pPr>
        <w:spacing w:line="240" w:lineRule="atLeast"/>
        <w:ind w:left="900" w:hanging="900" w:hangingChars="375"/>
        <w:rPr>
          <w:rFonts w:hint="eastAsia" w:ascii="仿宋" w:hAnsi="仿宋" w:eastAsia="仿宋" w:cs="仿宋"/>
          <w:color w:val="auto"/>
          <w:sz w:val="24"/>
          <w:highlight w:val="none"/>
        </w:rPr>
      </w:pPr>
      <w:bookmarkStart w:id="75"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5"/>
      <w:r>
        <w:rPr>
          <w:rFonts w:hint="eastAsia" w:ascii="仿宋" w:hAnsi="仿宋" w:eastAsia="仿宋" w:cs="仿宋"/>
          <w:color w:val="auto"/>
          <w:sz w:val="24"/>
          <w:highlight w:val="none"/>
        </w:rPr>
        <w:t>它包括：</w:t>
      </w:r>
    </w:p>
    <w:p w14:paraId="7B87508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货物主要技术指标和性能的详细说明；</w:t>
      </w:r>
    </w:p>
    <w:p w14:paraId="64E45B9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货物从买方开始使用至招标文件规定的保质期内正常、连续地使用所必须的备件和专用工具清单，包括备件和专用工具的货源及现行价格；</w:t>
      </w:r>
    </w:p>
    <w:p w14:paraId="599659E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对照招标文件技术规格，逐条说明所提供货物及伴随的工程和服务已对招标文件的技术规格做出了实质性的响应，或申明与技术规格条文的偏差和例外。</w:t>
      </w:r>
    </w:p>
    <w:p w14:paraId="7F96571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7632DB7F">
      <w:pPr>
        <w:pStyle w:val="6"/>
        <w:spacing w:before="0" w:after="0" w:line="240" w:lineRule="atLeast"/>
        <w:rPr>
          <w:rFonts w:hint="eastAsia" w:ascii="仿宋" w:hAnsi="仿宋" w:eastAsia="仿宋" w:cs="仿宋"/>
          <w:color w:val="auto"/>
          <w:highlight w:val="none"/>
          <w:u w:val="none"/>
        </w:rPr>
      </w:pPr>
      <w:bookmarkStart w:id="76" w:name="_Toc515647770"/>
      <w:bookmarkStart w:id="77" w:name="_Toc2248"/>
      <w:bookmarkStart w:id="78" w:name="_Toc23231"/>
      <w:bookmarkStart w:id="79" w:name="_Toc520356155"/>
      <w:bookmarkStart w:id="80" w:name="_Toc1768"/>
      <w:r>
        <w:rPr>
          <w:rFonts w:hint="eastAsia" w:ascii="仿宋" w:hAnsi="仿宋" w:eastAsia="仿宋" w:cs="仿宋"/>
          <w:color w:val="auto"/>
          <w:highlight w:val="none"/>
          <w:u w:val="none"/>
        </w:rPr>
        <w:t>11.投标报价</w:t>
      </w:r>
      <w:bookmarkEnd w:id="76"/>
      <w:bookmarkEnd w:id="77"/>
      <w:bookmarkEnd w:id="78"/>
      <w:bookmarkEnd w:id="79"/>
      <w:bookmarkEnd w:id="80"/>
    </w:p>
    <w:p w14:paraId="0BBD4A3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E30AA9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投标人应在投标分项报价表上标明投标货物及相关服务的单价（如适用）和总价，并由法定代表人或其授权代表签署。</w:t>
      </w:r>
    </w:p>
    <w:p w14:paraId="5A2EEF7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投标分项报价表上的价格应按下列方式填写：</w:t>
      </w:r>
    </w:p>
    <w:p w14:paraId="2229EA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11.3.1  投标货物（包括备品备件、专用工具等）的出厂价（包括已在中国国内的进口货物完税后的仓库交货价、展室交货价或货架交货价），投标货物安装、调试、检验、技术服务和培训等费用；</w:t>
      </w:r>
    </w:p>
    <w:p w14:paraId="2D9119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11.3.2  货物运至最终目的地的运输费和保险费用。</w:t>
      </w:r>
    </w:p>
    <w:p w14:paraId="5DA028C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AF5F5F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每种货物只能有一个投标报价。采购人不接受具有附加条件的报价。</w:t>
      </w:r>
    </w:p>
    <w:p w14:paraId="5137EE11">
      <w:pPr>
        <w:pStyle w:val="6"/>
        <w:spacing w:before="0" w:after="0" w:line="240" w:lineRule="atLeast"/>
        <w:rPr>
          <w:rFonts w:hint="eastAsia" w:ascii="仿宋" w:hAnsi="仿宋" w:eastAsia="仿宋" w:cs="仿宋"/>
          <w:color w:val="auto"/>
          <w:highlight w:val="none"/>
          <w:u w:val="none"/>
        </w:rPr>
      </w:pPr>
      <w:bookmarkStart w:id="81" w:name="_Toc520356156"/>
      <w:bookmarkStart w:id="82" w:name="_Toc515647771"/>
      <w:bookmarkStart w:id="83" w:name="_Toc11514"/>
      <w:bookmarkStart w:id="84" w:name="_Toc7803"/>
      <w:bookmarkStart w:id="85" w:name="_Ref467306513"/>
      <w:bookmarkStart w:id="86" w:name="_Toc17788"/>
      <w:r>
        <w:rPr>
          <w:rFonts w:hint="eastAsia" w:ascii="仿宋" w:hAnsi="仿宋" w:eastAsia="仿宋" w:cs="仿宋"/>
          <w:color w:val="auto"/>
          <w:highlight w:val="none"/>
          <w:u w:val="none"/>
        </w:rPr>
        <w:t>12.投标保证金</w:t>
      </w:r>
      <w:bookmarkEnd w:id="81"/>
      <w:bookmarkEnd w:id="82"/>
      <w:bookmarkEnd w:id="83"/>
      <w:bookmarkEnd w:id="84"/>
      <w:bookmarkEnd w:id="85"/>
      <w:bookmarkEnd w:id="86"/>
    </w:p>
    <w:p w14:paraId="55274452">
      <w:pPr>
        <w:spacing w:line="240" w:lineRule="atLeast"/>
        <w:ind w:left="900" w:hanging="900" w:hangingChars="375"/>
        <w:rPr>
          <w:rFonts w:hint="eastAsia" w:ascii="仿宋" w:hAnsi="仿宋" w:eastAsia="仿宋" w:cs="仿宋"/>
          <w:color w:val="auto"/>
          <w:sz w:val="24"/>
          <w:highlight w:val="none"/>
        </w:rPr>
      </w:pPr>
      <w:bookmarkStart w:id="87"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中规定的投标保证金</w:t>
      </w:r>
      <w:bookmarkEnd w:id="87"/>
      <w:r>
        <w:rPr>
          <w:rFonts w:hint="eastAsia" w:ascii="仿宋" w:hAnsi="仿宋" w:eastAsia="仿宋" w:cs="仿宋"/>
          <w:color w:val="auto"/>
          <w:sz w:val="24"/>
          <w:highlight w:val="none"/>
        </w:rPr>
        <w:t>，并作为其投标的一部分。</w:t>
      </w:r>
    </w:p>
    <w:p w14:paraId="25A161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投标人存在下列情形的，投标保证金不予退还：</w:t>
      </w:r>
    </w:p>
    <w:p w14:paraId="38452A2E">
      <w:pPr>
        <w:pStyle w:val="17"/>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14:paraId="65A35A01">
      <w:pPr>
        <w:pStyle w:val="17"/>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（2）中标后不按本须知第30条的规定与采购人签订合同的；</w:t>
      </w:r>
    </w:p>
    <w:p w14:paraId="36172DBE">
      <w:pPr>
        <w:pStyle w:val="17"/>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（3）中标后不按本须知第31条的规定提交履约保证金的；</w:t>
      </w:r>
    </w:p>
    <w:p w14:paraId="4CCF55BC">
      <w:pPr>
        <w:pStyle w:val="17"/>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（4）中标后不按本须知第32条的规定缴纳中标服务费的；</w:t>
      </w:r>
    </w:p>
    <w:p w14:paraId="094A2FB5">
      <w:pPr>
        <w:pStyle w:val="17"/>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14:paraId="1B39FB55">
      <w:pPr>
        <w:spacing w:line="240" w:lineRule="atLeast"/>
        <w:ind w:left="900" w:hanging="900" w:hangingChars="375"/>
        <w:rPr>
          <w:rFonts w:hint="eastAsia" w:ascii="仿宋" w:hAnsi="仿宋" w:eastAsia="仿宋" w:cs="仿宋"/>
          <w:color w:val="auto"/>
          <w:sz w:val="24"/>
          <w:highlight w:val="none"/>
        </w:rPr>
      </w:pPr>
      <w:bookmarkStart w:id="88"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88"/>
      <w:r>
        <w:rPr>
          <w:rFonts w:hint="eastAsia" w:ascii="仿宋" w:hAnsi="仿宋" w:eastAsia="仿宋" w:cs="仿宋"/>
          <w:color w:val="auto"/>
          <w:sz w:val="24"/>
          <w:highlight w:val="none"/>
        </w:rPr>
        <w:t>政府采购信用担保试点范围内的项目，接受符合财政部门规定的政府采购投标担保函原件。</w:t>
      </w:r>
    </w:p>
    <w:p w14:paraId="5C8F047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DBDEC38">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14:paraId="50388530">
      <w:pPr>
        <w:spacing w:line="240" w:lineRule="atLeast"/>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采用支票形式的，投标人则应充分考虑支票入账时间，以确保投标保证金能按时进入指定账户。根据银行信息交换和付款时间，支票从递交至实际入账一般需要4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5个工作日。如投标人未及时提交支票或支票不符合银行委托收款要求（如污损、折叠、胶装等），导致投标保证金不能按时进入指定账户的，将按照招标文件的第22.2条相关规定处理。</w:t>
      </w:r>
    </w:p>
    <w:p w14:paraId="037DC3E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14:paraId="0ADB827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14:paraId="4C626A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中标人应在与采购人签订合同之日起5个工作日内，及时联系保证金收受机构办理投标保证金无息退还手续。</w:t>
      </w:r>
    </w:p>
    <w:p w14:paraId="5FF3C72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01AEEB99">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14:paraId="6AC07F6F">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因投标人自身原因导致无法及时退还的，采购人或采购代理机构将不承担相应责任。</w:t>
      </w:r>
    </w:p>
    <w:p w14:paraId="28016938">
      <w:pPr>
        <w:pStyle w:val="6"/>
        <w:spacing w:before="0" w:after="0" w:line="240" w:lineRule="atLeast"/>
        <w:rPr>
          <w:rFonts w:hint="eastAsia" w:ascii="仿宋" w:hAnsi="仿宋" w:eastAsia="仿宋" w:cs="仿宋"/>
          <w:color w:val="auto"/>
          <w:highlight w:val="none"/>
          <w:u w:val="none"/>
        </w:rPr>
      </w:pPr>
      <w:bookmarkStart w:id="89" w:name="_Toc23590"/>
      <w:bookmarkStart w:id="90" w:name="_Toc32569"/>
      <w:bookmarkStart w:id="91" w:name="_Toc515647772"/>
      <w:bookmarkStart w:id="92" w:name="_Toc520356157"/>
      <w:bookmarkStart w:id="93" w:name="_Toc29090"/>
      <w:r>
        <w:rPr>
          <w:rFonts w:hint="eastAsia" w:ascii="仿宋" w:hAnsi="仿宋" w:eastAsia="仿宋" w:cs="仿宋"/>
          <w:color w:val="auto"/>
          <w:highlight w:val="none"/>
          <w:u w:val="none"/>
        </w:rPr>
        <w:t>13.投标有效期</w:t>
      </w:r>
      <w:bookmarkEnd w:id="89"/>
      <w:bookmarkEnd w:id="90"/>
      <w:bookmarkEnd w:id="91"/>
      <w:bookmarkEnd w:id="92"/>
      <w:bookmarkEnd w:id="93"/>
    </w:p>
    <w:p w14:paraId="213F962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847EB8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5B935C5">
      <w:pPr>
        <w:pStyle w:val="6"/>
        <w:spacing w:before="0" w:after="0" w:line="240" w:lineRule="atLeast"/>
        <w:rPr>
          <w:rFonts w:hint="eastAsia" w:ascii="仿宋" w:hAnsi="仿宋" w:eastAsia="仿宋" w:cs="仿宋"/>
          <w:color w:val="auto"/>
          <w:highlight w:val="none"/>
          <w:u w:val="none"/>
        </w:rPr>
      </w:pPr>
      <w:bookmarkStart w:id="94" w:name="_Toc520356158"/>
      <w:bookmarkStart w:id="95" w:name="_Toc493"/>
      <w:bookmarkStart w:id="96" w:name="_Toc515647773"/>
      <w:bookmarkStart w:id="97" w:name="_Toc17074"/>
      <w:bookmarkStart w:id="98" w:name="_Toc30271"/>
      <w:r>
        <w:rPr>
          <w:rFonts w:hint="eastAsia" w:ascii="仿宋" w:hAnsi="仿宋" w:eastAsia="仿宋" w:cs="仿宋"/>
          <w:color w:val="auto"/>
          <w:highlight w:val="none"/>
          <w:u w:val="none"/>
        </w:rPr>
        <w:t>14.投标文件的签署</w:t>
      </w:r>
      <w:bookmarkEnd w:id="94"/>
      <w:r>
        <w:rPr>
          <w:rFonts w:hint="eastAsia" w:ascii="仿宋" w:hAnsi="仿宋" w:eastAsia="仿宋" w:cs="仿宋"/>
          <w:color w:val="auto"/>
          <w:highlight w:val="none"/>
          <w:u w:val="none"/>
        </w:rPr>
        <w:t>及规定</w:t>
      </w:r>
      <w:bookmarkEnd w:id="95"/>
      <w:bookmarkEnd w:id="96"/>
      <w:bookmarkEnd w:id="97"/>
      <w:bookmarkEnd w:id="98"/>
    </w:p>
    <w:p w14:paraId="744D0D3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投标人应按投标人须知资料表中的规定，准备和上传投标文件资格证明文件、商务和技术文件加密电子投标文件。</w:t>
      </w:r>
    </w:p>
    <w:p w14:paraId="5B2D957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14:paraId="24F47B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开标完成后，如采购人需要提供纸质版投标文件，投标人应按照招标人要求提供相应份数的纸质投标文件，纸质版投标文件应与电子版投标文件一致，纸质投标文件采用双面打印、不可拆装的胶订方式装订。</w:t>
      </w:r>
    </w:p>
    <w:p w14:paraId="2AC8C534">
      <w:pPr>
        <w:spacing w:line="240" w:lineRule="atLeast"/>
        <w:ind w:left="900" w:hanging="900" w:hangingChars="375"/>
        <w:rPr>
          <w:rFonts w:hint="eastAsia" w:ascii="仿宋" w:hAnsi="仿宋" w:eastAsia="仿宋" w:cs="仿宋"/>
          <w:color w:val="auto"/>
          <w:sz w:val="24"/>
          <w:highlight w:val="none"/>
        </w:rPr>
      </w:pPr>
    </w:p>
    <w:p w14:paraId="7273DC96">
      <w:pPr>
        <w:pStyle w:val="5"/>
        <w:spacing w:before="0" w:line="240" w:lineRule="atLeast"/>
        <w:ind w:left="1079" w:leftChars="257" w:hanging="540"/>
        <w:rPr>
          <w:rFonts w:hint="eastAsia" w:ascii="仿宋" w:hAnsi="仿宋" w:eastAsia="仿宋" w:cs="仿宋"/>
          <w:color w:val="auto"/>
          <w:sz w:val="24"/>
          <w:highlight w:val="none"/>
        </w:rPr>
      </w:pPr>
      <w:bookmarkStart w:id="99" w:name="_Toc19231"/>
      <w:bookmarkStart w:id="100" w:name="_Toc16865"/>
      <w:bookmarkStart w:id="101" w:name="_Toc515647774"/>
      <w:bookmarkStart w:id="102" w:name="_Toc11179"/>
      <w:bookmarkStart w:id="103" w:name="_Toc216582808"/>
      <w:bookmarkStart w:id="104" w:name="_Toc520356159"/>
      <w:r>
        <w:rPr>
          <w:rFonts w:hint="eastAsia" w:ascii="仿宋" w:hAnsi="仿宋" w:eastAsia="仿宋" w:cs="仿宋"/>
          <w:color w:val="auto"/>
          <w:sz w:val="24"/>
          <w:highlight w:val="none"/>
        </w:rPr>
        <w:t>四   投标文件的递交</w:t>
      </w:r>
      <w:bookmarkEnd w:id="99"/>
      <w:bookmarkEnd w:id="100"/>
      <w:bookmarkEnd w:id="101"/>
      <w:bookmarkEnd w:id="102"/>
      <w:bookmarkEnd w:id="103"/>
      <w:bookmarkEnd w:id="104"/>
    </w:p>
    <w:p w14:paraId="325EEF33">
      <w:pPr>
        <w:pStyle w:val="11"/>
        <w:rPr>
          <w:rFonts w:hint="eastAsia" w:ascii="仿宋" w:hAnsi="仿宋" w:eastAsia="仿宋" w:cs="仿宋"/>
          <w:color w:val="auto"/>
          <w:highlight w:val="none"/>
        </w:rPr>
      </w:pPr>
    </w:p>
    <w:p w14:paraId="00BFAB78">
      <w:pPr>
        <w:pStyle w:val="6"/>
        <w:spacing w:before="0" w:after="0" w:line="240" w:lineRule="atLeast"/>
        <w:rPr>
          <w:rFonts w:hint="eastAsia" w:ascii="仿宋" w:hAnsi="仿宋" w:eastAsia="仿宋" w:cs="仿宋"/>
          <w:color w:val="auto"/>
          <w:highlight w:val="none"/>
          <w:u w:val="none"/>
        </w:rPr>
      </w:pPr>
      <w:bookmarkStart w:id="105" w:name="_Toc520356160"/>
      <w:bookmarkStart w:id="106" w:name="_Toc515647775"/>
      <w:bookmarkStart w:id="107" w:name="_Toc21645"/>
      <w:bookmarkStart w:id="108" w:name="_Toc32337"/>
      <w:bookmarkStart w:id="109" w:name="_Toc19844"/>
      <w:r>
        <w:rPr>
          <w:rFonts w:hint="eastAsia" w:ascii="仿宋" w:hAnsi="仿宋" w:eastAsia="仿宋" w:cs="仿宋"/>
          <w:color w:val="auto"/>
          <w:highlight w:val="none"/>
          <w:u w:val="none"/>
        </w:rPr>
        <w:t>15.投标文件的密封和标记</w:t>
      </w:r>
      <w:bookmarkEnd w:id="105"/>
      <w:bookmarkEnd w:id="106"/>
      <w:bookmarkEnd w:id="107"/>
      <w:bookmarkEnd w:id="108"/>
      <w:bookmarkEnd w:id="109"/>
    </w:p>
    <w:p w14:paraId="686669F2">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15.1 </w:t>
      </w:r>
      <w:r>
        <w:rPr>
          <w:rFonts w:hint="eastAsia" w:ascii="仿宋" w:hAnsi="仿宋" w:eastAsia="仿宋" w:cs="仿宋"/>
          <w:b/>
          <w:bCs/>
          <w:color w:val="auto"/>
          <w:sz w:val="24"/>
          <w:u w:val="single"/>
        </w:rPr>
        <w:t>为方便</w:t>
      </w:r>
      <w:r>
        <w:rPr>
          <w:rFonts w:hint="eastAsia" w:ascii="仿宋" w:hAnsi="仿宋" w:eastAsia="仿宋" w:cs="仿宋"/>
          <w:b/>
          <w:bCs/>
          <w:color w:val="auto"/>
          <w:sz w:val="24"/>
          <w:u w:val="single"/>
          <w:lang w:val="en-US" w:eastAsia="zh-CN"/>
        </w:rPr>
        <w:t>评审</w:t>
      </w:r>
      <w:r>
        <w:rPr>
          <w:rFonts w:hint="eastAsia" w:ascii="仿宋" w:hAnsi="仿宋" w:eastAsia="仿宋" w:cs="仿宋"/>
          <w:b/>
          <w:bCs/>
          <w:color w:val="auto"/>
          <w:sz w:val="24"/>
          <w:u w:val="single"/>
        </w:rPr>
        <w:t>及进行资格审查，</w:t>
      </w:r>
      <w:r>
        <w:rPr>
          <w:rFonts w:hint="eastAsia" w:ascii="仿宋" w:hAnsi="仿宋" w:eastAsia="仿宋" w:cs="仿宋"/>
          <w:b/>
          <w:bCs/>
          <w:color w:val="auto"/>
          <w:sz w:val="24"/>
          <w:u w:val="single"/>
          <w:lang w:val="en-US" w:eastAsia="zh-CN"/>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仿宋" w:hAnsi="仿宋" w:eastAsia="仿宋" w:cs="仿宋"/>
          <w:b/>
          <w:bCs/>
          <w:color w:val="auto"/>
          <w:sz w:val="24"/>
        </w:rPr>
        <w:t>。</w:t>
      </w:r>
    </w:p>
    <w:p w14:paraId="2A5C79B5">
      <w:pPr>
        <w:pStyle w:val="6"/>
        <w:spacing w:before="0" w:after="0" w:line="240" w:lineRule="atLeast"/>
        <w:rPr>
          <w:rFonts w:hint="eastAsia" w:ascii="仿宋" w:hAnsi="仿宋" w:eastAsia="仿宋" w:cs="仿宋"/>
          <w:color w:val="auto"/>
          <w:highlight w:val="none"/>
          <w:u w:val="none"/>
        </w:rPr>
      </w:pPr>
      <w:bookmarkStart w:id="110" w:name="_Toc520356161"/>
      <w:bookmarkStart w:id="111" w:name="_Toc515647776"/>
      <w:bookmarkStart w:id="112" w:name="_Toc12751"/>
      <w:bookmarkStart w:id="113" w:name="_Toc1970"/>
      <w:bookmarkStart w:id="114" w:name="_Toc9840"/>
      <w:r>
        <w:rPr>
          <w:rFonts w:hint="eastAsia" w:ascii="仿宋" w:hAnsi="仿宋" w:eastAsia="仿宋" w:cs="仿宋"/>
          <w:color w:val="auto"/>
          <w:highlight w:val="none"/>
          <w:u w:val="none"/>
        </w:rPr>
        <w:t>16.投标截止</w:t>
      </w:r>
      <w:bookmarkEnd w:id="110"/>
      <w:bookmarkEnd w:id="111"/>
      <w:bookmarkEnd w:id="112"/>
      <w:bookmarkEnd w:id="113"/>
      <w:bookmarkEnd w:id="114"/>
    </w:p>
    <w:p w14:paraId="6007EE7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规定的截止时间前，将投标文件上传至新疆维吾尔自治区政府采购网。</w:t>
      </w:r>
    </w:p>
    <w:p w14:paraId="29DF228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011077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采购人和采购代理机构将拒绝接收在投标截止时间后送达的投标文件。</w:t>
      </w:r>
    </w:p>
    <w:p w14:paraId="03081D2E">
      <w:pPr>
        <w:pStyle w:val="6"/>
        <w:spacing w:before="0" w:after="0" w:line="240" w:lineRule="atLeast"/>
        <w:rPr>
          <w:rFonts w:hint="eastAsia" w:ascii="仿宋" w:hAnsi="仿宋" w:eastAsia="仿宋" w:cs="仿宋"/>
          <w:color w:val="auto"/>
          <w:highlight w:val="none"/>
          <w:u w:val="none"/>
        </w:rPr>
      </w:pPr>
      <w:bookmarkStart w:id="115" w:name="_Toc520356162"/>
      <w:bookmarkStart w:id="116" w:name="_Toc24275"/>
      <w:bookmarkStart w:id="117" w:name="_Toc515647777"/>
      <w:bookmarkStart w:id="118" w:name="_Toc18537"/>
      <w:bookmarkStart w:id="119" w:name="_Toc1986"/>
      <w:r>
        <w:rPr>
          <w:rFonts w:hint="eastAsia" w:ascii="仿宋" w:hAnsi="仿宋" w:eastAsia="仿宋" w:cs="仿宋"/>
          <w:color w:val="auto"/>
          <w:highlight w:val="none"/>
          <w:u w:val="none"/>
        </w:rPr>
        <w:t>17.投标文件的接收、修改与撤回</w:t>
      </w:r>
      <w:bookmarkEnd w:id="115"/>
      <w:bookmarkEnd w:id="116"/>
      <w:bookmarkEnd w:id="117"/>
      <w:bookmarkEnd w:id="118"/>
      <w:bookmarkEnd w:id="119"/>
    </w:p>
    <w:p w14:paraId="7CE605F7">
      <w:pPr>
        <w:spacing w:line="240" w:lineRule="atLeast"/>
        <w:ind w:left="900" w:hanging="900" w:hangingChars="375"/>
        <w:rPr>
          <w:rFonts w:hint="eastAsia" w:ascii="仿宋" w:hAnsi="仿宋" w:eastAsia="仿宋" w:cs="仿宋"/>
          <w:color w:val="auto"/>
          <w:sz w:val="24"/>
          <w:highlight w:val="none"/>
        </w:rPr>
      </w:pPr>
      <w:bookmarkStart w:id="120" w:name="_Toc12436"/>
      <w:bookmarkStart w:id="121" w:name="_Toc515647778"/>
      <w:bookmarkStart w:id="122" w:name="_Toc28398"/>
      <w:bookmarkStart w:id="123" w:name="_Toc520356163"/>
      <w:bookmarkStart w:id="124" w:name="_Toc216582809"/>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在投标截止时间后投标人将无法上传投标文件。</w:t>
      </w:r>
    </w:p>
    <w:p w14:paraId="676D611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上传投标文件以后，在投标截止时间前投标人可随时进行修改或撤回投标文件。</w:t>
      </w:r>
    </w:p>
    <w:p w14:paraId="515E22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在投标截止时间之后，采购人和采购代理机构不接受投标人主动对其投标文件做任何修改。</w:t>
      </w:r>
    </w:p>
    <w:p w14:paraId="1F56AA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采购人和采购代理机构对所接收电子投标文件概不退回。</w:t>
      </w:r>
    </w:p>
    <w:p w14:paraId="6EE0E19F">
      <w:pPr>
        <w:pStyle w:val="27"/>
        <w:rPr>
          <w:rFonts w:hint="eastAsia" w:ascii="仿宋" w:hAnsi="仿宋" w:eastAsia="仿宋" w:cs="仿宋"/>
          <w:color w:val="auto"/>
          <w:highlight w:val="none"/>
        </w:rPr>
      </w:pPr>
    </w:p>
    <w:p w14:paraId="40A51F3E">
      <w:pPr>
        <w:pStyle w:val="5"/>
        <w:spacing w:before="0" w:line="240" w:lineRule="atLeast"/>
        <w:ind w:left="1079" w:leftChars="257" w:hanging="540"/>
        <w:rPr>
          <w:rFonts w:hint="eastAsia" w:ascii="仿宋" w:hAnsi="仿宋" w:eastAsia="仿宋" w:cs="仿宋"/>
          <w:color w:val="auto"/>
          <w:sz w:val="24"/>
          <w:highlight w:val="none"/>
        </w:rPr>
      </w:pPr>
      <w:bookmarkStart w:id="125" w:name="_Toc25528"/>
      <w:r>
        <w:rPr>
          <w:rFonts w:hint="eastAsia" w:ascii="仿宋" w:hAnsi="仿宋" w:eastAsia="仿宋" w:cs="仿宋"/>
          <w:color w:val="auto"/>
          <w:sz w:val="24"/>
          <w:highlight w:val="none"/>
        </w:rPr>
        <w:t>五   开标及评标</w:t>
      </w:r>
      <w:bookmarkEnd w:id="120"/>
      <w:bookmarkEnd w:id="121"/>
      <w:bookmarkEnd w:id="122"/>
      <w:bookmarkEnd w:id="123"/>
      <w:bookmarkEnd w:id="124"/>
      <w:bookmarkEnd w:id="125"/>
    </w:p>
    <w:p w14:paraId="21B5C74C">
      <w:pPr>
        <w:pStyle w:val="6"/>
        <w:numPr>
          <w:ilvl w:val="0"/>
          <w:numId w:val="4"/>
        </w:numPr>
        <w:spacing w:line="240" w:lineRule="atLeast"/>
        <w:rPr>
          <w:rFonts w:hint="eastAsia" w:ascii="仿宋" w:hAnsi="仿宋" w:eastAsia="仿宋" w:cs="仿宋"/>
          <w:color w:val="auto"/>
          <w:highlight w:val="none"/>
        </w:rPr>
      </w:pPr>
      <w:bookmarkStart w:id="126" w:name="_Toc515647779"/>
      <w:bookmarkStart w:id="127" w:name="_Toc25345"/>
      <w:bookmarkStart w:id="128" w:name="_Toc7186"/>
      <w:bookmarkStart w:id="129" w:name="_Toc520356164"/>
      <w:bookmarkStart w:id="130" w:name="_Toc17304"/>
      <w:r>
        <w:rPr>
          <w:rFonts w:hint="eastAsia" w:ascii="仿宋" w:hAnsi="仿宋" w:eastAsia="仿宋" w:cs="仿宋"/>
          <w:color w:val="auto"/>
          <w:highlight w:val="none"/>
          <w:u w:val="none"/>
        </w:rPr>
        <w:t>开标</w:t>
      </w:r>
      <w:bookmarkEnd w:id="126"/>
      <w:bookmarkEnd w:id="127"/>
      <w:bookmarkEnd w:id="128"/>
      <w:bookmarkEnd w:id="129"/>
      <w:bookmarkEnd w:id="130"/>
    </w:p>
    <w:p w14:paraId="136B787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18.1  </w:t>
      </w:r>
      <w:r>
        <w:rPr>
          <w:rFonts w:hint="eastAsia" w:ascii="仿宋" w:hAnsi="仿宋" w:eastAsia="仿宋" w:cs="仿宋"/>
          <w:color w:val="auto"/>
          <w:sz w:val="24"/>
          <w:highlight w:val="none"/>
        </w:rPr>
        <w:t>采购人和采购代理机构将按投标人须知资料表中规定的开标时间和地点组织公开开标。</w:t>
      </w:r>
    </w:p>
    <w:p w14:paraId="2AEFFC7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18.2  </w:t>
      </w:r>
      <w:r>
        <w:rPr>
          <w:rFonts w:hint="eastAsia" w:ascii="仿宋" w:hAnsi="仿宋" w:eastAsia="仿宋" w:cs="仿宋"/>
          <w:color w:val="auto"/>
          <w:sz w:val="24"/>
          <w:highlight w:val="none"/>
        </w:rPr>
        <w:t>在线签收投标文件，投标人不足3家的，不得开标。</w:t>
      </w:r>
    </w:p>
    <w:p w14:paraId="4B58D2C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投标人解密投标文件，解密时长为30分钟，供应商应使用与加密时使用的同一把CA锁进行解密操作，如出现非供应商自身原因造成的无法解密，</w:t>
      </w:r>
      <w:r>
        <w:rPr>
          <w:rFonts w:hint="eastAsia" w:ascii="仿宋" w:hAnsi="仿宋" w:eastAsia="仿宋" w:cs="仿宋"/>
          <w:color w:val="auto"/>
          <w:sz w:val="24"/>
          <w:highlight w:val="none"/>
          <w:lang w:eastAsia="zh-CN"/>
        </w:rPr>
        <w:t>由</w:t>
      </w:r>
      <w:r>
        <w:rPr>
          <w:rFonts w:hint="eastAsia" w:ascii="仿宋" w:hAnsi="仿宋" w:eastAsia="仿宋" w:cs="仿宋"/>
          <w:color w:val="auto"/>
          <w:sz w:val="24"/>
          <w:highlight w:val="none"/>
        </w:rPr>
        <w:t>采购代理机构使用备用投标文件进行解密操作。</w:t>
      </w:r>
    </w:p>
    <w:p w14:paraId="7BAC9D42">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bookmarkStart w:id="131" w:name="_Toc520356165"/>
      <w:r>
        <w:rPr>
          <w:rFonts w:hint="eastAsia" w:ascii="仿宋" w:hAnsi="仿宋" w:eastAsia="仿宋" w:cs="仿宋"/>
          <w:color w:val="auto"/>
          <w:sz w:val="24"/>
          <w:highlight w:val="none"/>
        </w:rPr>
        <w:t>组织评审委员会以不记名投票的形式选定评审委员会主任，并宣读评标会纪律，对评标委员会进行通讯工具管制及宣读相关法律法规。</w:t>
      </w:r>
    </w:p>
    <w:p w14:paraId="105F26F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由代理公司工作人员开启报价文件并由供应商代表在线CA签字确认，报价确认时段限制为10分钟，由评审委员会进行报价评审及政策价格认定。</w:t>
      </w:r>
    </w:p>
    <w:p w14:paraId="6BCFDD8D">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18.6  采购代理机构将对开标过程进行记录，由参加开标的相关工作人员签字确认，并存档备查。</w:t>
      </w:r>
    </w:p>
    <w:p w14:paraId="553347DB">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18.7  投标人代表对开标过程和开标记录有疑义，以及认为采购人、采购代理机构相关工作人员有需要回避的情形的，应当场提出询问或者回避申请。</w:t>
      </w:r>
    </w:p>
    <w:p w14:paraId="35ED15C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电子开标的相关注意事项：</w:t>
      </w:r>
    </w:p>
    <w:p w14:paraId="05BF3D52">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18.8.1本项目为电子招投标，供应商需要使用CA加密设备，凡参加本项目可自主通过新疆CA申领渠道“新疆政务通”申请政采云平台可使用的CA设备，如原有兵团或公共资源使用的CA，可与新疆CA联系，申请增加电子证书即可，无需重复申领。</w:t>
      </w:r>
    </w:p>
    <w:p w14:paraId="4D707E1B">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18.8.2本项目实行网上投标，采用电子投标文件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供应商须使用CA加密设备通过政采云电子投标客户端制作投标文件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。若供应商参与投标，自行承担投标一切费用。</w:t>
      </w:r>
    </w:p>
    <w:p w14:paraId="22D149CC">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18.8.3各供应商应在开标前确保成为新疆维吾尔自治区政府采购网正式注册入库供应商，并完成CA数字证书申领。因未注册入库、未办理CA数字证书等原因造成无法投标或投标失败等后果由供应商自行承担。</w:t>
      </w:r>
    </w:p>
    <w:p w14:paraId="2451F7FE">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18.8.4供应商将政采云电子交易客户端下载、安装完成后，可通过账号密码或CA登录客户端进行投标文件制作。在使用政采云投标客户端时，建议使用WIN7及以上操作系统。客户端请至新疆政府采购网（http://www.ccgp-xinjiang.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下载专区查看，如有问题可拨打政采云客户服务热线</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进行咨询。</w:t>
      </w:r>
    </w:p>
    <w:p w14:paraId="1AD8F053">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18.8.5供应商在开标时须使用制作加密电子投标文件所使用的CA锁及电脑，电脑须提前配置好浏览器（建议使用谷歌浏览器），以便开标时解锁。</w:t>
      </w:r>
    </w:p>
    <w:p w14:paraId="44DD4A43">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18.8.6投标保证金缴纳及确认时间：凡拟参加本次招标项目的供应商，必须在开标前将投标保证金汇入指定账户。投标保证金汇款凭证上用途栏应注明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招标项目名称+标项号+投标保证金。</w:t>
      </w:r>
    </w:p>
    <w:p w14:paraId="5C023ADB">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18.8.7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EEA9DE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18.8.8政采云线上获取招标文件方法：供应商登</w:t>
      </w:r>
      <w:r>
        <w:rPr>
          <w:rFonts w:hint="eastAsia" w:ascii="仿宋" w:hAnsi="仿宋" w:eastAsia="仿宋" w:cs="仿宋"/>
          <w:color w:val="auto"/>
          <w:sz w:val="24"/>
          <w:highlight w:val="none"/>
          <w:lang w:val="en-US" w:eastAsia="zh-CN"/>
        </w:rPr>
        <w:t>录</w:t>
      </w:r>
      <w:r>
        <w:rPr>
          <w:rFonts w:hint="eastAsia" w:ascii="仿宋" w:hAnsi="仿宋" w:eastAsia="仿宋" w:cs="仿宋"/>
          <w:color w:val="auto"/>
          <w:sz w:val="24"/>
          <w:highlight w:val="none"/>
        </w:rPr>
        <w:t>政采云平台http://www.zcygov.cn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在线申请获取采购文件（登录政府采购云平台 → 项目采购 → 获取采购文件 → 申请，如有操作性问题，可与政采云在线客服进行咨询，咨询电话：</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w:t>
      </w:r>
    </w:p>
    <w:p w14:paraId="3567814C">
      <w:pPr>
        <w:pStyle w:val="27"/>
        <w:rPr>
          <w:rFonts w:hint="eastAsia" w:ascii="仿宋" w:hAnsi="仿宋" w:eastAsia="仿宋" w:cs="仿宋"/>
          <w:color w:val="auto"/>
          <w:highlight w:val="none"/>
        </w:rPr>
      </w:pPr>
    </w:p>
    <w:p w14:paraId="0E302160">
      <w:pPr>
        <w:pStyle w:val="6"/>
        <w:spacing w:before="0" w:after="0" w:line="240" w:lineRule="atLeast"/>
        <w:rPr>
          <w:rFonts w:hint="eastAsia" w:ascii="仿宋" w:hAnsi="仿宋" w:eastAsia="仿宋" w:cs="仿宋"/>
          <w:color w:val="auto"/>
          <w:highlight w:val="none"/>
          <w:u w:val="none"/>
        </w:rPr>
      </w:pPr>
      <w:bookmarkStart w:id="132" w:name="_Toc515647780"/>
      <w:bookmarkStart w:id="133" w:name="_Toc19296"/>
      <w:bookmarkStart w:id="134" w:name="_Toc28704"/>
      <w:bookmarkStart w:id="135" w:name="_Toc21372"/>
      <w:r>
        <w:rPr>
          <w:rFonts w:hint="eastAsia" w:ascii="仿宋" w:hAnsi="仿宋" w:eastAsia="仿宋" w:cs="仿宋"/>
          <w:color w:val="auto"/>
          <w:highlight w:val="none"/>
          <w:u w:val="none"/>
        </w:rPr>
        <w:t>19.</w:t>
      </w:r>
      <w:bookmarkEnd w:id="131"/>
      <w:r>
        <w:rPr>
          <w:rFonts w:hint="eastAsia" w:ascii="仿宋" w:hAnsi="仿宋" w:eastAsia="仿宋" w:cs="仿宋"/>
          <w:color w:val="auto"/>
          <w:highlight w:val="none"/>
          <w:u w:val="none"/>
        </w:rPr>
        <w:t>资格审查及组建评标委员会</w:t>
      </w:r>
      <w:bookmarkEnd w:id="132"/>
      <w:bookmarkEnd w:id="133"/>
      <w:bookmarkEnd w:id="134"/>
      <w:bookmarkEnd w:id="135"/>
    </w:p>
    <w:p w14:paraId="5C9E0AA6">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采购人或采购代理机构依据法律法规和招标文件中规定的内容，对投标人及其货物的资格进行审查，未通过资格审查的投标人不进入评标；通过资格审查的投标人少于不足三家的，不得评标。</w:t>
      </w:r>
    </w:p>
    <w:p w14:paraId="798BB36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合格投标人开标时需提供的资格证明文件：</w:t>
      </w:r>
    </w:p>
    <w:p w14:paraId="768428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b/>
          <w:bCs/>
          <w:sz w:val="24"/>
          <w:highlight w:val="none"/>
        </w:rPr>
      </w:pPr>
      <w:r>
        <w:rPr>
          <w:rFonts w:hint="eastAsia" w:ascii="仿宋" w:hAnsi="仿宋" w:eastAsia="仿宋" w:cs="仿宋"/>
          <w:b/>
          <w:bCs/>
          <w:sz w:val="24"/>
          <w:highlight w:val="none"/>
        </w:rPr>
        <w:t xml:space="preserve">投标人必须符合《中华人民共和国政府采购法》第二十二条的相关规定； </w:t>
      </w:r>
    </w:p>
    <w:p w14:paraId="47E4C0AC">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r>
        <w:rPr>
          <w:rFonts w:hint="eastAsia" w:ascii="仿宋" w:hAnsi="仿宋" w:eastAsia="仿宋" w:cs="仿宋"/>
          <w:b/>
          <w:bCs/>
          <w:color w:val="auto"/>
          <w:kern w:val="2"/>
          <w:sz w:val="24"/>
          <w:szCs w:val="24"/>
          <w:highlight w:val="none"/>
          <w:lang w:val="en-US" w:eastAsia="zh-CN" w:bidi="ar-SA"/>
        </w:rPr>
        <w:br w:type="textWrapping"/>
      </w:r>
      <w:r>
        <w:rPr>
          <w:rFonts w:hint="eastAsia" w:ascii="仿宋" w:hAnsi="仿宋" w:eastAsia="仿宋" w:cs="仿宋"/>
          <w:b/>
          <w:bCs/>
          <w:color w:val="auto"/>
          <w:kern w:val="2"/>
          <w:sz w:val="24"/>
          <w:szCs w:val="24"/>
          <w:highlight w:val="none"/>
          <w:lang w:val="en-US" w:eastAsia="zh-CN" w:bidi="ar-SA"/>
        </w:rPr>
        <w:t xml:space="preserve">    2.投标单位需具有测绘乙级及以上（含乙级）资质</w:t>
      </w:r>
    </w:p>
    <w:p w14:paraId="529A08BB">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3.法定代表人身份证明或法定代表人授权委托书及被授权人身份证； </w:t>
      </w:r>
    </w:p>
    <w:p w14:paraId="3EBBD79F">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4.近期（投标截止日期前六个月内任意一个月）依法缴纳社会保障金的缴费证明或银行出具的“银行电子缴纳社会保障金付款凭证”（新成立公司提供相关证明文件） ；</w:t>
      </w:r>
    </w:p>
    <w:p w14:paraId="0AAC3BF5">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0E8D1D17">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w:t>
      </w:r>
      <w:r>
        <w:rPr>
          <w:rFonts w:hint="eastAsia" w:ascii="仿宋" w:hAnsi="仿宋" w:eastAsia="仿宋" w:cs="仿宋"/>
          <w:b/>
          <w:bCs/>
          <w:color w:val="auto"/>
          <w:sz w:val="24"/>
          <w:szCs w:val="24"/>
          <w:highlight w:val="none"/>
          <w:lang w:val="en-US" w:eastAsia="zh-CN"/>
        </w:rPr>
        <w:t>提供2024年或2025年任意一年完整的财务审计报告（成立未满十二个月的新公司可提供近三个月内任意一个月的银行资信证明）；</w:t>
      </w:r>
    </w:p>
    <w:p w14:paraId="6EF4D5AF">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5C5CEED4">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8.提供参加政府采购活动前3年内在经营活动中没有重大违法记录的书面声明；</w:t>
      </w:r>
    </w:p>
    <w:p w14:paraId="5CBB9F84">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9.提供针对本次项目《反商业贿赂承诺书》；</w:t>
      </w:r>
    </w:p>
    <w:p w14:paraId="6F50CD8A">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10.必须具有履行合同所必需的设备和专业技术能力；</w:t>
      </w:r>
    </w:p>
    <w:p w14:paraId="48CC9E47">
      <w:pPr>
        <w:pStyle w:val="11"/>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11.本项目不接受联合体投标；</w:t>
      </w:r>
    </w:p>
    <w:p w14:paraId="40F4BF86">
      <w:pPr>
        <w:spacing w:line="240" w:lineRule="atLeast"/>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7BAC9AB">
      <w:pPr>
        <w:pStyle w:val="13"/>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不良信用记录指：凡拟参加本次招标项目的供应商，如在“信用中国”网站（https://www.creditchina.gov.cn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被列入失信被执行人、重大税收违法失信主体名单（信用服务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重点领域严重失信主体名单查询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搜索栏输入单位全称）、中国政府采购网（https://www.ccgp.gov.cn/search/cr</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严重违法失信行为信息记录名单（尚在处罚期内的）、“国家企业信用信息公示系统（https://www.gsxt.gov.cn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”列入经营异常名录信息、严重违法失信名单（黑名单）信息的，将拒绝其参加本次招标活动（以采购代理机构或采购人查询为准）</w:t>
      </w:r>
    </w:p>
    <w:p w14:paraId="48A49984">
      <w:pPr>
        <w:spacing w:line="240" w:lineRule="atLeast"/>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1D9C0FF">
      <w:pPr>
        <w:pStyle w:val="11"/>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19.2.2 查询及记录方式：采购人或采购代理机构经办人将查询网页打印、签字并存档备查。投标人不良信用记录以采购人或采购代理机构查询结果为准。</w:t>
      </w:r>
    </w:p>
    <w:p w14:paraId="1AD4C8EE">
      <w:pPr>
        <w:pStyle w:val="11"/>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在本招标文件规定的查询时间之后，网站信息发生的任何变更均不再作为评标依据。</w:t>
      </w:r>
    </w:p>
    <w:p w14:paraId="0D641598">
      <w:pPr>
        <w:pStyle w:val="11"/>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投标人自行提供的与网站信息不一致的其他证明材料亦不作为资格审查依据。</w:t>
      </w:r>
    </w:p>
    <w:p w14:paraId="051499D8">
      <w:pPr>
        <w:spacing w:line="240" w:lineRule="atLeast"/>
        <w:ind w:left="850" w:hanging="849" w:hangingChars="354"/>
        <w:rPr>
          <w:rFonts w:hint="default"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19.3   按照《中华人民共和国政府采购法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中华人民共和国政府采购法实施条例》及本项目本级和上级财政部门的有关规定依法组建的评标委员会，负责评标工作。</w:t>
      </w:r>
      <w:bookmarkStart w:id="136" w:name="_Toc520356166"/>
    </w:p>
    <w:p w14:paraId="03DBF663">
      <w:pPr>
        <w:pStyle w:val="6"/>
        <w:spacing w:before="0" w:after="0" w:line="240" w:lineRule="atLeast"/>
        <w:rPr>
          <w:rFonts w:hint="eastAsia" w:ascii="仿宋" w:hAnsi="仿宋" w:eastAsia="仿宋" w:cs="仿宋"/>
          <w:b w:val="0"/>
          <w:bCs/>
          <w:color w:val="auto"/>
          <w:highlight w:val="none"/>
          <w:bdr w:val="single" w:color="auto" w:sz="4" w:space="0"/>
        </w:rPr>
      </w:pPr>
      <w:bookmarkStart w:id="137" w:name="_Toc20420"/>
      <w:bookmarkStart w:id="138" w:name="_Toc19949"/>
      <w:bookmarkStart w:id="139" w:name="_Toc515647781"/>
      <w:bookmarkStart w:id="140" w:name="_Toc28479"/>
      <w:r>
        <w:rPr>
          <w:rFonts w:hint="eastAsia" w:ascii="仿宋" w:hAnsi="仿宋" w:eastAsia="仿宋" w:cs="仿宋"/>
          <w:color w:val="auto"/>
          <w:highlight w:val="none"/>
          <w:u w:val="none"/>
        </w:rPr>
        <w:t>20.投标文件</w:t>
      </w:r>
      <w:bookmarkEnd w:id="136"/>
      <w:r>
        <w:rPr>
          <w:rFonts w:hint="eastAsia" w:ascii="仿宋" w:hAnsi="仿宋" w:eastAsia="仿宋" w:cs="仿宋"/>
          <w:color w:val="auto"/>
          <w:highlight w:val="none"/>
          <w:u w:val="none"/>
        </w:rPr>
        <w:t>符合性审查与澄清</w:t>
      </w:r>
      <w:bookmarkEnd w:id="137"/>
      <w:bookmarkEnd w:id="138"/>
      <w:bookmarkEnd w:id="139"/>
      <w:bookmarkEnd w:id="140"/>
    </w:p>
    <w:p w14:paraId="340E28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符合性审查是指依据招标文件的规定，从投标文件的有效性和完整性对招标文件的响应程度进行审查，以确定是否对招标文件的实质性要求做出响应。</w:t>
      </w:r>
      <w:bookmarkStart w:id="141" w:name="_Hlt522424701"/>
      <w:bookmarkEnd w:id="141"/>
      <w:bookmarkStart w:id="142" w:name="_Toc520356167"/>
    </w:p>
    <w:p w14:paraId="340154A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投标文件的澄清</w:t>
      </w:r>
    </w:p>
    <w:p w14:paraId="3676810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仿宋" w:hAnsi="仿宋" w:eastAsia="仿宋" w:cs="仿宋"/>
          <w:color w:val="auto"/>
          <w:sz w:val="24"/>
          <w:highlight w:val="none"/>
          <w:lang w:eastAsia="zh-CN"/>
        </w:rPr>
        <w:t>做必要</w:t>
      </w:r>
      <w:r>
        <w:rPr>
          <w:rFonts w:hint="eastAsia" w:ascii="仿宋" w:hAnsi="仿宋" w:eastAsia="仿宋" w:cs="仿宋"/>
          <w:color w:val="auto"/>
          <w:sz w:val="24"/>
          <w:highlight w:val="none"/>
        </w:rPr>
        <w:t>的澄清、说明或补正。投标人的澄清、说明或补正应在评标委员会规定的时间内以书面方式进行，需进行CA签字确认，并不得超出投标文件范围或者改变投标文件的实质性内容。</w:t>
      </w:r>
    </w:p>
    <w:p w14:paraId="28AFF6A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20.2.2  投标人</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澄清、说明或补正将作为投标文件的一部分。</w:t>
      </w:r>
    </w:p>
    <w:p w14:paraId="50B9E8E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投标文件报价出现前后不一致的，按照下列规定修正：</w:t>
      </w:r>
    </w:p>
    <w:p w14:paraId="5C7C3249">
      <w:pPr>
        <w:spacing w:line="240" w:lineRule="atLeas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（一）投标文件中开标一览表（报价表）内容与投标文件中相应内容不一致的，以开标一览表（报价表）为准；</w:t>
      </w:r>
    </w:p>
    <w:p w14:paraId="66F3231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14:paraId="47D787D4">
      <w:pPr>
        <w:spacing w:line="240" w:lineRule="atLeas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14:paraId="04DF73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14:paraId="1BE411F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1F4ABDB">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14:paraId="1C449F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如一个分包内只有一种产品，不同投标人所投产品为同一品牌的，按如下方式处理：</w:t>
      </w:r>
    </w:p>
    <w:p w14:paraId="6C7992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 xml:space="preserve">。 </w:t>
      </w:r>
    </w:p>
    <w:p w14:paraId="1D6BC01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3C1B86A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中载明核心产品，多家投标人提供的核心产品品牌相同的，按第20.4条规定处理。</w:t>
      </w:r>
    </w:p>
    <w:p w14:paraId="0A98655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14:paraId="24BAC75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6C1B7B5">
      <w:pPr>
        <w:pStyle w:val="6"/>
        <w:spacing w:before="0" w:after="0" w:line="240" w:lineRule="atLeast"/>
        <w:rPr>
          <w:rFonts w:hint="eastAsia" w:ascii="仿宋" w:hAnsi="仿宋" w:eastAsia="仿宋" w:cs="仿宋"/>
          <w:color w:val="auto"/>
          <w:highlight w:val="none"/>
          <w:u w:val="none"/>
        </w:rPr>
      </w:pPr>
      <w:bookmarkStart w:id="143" w:name="_Toc9469"/>
      <w:bookmarkStart w:id="144" w:name="_Toc6364"/>
      <w:bookmarkStart w:id="145" w:name="_Toc515647782"/>
      <w:bookmarkStart w:id="146" w:name="_Toc25618"/>
      <w:r>
        <w:rPr>
          <w:rFonts w:hint="eastAsia" w:ascii="仿宋" w:hAnsi="仿宋" w:eastAsia="仿宋" w:cs="仿宋"/>
          <w:color w:val="auto"/>
          <w:highlight w:val="none"/>
          <w:u w:val="none"/>
        </w:rPr>
        <w:t>21.投标偏离</w:t>
      </w:r>
      <w:bookmarkEnd w:id="143"/>
      <w:bookmarkEnd w:id="144"/>
      <w:bookmarkEnd w:id="145"/>
      <w:bookmarkEnd w:id="146"/>
    </w:p>
    <w:p w14:paraId="177FA6FB">
      <w:pPr>
        <w:spacing w:line="240" w:lineRule="atLeast"/>
        <w:ind w:left="847" w:leftChars="99" w:hanging="640" w:hangingChars="26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评标委员会可以接受投标文件中不构成实质性偏离的不正规或不一致。</w:t>
      </w:r>
    </w:p>
    <w:p w14:paraId="3D7F3685">
      <w:pPr>
        <w:pStyle w:val="6"/>
        <w:spacing w:before="0" w:after="0" w:line="240" w:lineRule="atLeast"/>
        <w:rPr>
          <w:rFonts w:hint="eastAsia" w:ascii="仿宋" w:hAnsi="仿宋" w:eastAsia="仿宋" w:cs="仿宋"/>
          <w:color w:val="auto"/>
          <w:highlight w:val="none"/>
          <w:u w:val="none"/>
        </w:rPr>
      </w:pPr>
      <w:bookmarkStart w:id="147" w:name="_Toc515647783"/>
      <w:bookmarkStart w:id="148" w:name="_Toc6092"/>
      <w:bookmarkStart w:id="149" w:name="_Toc9380"/>
      <w:bookmarkStart w:id="150" w:name="_Toc4950"/>
      <w:r>
        <w:rPr>
          <w:rFonts w:hint="eastAsia" w:ascii="仿宋" w:hAnsi="仿宋" w:eastAsia="仿宋" w:cs="仿宋"/>
          <w:color w:val="auto"/>
          <w:highlight w:val="none"/>
          <w:u w:val="none"/>
        </w:rPr>
        <w:t>22.投标</w:t>
      </w:r>
      <w:bookmarkEnd w:id="147"/>
      <w:r>
        <w:rPr>
          <w:rFonts w:hint="eastAsia" w:ascii="仿宋" w:hAnsi="仿宋" w:eastAsia="仿宋" w:cs="仿宋"/>
          <w:color w:val="auto"/>
          <w:highlight w:val="none"/>
          <w:u w:val="none"/>
        </w:rPr>
        <w:t>无效</w:t>
      </w:r>
      <w:bookmarkEnd w:id="148"/>
      <w:bookmarkEnd w:id="149"/>
      <w:bookmarkEnd w:id="150"/>
    </w:p>
    <w:p w14:paraId="4A059288">
      <w:pPr>
        <w:spacing w:line="240" w:lineRule="atLeast"/>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。投标人不得通过修正或撤销不符合要求的偏离，从而使其投标成为实质上响应的投标。</w:t>
      </w:r>
    </w:p>
    <w:p w14:paraId="08629F7B">
      <w:pPr>
        <w:spacing w:line="240" w:lineRule="atLeast"/>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评标委员会决定投标的响应性只根据招标文件要求、投标文件内容及财政主管部门指定相关信息发布媒体。</w:t>
      </w:r>
    </w:p>
    <w:p w14:paraId="397C20C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以下情形应当在招标文件中规定，并以醒目的方式标明</w:t>
      </w:r>
      <w:r>
        <w:rPr>
          <w:rFonts w:hint="eastAsia" w:ascii="仿宋" w:hAnsi="仿宋" w:eastAsia="仿宋" w:cs="仿宋"/>
          <w:color w:val="auto"/>
          <w:sz w:val="24"/>
          <w:highlight w:val="none"/>
        </w:rPr>
        <w:t>）</w:t>
      </w:r>
    </w:p>
    <w:p w14:paraId="4242517B">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未按招标文件规定的形式和金额提交投标保证金的；</w:t>
      </w:r>
    </w:p>
    <w:p w14:paraId="43B593D0">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未按照招标文件规定要求签署、盖章的；</w:t>
      </w:r>
    </w:p>
    <w:p w14:paraId="07E1E739">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未满足招标文件中技术条款的实质性要求；</w:t>
      </w:r>
    </w:p>
    <w:p w14:paraId="48622965">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与其他投标人串通投标，或者与招标人串通投标；</w:t>
      </w:r>
    </w:p>
    <w:p w14:paraId="42F32788">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属于招标文件规定的其他投标无效情形；</w:t>
      </w:r>
    </w:p>
    <w:p w14:paraId="5B15EEED">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评标委员会认为投标人的报价明显低于其他通过符合性检查投标人的报价，有可能影响履约的，且投标人未按照规定证明其报价合理性的；</w:t>
      </w:r>
    </w:p>
    <w:p w14:paraId="7DFEA33C">
      <w:pPr>
        <w:numPr>
          <w:ilvl w:val="0"/>
          <w:numId w:val="5"/>
        </w:numPr>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投标文件含有采购人不能接受的附加条件的；</w:t>
      </w:r>
    </w:p>
    <w:p w14:paraId="2DC220CF">
      <w:pPr>
        <w:numPr>
          <w:ilvl w:val="0"/>
          <w:numId w:val="5"/>
        </w:numPr>
        <w:tabs>
          <w:tab w:val="left" w:pos="0"/>
        </w:tabs>
        <w:spacing w:line="240" w:lineRule="atLeast"/>
        <w:ind w:left="1080" w:leftChars="429"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不符合法规和招标文件中规定的其他实质性要求的。</w:t>
      </w:r>
    </w:p>
    <w:p w14:paraId="0E15D70A">
      <w:pPr>
        <w:pStyle w:val="6"/>
        <w:spacing w:before="0" w:after="0" w:line="240" w:lineRule="atLeast"/>
        <w:rPr>
          <w:rFonts w:hint="eastAsia" w:ascii="仿宋" w:hAnsi="仿宋" w:eastAsia="仿宋" w:cs="仿宋"/>
          <w:b/>
          <w:color w:val="auto"/>
          <w:highlight w:val="none"/>
          <w:u w:val="none"/>
        </w:rPr>
      </w:pPr>
      <w:bookmarkStart w:id="151" w:name="_Toc22941"/>
      <w:bookmarkStart w:id="152" w:name="_Toc515647784"/>
      <w:bookmarkStart w:id="153" w:name="_Toc13652"/>
      <w:bookmarkStart w:id="154" w:name="_Toc25835"/>
      <w:r>
        <w:rPr>
          <w:rFonts w:hint="eastAsia" w:ascii="仿宋" w:hAnsi="仿宋" w:eastAsia="仿宋" w:cs="仿宋"/>
          <w:b/>
          <w:color w:val="auto"/>
          <w:highlight w:val="none"/>
          <w:u w:val="none"/>
          <w:lang w:val="en-US" w:eastAsia="zh-CN"/>
        </w:rPr>
        <w:t>23.</w:t>
      </w:r>
      <w:bookmarkEnd w:id="142"/>
      <w:r>
        <w:rPr>
          <w:rFonts w:hint="eastAsia" w:ascii="仿宋" w:hAnsi="仿宋" w:eastAsia="仿宋" w:cs="仿宋"/>
          <w:b/>
          <w:color w:val="auto"/>
          <w:highlight w:val="none"/>
          <w:u w:val="none"/>
          <w:lang w:val="en-US" w:eastAsia="zh-CN"/>
        </w:rPr>
        <w:t>比较与评价</w:t>
      </w:r>
      <w:bookmarkEnd w:id="151"/>
      <w:bookmarkEnd w:id="152"/>
      <w:bookmarkEnd w:id="153"/>
      <w:bookmarkEnd w:id="154"/>
    </w:p>
    <w:p w14:paraId="62756B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经符合性审查合格的投标文件，评标委员会将根据招标文件确定的评标方法和标准，对其技术部分和商务部分作进一步的比较和评价。</w:t>
      </w:r>
    </w:p>
    <w:p w14:paraId="07DF699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评标严格按照招标文件的要求和条件进行。根据实际情况，在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中规定采用下列一种评标方法，详细评标标准见招标文件第六章：</w:t>
      </w:r>
    </w:p>
    <w:p w14:paraId="1A957A63">
      <w:pPr>
        <w:pStyle w:val="17"/>
        <w:spacing w:line="240" w:lineRule="atLeast"/>
        <w:ind w:left="899" w:leftChars="342" w:hanging="1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最低评标价法，是指投标文件满足招标文件全部实质性要求，且投标报价最低的投标人为中标候选人的评标方法。</w:t>
      </w:r>
    </w:p>
    <w:p w14:paraId="53664F6F">
      <w:pPr>
        <w:spacing w:line="240" w:lineRule="atLeast"/>
        <w:ind w:left="901"/>
        <w:rPr>
          <w:rFonts w:hint="eastAsia" w:ascii="仿宋" w:hAnsi="仿宋" w:eastAsia="仿宋" w:cs="仿宋"/>
          <w:b/>
          <w:bCs/>
          <w:color w:val="auto"/>
          <w:sz w:val="24"/>
          <w:highlight w:val="yellow"/>
        </w:rPr>
      </w:pPr>
      <w:r>
        <w:rPr>
          <w:rFonts w:hint="eastAsia" w:ascii="仿宋" w:hAnsi="仿宋" w:eastAsia="仿宋" w:cs="仿宋"/>
          <w:color w:val="auto"/>
          <w:sz w:val="24"/>
          <w:szCs w:val="24"/>
          <w:highlight w:val="none"/>
        </w:rPr>
        <w:t>（2） 综合评分法，是指投标文件满足招标文件全部实质性要求，且按照评审因素的量化指标评审得分最高的投标人为中标候选人的评标方法。</w:t>
      </w:r>
    </w:p>
    <w:p w14:paraId="76E49BBB">
      <w:pPr>
        <w:pStyle w:val="17"/>
        <w:spacing w:line="240" w:lineRule="atLeast"/>
        <w:ind w:left="900" w:hanging="900" w:hangingChars="375"/>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23.3   根据《政府采购促进中小企业发展</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办法》（财库</w:t>
      </w:r>
      <w:r>
        <w:rPr>
          <w:rFonts w:hint="eastAsia" w:ascii="仿宋" w:hAnsi="仿宋" w:eastAsia="仿宋" w:cs="仿宋"/>
          <w:color w:val="auto"/>
          <w:sz w:val="24"/>
          <w:szCs w:val="24"/>
          <w:highlight w:val="none"/>
          <w:lang w:eastAsia="zh-CN"/>
        </w:rPr>
        <w:t>〔2020〕46号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《关于进一步加大政府采购支持中小企业力度的通知》</w:t>
      </w:r>
      <w:r>
        <w:rPr>
          <w:rFonts w:hint="eastAsia" w:ascii="仿宋" w:hAnsi="仿宋" w:eastAsia="仿宋" w:cs="仿宋"/>
          <w:color w:val="auto"/>
          <w:sz w:val="24"/>
          <w:szCs w:val="24"/>
          <w:highlight w:val="none"/>
        </w:rPr>
        <w:t>（财库</w:t>
      </w:r>
      <w:r>
        <w:rPr>
          <w:rFonts w:hint="eastAsia" w:ascii="仿宋" w:hAnsi="仿宋" w:eastAsia="仿宋" w:cs="仿宋"/>
          <w:color w:val="auto"/>
          <w:sz w:val="24"/>
          <w:szCs w:val="24"/>
          <w:highlight w:val="none"/>
          <w:lang w:eastAsia="zh-CN"/>
        </w:rPr>
        <w:t>〔2022〕19号</w:t>
      </w:r>
      <w:r>
        <w:rPr>
          <w:rFonts w:hint="eastAsia" w:ascii="仿宋" w:hAnsi="仿宋" w:eastAsia="仿宋" w:cs="仿宋"/>
          <w:color w:val="auto"/>
          <w:sz w:val="24"/>
          <w:szCs w:val="24"/>
          <w:highlight w:val="none"/>
        </w:rPr>
        <w:t>）、《财政部 司法部关于政府采购支持监狱企业发展有关问题的通知》（财库〔2014〕68号）和《三部门联合发布关于促进残疾人就业政府采购政策的通知》（</w:t>
      </w:r>
      <w:bookmarkStart w:id="155" w:name="sendNo"/>
      <w:r>
        <w:rPr>
          <w:rFonts w:hint="eastAsia" w:ascii="仿宋" w:hAnsi="仿宋" w:eastAsia="仿宋" w:cs="仿宋"/>
          <w:bCs/>
          <w:color w:val="auto"/>
          <w:sz w:val="24"/>
          <w:szCs w:val="24"/>
          <w:highlight w:val="none"/>
        </w:rPr>
        <w:t>财库〔</w:t>
      </w:r>
      <w:bookmarkEnd w:id="155"/>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）的规定，对满足价格扣除条件且在投标文件中提交了《</w:t>
      </w:r>
      <w:r>
        <w:rPr>
          <w:rFonts w:hint="eastAsia" w:ascii="仿宋" w:hAnsi="仿宋" w:eastAsia="仿宋" w:cs="仿宋"/>
          <w:color w:val="auto"/>
          <w:sz w:val="24"/>
          <w:szCs w:val="24"/>
          <w:highlight w:val="none"/>
          <w:lang w:eastAsia="zh-CN"/>
        </w:rPr>
        <w:t>中小企业声明函</w:t>
      </w:r>
      <w:r>
        <w:rPr>
          <w:rFonts w:hint="eastAsia" w:ascii="仿宋" w:hAnsi="仿宋" w:eastAsia="仿宋" w:cs="仿宋"/>
          <w:color w:val="auto"/>
          <w:sz w:val="24"/>
          <w:szCs w:val="24"/>
          <w:highlight w:val="none"/>
        </w:rPr>
        <w:t>》或省级以上监狱管理局、戒毒管理局（含新疆生产建设兵团）出具的属于监狱企业的证明文件的投标人，其投标报价扣除</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%后参与评审。具体办法详见招标文件第6章。</w:t>
      </w:r>
    </w:p>
    <w:p w14:paraId="04971780">
      <w:pPr>
        <w:pStyle w:val="6"/>
        <w:spacing w:before="0" w:after="0" w:line="240" w:lineRule="atLeast"/>
        <w:rPr>
          <w:rFonts w:hint="eastAsia" w:ascii="仿宋" w:hAnsi="仿宋" w:eastAsia="仿宋" w:cs="仿宋"/>
          <w:color w:val="auto"/>
          <w:highlight w:val="none"/>
          <w:u w:val="none"/>
        </w:rPr>
      </w:pPr>
      <w:bookmarkStart w:id="156" w:name="_Toc520356168"/>
      <w:bookmarkStart w:id="157" w:name="_Toc9378"/>
      <w:bookmarkStart w:id="158" w:name="_Toc20227"/>
      <w:bookmarkStart w:id="159" w:name="_Toc28367"/>
      <w:bookmarkStart w:id="160" w:name="_Toc515647785"/>
      <w:r>
        <w:rPr>
          <w:rFonts w:hint="eastAsia" w:ascii="仿宋" w:hAnsi="仿宋" w:eastAsia="仿宋" w:cs="仿宋"/>
          <w:color w:val="auto"/>
          <w:highlight w:val="none"/>
          <w:u w:val="none"/>
        </w:rPr>
        <w:t>24</w:t>
      </w:r>
      <w:bookmarkEnd w:id="156"/>
      <w:r>
        <w:rPr>
          <w:rFonts w:hint="eastAsia" w:ascii="仿宋" w:hAnsi="仿宋" w:eastAsia="仿宋" w:cs="仿宋"/>
          <w:color w:val="auto"/>
          <w:highlight w:val="none"/>
          <w:u w:val="none"/>
        </w:rPr>
        <w:t>.废标</w:t>
      </w:r>
      <w:bookmarkEnd w:id="157"/>
      <w:bookmarkEnd w:id="158"/>
      <w:bookmarkEnd w:id="159"/>
      <w:bookmarkEnd w:id="160"/>
    </w:p>
    <w:p w14:paraId="7AF28F53">
      <w:pPr>
        <w:spacing w:line="240" w:lineRule="atLeast"/>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出现下列情形之一，将导致项目废标： </w:t>
      </w:r>
    </w:p>
    <w:p w14:paraId="5F5895A9">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（1）符合专业条件的供应商或者对招标文件做实质性响应的供应商不足三家；</w:t>
      </w:r>
    </w:p>
    <w:p w14:paraId="44E50D5C">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14:paraId="2FD4E085">
      <w:pPr>
        <w:spacing w:line="240" w:lineRule="atLeast"/>
        <w:ind w:firstLine="840" w:firstLineChars="35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（3）投标人的报价均超过了采购预算，采购人不能支付的；</w:t>
      </w:r>
    </w:p>
    <w:p w14:paraId="1DBD4E90">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14:paraId="7F96ED88">
      <w:pPr>
        <w:pStyle w:val="6"/>
        <w:spacing w:before="0" w:after="0" w:line="240" w:lineRule="atLeast"/>
        <w:rPr>
          <w:rFonts w:hint="eastAsia" w:ascii="仿宋" w:hAnsi="仿宋" w:eastAsia="仿宋" w:cs="仿宋"/>
          <w:color w:val="auto"/>
          <w:highlight w:val="none"/>
          <w:u w:val="none"/>
        </w:rPr>
      </w:pPr>
      <w:bookmarkStart w:id="161" w:name="_Toc515647786"/>
      <w:bookmarkStart w:id="162" w:name="_Toc31289"/>
      <w:bookmarkStart w:id="163" w:name="_Toc16099"/>
      <w:bookmarkStart w:id="164" w:name="_Toc24972"/>
      <w:bookmarkStart w:id="165" w:name="_Toc520356169"/>
      <w:r>
        <w:rPr>
          <w:rFonts w:hint="eastAsia" w:ascii="仿宋" w:hAnsi="仿宋" w:eastAsia="仿宋" w:cs="仿宋"/>
          <w:color w:val="auto"/>
          <w:highlight w:val="none"/>
          <w:u w:val="none"/>
        </w:rPr>
        <w:t>25.保密原则</w:t>
      </w:r>
      <w:bookmarkEnd w:id="161"/>
      <w:bookmarkEnd w:id="162"/>
      <w:bookmarkEnd w:id="163"/>
      <w:bookmarkEnd w:id="164"/>
    </w:p>
    <w:p w14:paraId="747B1A7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w:t>
      </w:r>
    </w:p>
    <w:p w14:paraId="781B62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政府采购评审专家应当遵守评审工作纪律，不得泄露评审文件、评审情况和评审中获悉的商业秘密。</w:t>
      </w:r>
    </w:p>
    <w:p w14:paraId="11803DE1">
      <w:pPr>
        <w:pStyle w:val="5"/>
        <w:spacing w:before="0" w:line="240" w:lineRule="atLeast"/>
        <w:ind w:left="1079" w:leftChars="257" w:hanging="540"/>
        <w:rPr>
          <w:rFonts w:hint="eastAsia" w:ascii="仿宋" w:hAnsi="仿宋" w:eastAsia="仿宋" w:cs="仿宋"/>
          <w:color w:val="auto"/>
          <w:sz w:val="24"/>
          <w:highlight w:val="none"/>
        </w:rPr>
      </w:pPr>
      <w:bookmarkStart w:id="166" w:name="_Toc515647787"/>
      <w:bookmarkStart w:id="167" w:name="_Toc216582810"/>
      <w:bookmarkStart w:id="168" w:name="_Toc23448"/>
      <w:bookmarkStart w:id="169" w:name="_Toc23904"/>
      <w:bookmarkStart w:id="170" w:name="_Toc12143"/>
      <w:r>
        <w:rPr>
          <w:rFonts w:hint="eastAsia" w:ascii="仿宋" w:hAnsi="仿宋" w:eastAsia="仿宋" w:cs="仿宋"/>
          <w:color w:val="auto"/>
          <w:sz w:val="24"/>
          <w:highlight w:val="none"/>
        </w:rPr>
        <w:t xml:space="preserve">六   </w:t>
      </w:r>
      <w:bookmarkEnd w:id="165"/>
      <w:r>
        <w:rPr>
          <w:rFonts w:hint="eastAsia" w:ascii="仿宋" w:hAnsi="仿宋" w:eastAsia="仿宋" w:cs="仿宋"/>
          <w:color w:val="auto"/>
          <w:sz w:val="24"/>
          <w:highlight w:val="none"/>
        </w:rPr>
        <w:t>确定中标</w:t>
      </w:r>
      <w:bookmarkEnd w:id="166"/>
      <w:bookmarkEnd w:id="167"/>
      <w:bookmarkEnd w:id="168"/>
      <w:bookmarkEnd w:id="169"/>
      <w:bookmarkEnd w:id="170"/>
    </w:p>
    <w:p w14:paraId="3FA030C4">
      <w:pPr>
        <w:pStyle w:val="11"/>
        <w:rPr>
          <w:rFonts w:hint="eastAsia" w:ascii="仿宋" w:hAnsi="仿宋" w:eastAsia="仿宋" w:cs="仿宋"/>
          <w:color w:val="auto"/>
          <w:highlight w:val="none"/>
        </w:rPr>
      </w:pPr>
    </w:p>
    <w:p w14:paraId="563F8A45">
      <w:pPr>
        <w:pStyle w:val="6"/>
        <w:spacing w:before="0" w:after="0" w:line="240" w:lineRule="atLeast"/>
        <w:rPr>
          <w:rFonts w:hint="eastAsia" w:ascii="仿宋" w:hAnsi="仿宋" w:eastAsia="仿宋" w:cs="仿宋"/>
          <w:color w:val="auto"/>
          <w:highlight w:val="none"/>
          <w:u w:val="none"/>
        </w:rPr>
      </w:pPr>
      <w:bookmarkStart w:id="171" w:name="_Toc520356170"/>
      <w:bookmarkStart w:id="172" w:name="_Toc23617"/>
      <w:bookmarkStart w:id="173" w:name="_Toc515647788"/>
      <w:bookmarkStart w:id="174" w:name="_Toc7192"/>
      <w:bookmarkStart w:id="175" w:name="_Ref467307010"/>
      <w:bookmarkStart w:id="176" w:name="_Toc23762"/>
      <w:r>
        <w:rPr>
          <w:rFonts w:hint="eastAsia" w:ascii="仿宋" w:hAnsi="仿宋" w:eastAsia="仿宋" w:cs="仿宋"/>
          <w:color w:val="auto"/>
          <w:highlight w:val="none"/>
          <w:u w:val="none"/>
        </w:rPr>
        <w:t>26.中标候选人的确定原则及标准</w:t>
      </w:r>
      <w:bookmarkEnd w:id="171"/>
      <w:bookmarkEnd w:id="172"/>
      <w:bookmarkEnd w:id="173"/>
      <w:bookmarkEnd w:id="174"/>
      <w:bookmarkEnd w:id="175"/>
      <w:bookmarkEnd w:id="176"/>
    </w:p>
    <w:p w14:paraId="2817F29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除第28条规定外，对实质上响应招标文件的投标人按下列方法进行排序，确定投标候选人：</w:t>
      </w:r>
    </w:p>
    <w:p w14:paraId="40A5F8E9">
      <w:pPr>
        <w:spacing w:line="240" w:lineRule="atLeast"/>
        <w:ind w:left="901"/>
        <w:rPr>
          <w:rFonts w:hint="eastAsia" w:ascii="仿宋" w:hAnsi="仿宋" w:eastAsia="仿宋" w:cs="仿宋"/>
          <w:color w:val="auto"/>
          <w:sz w:val="24"/>
          <w:highlight w:val="none"/>
        </w:rPr>
      </w:pPr>
      <w:bookmarkStart w:id="177" w:name="_Toc520356171"/>
      <w:bookmarkStart w:id="178" w:name="_Toc515647789"/>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416EB2BC">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4FA865F1">
      <w:pPr>
        <w:pStyle w:val="6"/>
        <w:tabs>
          <w:tab w:val="left" w:pos="900"/>
        </w:tabs>
        <w:spacing w:before="0" w:after="0" w:line="240" w:lineRule="atLeast"/>
        <w:rPr>
          <w:rFonts w:hint="eastAsia" w:ascii="仿宋" w:hAnsi="仿宋" w:eastAsia="仿宋" w:cs="仿宋"/>
          <w:color w:val="auto"/>
          <w:highlight w:val="none"/>
          <w:u w:val="none"/>
        </w:rPr>
      </w:pPr>
      <w:bookmarkStart w:id="179" w:name="_Toc9653"/>
      <w:bookmarkStart w:id="180" w:name="_Toc23951"/>
      <w:bookmarkStart w:id="181" w:name="_Toc7790"/>
      <w:r>
        <w:rPr>
          <w:rFonts w:hint="eastAsia" w:ascii="仿宋" w:hAnsi="仿宋" w:eastAsia="仿宋" w:cs="仿宋"/>
          <w:color w:val="auto"/>
          <w:highlight w:val="none"/>
          <w:u w:val="none"/>
        </w:rPr>
        <w:t>27</w:t>
      </w:r>
      <w:bookmarkEnd w:id="177"/>
      <w:r>
        <w:rPr>
          <w:rFonts w:hint="eastAsia" w:ascii="仿宋" w:hAnsi="仿宋" w:eastAsia="仿宋" w:cs="仿宋"/>
          <w:color w:val="auto"/>
          <w:highlight w:val="none"/>
          <w:u w:val="none"/>
        </w:rPr>
        <w:t>.确定中标候选人和中标人</w:t>
      </w:r>
      <w:bookmarkEnd w:id="178"/>
      <w:bookmarkEnd w:id="179"/>
      <w:bookmarkEnd w:id="180"/>
      <w:bookmarkEnd w:id="181"/>
    </w:p>
    <w:p w14:paraId="58DFA7D2">
      <w:pPr>
        <w:spacing w:line="240" w:lineRule="atLeast"/>
        <w:ind w:left="900" w:hanging="900" w:hangingChars="375"/>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规定数量推荐中标候选人；</w:t>
      </w:r>
      <w:r>
        <w:rPr>
          <w:rFonts w:hint="eastAsia" w:ascii="仿宋" w:hAnsi="仿宋" w:eastAsia="仿宋" w:cs="仿宋"/>
          <w:color w:val="auto"/>
          <w:sz w:val="24"/>
          <w:highlight w:val="none"/>
          <w:lang w:val="en-US" w:eastAsia="zh-CN"/>
        </w:rPr>
        <w:t>评审委员会</w:t>
      </w:r>
      <w:r>
        <w:rPr>
          <w:rFonts w:hint="eastAsia" w:ascii="仿宋" w:hAnsi="仿宋" w:eastAsia="仿宋" w:cs="仿宋"/>
          <w:b/>
          <w:bCs/>
          <w:color w:val="auto"/>
          <w:sz w:val="24"/>
          <w:highlight w:val="none"/>
          <w:lang w:val="en-US" w:eastAsia="zh-CN"/>
        </w:rPr>
        <w:t>应当根据综合评分情况，按照评审得分由高到低顺序推荐3名以上成交候选供应商</w:t>
      </w:r>
      <w:r>
        <w:rPr>
          <w:rFonts w:hint="eastAsia" w:ascii="仿宋" w:hAnsi="仿宋" w:eastAsia="仿宋" w:cs="仿宋"/>
          <w:color w:val="auto"/>
          <w:sz w:val="24"/>
          <w:highlight w:val="none"/>
        </w:rPr>
        <w:t>或根据采购人的委托，直接确定中标人。</w:t>
      </w:r>
    </w:p>
    <w:p w14:paraId="36280F87">
      <w:pPr>
        <w:pStyle w:val="6"/>
        <w:tabs>
          <w:tab w:val="left" w:pos="900"/>
        </w:tabs>
        <w:spacing w:before="0" w:after="0" w:line="240" w:lineRule="atLeast"/>
        <w:rPr>
          <w:rFonts w:hint="eastAsia" w:ascii="仿宋" w:hAnsi="仿宋" w:eastAsia="仿宋" w:cs="仿宋"/>
          <w:color w:val="auto"/>
          <w:highlight w:val="none"/>
          <w:u w:val="none"/>
        </w:rPr>
      </w:pPr>
      <w:bookmarkStart w:id="182" w:name="_Toc520356173"/>
      <w:bookmarkStart w:id="183" w:name="_Ref467306874"/>
      <w:bookmarkStart w:id="184" w:name="_Toc29914"/>
      <w:bookmarkStart w:id="185" w:name="_Toc515647790"/>
      <w:bookmarkStart w:id="186" w:name="_Toc8389"/>
      <w:bookmarkStart w:id="187" w:name="_Toc28562"/>
      <w:r>
        <w:rPr>
          <w:rFonts w:hint="eastAsia" w:ascii="仿宋" w:hAnsi="仿宋" w:eastAsia="仿宋" w:cs="仿宋"/>
          <w:color w:val="auto"/>
          <w:highlight w:val="none"/>
          <w:u w:val="none"/>
        </w:rPr>
        <w:t>28.</w:t>
      </w:r>
      <w:bookmarkEnd w:id="182"/>
      <w:bookmarkEnd w:id="183"/>
      <w:r>
        <w:rPr>
          <w:rFonts w:hint="eastAsia" w:ascii="仿宋" w:hAnsi="仿宋" w:eastAsia="仿宋" w:cs="仿宋"/>
          <w:color w:val="auto"/>
          <w:highlight w:val="none"/>
          <w:u w:val="none"/>
        </w:rPr>
        <w:t>采购任务取消</w:t>
      </w:r>
      <w:bookmarkEnd w:id="184"/>
      <w:bookmarkEnd w:id="185"/>
      <w:bookmarkEnd w:id="186"/>
      <w:bookmarkEnd w:id="187"/>
    </w:p>
    <w:p w14:paraId="1053ED5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因重大变故采购任务取消时，采购人有权拒绝任何投标人中标，且对受影响的投标人不承担任何责任。</w:t>
      </w:r>
      <w:bookmarkStart w:id="188" w:name="_Toc520356174"/>
    </w:p>
    <w:p w14:paraId="355985C6">
      <w:pPr>
        <w:pStyle w:val="6"/>
        <w:spacing w:before="0" w:after="0" w:line="240" w:lineRule="atLeast"/>
        <w:rPr>
          <w:rFonts w:hint="eastAsia" w:ascii="仿宋" w:hAnsi="仿宋" w:eastAsia="仿宋" w:cs="仿宋"/>
          <w:color w:val="auto"/>
          <w:highlight w:val="none"/>
          <w:u w:val="none"/>
        </w:rPr>
      </w:pPr>
      <w:bookmarkStart w:id="189" w:name="_Toc515647791"/>
      <w:bookmarkStart w:id="190" w:name="_Toc31099"/>
      <w:bookmarkStart w:id="191" w:name="_Toc7800"/>
      <w:bookmarkStart w:id="192" w:name="_Toc30170"/>
      <w:r>
        <w:rPr>
          <w:rFonts w:hint="eastAsia" w:ascii="仿宋" w:hAnsi="仿宋" w:eastAsia="仿宋" w:cs="仿宋"/>
          <w:color w:val="auto"/>
          <w:highlight w:val="none"/>
          <w:u w:val="none"/>
        </w:rPr>
        <w:t>29.中标通知书</w:t>
      </w:r>
      <w:bookmarkEnd w:id="188"/>
      <w:r>
        <w:rPr>
          <w:rFonts w:hint="eastAsia" w:ascii="仿宋" w:hAnsi="仿宋" w:eastAsia="仿宋" w:cs="仿宋"/>
          <w:color w:val="auto"/>
          <w:highlight w:val="none"/>
          <w:u w:val="none"/>
        </w:rPr>
        <w:t>和招标结果通知书</w:t>
      </w:r>
      <w:bookmarkEnd w:id="189"/>
      <w:bookmarkEnd w:id="190"/>
      <w:bookmarkEnd w:id="191"/>
      <w:bookmarkEnd w:id="192"/>
    </w:p>
    <w:p w14:paraId="56D6FB6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在投标有效期内，中标人确定后，采购人或者采购代理机构发布中标公告，同时以书面形式向中标人发出中标通知书。</w:t>
      </w:r>
    </w:p>
    <w:p w14:paraId="752D131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14:paraId="003511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463083EA">
      <w:pPr>
        <w:pStyle w:val="6"/>
        <w:spacing w:before="0" w:after="0" w:line="240" w:lineRule="atLeast"/>
        <w:rPr>
          <w:rFonts w:hint="eastAsia" w:ascii="仿宋" w:hAnsi="仿宋" w:eastAsia="仿宋" w:cs="仿宋"/>
          <w:color w:val="auto"/>
          <w:highlight w:val="none"/>
          <w:u w:val="none"/>
        </w:rPr>
      </w:pPr>
      <w:bookmarkStart w:id="193" w:name="_Toc2921"/>
      <w:bookmarkStart w:id="194" w:name="_Toc7779"/>
      <w:bookmarkStart w:id="195" w:name="_Ref467307204"/>
      <w:bookmarkStart w:id="196" w:name="_Toc515647792"/>
      <w:bookmarkStart w:id="197" w:name="_Toc790"/>
      <w:bookmarkStart w:id="198" w:name="_Ref467306377"/>
      <w:bookmarkStart w:id="199" w:name="_Toc520356175"/>
      <w:bookmarkStart w:id="200" w:name="_Ref467307062"/>
      <w:bookmarkStart w:id="201" w:name="_Ref467306978"/>
      <w:r>
        <w:rPr>
          <w:rFonts w:hint="eastAsia" w:ascii="仿宋" w:hAnsi="仿宋" w:eastAsia="仿宋" w:cs="仿宋"/>
          <w:color w:val="auto"/>
          <w:highlight w:val="none"/>
          <w:u w:val="none"/>
        </w:rPr>
        <w:t>30.签订合同</w:t>
      </w:r>
      <w:bookmarkEnd w:id="193"/>
      <w:bookmarkEnd w:id="194"/>
      <w:bookmarkEnd w:id="195"/>
      <w:bookmarkEnd w:id="196"/>
      <w:bookmarkEnd w:id="197"/>
      <w:bookmarkEnd w:id="198"/>
      <w:bookmarkEnd w:id="199"/>
      <w:bookmarkEnd w:id="200"/>
      <w:bookmarkEnd w:id="201"/>
    </w:p>
    <w:p w14:paraId="7645BDB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中标人</w:t>
      </w:r>
      <w:r>
        <w:rPr>
          <w:rFonts w:hint="eastAsia" w:ascii="仿宋" w:hAnsi="仿宋" w:eastAsia="仿宋" w:cs="仿宋"/>
          <w:b/>
          <w:bCs/>
          <w:color w:val="auto"/>
          <w:sz w:val="24"/>
          <w:highlight w:val="none"/>
          <w:lang w:eastAsia="zh-CN"/>
        </w:rPr>
        <w:t>须在成交</w:t>
      </w:r>
      <w:r>
        <w:rPr>
          <w:rFonts w:hint="eastAsia" w:ascii="仿宋" w:hAnsi="仿宋" w:eastAsia="仿宋" w:cs="仿宋"/>
          <w:b/>
          <w:bCs/>
          <w:color w:val="auto"/>
          <w:sz w:val="24"/>
          <w:highlight w:val="none"/>
        </w:rPr>
        <w:t>通知书</w:t>
      </w:r>
      <w:r>
        <w:rPr>
          <w:rFonts w:hint="eastAsia" w:ascii="仿宋" w:hAnsi="仿宋" w:eastAsia="仿宋" w:cs="仿宋"/>
          <w:b/>
          <w:bCs/>
          <w:color w:val="auto"/>
          <w:sz w:val="24"/>
          <w:highlight w:val="none"/>
          <w:lang w:eastAsia="zh-CN"/>
        </w:rPr>
        <w:t>发出</w:t>
      </w:r>
      <w:r>
        <w:rPr>
          <w:rFonts w:hint="eastAsia" w:ascii="仿宋" w:hAnsi="仿宋" w:eastAsia="仿宋" w:cs="仿宋"/>
          <w:b/>
          <w:bCs/>
          <w:color w:val="auto"/>
          <w:sz w:val="24"/>
          <w:highlight w:val="none"/>
          <w:lang w:val="en-US" w:eastAsia="zh-CN"/>
        </w:rPr>
        <w:t>后30</w:t>
      </w:r>
      <w:r>
        <w:rPr>
          <w:rFonts w:hint="eastAsia" w:ascii="仿宋" w:hAnsi="仿宋" w:eastAsia="仿宋" w:cs="仿宋"/>
          <w:b/>
          <w:bCs/>
          <w:color w:val="auto"/>
          <w:sz w:val="24"/>
          <w:highlight w:val="none"/>
          <w:lang w:eastAsia="zh-CN"/>
        </w:rPr>
        <w:t>日内签订政府采购合同</w:t>
      </w:r>
      <w:r>
        <w:rPr>
          <w:rFonts w:hint="eastAsia" w:ascii="仿宋" w:hAnsi="仿宋" w:eastAsia="仿宋" w:cs="仿宋"/>
          <w:b/>
          <w:bCs/>
          <w:color w:val="auto"/>
          <w:sz w:val="24"/>
          <w:highlight w:val="none"/>
        </w:rPr>
        <w:t>。</w:t>
      </w:r>
    </w:p>
    <w:p w14:paraId="59E11CB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202" w:name="_Ref467307090"/>
      <w:bookmarkStart w:id="203" w:name="_Ref467306425"/>
      <w:bookmarkStart w:id="204" w:name="_Toc520356176"/>
      <w:r>
        <w:rPr>
          <w:rFonts w:hint="eastAsia" w:ascii="仿宋" w:hAnsi="仿宋" w:eastAsia="仿宋" w:cs="仿宋"/>
          <w:color w:val="auto"/>
          <w:sz w:val="24"/>
          <w:highlight w:val="none"/>
        </w:rPr>
        <w:t>招标文件、中标人的投标文件及其澄清文件等，均为签订合同的依据。</w:t>
      </w:r>
    </w:p>
    <w:p w14:paraId="6B0D0B3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30.3   中标人拒绝与采购人签订合同的，采购人可以按照评审报告推荐的中标候选人名单排序，确定下一中标候选人为中标人，也可以重新开展政府采购活动。</w:t>
      </w:r>
    </w:p>
    <w:p w14:paraId="3538161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bookmarkEnd w:id="202"/>
    <w:bookmarkEnd w:id="203"/>
    <w:bookmarkEnd w:id="204"/>
    <w:p w14:paraId="19C00DF6">
      <w:pPr>
        <w:pStyle w:val="6"/>
        <w:spacing w:before="0" w:after="0" w:line="240" w:lineRule="atLeast"/>
        <w:rPr>
          <w:rFonts w:hint="eastAsia" w:ascii="仿宋" w:hAnsi="仿宋" w:eastAsia="仿宋" w:cs="仿宋"/>
          <w:color w:val="auto"/>
          <w:highlight w:val="none"/>
          <w:u w:val="none"/>
        </w:rPr>
      </w:pPr>
      <w:bookmarkStart w:id="205" w:name="_Toc30179"/>
      <w:bookmarkStart w:id="206" w:name="_Toc3090"/>
      <w:bookmarkStart w:id="207" w:name="_Toc515647794"/>
      <w:bookmarkStart w:id="208" w:name="_Toc29408"/>
      <w:r>
        <w:rPr>
          <w:rFonts w:hint="eastAsia" w:ascii="仿宋" w:hAnsi="仿宋" w:eastAsia="仿宋" w:cs="仿宋"/>
          <w:color w:val="auto"/>
          <w:highlight w:val="none"/>
          <w:u w:val="none"/>
        </w:rPr>
        <w:t>32.中标服务费</w:t>
      </w:r>
      <w:bookmarkEnd w:id="205"/>
      <w:bookmarkEnd w:id="206"/>
      <w:bookmarkEnd w:id="207"/>
      <w:bookmarkEnd w:id="208"/>
    </w:p>
    <w:p w14:paraId="41860F58">
      <w:pPr>
        <w:spacing w:line="240" w:lineRule="atLeast"/>
        <w:ind w:left="840" w:leftChars="200" w:hanging="420" w:hanging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规定，向采购代理机构支付中标服务费。</w:t>
      </w:r>
    </w:p>
    <w:p w14:paraId="39B2BD07">
      <w:pPr>
        <w:pStyle w:val="6"/>
        <w:spacing w:before="0" w:after="0" w:line="240" w:lineRule="atLeast"/>
        <w:rPr>
          <w:rFonts w:hint="eastAsia" w:ascii="仿宋" w:hAnsi="仿宋" w:eastAsia="仿宋" w:cs="仿宋"/>
          <w:color w:val="auto"/>
          <w:highlight w:val="none"/>
          <w:u w:val="none"/>
        </w:rPr>
      </w:pPr>
      <w:bookmarkStart w:id="209" w:name="_Toc6923"/>
      <w:bookmarkStart w:id="210" w:name="_Toc7049"/>
      <w:bookmarkStart w:id="211" w:name="_Toc5763"/>
      <w:bookmarkStart w:id="212" w:name="_Toc515647795"/>
      <w:r>
        <w:rPr>
          <w:rFonts w:hint="eastAsia" w:ascii="仿宋" w:hAnsi="仿宋" w:eastAsia="仿宋" w:cs="仿宋"/>
          <w:color w:val="auto"/>
          <w:highlight w:val="none"/>
          <w:u w:val="none"/>
        </w:rPr>
        <w:t>33.政府采购信用担保</w:t>
      </w:r>
      <w:bookmarkEnd w:id="209"/>
      <w:bookmarkEnd w:id="210"/>
      <w:bookmarkEnd w:id="211"/>
      <w:bookmarkEnd w:id="212"/>
    </w:p>
    <w:p w14:paraId="2B8D397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77A33968">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如属于政府采购信用担保试点范围内，中小型企业投标人可以自由按照财政部门的规定，采用投标担保、履约担保和融资担保。</w:t>
      </w:r>
    </w:p>
    <w:p w14:paraId="5BAB710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33.2.1 投标人递交的投标担保函和履约担保函应符合本招标文件的规定。</w:t>
      </w:r>
    </w:p>
    <w:p w14:paraId="3909AB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33.2.2 中标人可以采取融资担保的形式为政府采购项目履约进行融资。</w:t>
      </w:r>
    </w:p>
    <w:p w14:paraId="76AD904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14:paraId="1735CAAC">
      <w:pPr>
        <w:pStyle w:val="6"/>
        <w:spacing w:before="0" w:after="0" w:line="240" w:lineRule="atLeast"/>
        <w:rPr>
          <w:rFonts w:hint="eastAsia" w:ascii="仿宋" w:hAnsi="仿宋" w:eastAsia="仿宋" w:cs="仿宋"/>
          <w:color w:val="auto"/>
          <w:highlight w:val="none"/>
          <w:u w:val="none"/>
        </w:rPr>
      </w:pPr>
      <w:bookmarkStart w:id="213" w:name="_Toc30896"/>
      <w:bookmarkStart w:id="214" w:name="_Toc23999"/>
      <w:bookmarkStart w:id="215" w:name="_Toc2133"/>
      <w:bookmarkStart w:id="216" w:name="_Toc515647796"/>
      <w:r>
        <w:rPr>
          <w:rFonts w:hint="eastAsia" w:ascii="仿宋" w:hAnsi="仿宋" w:eastAsia="仿宋" w:cs="仿宋"/>
          <w:color w:val="auto"/>
          <w:highlight w:val="none"/>
          <w:u w:val="none"/>
        </w:rPr>
        <w:t>34.廉洁自律规定</w:t>
      </w:r>
      <w:bookmarkEnd w:id="213"/>
      <w:bookmarkEnd w:id="214"/>
      <w:bookmarkEnd w:id="215"/>
      <w:bookmarkEnd w:id="216"/>
    </w:p>
    <w:p w14:paraId="6036375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14:paraId="109D6A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2428E6D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投标人须知资料表中的</w:t>
      </w:r>
      <w:r>
        <w:rPr>
          <w:rFonts w:hint="eastAsia" w:ascii="仿宋" w:hAnsi="仿宋" w:eastAsia="仿宋" w:cs="仿宋"/>
          <w:color w:val="auto"/>
          <w:sz w:val="24"/>
          <w:highlight w:val="none"/>
        </w:rPr>
        <w:t>监督电话和邮箱，反映采购代理机构的廉洁自律等问题。</w:t>
      </w:r>
    </w:p>
    <w:p w14:paraId="4C466015">
      <w:pPr>
        <w:pStyle w:val="6"/>
        <w:spacing w:before="0" w:after="0" w:line="240" w:lineRule="atLeast"/>
        <w:rPr>
          <w:rFonts w:hint="eastAsia" w:ascii="仿宋" w:hAnsi="仿宋" w:eastAsia="仿宋" w:cs="仿宋"/>
          <w:color w:val="auto"/>
          <w:highlight w:val="none"/>
          <w:u w:val="none"/>
        </w:rPr>
      </w:pPr>
      <w:bookmarkStart w:id="217" w:name="_Toc11586"/>
      <w:bookmarkStart w:id="218" w:name="_Toc515647797"/>
      <w:bookmarkStart w:id="219" w:name="_Toc25480"/>
      <w:bookmarkStart w:id="220" w:name="_Toc6509"/>
      <w:r>
        <w:rPr>
          <w:rFonts w:hint="eastAsia" w:ascii="仿宋" w:hAnsi="仿宋" w:eastAsia="仿宋" w:cs="仿宋"/>
          <w:color w:val="auto"/>
          <w:highlight w:val="none"/>
          <w:u w:val="none"/>
        </w:rPr>
        <w:t>35.人员回避</w:t>
      </w:r>
      <w:bookmarkEnd w:id="217"/>
      <w:bookmarkEnd w:id="218"/>
      <w:bookmarkEnd w:id="219"/>
      <w:bookmarkEnd w:id="220"/>
    </w:p>
    <w:p w14:paraId="7297E7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投标人认为采购人员及其相关人员有法律法规所列与其他供应商有利害关系的，可以向采购人或采购代理机构书面提出回避申请，并说明理由。</w:t>
      </w:r>
    </w:p>
    <w:p w14:paraId="2FD894B6">
      <w:pPr>
        <w:pStyle w:val="6"/>
        <w:spacing w:before="0" w:after="0" w:line="240" w:lineRule="atLeast"/>
        <w:rPr>
          <w:rFonts w:hint="eastAsia" w:ascii="仿宋" w:hAnsi="仿宋" w:eastAsia="仿宋" w:cs="仿宋"/>
          <w:color w:val="auto"/>
          <w:highlight w:val="none"/>
          <w:u w:val="none"/>
          <w:lang w:eastAsia="zh-CN"/>
        </w:rPr>
      </w:pPr>
      <w:bookmarkStart w:id="221" w:name="_Toc11115"/>
      <w:bookmarkStart w:id="222" w:name="_Toc515647798"/>
      <w:bookmarkStart w:id="223" w:name="_Toc1148"/>
      <w:bookmarkStart w:id="224" w:name="_Toc26391"/>
      <w:r>
        <w:rPr>
          <w:rFonts w:hint="eastAsia" w:ascii="仿宋" w:hAnsi="仿宋" w:eastAsia="仿宋" w:cs="仿宋"/>
          <w:color w:val="auto"/>
          <w:highlight w:val="none"/>
          <w:u w:val="none"/>
        </w:rPr>
        <w:t>36.质疑与</w:t>
      </w:r>
      <w:bookmarkEnd w:id="221"/>
      <w:bookmarkEnd w:id="222"/>
      <w:bookmarkEnd w:id="223"/>
      <w:r>
        <w:rPr>
          <w:rFonts w:hint="eastAsia" w:ascii="仿宋" w:hAnsi="仿宋" w:eastAsia="仿宋" w:cs="仿宋"/>
          <w:color w:val="auto"/>
          <w:highlight w:val="none"/>
          <w:u w:val="none"/>
          <w:lang w:eastAsia="zh-CN"/>
        </w:rPr>
        <w:t>投诉</w:t>
      </w:r>
      <w:bookmarkEnd w:id="224"/>
    </w:p>
    <w:p w14:paraId="11FF37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36.1  供应商认为采购文件、采购过程、中标或者成交结果使自己的权益受到损害的，可以在知道或者应知其权益受到损害之日起7个工作日内，以书面形式向采购人、采购代理机构提出质疑。</w:t>
      </w:r>
    </w:p>
    <w:p w14:paraId="460D9B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供应商需在法定质疑期内一次性提出针对同一采购程序环节的质疑。</w:t>
      </w:r>
    </w:p>
    <w:p w14:paraId="5CAF03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36.2  提出质疑的供应商（以下简称质疑供应商）应当是参与所质疑项目采购活动的供应商。</w:t>
      </w:r>
    </w:p>
    <w:p w14:paraId="0E2E89E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05927D6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36.3</w:t>
      </w:r>
      <w:r>
        <w:rPr>
          <w:rFonts w:hint="eastAsia" w:ascii="仿宋" w:hAnsi="仿宋" w:eastAsia="仿宋" w:cs="仿宋"/>
          <w:color w:val="auto"/>
          <w:sz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0C433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代理人提出质疑和投诉，应当提交供应商签署的授权委托书。</w:t>
      </w:r>
    </w:p>
    <w:p w14:paraId="5942D36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供应商提出质疑应当提交质疑函和必要的证明材料。质疑函应当包括下列内容：</w:t>
      </w:r>
    </w:p>
    <w:p w14:paraId="3625CC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（一）供应商的姓名或者名称、地址、邮编、联系人及联系电话；</w:t>
      </w:r>
    </w:p>
    <w:p w14:paraId="1C177F2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（二）质疑项目的名称、编号；</w:t>
      </w:r>
    </w:p>
    <w:p w14:paraId="3FD48E0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（三）具体、明确的质疑事项和与质疑事项相关的请求；</w:t>
      </w:r>
    </w:p>
    <w:p w14:paraId="57C88F1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396946E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（五）必要的法律依据；</w:t>
      </w:r>
    </w:p>
    <w:p w14:paraId="4E5FA0E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（六）提出质疑的日期。</w:t>
      </w:r>
    </w:p>
    <w:p w14:paraId="3D364CA2">
      <w:pPr>
        <w:spacing w:line="240" w:lineRule="auto"/>
        <w:ind w:left="48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供应商为自然人的，应当由本人签字；供应商为法人或者其他组织的，应当由法定代表人、主要负责人，或者其授权代表签字或者盖章，并加盖公章。</w:t>
      </w:r>
    </w:p>
    <w:p w14:paraId="6538BDE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质疑的处理和答复</w:t>
      </w:r>
    </w:p>
    <w:p w14:paraId="6EDFEB4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采购人、采购代理机构不得拒收质疑供应商在法定质疑期内发出的质疑函，应当在收到质疑函后7个工作日内作出答复，并以书面形式通知质疑供应商和其他有关供应商。</w:t>
      </w:r>
    </w:p>
    <w:p w14:paraId="5874E2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供应商对评审过程、中标或者成交结果提出质疑的，采购人、采购代理机构可以</w:t>
      </w:r>
      <w:r>
        <w:rPr>
          <w:rFonts w:hint="eastAsia" w:ascii="仿宋" w:hAnsi="仿宋" w:eastAsia="仿宋" w:cs="仿宋"/>
          <w:color w:val="auto"/>
          <w:sz w:val="24"/>
          <w:highlight w:val="none"/>
          <w:lang w:eastAsia="zh-CN"/>
        </w:rPr>
        <w:t>组织</w:t>
      </w:r>
      <w:r>
        <w:rPr>
          <w:rFonts w:hint="eastAsia" w:ascii="仿宋" w:hAnsi="仿宋" w:eastAsia="仿宋" w:cs="仿宋"/>
          <w:color w:val="auto"/>
          <w:sz w:val="24"/>
          <w:highlight w:val="none"/>
        </w:rPr>
        <w:t>评标委员会、竞争性谈判小组、询价小组或者竞争性磋商小组协助答复质疑。</w:t>
      </w:r>
    </w:p>
    <w:p w14:paraId="6AD30FC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采购人、采购代理机构认为供应商质疑不成立，或者成立但未对中标、成交结果构成影响的，继续开展采购活动；认为供应商质疑成立且影响或者可能影响中标、成交结果的，按照下列情况处理：</w:t>
      </w:r>
    </w:p>
    <w:p w14:paraId="18AFEAE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（一）对采购文件提出的质疑，依法通过澄清或者修改可以继续开展采购活动的，澄清或者修改采购文件后继续开展采购活动；否则应当修改采购文件后重新开展采购活动。</w:t>
      </w:r>
    </w:p>
    <w:p w14:paraId="21BB2D2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0429D7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质疑答复导致中标、成交结果改变的，采购人或者采购代理机构应当将有关情况书面报告本级财政部门。</w:t>
      </w:r>
    </w:p>
    <w:p w14:paraId="1019CE1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质疑答复应当包括下列内容：</w:t>
      </w:r>
    </w:p>
    <w:p w14:paraId="4D03E83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（一）质疑供应商的姓名或者名称；</w:t>
      </w:r>
    </w:p>
    <w:p w14:paraId="19FCDF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（二）收到质疑函的日期、质疑项目名称及编号；</w:t>
      </w:r>
    </w:p>
    <w:p w14:paraId="3C069AD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（三）质疑事项、质疑答复的具体内容、事实依据和法律依据；</w:t>
      </w:r>
    </w:p>
    <w:p w14:paraId="12691C9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（四）告知质疑供应商依法投诉的权利；</w:t>
      </w:r>
    </w:p>
    <w:p w14:paraId="280FBB4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（五）质疑答复人名称；</w:t>
      </w:r>
    </w:p>
    <w:p w14:paraId="63F8791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（六）答复质疑的日期。</w:t>
      </w:r>
    </w:p>
    <w:p w14:paraId="2F95C818">
      <w:pPr>
        <w:spacing w:line="240" w:lineRule="atLeast"/>
        <w:ind w:left="900" w:hanging="900" w:hangingChars="375"/>
        <w:rPr>
          <w:rFonts w:hint="eastAsia" w:ascii="仿宋" w:hAnsi="仿宋" w:eastAsia="仿宋" w:cs="仿宋"/>
          <w:b/>
          <w:color w:val="auto"/>
          <w:sz w:val="24"/>
          <w:highlight w:val="none"/>
        </w:rPr>
      </w:pPr>
      <w:r>
        <w:rPr>
          <w:rFonts w:hint="eastAsia" w:ascii="仿宋" w:hAnsi="仿宋" w:eastAsia="仿宋" w:cs="仿宋"/>
          <w:color w:val="auto"/>
          <w:sz w:val="24"/>
          <w:highlight w:val="none"/>
        </w:rPr>
        <w:t>　　质疑答复的内容不得涉及商业秘密。</w:t>
      </w:r>
    </w:p>
    <w:p w14:paraId="59600B6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36.10</w:t>
      </w:r>
      <w:r>
        <w:rPr>
          <w:rFonts w:hint="eastAsia" w:ascii="仿宋" w:hAnsi="仿宋" w:eastAsia="仿宋" w:cs="仿宋"/>
          <w:color w:val="auto"/>
          <w:sz w:val="24"/>
          <w:highlight w:val="none"/>
        </w:rPr>
        <w:t>质疑供应商对采购人、采购代理机构的答复不满意，或者采购人、采购代理机构未在规定时间内作出答复的，可以在答复期满后15个工作日内向财政部门提起投诉。</w:t>
      </w:r>
    </w:p>
    <w:p w14:paraId="54DB87F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36.11</w:t>
      </w:r>
      <w:r>
        <w:rPr>
          <w:rFonts w:hint="eastAsia" w:ascii="仿宋" w:hAnsi="仿宋" w:eastAsia="仿宋" w:cs="仿宋"/>
          <w:color w:val="auto"/>
          <w:sz w:val="24"/>
          <w:highlight w:val="none"/>
        </w:rPr>
        <w:t>投诉人投诉时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5842D7F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（一）投诉人和被投诉人的姓名或者名称、通讯地址、邮编、联系人及联系电话；</w:t>
      </w:r>
    </w:p>
    <w:p w14:paraId="404554A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（二）质疑和质疑答复情况说明及相关证明材料；</w:t>
      </w:r>
    </w:p>
    <w:p w14:paraId="02FB01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（三）具体、明确的投诉事项和与投诉事项相关的投诉请求；</w:t>
      </w:r>
    </w:p>
    <w:p w14:paraId="401201D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3C6F09E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（五）法律依据；</w:t>
      </w:r>
    </w:p>
    <w:p w14:paraId="5418D02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（六）提起投诉的日期。</w:t>
      </w:r>
    </w:p>
    <w:p w14:paraId="66435C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投诉人为自然人的，应当由本人签字；投诉人为法人或者其他组织的，应当由法定代表人、主要负责人，或者其授权代表签字或者盖章，并加盖公章。</w:t>
      </w:r>
    </w:p>
    <w:p w14:paraId="026679A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36.12</w:t>
      </w:r>
      <w:r>
        <w:rPr>
          <w:rFonts w:hint="eastAsia" w:ascii="仿宋" w:hAnsi="仿宋" w:eastAsia="仿宋" w:cs="仿宋"/>
          <w:color w:val="auto"/>
          <w:sz w:val="24"/>
          <w:highlight w:val="none"/>
        </w:rPr>
        <w:t>投诉人应当根据</w:t>
      </w:r>
      <w:r>
        <w:rPr>
          <w:rFonts w:hint="eastAsia" w:ascii="仿宋" w:hAnsi="仿宋" w:eastAsia="仿宋" w:cs="仿宋"/>
          <w:color w:val="auto"/>
          <w:sz w:val="24"/>
          <w:highlight w:val="none"/>
          <w:lang w:eastAsia="zh-CN"/>
        </w:rPr>
        <w:t>《政府采购质疑与投诉</w:t>
      </w:r>
      <w:r>
        <w:rPr>
          <w:rFonts w:hint="eastAsia" w:ascii="仿宋" w:hAnsi="仿宋" w:eastAsia="仿宋" w:cs="仿宋"/>
          <w:color w:val="auto"/>
          <w:sz w:val="24"/>
          <w:highlight w:val="none"/>
        </w:rPr>
        <w:t>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第七条第二款规定的信息内容，并按照其规定的方式提起投诉。</w:t>
      </w:r>
    </w:p>
    <w:p w14:paraId="66562C4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投诉人提起投诉应当符合下列条件：</w:t>
      </w:r>
    </w:p>
    <w:p w14:paraId="12FE629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（一）提起投诉前已依法进行质疑；</w:t>
      </w:r>
    </w:p>
    <w:p w14:paraId="3A9584A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（二）投诉书内容符合本办法的规定；</w:t>
      </w:r>
    </w:p>
    <w:p w14:paraId="09504E9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（三）在投诉有效期限内提起投诉；</w:t>
      </w:r>
    </w:p>
    <w:p w14:paraId="33B648A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（四）同一投诉事项未经财政部门投诉处理；</w:t>
      </w:r>
    </w:p>
    <w:p w14:paraId="77BDB83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（五）财政部规定的其他条件。</w:t>
      </w:r>
    </w:p>
    <w:p w14:paraId="3E44E7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36.13</w:t>
      </w:r>
      <w:r>
        <w:rPr>
          <w:rFonts w:hint="eastAsia" w:ascii="仿宋" w:hAnsi="仿宋" w:eastAsia="仿宋" w:cs="仿宋"/>
          <w:color w:val="auto"/>
          <w:sz w:val="24"/>
          <w:highlight w:val="none"/>
        </w:rPr>
        <w:t>供应商投诉的事项不得超出已质疑事项的范围，但基于质疑答复内容提出的投诉事项除外。</w:t>
      </w:r>
    </w:p>
    <w:p w14:paraId="6B44A8D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36.14</w:t>
      </w:r>
      <w:r>
        <w:rPr>
          <w:rFonts w:hint="eastAsia" w:ascii="仿宋" w:hAnsi="仿宋" w:eastAsia="仿宋" w:cs="仿宋"/>
          <w:color w:val="auto"/>
          <w:sz w:val="24"/>
          <w:highlight w:val="none"/>
        </w:rPr>
        <w:t>投诉处理</w:t>
      </w:r>
    </w:p>
    <w:p w14:paraId="70E617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36.15</w:t>
      </w:r>
      <w:r>
        <w:rPr>
          <w:rFonts w:hint="eastAsia" w:ascii="仿宋" w:hAnsi="仿宋" w:eastAsia="仿宋" w:cs="仿宋"/>
          <w:color w:val="auto"/>
          <w:sz w:val="24"/>
          <w:highlight w:val="none"/>
        </w:rPr>
        <w:t>财政部门收到投诉书后，应当在5个工作日内进行审查，审查后按照下列情况处理：</w:t>
      </w:r>
    </w:p>
    <w:p w14:paraId="441A4E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（一）投诉书内容不符合</w:t>
      </w:r>
      <w:r>
        <w:rPr>
          <w:rFonts w:hint="eastAsia" w:ascii="仿宋" w:hAnsi="仿宋" w:eastAsia="仿宋" w:cs="仿宋"/>
          <w:color w:val="auto"/>
          <w:sz w:val="24"/>
          <w:highlight w:val="none"/>
          <w:lang w:eastAsia="zh-CN"/>
        </w:rPr>
        <w:t>《政府采购质疑与投诉</w:t>
      </w:r>
      <w:r>
        <w:rPr>
          <w:rFonts w:hint="eastAsia" w:ascii="仿宋" w:hAnsi="仿宋" w:eastAsia="仿宋" w:cs="仿宋"/>
          <w:color w:val="auto"/>
          <w:sz w:val="24"/>
          <w:highlight w:val="none"/>
        </w:rPr>
        <w:t>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第十八条规定的，应当在收到投诉书5个工作日内一次性书面通知投诉人补正。补正通知应当载明需要补正的事项和合理的补正期限。未按照补正期限进行补正或者补正后仍不符合规定的，不予受理。</w:t>
      </w:r>
    </w:p>
    <w:p w14:paraId="6D229AA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（二）投诉不符合本办法第十九条规定条件的，应当在3个工作日内书面告知投诉人不予受理，并说明理由。</w:t>
      </w:r>
    </w:p>
    <w:p w14:paraId="3F89B31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（三）投诉不属于本部门管辖的，应当在3个工作日内书面告知投诉人向有管辖权的部门提起投诉。</w:t>
      </w:r>
    </w:p>
    <w:p w14:paraId="7E639A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（四）投诉符合</w:t>
      </w:r>
      <w:r>
        <w:rPr>
          <w:rFonts w:hint="eastAsia" w:ascii="仿宋" w:hAnsi="仿宋" w:eastAsia="仿宋" w:cs="仿宋"/>
          <w:color w:val="auto"/>
          <w:sz w:val="24"/>
          <w:highlight w:val="none"/>
          <w:lang w:eastAsia="zh-CN"/>
        </w:rPr>
        <w:t>《政府采购质疑与投诉</w:t>
      </w:r>
      <w:r>
        <w:rPr>
          <w:rFonts w:hint="eastAsia" w:ascii="仿宋" w:hAnsi="仿宋" w:eastAsia="仿宋" w:cs="仿宋"/>
          <w:color w:val="auto"/>
          <w:sz w:val="24"/>
          <w:highlight w:val="none"/>
        </w:rPr>
        <w:t>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第十八条、第十九条规定的，自收到投诉书之日起即为受理，并在收到投诉后8个工作日内向被投诉人和其他与投诉事项有关的当事人发出投诉答复通知书及投诉书副本。</w:t>
      </w:r>
    </w:p>
    <w:p w14:paraId="1D95EBE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36.16</w:t>
      </w:r>
      <w:r>
        <w:rPr>
          <w:rFonts w:hint="eastAsia" w:ascii="仿宋" w:hAnsi="仿宋" w:eastAsia="仿宋" w:cs="仿宋"/>
          <w:color w:val="auto"/>
          <w:sz w:val="24"/>
          <w:highlight w:val="none"/>
        </w:rPr>
        <w:t>被投诉人和其他与投诉事项有关的当事人应当在收到投诉答复通知书及投诉书副本之日起5个工作日内，以书面形式向财政部门作出说明，并提交相关证据、依据和其他有关材料。</w:t>
      </w:r>
    </w:p>
    <w:p w14:paraId="2A575C4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36.17</w:t>
      </w:r>
      <w:r>
        <w:rPr>
          <w:rFonts w:hint="eastAsia" w:ascii="仿宋" w:hAnsi="仿宋" w:eastAsia="仿宋" w:cs="仿宋"/>
          <w:color w:val="auto"/>
          <w:sz w:val="24"/>
          <w:highlight w:val="none"/>
        </w:rPr>
        <w:t xml:space="preserve"> 财政部门处理投诉事项原则上采用书面审查的方式。财政部门认为有必要时，可以进行调查取证或者组织质证。</w:t>
      </w:r>
    </w:p>
    <w:p w14:paraId="457BBB5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财政部门可以根据法律、法规规定或者职责权限，委托相关单位或者第三方开展调查取证、检验、检测、鉴定。</w:t>
      </w:r>
    </w:p>
    <w:p w14:paraId="15F2EBC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质证应当通知相关当事人到场，并制作质证笔录。质证笔录应当由当事人签字确认。</w:t>
      </w:r>
    </w:p>
    <w:p w14:paraId="5540952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36.18</w:t>
      </w:r>
      <w:r>
        <w:rPr>
          <w:rFonts w:hint="eastAsia" w:ascii="仿宋" w:hAnsi="仿宋" w:eastAsia="仿宋" w:cs="仿宋"/>
          <w:color w:val="auto"/>
          <w:sz w:val="24"/>
          <w:highlight w:val="none"/>
        </w:rPr>
        <w:t xml:space="preserve"> 财政部门依法进行调查取证时，投诉人、被投诉人以及与投诉事项有关的单位及人员应当如实反映情况，并提供财政部门所需要的相关材料。</w:t>
      </w:r>
    </w:p>
    <w:p w14:paraId="612F691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36.19</w:t>
      </w:r>
      <w:r>
        <w:rPr>
          <w:rFonts w:hint="eastAsia" w:ascii="仿宋" w:hAnsi="仿宋" w:eastAsia="仿宋" w:cs="仿宋"/>
          <w:color w:val="auto"/>
          <w:sz w:val="24"/>
          <w:highlight w:val="none"/>
        </w:rPr>
        <w:t xml:space="preserve">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14:paraId="223B44F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36.20</w:t>
      </w:r>
      <w:r>
        <w:rPr>
          <w:rFonts w:hint="eastAsia" w:ascii="仿宋" w:hAnsi="仿宋" w:eastAsia="仿宋" w:cs="仿宋"/>
          <w:color w:val="auto"/>
          <w:sz w:val="24"/>
          <w:highlight w:val="none"/>
        </w:rPr>
        <w:t>财政部门应当自收到投诉之日起30个工作日内，对投诉事项作出处理决定。</w:t>
      </w:r>
    </w:p>
    <w:p w14:paraId="3832CCA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36.21</w:t>
      </w:r>
      <w:r>
        <w:rPr>
          <w:rFonts w:hint="eastAsia" w:ascii="仿宋" w:hAnsi="仿宋" w:eastAsia="仿宋" w:cs="仿宋"/>
          <w:color w:val="auto"/>
          <w:sz w:val="24"/>
          <w:highlight w:val="none"/>
        </w:rPr>
        <w:t xml:space="preserve"> 财政部门处理投诉事项，需要检验、检测、鉴定、专家评审以及需要投诉人补正材料的，所需时间不计算在投诉处理期限内。</w:t>
      </w:r>
    </w:p>
    <w:p w14:paraId="020D019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前款所称所需时间，是指财政部门向相关单位、第三方、投诉人发出相关文书、补正通知之日至收到相关反馈文书或材料之日。</w:t>
      </w:r>
    </w:p>
    <w:p w14:paraId="32C4AC9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财政部门向相关单位、第三方开展检验、检测、鉴定、专家评审的，应当将所需时间告知投诉人。</w:t>
      </w:r>
    </w:p>
    <w:p w14:paraId="0729C94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36.22</w:t>
      </w:r>
      <w:r>
        <w:rPr>
          <w:rFonts w:hint="eastAsia" w:ascii="仿宋" w:hAnsi="仿宋" w:eastAsia="仿宋" w:cs="仿宋"/>
          <w:color w:val="auto"/>
          <w:sz w:val="24"/>
          <w:highlight w:val="none"/>
        </w:rPr>
        <w:t xml:space="preserve"> 财政部门在处理投诉事项期间，可以视具体情况书面通知采购人和采购代理机构暂停采购活动，暂停采购活动时间最长不得超过30日。</w:t>
      </w:r>
    </w:p>
    <w:p w14:paraId="25D4F11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采购人和采购代理机构收到暂停采购活动通知后应当立即中止采购活动，在法定的暂停期限结束前或者财政部门发出恢复采购活动通知前，不得进行该项采购活动。</w:t>
      </w:r>
    </w:p>
    <w:p w14:paraId="35E8C1B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36.23</w:t>
      </w:r>
      <w:r>
        <w:rPr>
          <w:rFonts w:hint="eastAsia" w:ascii="仿宋" w:hAnsi="仿宋" w:eastAsia="仿宋" w:cs="仿宋"/>
          <w:color w:val="auto"/>
          <w:sz w:val="24"/>
          <w:highlight w:val="none"/>
        </w:rPr>
        <w:t xml:space="preserve"> 投诉处理过程中，有下列情形之一的，财政部门应当驳回投诉：</w:t>
      </w:r>
    </w:p>
    <w:p w14:paraId="31F73FD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（一）受理后发现投诉不符合法定受理条件；</w:t>
      </w:r>
    </w:p>
    <w:p w14:paraId="2FB2190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（二）投诉事项缺乏事实依据，投诉事项不成立；</w:t>
      </w:r>
    </w:p>
    <w:p w14:paraId="3D7EE8E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（三）投诉人捏造事实或者提供虚假材料；</w:t>
      </w:r>
    </w:p>
    <w:p w14:paraId="3D1579C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（四）投诉人以非法手段取得证明材料。证据来源的合法性存在明显疑问，投诉人无法证明其取得方式合法的，视为以非法手段取得证明材料。</w:t>
      </w:r>
    </w:p>
    <w:p w14:paraId="3724070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36.24</w:t>
      </w:r>
      <w:r>
        <w:rPr>
          <w:rFonts w:hint="eastAsia" w:ascii="仿宋" w:hAnsi="仿宋" w:eastAsia="仿宋" w:cs="仿宋"/>
          <w:color w:val="auto"/>
          <w:sz w:val="24"/>
          <w:highlight w:val="none"/>
        </w:rPr>
        <w:t xml:space="preserve"> 财政部门受理投诉后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投诉人书面申请撤回投诉的，财政部门应当终止投诉处理程序，并书面告知相关当事人。</w:t>
      </w:r>
    </w:p>
    <w:p w14:paraId="1DC26CD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36.25</w:t>
      </w:r>
      <w:r>
        <w:rPr>
          <w:rFonts w:hint="eastAsia" w:ascii="仿宋" w:hAnsi="仿宋" w:eastAsia="仿宋" w:cs="仿宋"/>
          <w:color w:val="auto"/>
          <w:sz w:val="24"/>
          <w:highlight w:val="none"/>
        </w:rPr>
        <w:t xml:space="preserve"> 投诉人对采购文件提起的投诉事项，财政部门经查证属实的，应当认定投诉事项成立。经认定成立的投诉事项不影响采购结果的，继续开展采购活动；影响或者可能影响采购结果的，财政部门按照下列情况处理：</w:t>
      </w:r>
    </w:p>
    <w:p w14:paraId="14ED686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（一）未确定中标或者成交供应商的，责令重新开展采购活动。</w:t>
      </w:r>
    </w:p>
    <w:p w14:paraId="7EA3F70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（二）已确定中标或者成交供应商但尚未签订政府采购合同的，认定中标或者成交结果无效，责令重新开展采购活动。</w:t>
      </w:r>
    </w:p>
    <w:p w14:paraId="79DCCBF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（三）政府采购合同已经签订但尚未履行的，撤销合同，责令重新开展采购活动。</w:t>
      </w:r>
    </w:p>
    <w:p w14:paraId="360A970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（四）政府采购合同已经履行，给他人造成损失的，相关当事人可依法提起诉讼，由责任人承担赔偿责任。</w:t>
      </w:r>
    </w:p>
    <w:p w14:paraId="26B2B7B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36.26</w:t>
      </w:r>
      <w:r>
        <w:rPr>
          <w:rFonts w:hint="eastAsia" w:ascii="仿宋" w:hAnsi="仿宋" w:eastAsia="仿宋" w:cs="仿宋"/>
          <w:color w:val="auto"/>
          <w:sz w:val="24"/>
          <w:highlight w:val="none"/>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14:paraId="5F90A1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（一）未确定中标或者成交供应商的，责令重新开展采购活动。</w:t>
      </w:r>
    </w:p>
    <w:p w14:paraId="2FC238C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4C9DDA9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14:paraId="7618C3D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（四）政府采购合同已经履行，给他人造成损失的，相关当事人可依法提起诉讼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由责任人承担赔偿责任。</w:t>
      </w:r>
    </w:p>
    <w:p w14:paraId="47EC50E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投诉人对废标行为提起的投诉事项成立的，财政部门应当认定废标行为无效。</w:t>
      </w:r>
    </w:p>
    <w:p w14:paraId="5D6CDC9F">
      <w:pPr>
        <w:bidi w:val="0"/>
        <w:rPr>
          <w:rFonts w:hint="eastAsia" w:ascii="仿宋" w:hAnsi="仿宋" w:eastAsia="仿宋" w:cs="仿宋"/>
          <w:b/>
          <w:bCs/>
          <w:color w:val="auto"/>
          <w:sz w:val="24"/>
          <w:szCs w:val="24"/>
          <w:highlight w:val="none"/>
        </w:rPr>
      </w:pPr>
      <w:bookmarkStart w:id="225" w:name="_Toc23384"/>
      <w:bookmarkStart w:id="226" w:name="_Toc3796"/>
      <w:bookmarkStart w:id="227" w:name="_Toc19910"/>
      <w:bookmarkStart w:id="228" w:name="_Toc29320"/>
      <w:bookmarkStart w:id="229" w:name="_Toc14412"/>
      <w:bookmarkStart w:id="230" w:name="_Toc12088"/>
      <w:bookmarkStart w:id="231" w:name="_Toc23411"/>
      <w:bookmarkStart w:id="232" w:name="_Toc29525"/>
      <w:bookmarkStart w:id="233" w:name="_Toc10326"/>
      <w:bookmarkStart w:id="234" w:name="_Toc16553"/>
      <w:bookmarkStart w:id="235" w:name="_Toc4181"/>
      <w:bookmarkStart w:id="236" w:name="_Toc12693"/>
      <w:bookmarkStart w:id="237" w:name="_Toc32049"/>
      <w:bookmarkStart w:id="238" w:name="_Toc8353"/>
      <w:bookmarkStart w:id="239" w:name="_Toc30093"/>
      <w:bookmarkStart w:id="240" w:name="_Toc11297"/>
      <w:bookmarkStart w:id="241" w:name="_Toc25636"/>
      <w:bookmarkStart w:id="242" w:name="_Toc13698"/>
      <w:bookmarkStart w:id="243" w:name="_Toc9437"/>
      <w:bookmarkStart w:id="244" w:name="_Toc27601"/>
      <w:bookmarkStart w:id="245" w:name="_Toc14893"/>
    </w:p>
    <w:p w14:paraId="1512E7AE">
      <w:pPr>
        <w:bidi w:val="0"/>
        <w:rPr>
          <w:rFonts w:hint="eastAsia" w:ascii="仿宋" w:hAnsi="仿宋" w:eastAsia="仿宋" w:cs="仿宋"/>
          <w:b/>
          <w:bCs/>
          <w:color w:val="auto"/>
          <w:sz w:val="24"/>
          <w:szCs w:val="24"/>
          <w:highlight w:val="none"/>
        </w:rPr>
      </w:pPr>
    </w:p>
    <w:p w14:paraId="634B3EA0">
      <w:pPr>
        <w:bidi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质疑函范本</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67237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一、质疑供应商基本信息</w:t>
      </w:r>
    </w:p>
    <w:p w14:paraId="4EC399F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3D19EA4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邮编：</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6EC3CA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403883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29420B8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6F3E47A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0B7E62E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二、质疑项目基本情况</w:t>
      </w:r>
    </w:p>
    <w:p w14:paraId="6E0BD9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30BEA67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770B592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129F9E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5497517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三、质疑事项具体内容</w:t>
      </w:r>
    </w:p>
    <w:p w14:paraId="260E753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03D1EFA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事实依据：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62160BA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230F1615">
      <w:pPr>
        <w:spacing w:line="240" w:lineRule="atLeast"/>
        <w:ind w:left="900" w:hanging="900" w:hangingChars="375"/>
        <w:rPr>
          <w:rFonts w:hint="eastAsia" w:ascii="仿宋" w:hAnsi="仿宋" w:eastAsia="仿宋" w:cs="仿宋"/>
          <w:color w:val="auto"/>
          <w:sz w:val="24"/>
          <w:highlight w:val="none"/>
        </w:rPr>
      </w:pPr>
    </w:p>
    <w:p w14:paraId="18509E2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2B85CFD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912CE5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质疑事项2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1E6BE76E">
      <w:pPr>
        <w:pStyle w:val="27"/>
        <w:rPr>
          <w:rFonts w:hint="eastAsia" w:ascii="仿宋" w:hAnsi="仿宋" w:eastAsia="仿宋" w:cs="仿宋"/>
          <w:color w:val="auto"/>
          <w:highlight w:val="none"/>
        </w:rPr>
      </w:pPr>
    </w:p>
    <w:p w14:paraId="43C9972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四、与质疑事项相关的质疑请求</w:t>
      </w:r>
    </w:p>
    <w:p w14:paraId="23243BE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 xml:space="preserve"> </w:t>
      </w:r>
    </w:p>
    <w:p w14:paraId="78BCB6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E7A80A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043BD82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53E8F65">
      <w:pPr>
        <w:pStyle w:val="5"/>
        <w:spacing w:before="0" w:line="240" w:lineRule="atLeast"/>
        <w:jc w:val="both"/>
        <w:rPr>
          <w:rFonts w:hint="eastAsia" w:ascii="仿宋" w:hAnsi="仿宋" w:eastAsia="仿宋" w:cs="仿宋"/>
          <w:color w:val="auto"/>
          <w:szCs w:val="24"/>
          <w:highlight w:val="none"/>
        </w:rPr>
      </w:pPr>
      <w:r>
        <w:rPr>
          <w:rFonts w:hint="eastAsia" w:ascii="仿宋" w:hAnsi="仿宋" w:eastAsia="仿宋" w:cs="仿宋"/>
          <w:color w:val="auto"/>
          <w:sz w:val="24"/>
          <w:highlight w:val="none"/>
        </w:rPr>
        <w:br w:type="page"/>
      </w:r>
      <w:bookmarkStart w:id="246" w:name="_Toc21748"/>
      <w:bookmarkStart w:id="247" w:name="_Toc7530"/>
      <w:bookmarkStart w:id="248" w:name="_Toc9814"/>
      <w:bookmarkStart w:id="249" w:name="_Toc16186"/>
      <w:bookmarkStart w:id="250" w:name="_Toc515647799"/>
      <w:r>
        <w:rPr>
          <w:rFonts w:hint="eastAsia" w:ascii="仿宋" w:hAnsi="仿宋" w:eastAsia="仿宋" w:cs="仿宋"/>
          <w:color w:val="auto"/>
          <w:szCs w:val="24"/>
          <w:highlight w:val="none"/>
        </w:rPr>
        <w:t>附件1：履约保证金保函（格式）</w:t>
      </w:r>
      <w:bookmarkEnd w:id="246"/>
      <w:bookmarkEnd w:id="247"/>
      <w:bookmarkEnd w:id="248"/>
      <w:bookmarkEnd w:id="249"/>
      <w:bookmarkEnd w:id="250"/>
    </w:p>
    <w:p w14:paraId="509FC6E4">
      <w:pPr>
        <w:spacing w:line="240" w:lineRule="atLeast"/>
        <w:ind w:left="900" w:hanging="787" w:hangingChars="375"/>
        <w:rPr>
          <w:rFonts w:hint="eastAsia" w:ascii="仿宋" w:hAnsi="仿宋" w:eastAsia="仿宋" w:cs="仿宋"/>
          <w:color w:val="auto"/>
          <w:szCs w:val="24"/>
          <w:highlight w:val="none"/>
        </w:rPr>
      </w:pPr>
    </w:p>
    <w:p w14:paraId="2A51CAA7">
      <w:pPr>
        <w:pStyle w:val="17"/>
        <w:spacing w:line="240" w:lineRule="atLeast"/>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14:paraId="5C039EE1">
      <w:pPr>
        <w:pStyle w:val="17"/>
        <w:spacing w:line="240" w:lineRule="atLeast"/>
        <w:ind w:left="1079" w:leftChars="257" w:hanging="540"/>
        <w:rPr>
          <w:rFonts w:hint="eastAsia" w:ascii="仿宋" w:hAnsi="仿宋" w:eastAsia="仿宋" w:cs="仿宋"/>
          <w:b/>
          <w:color w:val="auto"/>
          <w:sz w:val="24"/>
          <w:highlight w:val="none"/>
        </w:rPr>
      </w:pPr>
    </w:p>
    <w:p w14:paraId="24B5FAB1">
      <w:pPr>
        <w:pStyle w:val="17"/>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买方名称</w:t>
      </w:r>
      <w:r>
        <w:rPr>
          <w:rFonts w:hint="eastAsia" w:ascii="仿宋" w:hAnsi="仿宋" w:eastAsia="仿宋" w:cs="仿宋"/>
          <w:i/>
          <w:color w:val="auto"/>
          <w:sz w:val="24"/>
          <w:highlight w:val="none"/>
          <w:u w:val="single"/>
          <w:lang w:eastAsia="zh-CN"/>
        </w:rPr>
        <w:t>）</w:t>
      </w:r>
    </w:p>
    <w:p w14:paraId="306BF403">
      <w:pPr>
        <w:pStyle w:val="17"/>
        <w:spacing w:line="240" w:lineRule="atLeast"/>
        <w:ind w:left="107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14:paraId="56ED6CA6">
      <w:pPr>
        <w:pStyle w:val="17"/>
        <w:spacing w:line="240" w:lineRule="atLeast"/>
        <w:ind w:left="1079" w:leftChars="257" w:hanging="540"/>
        <w:jc w:val="center"/>
        <w:rPr>
          <w:rFonts w:hint="eastAsia" w:ascii="仿宋" w:hAnsi="仿宋" w:eastAsia="仿宋" w:cs="仿宋"/>
          <w:color w:val="auto"/>
          <w:sz w:val="24"/>
          <w:highlight w:val="none"/>
        </w:rPr>
      </w:pPr>
    </w:p>
    <w:p w14:paraId="3F7A9E39">
      <w:pPr>
        <w:pStyle w:val="17"/>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卖方名称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以下简称卖方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以下简称项目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项下提供</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lang w:eastAsia="zh-CN"/>
        </w:rPr>
        <w:t>服务</w:t>
      </w:r>
      <w:r>
        <w:rPr>
          <w:rFonts w:hint="eastAsia" w:ascii="仿宋" w:hAnsi="仿宋" w:eastAsia="仿宋" w:cs="仿宋"/>
          <w:i/>
          <w:color w:val="auto"/>
          <w:sz w:val="24"/>
          <w:highlight w:val="none"/>
          <w:u w:val="single"/>
        </w:rPr>
        <w:t>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以下简称货物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签订的</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合同号</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号合同的履约保函。</w:t>
      </w:r>
    </w:p>
    <w:p w14:paraId="393F1397">
      <w:pPr>
        <w:pStyle w:val="17"/>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以下简称银行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无条件地、不可撤销地具结保证本行、其继承人和受让人无追索地向贵方以</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货币名称</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支付总额不超过</w:t>
      </w:r>
      <w:r>
        <w:rPr>
          <w:rFonts w:hint="eastAsia" w:ascii="仿宋" w:hAnsi="仿宋" w:eastAsia="仿宋" w:cs="仿宋"/>
          <w:color w:val="auto"/>
          <w:sz w:val="24"/>
          <w:highlight w:val="none"/>
          <w:lang w:eastAsia="zh-CN"/>
        </w:rPr>
        <w:t>（</w:t>
      </w:r>
      <w:r>
        <w:rPr>
          <w:rFonts w:hint="eastAsia" w:ascii="仿宋" w:hAnsi="仿宋" w:eastAsia="仿宋" w:cs="仿宋"/>
          <w:i/>
          <w:color w:val="auto"/>
          <w:sz w:val="24"/>
          <w:highlight w:val="none"/>
          <w:u w:val="single"/>
        </w:rPr>
        <w:t>货币数量</w:t>
      </w:r>
      <w:r>
        <w:rPr>
          <w:rFonts w:hint="eastAsia" w:ascii="仿宋" w:hAnsi="仿宋" w:eastAsia="仿宋" w:cs="仿宋"/>
          <w:i/>
          <w:color w:val="auto"/>
          <w:sz w:val="24"/>
          <w:highlight w:val="none"/>
          <w:u w:val="single"/>
          <w:lang w:eastAsia="zh-CN"/>
        </w:rPr>
        <w:t>），</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并以此约定如下</w:t>
      </w:r>
      <w:r>
        <w:rPr>
          <w:rFonts w:hint="eastAsia" w:ascii="仿宋" w:hAnsi="仿宋" w:eastAsia="仿宋" w:cs="仿宋"/>
          <w:color w:val="auto"/>
          <w:sz w:val="24"/>
          <w:highlight w:val="none"/>
          <w:lang w:eastAsia="zh-CN"/>
        </w:rPr>
        <w:t>：</w:t>
      </w:r>
    </w:p>
    <w:p w14:paraId="63290EC6">
      <w:pPr>
        <w:pStyle w:val="17"/>
        <w:spacing w:line="240" w:lineRule="atLeast"/>
        <w:ind w:left="539"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包括更改和/或修补贵方认为有缺陷的货物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以下简称违约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无论卖方有任何反对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本行将凭贵方关于卖方违约说明的书面通知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立即按贵方提出的累计总额不超过上述金额的</w:t>
      </w:r>
      <w:r>
        <w:rPr>
          <w:rFonts w:hint="eastAsia" w:ascii="仿宋" w:hAnsi="仿宋" w:eastAsia="仿宋" w:cs="仿宋"/>
          <w:color w:val="auto"/>
          <w:sz w:val="24"/>
          <w:highlight w:val="none"/>
          <w:lang w:eastAsia="zh-CN"/>
        </w:rPr>
        <w:t>款项</w:t>
      </w:r>
      <w:r>
        <w:rPr>
          <w:rFonts w:hint="eastAsia" w:ascii="仿宋" w:hAnsi="仿宋" w:eastAsia="仿宋" w:cs="仿宋"/>
          <w:color w:val="auto"/>
          <w:sz w:val="24"/>
          <w:highlight w:val="none"/>
        </w:rPr>
        <w:t>按贵方通知规定的方</w:t>
      </w:r>
      <w:r>
        <w:rPr>
          <w:rFonts w:hint="eastAsia" w:ascii="仿宋" w:hAnsi="仿宋" w:eastAsia="仿宋" w:cs="仿宋"/>
          <w:color w:val="auto"/>
          <w:sz w:val="24"/>
          <w:highlight w:val="none"/>
          <w:lang w:eastAsia="zh-CN"/>
        </w:rPr>
        <w:t>式支</w:t>
      </w:r>
      <w:r>
        <w:rPr>
          <w:rFonts w:hint="eastAsia" w:ascii="仿宋" w:hAnsi="仿宋" w:eastAsia="仿宋" w:cs="仿宋"/>
          <w:color w:val="auto"/>
          <w:sz w:val="24"/>
          <w:highlight w:val="none"/>
        </w:rPr>
        <w:t>付给贵方。</w:t>
      </w:r>
    </w:p>
    <w:p w14:paraId="66925195">
      <w:pPr>
        <w:pStyle w:val="17"/>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6125316D">
      <w:pPr>
        <w:pStyle w:val="17"/>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w:t>
      </w:r>
      <w:r>
        <w:rPr>
          <w:rFonts w:hint="eastAsia" w:ascii="仿宋" w:hAnsi="仿宋" w:eastAsia="仿宋" w:cs="仿宋"/>
          <w:color w:val="auto"/>
          <w:sz w:val="24"/>
          <w:highlight w:val="none"/>
          <w:lang w:eastAsia="zh-CN"/>
        </w:rPr>
        <w:t>，或</w:t>
      </w:r>
      <w:r>
        <w:rPr>
          <w:rFonts w:hint="eastAsia" w:ascii="仿宋" w:hAnsi="仿宋" w:eastAsia="仿宋" w:cs="仿宋"/>
          <w:color w:val="auto"/>
          <w:sz w:val="24"/>
          <w:highlight w:val="none"/>
        </w:rPr>
        <w:t>由贵方采取的如果没有本款可能免除本行责任的任何其它行为，均不能解除或免除本行在本保函项下的责任。</w:t>
      </w:r>
    </w:p>
    <w:p w14:paraId="30DE7FD5">
      <w:pPr>
        <w:pStyle w:val="17"/>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14:paraId="6840E874">
      <w:pPr>
        <w:pStyle w:val="17"/>
        <w:spacing w:line="240" w:lineRule="atLeast"/>
        <w:ind w:left="1079" w:leftChars="257" w:hanging="540"/>
        <w:rPr>
          <w:rFonts w:hint="eastAsia" w:ascii="仿宋" w:hAnsi="仿宋" w:eastAsia="仿宋" w:cs="仿宋"/>
          <w:color w:val="auto"/>
          <w:sz w:val="24"/>
          <w:highlight w:val="none"/>
        </w:rPr>
      </w:pPr>
    </w:p>
    <w:p w14:paraId="5D1FEE0C">
      <w:pPr>
        <w:pStyle w:val="17"/>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14:paraId="144080E8">
      <w:pPr>
        <w:pStyle w:val="17"/>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14:paraId="303B56CA">
      <w:pPr>
        <w:pStyle w:val="17"/>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14:paraId="3FDD7424">
      <w:pPr>
        <w:pStyle w:val="17"/>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14:paraId="5602C1E6">
      <w:pPr>
        <w:pStyle w:val="17"/>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2ABF8BC9">
      <w:pPr>
        <w:pStyle w:val="5"/>
        <w:spacing w:before="0" w:line="240" w:lineRule="atLeast"/>
        <w:ind w:left="1079"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251" w:name="_Toc10951"/>
      <w:bookmarkStart w:id="252" w:name="_Toc515647800"/>
      <w:bookmarkStart w:id="253" w:name="_Toc20393"/>
      <w:bookmarkStart w:id="254" w:name="_Toc6548"/>
      <w:r>
        <w:rPr>
          <w:rFonts w:hint="eastAsia" w:ascii="仿宋" w:hAnsi="仿宋" w:eastAsia="仿宋" w:cs="仿宋"/>
          <w:color w:val="auto"/>
          <w:szCs w:val="24"/>
          <w:highlight w:val="none"/>
        </w:rPr>
        <w:t>附件2：履约担保函格式</w:t>
      </w:r>
      <w:bookmarkEnd w:id="251"/>
      <w:bookmarkEnd w:id="252"/>
      <w:bookmarkEnd w:id="253"/>
      <w:bookmarkEnd w:id="254"/>
    </w:p>
    <w:p w14:paraId="1BFF3DBE">
      <w:pPr>
        <w:pStyle w:val="5"/>
        <w:spacing w:before="0" w:line="240" w:lineRule="atLeast"/>
        <w:ind w:left="1079" w:leftChars="257" w:hanging="540"/>
        <w:rPr>
          <w:rFonts w:hint="eastAsia" w:ascii="仿宋" w:hAnsi="仿宋" w:eastAsia="仿宋" w:cs="仿宋"/>
          <w:b w:val="0"/>
          <w:color w:val="auto"/>
          <w:highlight w:val="none"/>
        </w:rPr>
      </w:pPr>
      <w:bookmarkStart w:id="255" w:name="_Toc13962"/>
      <w:bookmarkStart w:id="256" w:name="_Toc162"/>
      <w:bookmarkStart w:id="257" w:name="_Toc24505"/>
      <w:bookmarkStart w:id="258" w:name="_Toc515647801"/>
      <w:r>
        <w:rPr>
          <w:rFonts w:hint="eastAsia" w:ascii="仿宋" w:hAnsi="仿宋" w:eastAsia="仿宋" w:cs="仿宋"/>
          <w:color w:val="auto"/>
          <w:szCs w:val="24"/>
          <w:highlight w:val="none"/>
        </w:rPr>
        <w:t>（采用政府采购信用担保形式时使用）</w:t>
      </w:r>
      <w:bookmarkEnd w:id="255"/>
      <w:bookmarkEnd w:id="256"/>
      <w:bookmarkEnd w:id="257"/>
      <w:bookmarkEnd w:id="258"/>
    </w:p>
    <w:p w14:paraId="76733C60">
      <w:pPr>
        <w:spacing w:line="240" w:lineRule="atLeast"/>
        <w:ind w:left="1079" w:leftChars="257" w:hanging="540"/>
        <w:rPr>
          <w:rFonts w:hint="eastAsia" w:ascii="仿宋" w:hAnsi="仿宋" w:eastAsia="仿宋" w:cs="仿宋"/>
          <w:b/>
          <w:color w:val="auto"/>
          <w:kern w:val="0"/>
          <w:sz w:val="24"/>
          <w:szCs w:val="20"/>
          <w:highlight w:val="none"/>
        </w:rPr>
      </w:pPr>
    </w:p>
    <w:p w14:paraId="3B8D667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14:paraId="26C6B274">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14:paraId="2ED5EFCD">
      <w:pPr>
        <w:rPr>
          <w:rFonts w:hint="eastAsia" w:ascii="仿宋" w:hAnsi="仿宋" w:eastAsia="仿宋" w:cs="仿宋"/>
          <w:color w:val="auto"/>
          <w:sz w:val="24"/>
          <w:highlight w:val="none"/>
        </w:rPr>
      </w:pPr>
    </w:p>
    <w:p w14:paraId="4685AB99">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14:paraId="2F59F4D0">
      <w:pPr>
        <w:rPr>
          <w:rFonts w:hint="eastAsia" w:ascii="仿宋" w:hAnsi="仿宋" w:eastAsia="仿宋" w:cs="仿宋"/>
          <w:color w:val="auto"/>
          <w:sz w:val="24"/>
          <w:highlight w:val="none"/>
        </w:rPr>
      </w:pPr>
    </w:p>
    <w:p w14:paraId="05D8198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签订</w:t>
      </w:r>
      <w:r>
        <w:rPr>
          <w:rFonts w:hint="eastAsia" w:ascii="仿宋" w:hAnsi="仿宋" w:eastAsia="仿宋" w:cs="仿宋"/>
          <w:color w:val="auto"/>
          <w:sz w:val="24"/>
          <w:highlight w:val="none"/>
        </w:rPr>
        <w:t>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1BEFAA7">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403FAB8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5AAD8AA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6E50E12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将中标项目转让给他人，或者在投标文件中未说明，且未经采购招标</w:t>
      </w:r>
      <w:r>
        <w:rPr>
          <w:rFonts w:hint="eastAsia" w:ascii="仿宋" w:hAnsi="仿宋" w:eastAsia="仿宋" w:cs="仿宋"/>
          <w:color w:val="auto"/>
          <w:sz w:val="24"/>
          <w:highlight w:val="none"/>
          <w:lang w:eastAsia="zh-CN"/>
        </w:rPr>
        <w:t>机构</w:t>
      </w:r>
      <w:r>
        <w:rPr>
          <w:rFonts w:hint="eastAsia" w:ascii="仿宋" w:hAnsi="仿宋" w:eastAsia="仿宋" w:cs="仿宋"/>
          <w:color w:val="auto"/>
          <w:sz w:val="24"/>
          <w:highlight w:val="none"/>
        </w:rPr>
        <w:t>同意，将中标项目分包给他人的；</w:t>
      </w:r>
    </w:p>
    <w:p w14:paraId="2CB9BAE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主合同约定的应当缴纳履约保证金的情形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7FF0895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165DDD1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p>
    <w:p w14:paraId="329A74A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2022EA5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5ACC618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0F72189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763A01F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14:paraId="73A58D4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569B7DE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你方要求我方承担保证责任的，应在本保函保证期间内向我方发出书面索赔通知。索赔通知应写明要求索赔的金额，支付款项应到达</w:t>
      </w:r>
      <w:r>
        <w:rPr>
          <w:rFonts w:hint="eastAsia" w:ascii="仿宋" w:hAnsi="仿宋" w:eastAsia="仿宋" w:cs="仿宋"/>
          <w:color w:val="auto"/>
          <w:sz w:val="24"/>
          <w:highlight w:val="none"/>
          <w:lang w:eastAsia="zh-CN"/>
        </w:rPr>
        <w:t>的账号</w:t>
      </w:r>
      <w:r>
        <w:rPr>
          <w:rFonts w:hint="eastAsia" w:ascii="仿宋" w:hAnsi="仿宋" w:eastAsia="仿宋" w:cs="仿宋"/>
          <w:color w:val="auto"/>
          <w:sz w:val="24"/>
          <w:highlight w:val="none"/>
        </w:rPr>
        <w:t>。并附有证明供应商违约事实的证明材料。</w:t>
      </w:r>
    </w:p>
    <w:p w14:paraId="69B5C39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14:paraId="7534A8C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 xml:space="preserve">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07BEC4E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348F371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保证期间届满你方未向我方书面主张保证责任的，自保证期间届满次日起，我方保证责任自动终止。保证期间届满前，主合同约定的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\工程\服务全部验收合格的，自验收合</w:t>
      </w:r>
      <w:r>
        <w:rPr>
          <w:rFonts w:hint="eastAsia" w:ascii="仿宋" w:hAnsi="仿宋" w:eastAsia="仿宋" w:cs="仿宋"/>
          <w:color w:val="auto"/>
          <w:sz w:val="24"/>
          <w:highlight w:val="none"/>
          <w:lang w:eastAsia="zh-CN"/>
        </w:rPr>
        <w:t>格之</w:t>
      </w:r>
      <w:r>
        <w:rPr>
          <w:rFonts w:hint="eastAsia" w:ascii="仿宋" w:hAnsi="仿宋" w:eastAsia="仿宋" w:cs="仿宋"/>
          <w:color w:val="auto"/>
          <w:sz w:val="24"/>
          <w:highlight w:val="none"/>
        </w:rPr>
        <w:t>日起，我方保证责任自动终止。</w:t>
      </w:r>
    </w:p>
    <w:p w14:paraId="6079F40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我方按照本保函向你方履行了保证责任后，自我方向你方支付款项（支付款项从我方账户划出）之日起，保证责任即终止。</w:t>
      </w:r>
    </w:p>
    <w:p w14:paraId="316CD4F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按照法律法规的规定或出现应终止我方保证责任的</w:t>
      </w:r>
      <w:r>
        <w:rPr>
          <w:rFonts w:hint="eastAsia" w:ascii="仿宋" w:hAnsi="仿宋" w:eastAsia="仿宋" w:cs="仿宋"/>
          <w:color w:val="auto"/>
          <w:sz w:val="24"/>
          <w:highlight w:val="none"/>
          <w:lang w:eastAsia="zh-CN"/>
        </w:rPr>
        <w:t>其他情形的</w:t>
      </w:r>
      <w:r>
        <w:rPr>
          <w:rFonts w:hint="eastAsia" w:ascii="仿宋" w:hAnsi="仿宋" w:eastAsia="仿宋" w:cs="仿宋"/>
          <w:color w:val="auto"/>
          <w:sz w:val="24"/>
          <w:highlight w:val="none"/>
        </w:rPr>
        <w:t>，我方在本保函项下的保证责任亦终止。</w:t>
      </w:r>
    </w:p>
    <w:p w14:paraId="3F0C02B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285F2D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6732975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因你方违反主合同约定致使供应商不能履行义务的，我方不承担保证责任。</w:t>
      </w:r>
    </w:p>
    <w:p w14:paraId="0A96220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依照法律法规的规定或你方与供应商的另行约定，全部或者部分免除供应商应缴纳的保证金义务的，我方亦免除相应的保证责任。</w:t>
      </w:r>
    </w:p>
    <w:p w14:paraId="23D9427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因不可抗力造成供应商不能履行供货义务的，我方不承担保证责任。</w:t>
      </w:r>
    </w:p>
    <w:p w14:paraId="3499A57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67B108E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131C0AA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63B9C21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62B75557">
      <w:pPr>
        <w:rPr>
          <w:rFonts w:hint="eastAsia" w:ascii="仿宋" w:hAnsi="仿宋" w:eastAsia="仿宋" w:cs="仿宋"/>
          <w:color w:val="auto"/>
          <w:sz w:val="24"/>
          <w:highlight w:val="none"/>
        </w:rPr>
      </w:pPr>
    </w:p>
    <w:p w14:paraId="0EB12A6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CCF80FD">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14:paraId="28EF85ED">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7CE4577">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1F00365">
      <w:pPr>
        <w:pStyle w:val="11"/>
        <w:spacing w:line="240" w:lineRule="atLeast"/>
        <w:ind w:firstLine="0"/>
        <w:rPr>
          <w:rFonts w:hint="eastAsia" w:ascii="仿宋" w:hAnsi="仿宋" w:eastAsia="仿宋" w:cs="仿宋"/>
          <w:color w:val="auto"/>
          <w:kern w:val="2"/>
          <w:szCs w:val="24"/>
          <w:highlight w:val="none"/>
        </w:rPr>
      </w:pPr>
      <w:r>
        <w:rPr>
          <w:rFonts w:hint="eastAsia" w:ascii="仿宋" w:hAnsi="仿宋" w:eastAsia="仿宋" w:cs="仿宋"/>
          <w:b/>
          <w:color w:val="auto"/>
          <w:highlight w:val="none"/>
        </w:rPr>
        <w:br w:type="page"/>
      </w:r>
    </w:p>
    <w:p w14:paraId="160C813F">
      <w:pPr>
        <w:pStyle w:val="4"/>
        <w:bidi w:val="0"/>
        <w:rPr>
          <w:rFonts w:hint="eastAsia" w:ascii="仿宋" w:hAnsi="仿宋" w:eastAsia="仿宋" w:cs="仿宋"/>
          <w:color w:val="auto"/>
          <w:highlight w:val="none"/>
        </w:rPr>
      </w:pPr>
      <w:bookmarkStart w:id="259" w:name="_Toc702"/>
      <w:bookmarkStart w:id="260" w:name="_Toc515647802"/>
      <w:bookmarkStart w:id="261" w:name="_Toc2007"/>
      <w:bookmarkStart w:id="262" w:name="_Toc728"/>
      <w:bookmarkStart w:id="263" w:name="_Toc216582812"/>
      <w:r>
        <w:rPr>
          <w:rFonts w:hint="eastAsia" w:ascii="仿宋" w:hAnsi="仿宋" w:eastAsia="仿宋" w:cs="仿宋"/>
          <w:color w:val="auto"/>
          <w:highlight w:val="none"/>
          <w:lang w:eastAsia="zh-CN"/>
        </w:rPr>
        <w:t>第</w:t>
      </w:r>
      <w:r>
        <w:rPr>
          <w:rFonts w:hint="eastAsia" w:ascii="仿宋" w:hAnsi="仿宋" w:eastAsia="仿宋" w:cs="仿宋"/>
          <w:color w:val="auto"/>
          <w:highlight w:val="none"/>
          <w:lang w:val="en-US" w:eastAsia="zh-CN"/>
        </w:rPr>
        <w:t xml:space="preserve">2章    </w:t>
      </w:r>
      <w:r>
        <w:rPr>
          <w:rFonts w:hint="eastAsia" w:ascii="仿宋" w:hAnsi="仿宋" w:eastAsia="仿宋" w:cs="仿宋"/>
          <w:color w:val="auto"/>
          <w:highlight w:val="none"/>
        </w:rPr>
        <w:t>投标文件格式</w:t>
      </w:r>
      <w:bookmarkEnd w:id="259"/>
      <w:bookmarkEnd w:id="260"/>
      <w:bookmarkEnd w:id="261"/>
      <w:bookmarkEnd w:id="262"/>
      <w:bookmarkEnd w:id="263"/>
    </w:p>
    <w:p w14:paraId="3DCD7385">
      <w:pPr>
        <w:spacing w:line="240" w:lineRule="atLeast"/>
        <w:ind w:left="735" w:leftChars="350" w:firstLine="120" w:firstLineChars="50"/>
        <w:rPr>
          <w:rFonts w:hint="eastAsia" w:ascii="仿宋" w:hAnsi="仿宋" w:eastAsia="仿宋" w:cs="仿宋"/>
          <w:color w:val="auto"/>
          <w:sz w:val="24"/>
          <w:highlight w:val="none"/>
        </w:rPr>
      </w:pPr>
    </w:p>
    <w:p w14:paraId="6B0BD328">
      <w:pPr>
        <w:pStyle w:val="5"/>
        <w:spacing w:before="0" w:line="240" w:lineRule="atLeast"/>
        <w:ind w:left="1079" w:leftChars="257" w:hanging="540"/>
        <w:rPr>
          <w:rFonts w:hint="eastAsia" w:ascii="仿宋" w:hAnsi="仿宋" w:eastAsia="仿宋" w:cs="仿宋"/>
          <w:color w:val="auto"/>
          <w:sz w:val="24"/>
          <w:highlight w:val="none"/>
        </w:rPr>
      </w:pPr>
      <w:bookmarkStart w:id="264" w:name="_Toc24707"/>
      <w:bookmarkStart w:id="265" w:name="_Toc18694"/>
      <w:bookmarkStart w:id="266" w:name="_Toc18974"/>
      <w:bookmarkStart w:id="267" w:name="_Toc515647803"/>
      <w:r>
        <w:rPr>
          <w:rFonts w:hint="eastAsia" w:ascii="仿宋" w:hAnsi="仿宋" w:eastAsia="仿宋" w:cs="仿宋"/>
          <w:color w:val="auto"/>
          <w:sz w:val="24"/>
          <w:highlight w:val="none"/>
        </w:rPr>
        <w:t>第一部分 开标一览表及资格证明文件</w:t>
      </w:r>
      <w:bookmarkEnd w:id="264"/>
      <w:bookmarkEnd w:id="265"/>
      <w:bookmarkEnd w:id="266"/>
      <w:bookmarkEnd w:id="267"/>
    </w:p>
    <w:p w14:paraId="1DF728F4">
      <w:pPr>
        <w:spacing w:line="240" w:lineRule="atLeast"/>
        <w:ind w:left="708" w:hanging="708" w:hangingChars="295"/>
        <w:jc w:val="center"/>
        <w:rPr>
          <w:rFonts w:hint="eastAsia" w:ascii="仿宋" w:hAnsi="仿宋" w:eastAsia="仿宋" w:cs="仿宋"/>
          <w:color w:val="auto"/>
          <w:sz w:val="24"/>
          <w:highlight w:val="none"/>
        </w:rPr>
      </w:pPr>
    </w:p>
    <w:p w14:paraId="040FDCDC">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开标一览表（见投标文件格式一）</w:t>
      </w:r>
      <w:r>
        <w:rPr>
          <w:rFonts w:hint="eastAsia" w:ascii="仿宋" w:hAnsi="仿宋" w:eastAsia="仿宋" w:cs="仿宋"/>
          <w:color w:val="auto"/>
          <w:sz w:val="24"/>
          <w:highlight w:val="none"/>
          <w:lang w:eastAsia="zh-CN"/>
        </w:rPr>
        <w:t>；</w:t>
      </w:r>
    </w:p>
    <w:p w14:paraId="7B984EC8">
      <w:pPr>
        <w:tabs>
          <w:tab w:val="left" w:pos="5580"/>
        </w:tabs>
        <w:spacing w:line="360" w:lineRule="auto"/>
        <w:ind w:left="1" w:firstLine="564" w:firstLineChars="23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w:t>
      </w:r>
      <w:r>
        <w:rPr>
          <w:rFonts w:hint="eastAsia" w:ascii="仿宋" w:hAnsi="仿宋" w:eastAsia="仿宋" w:cs="仿宋"/>
          <w:color w:val="auto"/>
          <w:sz w:val="24"/>
          <w:highlight w:val="none"/>
          <w:lang w:eastAsia="zh-CN"/>
        </w:rPr>
        <w:t>位公</w:t>
      </w:r>
      <w:r>
        <w:rPr>
          <w:rFonts w:hint="eastAsia" w:ascii="仿宋" w:hAnsi="仿宋" w:eastAsia="仿宋" w:cs="仿宋"/>
          <w:color w:val="auto"/>
          <w:sz w:val="24"/>
          <w:highlight w:val="none"/>
        </w:rPr>
        <w:t>章）或自然人的身份证明复印件</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 xml:space="preserve">     3.</w:t>
      </w:r>
      <w:r>
        <w:rPr>
          <w:rFonts w:hint="eastAsia" w:ascii="仿宋" w:hAnsi="仿宋" w:eastAsia="仿宋" w:cs="仿宋"/>
          <w:color w:val="auto"/>
          <w:kern w:val="2"/>
          <w:sz w:val="24"/>
          <w:szCs w:val="24"/>
          <w:highlight w:val="none"/>
          <w:lang w:val="en-US" w:eastAsia="zh-CN" w:bidi="ar-SA"/>
        </w:rPr>
        <w:t>投标单位需具有测绘乙级及以上（含乙级）资质;</w:t>
      </w:r>
    </w:p>
    <w:p w14:paraId="05B5C362">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法定代表人身份证明或法定代表人授权委托书及被授权人身份证； </w:t>
      </w:r>
    </w:p>
    <w:p w14:paraId="3169E078">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近期（投标截止日期前六个月内任意一个月）依法缴纳社会保障金的缴费证明或银行出具的“银行电子缴纳社会保障金付款凭证”（新成立公司提供相关证明文件）</w:t>
      </w:r>
      <w:r>
        <w:rPr>
          <w:rFonts w:hint="eastAsia" w:ascii="仿宋" w:hAnsi="仿宋" w:eastAsia="仿宋" w:cs="仿宋"/>
          <w:color w:val="auto"/>
          <w:sz w:val="24"/>
          <w:highlight w:val="none"/>
        </w:rPr>
        <w:t xml:space="preserve"> ；</w:t>
      </w:r>
    </w:p>
    <w:p w14:paraId="3B5D62CF">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近期（</w:t>
      </w:r>
      <w:r>
        <w:rPr>
          <w:rFonts w:hint="eastAsia" w:ascii="仿宋" w:hAnsi="仿宋" w:eastAsia="仿宋" w:cs="仿宋"/>
          <w:color w:val="auto"/>
          <w:sz w:val="24"/>
          <w:highlight w:val="none"/>
          <w:lang w:eastAsia="zh-CN"/>
        </w:rPr>
        <w:t>投标截止日期前六个月内任意一个月</w:t>
      </w:r>
      <w:r>
        <w:rPr>
          <w:rFonts w:hint="eastAsia" w:ascii="仿宋" w:hAnsi="仿宋" w:eastAsia="仿宋" w:cs="仿宋"/>
          <w:color w:val="auto"/>
          <w:sz w:val="24"/>
          <w:highlight w:val="none"/>
        </w:rPr>
        <w:t>）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7A9919DC">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7.提供2024年或2025年任意一年完整的财务审计报告（成立未满十二个月的新公司可提供近三个月内任意一个月的银行资信证明））；</w:t>
      </w:r>
    </w:p>
    <w:p w14:paraId="49B2DED6">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5B57B1BC">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9.提供参加政府采购活动前3年内在经营活动中没有重大违法记录的书面声明；</w:t>
      </w:r>
    </w:p>
    <w:p w14:paraId="2508F21B">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10.提供针对本次项目《反商业贿赂承诺书》；</w:t>
      </w:r>
    </w:p>
    <w:p w14:paraId="5960DF2A">
      <w:pPr>
        <w:tabs>
          <w:tab w:val="left" w:pos="5580"/>
        </w:tabs>
        <w:spacing w:line="360" w:lineRule="auto"/>
        <w:ind w:left="1" w:firstLine="564" w:firstLineChars="23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必须具有履行合同所必需的设备和专业技术能力；</w:t>
      </w:r>
    </w:p>
    <w:p w14:paraId="238575A8">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12.本项目不接受联合体投标；</w:t>
      </w:r>
    </w:p>
    <w:p w14:paraId="5D5FD6D9">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13.投标保证金缴纳证明或保函；</w:t>
      </w:r>
    </w:p>
    <w:p w14:paraId="331CFF77">
      <w:pPr>
        <w:tabs>
          <w:tab w:val="left" w:pos="5580"/>
        </w:tabs>
        <w:spacing w:line="240" w:lineRule="atLeast"/>
        <w:ind w:left="1" w:firstLine="564" w:firstLineChars="235"/>
        <w:rPr>
          <w:rFonts w:hint="eastAsia" w:ascii="仿宋" w:hAnsi="仿宋" w:eastAsia="仿宋" w:cs="仿宋"/>
          <w:b/>
          <w:bCs/>
          <w:kern w:val="2"/>
          <w:sz w:val="24"/>
          <w:szCs w:val="24"/>
          <w:lang w:val="en-US" w:eastAsia="zh-CN" w:bidi="ar"/>
        </w:rPr>
      </w:pPr>
    </w:p>
    <w:p w14:paraId="53E47E34">
      <w:pPr>
        <w:tabs>
          <w:tab w:val="left" w:pos="5580"/>
        </w:tabs>
        <w:spacing w:line="240" w:lineRule="atLeast"/>
        <w:ind w:left="1" w:firstLine="564" w:firstLineChars="235"/>
        <w:rPr>
          <w:rFonts w:hint="eastAsia" w:ascii="仿宋" w:hAnsi="仿宋" w:eastAsia="仿宋" w:cs="仿宋"/>
          <w:color w:val="auto"/>
          <w:sz w:val="24"/>
          <w:highlight w:val="none"/>
        </w:rPr>
      </w:pPr>
    </w:p>
    <w:p w14:paraId="4C3C84C2">
      <w:pPr>
        <w:tabs>
          <w:tab w:val="left" w:pos="5580"/>
        </w:tabs>
        <w:spacing w:line="240" w:lineRule="atLeast"/>
        <w:ind w:left="1" w:firstLine="564" w:firstLineChars="235"/>
        <w:rPr>
          <w:rFonts w:hint="eastAsia" w:ascii="仿宋" w:hAnsi="仿宋" w:eastAsia="仿宋" w:cs="仿宋"/>
          <w:color w:val="auto"/>
          <w:sz w:val="24"/>
          <w:highlight w:val="none"/>
        </w:rPr>
      </w:pPr>
    </w:p>
    <w:p w14:paraId="477985FE">
      <w:pPr>
        <w:tabs>
          <w:tab w:val="left" w:pos="5580"/>
        </w:tabs>
        <w:spacing w:line="240" w:lineRule="atLeast"/>
        <w:ind w:left="1" w:firstLine="564" w:firstLineChars="235"/>
        <w:rPr>
          <w:rFonts w:hint="eastAsia" w:ascii="仿宋" w:hAnsi="仿宋" w:eastAsia="仿宋" w:cs="仿宋"/>
          <w:color w:val="auto"/>
          <w:sz w:val="24"/>
          <w:highlight w:val="none"/>
        </w:rPr>
      </w:pPr>
    </w:p>
    <w:p w14:paraId="33382764">
      <w:pPr>
        <w:pStyle w:val="5"/>
        <w:bidi w:val="0"/>
        <w:spacing w:before="0" w:line="240" w:lineRule="auto"/>
        <w:jc w:val="center"/>
        <w:rPr>
          <w:rFonts w:hint="eastAsia" w:ascii="仿宋" w:hAnsi="仿宋" w:eastAsia="仿宋" w:cs="仿宋"/>
          <w:color w:val="auto"/>
          <w:sz w:val="24"/>
          <w:highlight w:val="none"/>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268" w:name="_Toc30524"/>
      <w:bookmarkStart w:id="269" w:name="_Toc16568"/>
      <w:bookmarkStart w:id="270" w:name="_Toc515647804"/>
    </w:p>
    <w:p w14:paraId="1E7EC98A">
      <w:pPr>
        <w:pStyle w:val="5"/>
        <w:bidi w:val="0"/>
        <w:spacing w:before="0" w:line="240" w:lineRule="auto"/>
        <w:jc w:val="center"/>
        <w:rPr>
          <w:rFonts w:hint="eastAsia" w:ascii="仿宋" w:hAnsi="仿宋" w:eastAsia="仿宋" w:cs="仿宋"/>
          <w:color w:val="auto"/>
          <w:sz w:val="24"/>
          <w:highlight w:val="none"/>
        </w:rPr>
      </w:pPr>
      <w:bookmarkStart w:id="271" w:name="_Toc5529"/>
      <w:r>
        <w:rPr>
          <w:rFonts w:hint="eastAsia" w:ascii="仿宋" w:hAnsi="仿宋" w:eastAsia="仿宋" w:cs="仿宋"/>
          <w:color w:val="auto"/>
          <w:sz w:val="24"/>
          <w:highlight w:val="none"/>
        </w:rPr>
        <w:t>1  开标一览表（投标文件格式一）</w:t>
      </w:r>
      <w:bookmarkEnd w:id="268"/>
      <w:bookmarkEnd w:id="269"/>
      <w:bookmarkEnd w:id="270"/>
      <w:bookmarkEnd w:id="271"/>
    </w:p>
    <w:p w14:paraId="58D4D74F">
      <w:pPr>
        <w:pStyle w:val="17"/>
        <w:tabs>
          <w:tab w:val="left" w:pos="5580"/>
        </w:tabs>
        <w:spacing w:line="240" w:lineRule="atLeast"/>
        <w:ind w:left="268" w:leftChars="128"/>
        <w:rPr>
          <w:rFonts w:hint="eastAsia" w:ascii="仿宋" w:hAnsi="仿宋" w:eastAsia="仿宋" w:cs="仿宋"/>
          <w:color w:val="auto"/>
          <w:sz w:val="24"/>
          <w:highlight w:val="none"/>
        </w:rPr>
      </w:pPr>
    </w:p>
    <w:p w14:paraId="2000D9DE">
      <w:pPr>
        <w:pStyle w:val="17"/>
        <w:tabs>
          <w:tab w:val="left" w:pos="5580"/>
        </w:tabs>
        <w:spacing w:line="240" w:lineRule="atLeast"/>
        <w:ind w:left="268" w:leftChars="128"/>
        <w:rPr>
          <w:rFonts w:hint="eastAsia" w:ascii="仿宋" w:hAnsi="仿宋" w:eastAsia="仿宋" w:cs="仿宋"/>
          <w:color w:val="auto"/>
          <w:sz w:val="24"/>
          <w:szCs w:val="24"/>
          <w:highlight w:val="none"/>
        </w:rPr>
      </w:pPr>
    </w:p>
    <w:p w14:paraId="19A27606">
      <w:pPr>
        <w:pStyle w:val="11"/>
        <w:tabs>
          <w:tab w:val="left" w:pos="5580"/>
        </w:tabs>
        <w:spacing w:line="240" w:lineRule="atLeast"/>
        <w:ind w:left="1079" w:leftChars="257" w:hanging="540"/>
        <w:jc w:val="center"/>
        <w:rPr>
          <w:rFonts w:hint="eastAsia" w:ascii="仿宋" w:hAnsi="仿宋" w:eastAsia="仿宋" w:cs="仿宋"/>
          <w:b/>
          <w:color w:val="auto"/>
          <w:highlight w:val="none"/>
        </w:rPr>
      </w:pPr>
      <w:bookmarkStart w:id="272" w:name="_Hlt520356241"/>
      <w:bookmarkEnd w:id="272"/>
      <w:bookmarkStart w:id="273" w:name="_Toc494296984"/>
      <w:bookmarkStart w:id="274" w:name="_Toc216582813"/>
      <w:bookmarkStart w:id="275" w:name="_Ref467988698"/>
      <w:bookmarkStart w:id="276" w:name="_Toc480942349"/>
      <w:bookmarkStart w:id="277" w:name="_Toc520356217"/>
      <w:r>
        <w:rPr>
          <w:rFonts w:hint="eastAsia" w:ascii="仿宋" w:hAnsi="仿宋" w:eastAsia="仿宋" w:cs="仿宋"/>
          <w:b/>
          <w:color w:val="auto"/>
          <w:highlight w:val="none"/>
        </w:rPr>
        <w:t>开标一览表</w:t>
      </w:r>
      <w:bookmarkEnd w:id="273"/>
      <w:r>
        <w:rPr>
          <w:rFonts w:hint="eastAsia" w:ascii="仿宋" w:hAnsi="仿宋" w:eastAsia="仿宋" w:cs="仿宋"/>
          <w:b/>
          <w:color w:val="auto"/>
          <w:highlight w:val="none"/>
        </w:rPr>
        <w:cr/>
      </w:r>
    </w:p>
    <w:p w14:paraId="09FA9235">
      <w:pPr>
        <w:pStyle w:val="11"/>
        <w:tabs>
          <w:tab w:val="left" w:pos="5580"/>
        </w:tabs>
        <w:spacing w:line="240" w:lineRule="atLeast"/>
        <w:ind w:left="1079" w:leftChars="257" w:hanging="540"/>
        <w:rPr>
          <w:rFonts w:hint="eastAsia" w:ascii="仿宋" w:hAnsi="仿宋" w:eastAsia="仿宋" w:cs="仿宋"/>
          <w:color w:val="auto"/>
          <w:highlight w:val="none"/>
        </w:rPr>
      </w:pPr>
    </w:p>
    <w:p w14:paraId="5121D817">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14:paraId="3EC526E3">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w:t>
      </w:r>
      <w:r>
        <w:rPr>
          <w:rFonts w:hint="eastAsia" w:ascii="仿宋" w:hAnsi="仿宋" w:eastAsia="仿宋" w:cs="仿宋"/>
          <w:b/>
          <w:color w:val="auto"/>
          <w:sz w:val="24"/>
          <w:highlight w:val="none"/>
        </w:rPr>
        <w:t>万元</w:t>
      </w:r>
    </w:p>
    <w:tbl>
      <w:tblPr>
        <w:tblStyle w:val="40"/>
        <w:tblW w:w="9155" w:type="dxa"/>
        <w:tblInd w:w="-61" w:type="dxa"/>
        <w:tblLayout w:type="fixed"/>
        <w:tblCellMar>
          <w:top w:w="0" w:type="dxa"/>
          <w:left w:w="0" w:type="dxa"/>
          <w:bottom w:w="0" w:type="dxa"/>
          <w:right w:w="0" w:type="dxa"/>
        </w:tblCellMar>
      </w:tblPr>
      <w:tblGrid>
        <w:gridCol w:w="1420"/>
        <w:gridCol w:w="2340"/>
        <w:gridCol w:w="1518"/>
        <w:gridCol w:w="1250"/>
        <w:gridCol w:w="1498"/>
        <w:gridCol w:w="1129"/>
      </w:tblGrid>
      <w:tr w14:paraId="41661353">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31ADFD2C">
            <w:pPr>
              <w:keepNext w:val="0"/>
              <w:keepLines w:val="0"/>
              <w:suppressLineNumbers w:val="0"/>
              <w:tabs>
                <w:tab w:val="left" w:pos="5580"/>
              </w:tabs>
              <w:spacing w:before="0" w:beforeAutospacing="0" w:after="0" w:afterAutospacing="0" w:line="240" w:lineRule="atLeast"/>
              <w:ind w:left="0"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14:paraId="78DB0B18">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518" w:type="dxa"/>
            <w:tcBorders>
              <w:top w:val="single" w:color="auto" w:sz="8" w:space="0"/>
              <w:left w:val="nil"/>
              <w:bottom w:val="single" w:color="auto" w:sz="8" w:space="0"/>
              <w:right w:val="single" w:color="auto" w:sz="4" w:space="0"/>
            </w:tcBorders>
            <w:noWrap w:val="0"/>
            <w:vAlign w:val="center"/>
          </w:tcPr>
          <w:p w14:paraId="23D47282">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1250" w:type="dxa"/>
            <w:tcBorders>
              <w:top w:val="single" w:color="auto" w:sz="8" w:space="0"/>
              <w:left w:val="nil"/>
              <w:bottom w:val="single" w:color="auto" w:sz="8" w:space="0"/>
              <w:right w:val="single" w:color="auto" w:sz="4" w:space="0"/>
            </w:tcBorders>
            <w:noWrap w:val="0"/>
            <w:vAlign w:val="center"/>
          </w:tcPr>
          <w:p w14:paraId="2EC78B7F">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履约期限</w:t>
            </w:r>
          </w:p>
        </w:tc>
        <w:tc>
          <w:tcPr>
            <w:tcW w:w="1498" w:type="dxa"/>
            <w:tcBorders>
              <w:top w:val="single" w:color="auto" w:sz="8" w:space="0"/>
              <w:left w:val="nil"/>
              <w:bottom w:val="single" w:color="auto" w:sz="8" w:space="0"/>
              <w:right w:val="single" w:color="auto" w:sz="4" w:space="0"/>
            </w:tcBorders>
            <w:noWrap w:val="0"/>
            <w:vAlign w:val="center"/>
          </w:tcPr>
          <w:p w14:paraId="21AA86E9">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14:paraId="2A581A9B">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F8D5FC0">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564C0C39">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14:paraId="7D9C0F67">
            <w:pPr>
              <w:keepNext w:val="0"/>
              <w:keepLines w:val="0"/>
              <w:suppressLineNumbers w:val="0"/>
              <w:tabs>
                <w:tab w:val="left" w:pos="5580"/>
              </w:tabs>
              <w:spacing w:before="0" w:beforeAutospacing="0" w:after="0" w:afterAutospacing="0" w:line="240" w:lineRule="atLeas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4D338E7F">
            <w:pPr>
              <w:keepNext w:val="0"/>
              <w:keepLines w:val="0"/>
              <w:suppressLineNumbers w:val="0"/>
              <w:tabs>
                <w:tab w:val="left" w:pos="5580"/>
              </w:tabs>
              <w:spacing w:before="0" w:beforeAutospacing="0" w:after="0" w:afterAutospacing="0" w:line="240" w:lineRule="atLeas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518" w:type="dxa"/>
            <w:tcBorders>
              <w:top w:val="single" w:color="auto" w:sz="8" w:space="0"/>
              <w:left w:val="nil"/>
              <w:bottom w:val="single" w:color="auto" w:sz="4" w:space="0"/>
              <w:right w:val="single" w:color="auto" w:sz="4" w:space="0"/>
            </w:tcBorders>
            <w:noWrap w:val="0"/>
            <w:vAlign w:val="center"/>
          </w:tcPr>
          <w:p w14:paraId="1C344B9A">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1250" w:type="dxa"/>
            <w:tcBorders>
              <w:top w:val="single" w:color="auto" w:sz="8" w:space="0"/>
              <w:left w:val="nil"/>
              <w:bottom w:val="single" w:color="auto" w:sz="4" w:space="0"/>
              <w:right w:val="single" w:color="auto" w:sz="4" w:space="0"/>
            </w:tcBorders>
            <w:noWrap w:val="0"/>
            <w:vAlign w:val="center"/>
          </w:tcPr>
          <w:p w14:paraId="65F88025">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1498" w:type="dxa"/>
            <w:tcBorders>
              <w:top w:val="single" w:color="auto" w:sz="8" w:space="0"/>
              <w:left w:val="nil"/>
              <w:bottom w:val="single" w:color="auto" w:sz="4" w:space="0"/>
              <w:right w:val="single" w:color="auto" w:sz="4" w:space="0"/>
            </w:tcBorders>
            <w:noWrap w:val="0"/>
            <w:vAlign w:val="center"/>
          </w:tcPr>
          <w:p w14:paraId="399DCA09">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14:paraId="45779376">
            <w:pPr>
              <w:keepNext w:val="0"/>
              <w:keepLines w:val="0"/>
              <w:suppressLineNumbers w:val="0"/>
              <w:tabs>
                <w:tab w:val="left" w:pos="5580"/>
              </w:tabs>
              <w:spacing w:before="0" w:beforeAutospacing="0" w:after="0" w:afterAutospacing="0" w:line="240" w:lineRule="atLeast"/>
              <w:ind w:left="1079" w:leftChars="257" w:right="0" w:hanging="540"/>
              <w:jc w:val="center"/>
              <w:rPr>
                <w:rFonts w:hint="eastAsia" w:ascii="仿宋" w:hAnsi="仿宋" w:eastAsia="仿宋" w:cs="仿宋"/>
                <w:color w:val="auto"/>
                <w:sz w:val="24"/>
                <w:highlight w:val="none"/>
                <w:lang w:eastAsia="zh-CN"/>
              </w:rPr>
            </w:pPr>
          </w:p>
        </w:tc>
      </w:tr>
    </w:tbl>
    <w:p w14:paraId="361D112F">
      <w:pPr>
        <w:pStyle w:val="17"/>
        <w:tabs>
          <w:tab w:val="left" w:pos="5580"/>
        </w:tabs>
        <w:spacing w:line="240" w:lineRule="atLeast"/>
        <w:ind w:left="1079" w:leftChars="257" w:hanging="540"/>
        <w:rPr>
          <w:rFonts w:hint="eastAsia" w:ascii="仿宋" w:hAnsi="仿宋" w:eastAsia="仿宋" w:cs="仿宋"/>
          <w:color w:val="auto"/>
          <w:sz w:val="24"/>
          <w:highlight w:val="none"/>
        </w:rPr>
      </w:pPr>
    </w:p>
    <w:p w14:paraId="463A916C">
      <w:pPr>
        <w:pStyle w:val="17"/>
        <w:tabs>
          <w:tab w:val="left" w:pos="5580"/>
        </w:tabs>
        <w:spacing w:line="240" w:lineRule="atLeast"/>
        <w:ind w:left="1079" w:leftChars="257" w:hanging="540"/>
        <w:rPr>
          <w:rFonts w:hint="eastAsia" w:ascii="仿宋" w:hAnsi="仿宋" w:eastAsia="仿宋" w:cs="仿宋"/>
          <w:color w:val="auto"/>
          <w:sz w:val="24"/>
          <w:highlight w:val="none"/>
          <w:u w:val="single"/>
        </w:rPr>
      </w:pPr>
    </w:p>
    <w:p w14:paraId="4C11DE0A">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A7D89FC">
      <w:pPr>
        <w:pStyle w:val="17"/>
        <w:tabs>
          <w:tab w:val="left" w:pos="5580"/>
        </w:tabs>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w:t>
      </w:r>
      <w:r>
        <w:rPr>
          <w:rFonts w:hint="eastAsia" w:ascii="仿宋" w:hAnsi="仿宋" w:eastAsia="仿宋" w:cs="仿宋"/>
          <w:color w:val="auto"/>
          <w:sz w:val="24"/>
          <w:highlight w:val="none"/>
          <w:lang w:eastAsia="zh-CN"/>
        </w:rPr>
        <w:t>理人（</w:t>
      </w:r>
      <w:r>
        <w:rPr>
          <w:rFonts w:hint="eastAsia" w:ascii="仿宋" w:hAnsi="仿宋" w:eastAsia="仿宋" w:cs="仿宋"/>
          <w:color w:val="auto"/>
          <w:sz w:val="24"/>
          <w:highlight w:val="none"/>
          <w:lang w:val="en-US" w:eastAsia="zh-CN"/>
        </w:rPr>
        <w:t>CA</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ab/>
      </w:r>
    </w:p>
    <w:p w14:paraId="419957D7">
      <w:pPr>
        <w:pStyle w:val="17"/>
        <w:tabs>
          <w:tab w:val="left" w:pos="5580"/>
        </w:tabs>
        <w:spacing w:line="240" w:lineRule="atLeast"/>
        <w:ind w:left="1079" w:leftChars="257" w:hanging="540"/>
        <w:rPr>
          <w:rFonts w:hint="eastAsia" w:ascii="仿宋" w:hAnsi="仿宋" w:eastAsia="仿宋" w:cs="仿宋"/>
          <w:color w:val="auto"/>
          <w:sz w:val="24"/>
          <w:highlight w:val="none"/>
        </w:rPr>
      </w:pPr>
    </w:p>
    <w:p w14:paraId="11A15546">
      <w:pPr>
        <w:pStyle w:val="17"/>
        <w:tabs>
          <w:tab w:val="left" w:pos="5580"/>
        </w:tabs>
        <w:spacing w:line="240" w:lineRule="atLeast"/>
        <w:ind w:left="1079" w:leftChars="257" w:hanging="540"/>
        <w:rPr>
          <w:rFonts w:hint="eastAsia" w:ascii="仿宋" w:hAnsi="仿宋" w:eastAsia="仿宋" w:cs="仿宋"/>
          <w:color w:val="auto"/>
          <w:sz w:val="24"/>
          <w:highlight w:val="none"/>
        </w:rPr>
      </w:pPr>
    </w:p>
    <w:p w14:paraId="070A9762">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1、此表应按</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的规定</w:t>
      </w:r>
      <w:r>
        <w:rPr>
          <w:rFonts w:hint="eastAsia" w:ascii="仿宋" w:hAnsi="仿宋" w:eastAsia="仿宋" w:cs="仿宋"/>
          <w:color w:val="auto"/>
          <w:sz w:val="24"/>
          <w:highlight w:val="none"/>
          <w:lang w:val="en-US" w:eastAsia="zh-CN"/>
        </w:rPr>
        <w:t>填写</w:t>
      </w:r>
      <w:r>
        <w:rPr>
          <w:rFonts w:hint="eastAsia" w:ascii="仿宋" w:hAnsi="仿宋" w:eastAsia="仿宋" w:cs="仿宋"/>
          <w:color w:val="auto"/>
          <w:sz w:val="24"/>
          <w:highlight w:val="none"/>
        </w:rPr>
        <w:t>。</w:t>
      </w:r>
    </w:p>
    <w:p w14:paraId="718B647F">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此表中，每包的投标总价应和投标分项报价表的总价相一致。</w:t>
      </w:r>
    </w:p>
    <w:p w14:paraId="5529A425">
      <w:pP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p>
    <w:p w14:paraId="6E9E0520">
      <w:pPr>
        <w:pStyle w:val="17"/>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5E93747A">
      <w:pPr>
        <w:pStyle w:val="5"/>
        <w:spacing w:before="0" w:line="240" w:lineRule="atLeast"/>
        <w:ind w:left="1079" w:leftChars="257" w:hanging="540"/>
        <w:rPr>
          <w:rFonts w:hint="eastAsia" w:ascii="仿宋" w:hAnsi="仿宋" w:eastAsia="仿宋" w:cs="仿宋"/>
          <w:color w:val="auto"/>
          <w:sz w:val="24"/>
          <w:highlight w:val="none"/>
        </w:rPr>
      </w:pPr>
      <w:bookmarkStart w:id="278" w:name="_Toc29899"/>
      <w:bookmarkStart w:id="279" w:name="_Toc17577"/>
      <w:bookmarkStart w:id="280" w:name="_Toc515647805"/>
      <w:bookmarkStart w:id="281" w:name="_Toc25204"/>
      <w:r>
        <w:rPr>
          <w:rFonts w:hint="eastAsia" w:ascii="仿宋" w:hAnsi="仿宋" w:eastAsia="仿宋" w:cs="仿宋"/>
          <w:color w:val="auto"/>
          <w:sz w:val="24"/>
          <w:highlight w:val="none"/>
        </w:rPr>
        <w:t xml:space="preserve">2  </w:t>
      </w:r>
      <w:bookmarkEnd w:id="278"/>
      <w:bookmarkEnd w:id="279"/>
      <w:bookmarkEnd w:id="280"/>
      <w:r>
        <w:rPr>
          <w:rFonts w:hint="eastAsia" w:ascii="仿宋" w:hAnsi="仿宋" w:eastAsia="仿宋" w:cs="仿宋"/>
          <w:color w:val="auto"/>
          <w:sz w:val="24"/>
          <w:highlight w:val="none"/>
          <w:lang w:eastAsia="zh-CN"/>
        </w:rPr>
        <w:t>法人或者非法人组织的营业执照等证明文件或自然人的身份证明</w:t>
      </w:r>
      <w:bookmarkEnd w:id="281"/>
    </w:p>
    <w:p w14:paraId="1C9BB072">
      <w:pPr>
        <w:pStyle w:val="17"/>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6EB6FD9D">
      <w:pPr>
        <w:pStyle w:val="17"/>
        <w:tabs>
          <w:tab w:val="left" w:pos="5580"/>
        </w:tabs>
        <w:spacing w:line="240" w:lineRule="atLeast"/>
        <w:ind w:left="1079" w:leftChars="257" w:hanging="540"/>
        <w:rPr>
          <w:rFonts w:hint="eastAsia" w:ascii="仿宋" w:hAnsi="仿宋" w:eastAsia="仿宋" w:cs="仿宋"/>
          <w:b/>
          <w:color w:val="auto"/>
          <w:sz w:val="24"/>
          <w:highlight w:val="none"/>
        </w:rPr>
      </w:pPr>
    </w:p>
    <w:p w14:paraId="16D9CC1B">
      <w:pPr>
        <w:pStyle w:val="17"/>
        <w:tabs>
          <w:tab w:val="left" w:pos="5580"/>
        </w:tabs>
        <w:spacing w:line="240" w:lineRule="atLeast"/>
        <w:ind w:left="1079" w:leftChars="257" w:hanging="540"/>
        <w:rPr>
          <w:rFonts w:hint="eastAsia" w:ascii="仿宋" w:hAnsi="仿宋" w:eastAsia="仿宋" w:cs="仿宋"/>
          <w:b/>
          <w:color w:val="auto"/>
          <w:sz w:val="24"/>
          <w:highlight w:val="none"/>
        </w:rPr>
      </w:pPr>
    </w:p>
    <w:p w14:paraId="6408A5A5">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说明：1.提供有效的营业执照复印件，复印件上应加盖本单位章。</w:t>
      </w:r>
    </w:p>
    <w:p w14:paraId="002AEC21">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2.投标人为自然人的，应提供身份证明的复印件。</w:t>
      </w:r>
    </w:p>
    <w:p w14:paraId="311E0D7A">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14:paraId="5CFF6209">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4DD25406">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58B516B6">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0B331931">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6A2E688A">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69070F03">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00785F74">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1F26ECB8">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69AE563C">
      <w:pPr>
        <w:tabs>
          <w:tab w:val="left" w:pos="5580"/>
        </w:tabs>
        <w:spacing w:line="360" w:lineRule="auto"/>
        <w:ind w:left="1" w:firstLine="564" w:firstLineChars="235"/>
        <w:rPr>
          <w:rFonts w:hint="eastAsia" w:ascii="仿宋" w:hAnsi="仿宋" w:eastAsia="仿宋" w:cs="仿宋"/>
          <w:color w:val="auto"/>
          <w:sz w:val="24"/>
          <w:highlight w:val="none"/>
          <w:lang w:val="en-US" w:eastAsia="zh-CN"/>
        </w:rPr>
      </w:pPr>
    </w:p>
    <w:p w14:paraId="61C60960">
      <w:pPr>
        <w:tabs>
          <w:tab w:val="left" w:pos="5580"/>
        </w:tabs>
        <w:spacing w:line="360" w:lineRule="auto"/>
        <w:ind w:left="1" w:firstLine="564" w:firstLineChars="23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kern w:val="0"/>
          <w:sz w:val="24"/>
          <w:szCs w:val="20"/>
          <w:highlight w:val="none"/>
          <w:lang w:val="en-US" w:eastAsia="zh-CN" w:bidi="ar-SA"/>
        </w:rPr>
        <w:t>3.投标单位需具有测绘乙级及以上（含乙级）资质;</w:t>
      </w:r>
    </w:p>
    <w:p w14:paraId="4E3CE431">
      <w:pPr>
        <w:pStyle w:val="17"/>
        <w:tabs>
          <w:tab w:val="left" w:pos="5580"/>
        </w:tabs>
        <w:spacing w:line="240" w:lineRule="atLeast"/>
        <w:ind w:left="1079" w:leftChars="257" w:hanging="540"/>
        <w:rPr>
          <w:rFonts w:hint="eastAsia" w:ascii="仿宋" w:hAnsi="仿宋" w:eastAsia="仿宋" w:cs="仿宋"/>
          <w:color w:val="auto"/>
          <w:sz w:val="24"/>
          <w:highlight w:val="none"/>
        </w:rPr>
      </w:pPr>
    </w:p>
    <w:p w14:paraId="4879B6F0">
      <w:pPr>
        <w:pStyle w:val="17"/>
        <w:tabs>
          <w:tab w:val="left" w:pos="5580"/>
        </w:tabs>
        <w:spacing w:line="240" w:lineRule="atLeast"/>
        <w:ind w:left="107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73FE15E">
      <w:pPr>
        <w:pStyle w:val="5"/>
        <w:spacing w:before="0" w:line="240" w:lineRule="atLeast"/>
        <w:ind w:left="1079" w:leftChars="257" w:hanging="540"/>
        <w:rPr>
          <w:rFonts w:hint="eastAsia" w:ascii="仿宋" w:hAnsi="仿宋" w:eastAsia="仿宋" w:cs="仿宋"/>
          <w:sz w:val="24"/>
          <w:szCs w:val="24"/>
        </w:rPr>
      </w:pPr>
      <w:bookmarkStart w:id="282" w:name="_Toc1083"/>
      <w:bookmarkStart w:id="283" w:name="_Toc515647807"/>
      <w:bookmarkStart w:id="284" w:name="_Toc22472"/>
      <w:bookmarkStart w:id="285" w:name="_Toc31548"/>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sz w:val="24"/>
          <w:szCs w:val="24"/>
        </w:rPr>
        <w:t>法定代表人资格证明书或法人授权委托书及被授权人身份证</w:t>
      </w:r>
      <w:r>
        <w:rPr>
          <w:rFonts w:hint="eastAsia" w:ascii="仿宋" w:hAnsi="仿宋" w:eastAsia="仿宋" w:cs="仿宋"/>
          <w:sz w:val="24"/>
          <w:szCs w:val="24"/>
          <w:lang w:eastAsia="zh-CN"/>
        </w:rPr>
        <w:t>（</w:t>
      </w:r>
      <w:r>
        <w:rPr>
          <w:rFonts w:hint="eastAsia" w:ascii="仿宋" w:hAnsi="仿宋" w:eastAsia="仿宋" w:cs="仿宋"/>
          <w:color w:val="auto"/>
          <w:sz w:val="24"/>
          <w:highlight w:val="none"/>
        </w:rPr>
        <w:t>投标文件格式二，自然人投标的无需提供</w:t>
      </w:r>
      <w:r>
        <w:rPr>
          <w:rFonts w:hint="eastAsia" w:ascii="仿宋" w:hAnsi="仿宋" w:eastAsia="仿宋" w:cs="仿宋"/>
          <w:color w:val="auto"/>
          <w:sz w:val="24"/>
          <w:highlight w:val="none"/>
          <w:lang w:eastAsia="zh-CN"/>
        </w:rPr>
        <w:t>）</w:t>
      </w:r>
      <w:bookmarkEnd w:id="282"/>
      <w:bookmarkEnd w:id="283"/>
      <w:bookmarkEnd w:id="284"/>
      <w:bookmarkEnd w:id="285"/>
    </w:p>
    <w:p w14:paraId="3DEC3141">
      <w:pPr>
        <w:pStyle w:val="5"/>
        <w:spacing w:before="0" w:line="240" w:lineRule="atLeast"/>
        <w:ind w:left="1079" w:leftChars="257" w:hanging="540"/>
        <w:rPr>
          <w:rFonts w:hint="eastAsia" w:ascii="仿宋" w:hAnsi="仿宋" w:eastAsia="仿宋" w:cs="仿宋"/>
          <w:sz w:val="24"/>
          <w:szCs w:val="24"/>
        </w:rPr>
      </w:pPr>
      <w:bookmarkStart w:id="286" w:name="_Toc10185"/>
      <w:r>
        <w:rPr>
          <w:rFonts w:hint="eastAsia" w:ascii="仿宋" w:hAnsi="仿宋" w:eastAsia="仿宋" w:cs="仿宋"/>
          <w:sz w:val="24"/>
          <w:szCs w:val="24"/>
          <w:lang w:val="en-US" w:eastAsia="zh-CN"/>
        </w:rPr>
        <w:t>4</w:t>
      </w:r>
      <w:r>
        <w:rPr>
          <w:rFonts w:hint="eastAsia" w:ascii="仿宋" w:hAnsi="仿宋" w:eastAsia="仿宋" w:cs="仿宋"/>
          <w:sz w:val="24"/>
          <w:szCs w:val="24"/>
        </w:rPr>
        <w:t>.1法定代表人身份证明</w:t>
      </w:r>
      <w:bookmarkEnd w:id="286"/>
    </w:p>
    <w:p w14:paraId="7CEAFB6E">
      <w:pPr>
        <w:rPr>
          <w:rFonts w:hint="eastAsia" w:ascii="仿宋" w:hAnsi="仿宋" w:eastAsia="仿宋" w:cs="仿宋"/>
          <w:sz w:val="24"/>
        </w:rPr>
      </w:pPr>
      <w:r>
        <w:rPr>
          <w:rFonts w:hint="eastAsia" w:ascii="仿宋" w:hAnsi="仿宋" w:eastAsia="仿宋" w:cs="仿宋"/>
          <w:sz w:val="24"/>
        </w:rPr>
        <w:t xml:space="preserve">               同志，现任我单位          职务，为法定代表人，特此</w:t>
      </w:r>
      <w:r>
        <w:rPr>
          <w:rFonts w:hint="eastAsia" w:ascii="仿宋" w:hAnsi="仿宋" w:eastAsia="仿宋" w:cs="仿宋"/>
          <w:sz w:val="24"/>
          <w:lang w:eastAsia="zh-CN"/>
        </w:rPr>
        <w:t>声明</w:t>
      </w:r>
      <w:r>
        <w:rPr>
          <w:rFonts w:hint="eastAsia" w:ascii="仿宋" w:hAnsi="仿宋" w:eastAsia="仿宋" w:cs="仿宋"/>
          <w:sz w:val="24"/>
        </w:rPr>
        <w:t>。</w:t>
      </w:r>
    </w:p>
    <w:p w14:paraId="22313921">
      <w:pPr>
        <w:ind w:firstLine="240" w:firstLineChars="100"/>
        <w:rPr>
          <w:rFonts w:hint="eastAsia" w:ascii="仿宋" w:hAnsi="仿宋" w:eastAsia="仿宋" w:cs="仿宋"/>
          <w:sz w:val="24"/>
        </w:rPr>
      </w:pPr>
      <w:r>
        <w:rPr>
          <w:rFonts w:hint="eastAsia" w:ascii="仿宋" w:hAnsi="仿宋" w:eastAsia="仿宋" w:cs="仿宋"/>
          <w:sz w:val="24"/>
        </w:rPr>
        <w:t xml:space="preserve">签发日期：                  单位：         </w:t>
      </w:r>
    </w:p>
    <w:p w14:paraId="3F70161E">
      <w:pPr>
        <w:ind w:firstLine="240" w:firstLineChars="100"/>
        <w:rPr>
          <w:rFonts w:hint="eastAsia" w:ascii="仿宋" w:hAnsi="仿宋" w:eastAsia="仿宋" w:cs="仿宋"/>
          <w:sz w:val="24"/>
        </w:rPr>
      </w:pPr>
      <w:r>
        <w:rPr>
          <w:rFonts w:hint="eastAsia" w:ascii="仿宋" w:hAnsi="仿宋" w:eastAsia="仿宋" w:cs="仿宋"/>
          <w:sz w:val="24"/>
        </w:rPr>
        <w:t>附：代表人性别：            年龄：           身份证号码：</w:t>
      </w:r>
    </w:p>
    <w:p w14:paraId="6C8DA747">
      <w:pPr>
        <w:ind w:firstLine="240" w:firstLineChars="100"/>
        <w:rPr>
          <w:rFonts w:hint="eastAsia" w:ascii="仿宋" w:hAnsi="仿宋" w:eastAsia="仿宋" w:cs="仿宋"/>
          <w:sz w:val="24"/>
        </w:rPr>
      </w:pPr>
      <w:r>
        <w:rPr>
          <w:rFonts w:hint="eastAsia" w:ascii="仿宋" w:hAnsi="仿宋" w:eastAsia="仿宋" w:cs="仿宋"/>
          <w:sz w:val="24"/>
        </w:rPr>
        <w:t>联系电话：</w:t>
      </w:r>
    </w:p>
    <w:p w14:paraId="192B790B">
      <w:pPr>
        <w:ind w:firstLine="240" w:firstLineChars="100"/>
        <w:rPr>
          <w:rFonts w:hint="eastAsia" w:ascii="仿宋" w:hAnsi="仿宋" w:eastAsia="仿宋" w:cs="仿宋"/>
          <w:sz w:val="24"/>
        </w:rPr>
      </w:pPr>
      <w:r>
        <w:rPr>
          <w:rFonts w:hint="eastAsia" w:ascii="仿宋" w:hAnsi="仿宋" w:eastAsia="仿宋" w:cs="仿宋"/>
          <w:sz w:val="24"/>
        </w:rPr>
        <w:t>营业执照号码：              经济性质：</w:t>
      </w:r>
    </w:p>
    <w:p w14:paraId="1A13FD58">
      <w:pPr>
        <w:rPr>
          <w:rFonts w:hint="eastAsia" w:ascii="仿宋" w:hAnsi="仿宋" w:eastAsia="仿宋" w:cs="仿宋"/>
          <w:sz w:val="24"/>
        </w:rPr>
      </w:pPr>
      <w:r>
        <w:rPr>
          <w:rFonts w:hint="eastAsia" w:ascii="仿宋" w:hAnsi="仿宋" w:eastAsia="仿宋" w:cs="仿宋"/>
          <w:sz w:val="24"/>
        </w:rPr>
        <w:t>说明：</w:t>
      </w:r>
    </w:p>
    <w:p w14:paraId="20D16299">
      <w:pPr>
        <w:ind w:firstLine="240" w:firstLineChars="1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法定代表人为企业事业单位、国家机关、社会团体的主要行政负责人。</w:t>
      </w:r>
    </w:p>
    <w:p w14:paraId="12433537">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2.</w:t>
      </w:r>
      <w:r>
        <w:rPr>
          <w:rFonts w:hint="eastAsia" w:ascii="仿宋" w:hAnsi="仿宋" w:eastAsia="仿宋" w:cs="仿宋"/>
          <w:sz w:val="24"/>
        </w:rPr>
        <w:t>内容必须填写真实、清楚、涂改无效，不得转让。</w:t>
      </w:r>
    </w:p>
    <w:p w14:paraId="50B82BEC">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为避免废标，请供应商务必提供本附件</w:t>
      </w:r>
      <w:r>
        <w:rPr>
          <w:rFonts w:hint="eastAsia" w:ascii="仿宋" w:hAnsi="仿宋" w:eastAsia="仿宋" w:cs="仿宋"/>
          <w:sz w:val="24"/>
          <w:lang w:eastAsia="zh-CN"/>
        </w:rPr>
        <w:t>）</w:t>
      </w:r>
    </w:p>
    <w:p w14:paraId="15C30B93">
      <w:pPr>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7473F5">
                            <w:pPr>
                              <w:jc w:val="center"/>
                              <w:rPr>
                                <w:rFonts w:hAnsi="宋体"/>
                                <w:szCs w:val="21"/>
                              </w:rPr>
                            </w:pPr>
                          </w:p>
                          <w:p w14:paraId="012242D6">
                            <w:pPr>
                              <w:jc w:val="center"/>
                              <w:rPr>
                                <w:rFonts w:hAnsi="宋体"/>
                                <w:szCs w:val="21"/>
                              </w:rPr>
                            </w:pPr>
                          </w:p>
                          <w:p w14:paraId="55A38881">
                            <w:pPr>
                              <w:jc w:val="center"/>
                              <w:rPr>
                                <w:rFonts w:hAnsi="宋体"/>
                                <w:szCs w:val="21"/>
                              </w:rPr>
                            </w:pPr>
                          </w:p>
                          <w:p w14:paraId="3BFAA498">
                            <w:pPr>
                              <w:jc w:val="center"/>
                              <w:rPr>
                                <w:szCs w:val="21"/>
                              </w:rPr>
                            </w:pPr>
                            <w:r>
                              <w:rPr>
                                <w:rFonts w:hint="eastAsia" w:hAnsi="宋体"/>
                                <w:szCs w:val="21"/>
                              </w:rPr>
                              <w:t>法定代表人身份证复印件正反面</w:t>
                            </w:r>
                          </w:p>
                        </w:txbxContent>
                      </wps:txbx>
                      <wps:bodyPr vert="horz" wrap="square" anchor="t" anchorCtr="0" upright="1"/>
                    </wps:wsp>
                  </a:graphicData>
                </a:graphic>
              </wp:anchor>
            </w:drawing>
          </mc:Choice>
          <mc:Fallback>
            <w:pict>
              <v:shape id="_x0000_s1026" o:spid="_x0000_s1026" o:spt="176" type="#_x0000_t176" style="position:absolute;left:0pt;margin-left:12.15pt;margin-top:0.85pt;height:108.3pt;width:337.15pt;z-index:251660288;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uBLTjWAAAACAEAAA8AAAAAAAAA&#10;AQAgAAAAIgAAAGRycy9kb3ducmV2LnhtbFBLAQIUABQAAAAIAIdO4kBZ4P3jTAIAAJMEAAAOAAAA&#10;AAAAAAEAIAAAACUBAABkcnMvZTJvRG9jLnhtbFBLBQYAAAAABgAGAFkBAADjBQAAAAA=&#10;">
                <v:fill on="t" focussize="0,0"/>
                <v:stroke color="#000000" joinstyle="miter"/>
                <v:imagedata o:title=""/>
                <o:lock v:ext="edit" aspectratio="f"/>
                <v:textbox>
                  <w:txbxContent>
                    <w:p w14:paraId="6F7473F5">
                      <w:pPr>
                        <w:jc w:val="center"/>
                        <w:rPr>
                          <w:rFonts w:hAnsi="宋体"/>
                          <w:szCs w:val="21"/>
                        </w:rPr>
                      </w:pPr>
                    </w:p>
                    <w:p w14:paraId="012242D6">
                      <w:pPr>
                        <w:jc w:val="center"/>
                        <w:rPr>
                          <w:rFonts w:hAnsi="宋体"/>
                          <w:szCs w:val="21"/>
                        </w:rPr>
                      </w:pPr>
                    </w:p>
                    <w:p w14:paraId="55A38881">
                      <w:pPr>
                        <w:jc w:val="center"/>
                        <w:rPr>
                          <w:rFonts w:hAnsi="宋体"/>
                          <w:szCs w:val="21"/>
                        </w:rPr>
                      </w:pPr>
                    </w:p>
                    <w:p w14:paraId="3BFAA498">
                      <w:pPr>
                        <w:jc w:val="center"/>
                        <w:rPr>
                          <w:szCs w:val="21"/>
                        </w:rPr>
                      </w:pPr>
                      <w:r>
                        <w:rPr>
                          <w:rFonts w:hint="eastAsia" w:hAnsi="宋体"/>
                          <w:szCs w:val="21"/>
                        </w:rPr>
                        <w:t>法定代表人身份证复印件正反面</w:t>
                      </w:r>
                    </w:p>
                  </w:txbxContent>
                </v:textbox>
              </v:shape>
            </w:pict>
          </mc:Fallback>
        </mc:AlternateContent>
      </w:r>
    </w:p>
    <w:p w14:paraId="0BB26BA3">
      <w:pPr>
        <w:rPr>
          <w:rFonts w:hint="eastAsia" w:ascii="仿宋" w:hAnsi="仿宋" w:eastAsia="仿宋" w:cs="仿宋"/>
          <w:sz w:val="24"/>
        </w:rPr>
      </w:pPr>
    </w:p>
    <w:p w14:paraId="68AFDBF3">
      <w:pPr>
        <w:rPr>
          <w:rFonts w:hint="eastAsia" w:ascii="仿宋" w:hAnsi="仿宋" w:eastAsia="仿宋" w:cs="仿宋"/>
          <w:sz w:val="24"/>
        </w:rPr>
      </w:pPr>
    </w:p>
    <w:p w14:paraId="5044ECAE">
      <w:pPr>
        <w:autoSpaceDE w:val="0"/>
        <w:autoSpaceDN w:val="0"/>
        <w:adjustRightInd w:val="0"/>
        <w:ind w:right="246"/>
        <w:rPr>
          <w:rFonts w:hint="eastAsia" w:ascii="仿宋" w:hAnsi="仿宋" w:eastAsia="仿宋" w:cs="仿宋"/>
          <w:sz w:val="24"/>
        </w:rPr>
      </w:pPr>
    </w:p>
    <w:p w14:paraId="273394F2">
      <w:pPr>
        <w:autoSpaceDE w:val="0"/>
        <w:autoSpaceDN w:val="0"/>
        <w:adjustRightInd w:val="0"/>
        <w:ind w:right="246" w:firstLine="784" w:firstLineChars="327"/>
        <w:rPr>
          <w:rFonts w:hint="eastAsia" w:ascii="仿宋" w:hAnsi="仿宋" w:eastAsia="仿宋" w:cs="仿宋"/>
          <w:sz w:val="24"/>
        </w:rPr>
      </w:pPr>
      <w:r>
        <w:rPr>
          <w:rFonts w:hint="eastAsia" w:ascii="仿宋" w:hAnsi="仿宋" w:eastAsia="仿宋" w:cs="仿宋"/>
          <w:sz w:val="24"/>
        </w:rPr>
        <w:t xml:space="preserve">供应商（盖章）：                              </w:t>
      </w:r>
    </w:p>
    <w:p w14:paraId="07FDE70B">
      <w:pPr>
        <w:adjustRightInd w:val="0"/>
        <w:snapToGrid w:val="0"/>
        <w:ind w:firstLine="784" w:firstLineChars="327"/>
        <w:rPr>
          <w:rFonts w:hint="eastAsia" w:ascii="仿宋" w:hAnsi="仿宋" w:eastAsia="仿宋" w:cs="仿宋"/>
          <w:sz w:val="24"/>
        </w:rPr>
      </w:pPr>
    </w:p>
    <w:p w14:paraId="405FAF9C">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sz w:val="24"/>
        </w:rPr>
        <w:t>签/章</w:t>
      </w:r>
      <w:r>
        <w:rPr>
          <w:rFonts w:hint="eastAsia" w:ascii="仿宋" w:hAnsi="仿宋" w:eastAsia="仿宋" w:cs="仿宋"/>
          <w:sz w:val="24"/>
          <w:lang w:eastAsia="zh-CN"/>
        </w:rPr>
        <w:t>）</w:t>
      </w:r>
      <w:r>
        <w:rPr>
          <w:rFonts w:hint="eastAsia" w:ascii="仿宋" w:hAnsi="仿宋" w:eastAsia="仿宋" w:cs="仿宋"/>
          <w:sz w:val="24"/>
        </w:rPr>
        <w:t xml:space="preserve">： </w:t>
      </w:r>
    </w:p>
    <w:p w14:paraId="588A5C4D">
      <w:pPr>
        <w:pStyle w:val="17"/>
        <w:tabs>
          <w:tab w:val="left" w:pos="5370"/>
        </w:tabs>
        <w:spacing w:line="240" w:lineRule="atLeast"/>
        <w:ind w:left="1155" w:leftChars="371" w:hanging="376" w:hangingChars="157"/>
        <w:rPr>
          <w:rFonts w:hint="eastAsia" w:ascii="仿宋" w:hAnsi="仿宋" w:eastAsia="仿宋" w:cs="仿宋"/>
          <w:sz w:val="24"/>
          <w:szCs w:val="24"/>
        </w:rPr>
      </w:pPr>
    </w:p>
    <w:p w14:paraId="43F1C511">
      <w:pPr>
        <w:pStyle w:val="17"/>
        <w:tabs>
          <w:tab w:val="left" w:pos="5370"/>
        </w:tabs>
        <w:spacing w:line="240" w:lineRule="atLeast"/>
        <w:ind w:left="1155" w:leftChars="371" w:hanging="376" w:hangingChars="157"/>
        <w:rPr>
          <w:rFonts w:hint="eastAsia" w:ascii="仿宋" w:hAnsi="仿宋" w:eastAsia="仿宋" w:cs="仿宋"/>
          <w:sz w:val="24"/>
          <w:szCs w:val="24"/>
        </w:rPr>
      </w:pPr>
    </w:p>
    <w:p w14:paraId="6D6E6828">
      <w:pPr>
        <w:pStyle w:val="17"/>
        <w:tabs>
          <w:tab w:val="left" w:pos="5370"/>
        </w:tabs>
        <w:spacing w:line="240" w:lineRule="atLeast"/>
        <w:ind w:left="1155" w:leftChars="371" w:hanging="376" w:hangingChars="157"/>
        <w:rPr>
          <w:rFonts w:hint="eastAsia"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sz w:val="24"/>
          <w:szCs w:val="24"/>
          <w:u w:val="single"/>
        </w:rPr>
        <w:tab/>
      </w:r>
      <w:r>
        <w:rPr>
          <w:rFonts w:hint="eastAsia" w:ascii="仿宋" w:hAnsi="仿宋" w:eastAsia="仿宋" w:cs="仿宋"/>
          <w:sz w:val="24"/>
        </w:rPr>
        <w:t xml:space="preserve"> </w:t>
      </w:r>
    </w:p>
    <w:p w14:paraId="09D2C56E">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 xml:space="preserve">                  </w:t>
      </w:r>
    </w:p>
    <w:p w14:paraId="2CE2B94E">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 xml:space="preserve">日期：                                       </w:t>
      </w:r>
    </w:p>
    <w:p w14:paraId="513E7684">
      <w:pPr>
        <w:pStyle w:val="17"/>
        <w:tabs>
          <w:tab w:val="left" w:pos="5580"/>
        </w:tabs>
        <w:rPr>
          <w:rFonts w:hint="eastAsia" w:ascii="仿宋" w:hAnsi="仿宋" w:eastAsia="仿宋" w:cs="仿宋"/>
          <w:sz w:val="24"/>
          <w:szCs w:val="24"/>
        </w:rPr>
      </w:pPr>
      <w:r>
        <w:rPr>
          <w:rFonts w:hint="eastAsia" w:ascii="仿宋" w:hAnsi="仿宋" w:eastAsia="仿宋" w:cs="仿宋"/>
          <w:sz w:val="24"/>
          <w:szCs w:val="24"/>
        </w:rPr>
        <w:t>说明：1.提供有效的营业执照等证明文件复印件，复印件上应加盖本单位章。</w:t>
      </w:r>
    </w:p>
    <w:p w14:paraId="7C0201D3">
      <w:pPr>
        <w:pStyle w:val="17"/>
        <w:tabs>
          <w:tab w:val="left" w:pos="5580"/>
        </w:tabs>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  2. 供应商为自然人的，应提供身份证明的复印件。</w:t>
      </w:r>
    </w:p>
    <w:p w14:paraId="02A3B322">
      <w:pPr>
        <w:pStyle w:val="17"/>
        <w:tabs>
          <w:tab w:val="left" w:pos="5580"/>
        </w:tabs>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  3.联合体</w:t>
      </w:r>
      <w:r>
        <w:rPr>
          <w:rFonts w:hint="eastAsia" w:ascii="仿宋" w:hAnsi="仿宋" w:eastAsia="仿宋" w:cs="仿宋"/>
          <w:sz w:val="24"/>
          <w:szCs w:val="24"/>
          <w:lang w:eastAsia="zh-CN"/>
        </w:rPr>
        <w:t>投标</w:t>
      </w:r>
      <w:r>
        <w:rPr>
          <w:rFonts w:hint="eastAsia" w:ascii="仿宋" w:hAnsi="仿宋" w:eastAsia="仿宋" w:cs="仿宋"/>
          <w:sz w:val="24"/>
          <w:szCs w:val="24"/>
        </w:rPr>
        <w:t>应提供联合体各方满足以上要求的证明文件。</w:t>
      </w:r>
      <w:bookmarkStart w:id="287" w:name="_Toc16635"/>
      <w:bookmarkStart w:id="288" w:name="_Toc8491"/>
      <w:bookmarkStart w:id="289" w:name="_Toc21867"/>
      <w:bookmarkStart w:id="290" w:name="_Toc5436"/>
      <w:bookmarkStart w:id="291" w:name="_Toc6829"/>
      <w:bookmarkStart w:id="292" w:name="_Toc16640"/>
      <w:bookmarkStart w:id="293" w:name="_Toc4926"/>
      <w:bookmarkStart w:id="294" w:name="_Toc7748"/>
      <w:bookmarkStart w:id="295" w:name="_Toc17981"/>
      <w:bookmarkStart w:id="296" w:name="_Toc13107"/>
      <w:bookmarkStart w:id="297" w:name="_Toc27943"/>
      <w:bookmarkStart w:id="298" w:name="_Toc4082"/>
      <w:bookmarkStart w:id="299" w:name="_Toc14483"/>
    </w:p>
    <w:p w14:paraId="255C4C05">
      <w:pPr>
        <w:rPr>
          <w:rFonts w:hint="eastAsia" w:ascii="仿宋" w:hAnsi="仿宋" w:eastAsia="仿宋" w:cs="仿宋"/>
          <w:sz w:val="24"/>
        </w:rPr>
      </w:pPr>
      <w:r>
        <w:rPr>
          <w:rFonts w:hint="eastAsia" w:ascii="仿宋" w:hAnsi="仿宋" w:eastAsia="仿宋" w:cs="仿宋"/>
          <w:sz w:val="24"/>
        </w:rPr>
        <w:br w:type="page"/>
      </w:r>
    </w:p>
    <w:p w14:paraId="363F114D">
      <w:pPr>
        <w:pStyle w:val="17"/>
        <w:tabs>
          <w:tab w:val="left" w:pos="5580"/>
        </w:tabs>
        <w:ind w:left="1079" w:leftChars="257" w:hanging="540"/>
        <w:rPr>
          <w:rFonts w:hint="eastAsia" w:ascii="仿宋" w:hAnsi="仿宋" w:eastAsia="仿宋" w:cs="仿宋"/>
          <w:sz w:val="24"/>
          <w:szCs w:val="24"/>
        </w:rPr>
      </w:pPr>
    </w:p>
    <w:p w14:paraId="33ED3216">
      <w:pPr>
        <w:pStyle w:val="5"/>
        <w:spacing w:before="0" w:line="240" w:lineRule="atLeast"/>
        <w:ind w:left="1079" w:leftChars="257" w:hanging="540"/>
        <w:rPr>
          <w:rFonts w:hint="eastAsia" w:ascii="仿宋" w:hAnsi="仿宋" w:eastAsia="仿宋" w:cs="仿宋"/>
          <w:sz w:val="24"/>
          <w:szCs w:val="24"/>
        </w:rPr>
      </w:pPr>
      <w:bookmarkStart w:id="300" w:name="_Toc7839"/>
      <w:r>
        <w:rPr>
          <w:rFonts w:hint="eastAsia" w:ascii="仿宋" w:hAnsi="仿宋" w:eastAsia="仿宋" w:cs="仿宋"/>
          <w:sz w:val="24"/>
          <w:szCs w:val="24"/>
          <w:lang w:val="en-US" w:eastAsia="zh-CN"/>
        </w:rPr>
        <w:t>4</w:t>
      </w:r>
      <w:r>
        <w:rPr>
          <w:rFonts w:hint="eastAsia" w:ascii="仿宋" w:hAnsi="仿宋" w:eastAsia="仿宋" w:cs="仿宋"/>
          <w:sz w:val="24"/>
          <w:szCs w:val="24"/>
        </w:rPr>
        <w:t>.2法定代表人授权委托书</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CC2B030">
      <w:pPr>
        <w:pStyle w:val="17"/>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w:cr/>
      </w:r>
      <w:r>
        <w:rPr>
          <w:rFonts w:hint="eastAsia" w:ascii="仿宋" w:hAnsi="仿宋" w:eastAsia="仿宋" w:cs="仿宋"/>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w:t>
      </w:r>
      <w:r>
        <w:rPr>
          <w:rFonts w:hint="eastAsia" w:ascii="仿宋" w:hAnsi="仿宋" w:eastAsia="仿宋" w:cs="仿宋"/>
          <w:sz w:val="24"/>
          <w:szCs w:val="24"/>
          <w:lang w:eastAsia="zh-CN"/>
        </w:rPr>
        <w:t>投标</w:t>
      </w:r>
      <w:r>
        <w:rPr>
          <w:rFonts w:hint="eastAsia" w:ascii="仿宋" w:hAnsi="仿宋" w:eastAsia="仿宋" w:cs="仿宋"/>
          <w:sz w:val="24"/>
          <w:szCs w:val="24"/>
        </w:rPr>
        <w:t>，以我单位名义处理一切与之有关的事务。　　</w:t>
      </w:r>
    </w:p>
    <w:p w14:paraId="771120F7">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本授权书于           年     月     日签字生效</w:t>
      </w:r>
      <w:r>
        <w:rPr>
          <w:rFonts w:hint="eastAsia" w:ascii="仿宋" w:hAnsi="仿宋" w:eastAsia="仿宋" w:cs="仿宋"/>
          <w:sz w:val="24"/>
          <w:szCs w:val="24"/>
          <w:lang w:eastAsia="zh-CN"/>
        </w:rPr>
        <w:t>，</w:t>
      </w:r>
      <w:r>
        <w:rPr>
          <w:rFonts w:hint="eastAsia" w:ascii="仿宋" w:hAnsi="仿宋" w:eastAsia="仿宋" w:cs="仿宋"/>
          <w:sz w:val="24"/>
          <w:szCs w:val="24"/>
        </w:rPr>
        <w:t>特此声明。</w:t>
      </w:r>
    </w:p>
    <w:p w14:paraId="3D25046B">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95D80C">
                            <w:pPr>
                              <w:jc w:val="center"/>
                              <w:rPr>
                                <w:rFonts w:hAnsi="宋体"/>
                              </w:rPr>
                            </w:pPr>
                          </w:p>
                          <w:p w14:paraId="37AF1862">
                            <w:pPr>
                              <w:jc w:val="center"/>
                              <w:rPr>
                                <w:rFonts w:hAnsi="宋体"/>
                              </w:rPr>
                            </w:pPr>
                          </w:p>
                          <w:p w14:paraId="5C10431D">
                            <w:pPr>
                              <w:jc w:val="center"/>
                              <w:rPr>
                                <w:rFonts w:hAnsi="宋体"/>
                              </w:rPr>
                            </w:pPr>
                          </w:p>
                          <w:p w14:paraId="3FD283DD">
                            <w:pPr>
                              <w:jc w:val="center"/>
                            </w:pPr>
                            <w:r>
                              <w:rPr>
                                <w:rFonts w:hint="eastAsia" w:hAnsi="宋体"/>
                              </w:rPr>
                              <w:t>授权委托人身份证复印件正反面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110.7pt;width:363.65pt;z-index:251661312;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NAYi+1gAAAAgBAAAPAAAA&#10;AAAAAAEAIAAAACIAAABkcnMvZG93bnJldi54bWxQSwECFAAUAAAACACHTuJA/To0DFACAACTBAAA&#10;DgAAAAAAAAABACAAAAAlAQAAZHJzL2Uyb0RvYy54bWxQSwUGAAAAAAYABgBZAQAA5wUAAAAA&#10;">
                <v:fill on="t" focussize="0,0"/>
                <v:stroke color="#000000" joinstyle="miter"/>
                <v:imagedata o:title=""/>
                <o:lock v:ext="edit" aspectratio="f"/>
                <v:textbox>
                  <w:txbxContent>
                    <w:p w14:paraId="1195D80C">
                      <w:pPr>
                        <w:jc w:val="center"/>
                        <w:rPr>
                          <w:rFonts w:hAnsi="宋体"/>
                        </w:rPr>
                      </w:pPr>
                    </w:p>
                    <w:p w14:paraId="37AF1862">
                      <w:pPr>
                        <w:jc w:val="center"/>
                        <w:rPr>
                          <w:rFonts w:hAnsi="宋体"/>
                        </w:rPr>
                      </w:pPr>
                    </w:p>
                    <w:p w14:paraId="5C10431D">
                      <w:pPr>
                        <w:jc w:val="center"/>
                        <w:rPr>
                          <w:rFonts w:hAnsi="宋体"/>
                        </w:rPr>
                      </w:pPr>
                    </w:p>
                    <w:p w14:paraId="3FD283DD">
                      <w:pPr>
                        <w:jc w:val="center"/>
                      </w:pPr>
                      <w:r>
                        <w:rPr>
                          <w:rFonts w:hint="eastAsia" w:hAnsi="宋体"/>
                        </w:rPr>
                        <w:t>授权委托人身份证复印件正反面</w:t>
                      </w:r>
                    </w:p>
                  </w:txbxContent>
                </v:textbox>
              </v:shape>
            </w:pict>
          </mc:Fallback>
        </mc:AlternateContent>
      </w:r>
    </w:p>
    <w:p w14:paraId="523710C7">
      <w:pPr>
        <w:pStyle w:val="17"/>
        <w:tabs>
          <w:tab w:val="left" w:pos="5580"/>
        </w:tabs>
        <w:spacing w:line="240" w:lineRule="atLeast"/>
        <w:ind w:left="1079" w:leftChars="257" w:hanging="540"/>
        <w:rPr>
          <w:rFonts w:hint="eastAsia" w:ascii="仿宋" w:hAnsi="仿宋" w:eastAsia="仿宋" w:cs="仿宋"/>
          <w:sz w:val="24"/>
          <w:szCs w:val="24"/>
        </w:rPr>
      </w:pPr>
    </w:p>
    <w:p w14:paraId="3B8B1A3E">
      <w:pPr>
        <w:pStyle w:val="17"/>
        <w:tabs>
          <w:tab w:val="left" w:pos="5580"/>
        </w:tabs>
        <w:spacing w:line="240" w:lineRule="atLeast"/>
        <w:rPr>
          <w:rFonts w:hint="eastAsia" w:ascii="仿宋" w:hAnsi="仿宋" w:eastAsia="仿宋" w:cs="仿宋"/>
          <w:sz w:val="24"/>
          <w:szCs w:val="24"/>
        </w:rPr>
      </w:pPr>
    </w:p>
    <w:p w14:paraId="44072184">
      <w:pPr>
        <w:pStyle w:val="17"/>
        <w:tabs>
          <w:tab w:val="left" w:pos="5580"/>
        </w:tabs>
        <w:spacing w:line="240" w:lineRule="atLeast"/>
        <w:rPr>
          <w:rFonts w:hint="eastAsia" w:ascii="仿宋" w:hAnsi="仿宋" w:eastAsia="仿宋" w:cs="仿宋"/>
          <w:sz w:val="24"/>
          <w:szCs w:val="24"/>
        </w:rPr>
      </w:pPr>
    </w:p>
    <w:p w14:paraId="599DB15E">
      <w:pPr>
        <w:pStyle w:val="17"/>
        <w:tabs>
          <w:tab w:val="left" w:pos="5580"/>
        </w:tabs>
        <w:spacing w:line="240" w:lineRule="atLeast"/>
        <w:rPr>
          <w:rFonts w:hint="eastAsia" w:ascii="仿宋" w:hAnsi="仿宋" w:eastAsia="仿宋" w:cs="仿宋"/>
          <w:sz w:val="24"/>
          <w:szCs w:val="24"/>
        </w:rPr>
      </w:pPr>
    </w:p>
    <w:p w14:paraId="790753C5">
      <w:pPr>
        <w:pStyle w:val="17"/>
        <w:tabs>
          <w:tab w:val="left" w:pos="5580"/>
        </w:tabs>
        <w:spacing w:line="240" w:lineRule="atLeast"/>
        <w:rPr>
          <w:rFonts w:hint="eastAsia" w:ascii="仿宋" w:hAnsi="仿宋" w:eastAsia="仿宋" w:cs="仿宋"/>
          <w:sz w:val="24"/>
          <w:szCs w:val="24"/>
        </w:rPr>
      </w:pPr>
    </w:p>
    <w:p w14:paraId="7894AF1A">
      <w:pPr>
        <w:pStyle w:val="17"/>
        <w:tabs>
          <w:tab w:val="left" w:pos="5580"/>
        </w:tabs>
        <w:spacing w:line="240" w:lineRule="atLeast"/>
        <w:rPr>
          <w:rFonts w:hint="eastAsia" w:ascii="仿宋" w:hAnsi="仿宋" w:eastAsia="仿宋" w:cs="仿宋"/>
          <w:sz w:val="24"/>
          <w:szCs w:val="24"/>
        </w:rPr>
      </w:pPr>
    </w:p>
    <w:p w14:paraId="41216105">
      <w:pPr>
        <w:pStyle w:val="17"/>
        <w:tabs>
          <w:tab w:val="left" w:pos="5580"/>
        </w:tabs>
        <w:spacing w:line="240" w:lineRule="atLeast"/>
        <w:rPr>
          <w:rFonts w:hint="eastAsia" w:ascii="仿宋" w:hAnsi="仿宋" w:eastAsia="仿宋" w:cs="仿宋"/>
          <w:sz w:val="24"/>
          <w:szCs w:val="24"/>
        </w:rPr>
      </w:pPr>
    </w:p>
    <w:p w14:paraId="6C3C54F3">
      <w:pPr>
        <w:pStyle w:val="17"/>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7FA48DA">
                            <w:pPr>
                              <w:jc w:val="center"/>
                              <w:rPr>
                                <w:rFonts w:hAnsi="宋体"/>
                              </w:rPr>
                            </w:pPr>
                          </w:p>
                          <w:p w14:paraId="49695BA4">
                            <w:pPr>
                              <w:jc w:val="center"/>
                              <w:rPr>
                                <w:rFonts w:hAnsi="宋体"/>
                              </w:rPr>
                            </w:pPr>
                          </w:p>
                          <w:p w14:paraId="03C33340">
                            <w:pPr>
                              <w:jc w:val="center"/>
                              <w:rPr>
                                <w:rFonts w:hAnsi="宋体"/>
                              </w:rPr>
                            </w:pPr>
                          </w:p>
                          <w:p w14:paraId="306FA8FE">
                            <w:pPr>
                              <w:jc w:val="center"/>
                            </w:pPr>
                            <w:r>
                              <w:rPr>
                                <w:rFonts w:hint="eastAsia" w:hAnsi="宋体"/>
                              </w:rPr>
                              <w:t>法人身份证复印件正反面</w:t>
                            </w:r>
                          </w:p>
                          <w:p w14:paraId="454DAF6F"/>
                        </w:txbxContent>
                      </wps:txbx>
                      <wps:bodyPr vert="horz" wrap="square" anchor="t" anchorCtr="0" upright="1"/>
                    </wps:wsp>
                  </a:graphicData>
                </a:graphic>
              </wp:anchor>
            </w:drawing>
          </mc:Choice>
          <mc:Fallback>
            <w:pict>
              <v:roundrect id="_x0000_s1026" o:spid="_x0000_s1026" o:spt="2" style="position:absolute;left:0pt;margin-left:7.95pt;margin-top:11.7pt;height:118.25pt;width:359.5pt;z-index:251662336;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OItI2QAAAAkBAAAPAAAAAAAAAAEA&#10;IAAAACIAAABkcnMvZG93bnJldi54bWxQSwECFAAUAAAACACHTuJAf1ObZEcCAACbBAAADgAAAAAA&#10;AAABACAAAAAoAQAAZHJzL2Uyb0RvYy54bWxQSwUGAAAAAAYABgBZAQAA4QUAAAAA&#10;">
                <v:fill on="t" focussize="0,0"/>
                <v:stroke weight="1.25pt" color="#808080" joinstyle="round"/>
                <v:imagedata o:title=""/>
                <o:lock v:ext="edit" aspectratio="f"/>
                <v:textbox>
                  <w:txbxContent>
                    <w:p w14:paraId="57FA48DA">
                      <w:pPr>
                        <w:jc w:val="center"/>
                        <w:rPr>
                          <w:rFonts w:hAnsi="宋体"/>
                        </w:rPr>
                      </w:pPr>
                    </w:p>
                    <w:p w14:paraId="49695BA4">
                      <w:pPr>
                        <w:jc w:val="center"/>
                        <w:rPr>
                          <w:rFonts w:hAnsi="宋体"/>
                        </w:rPr>
                      </w:pPr>
                    </w:p>
                    <w:p w14:paraId="03C33340">
                      <w:pPr>
                        <w:jc w:val="center"/>
                        <w:rPr>
                          <w:rFonts w:hAnsi="宋体"/>
                        </w:rPr>
                      </w:pPr>
                    </w:p>
                    <w:p w14:paraId="306FA8FE">
                      <w:pPr>
                        <w:jc w:val="center"/>
                      </w:pPr>
                      <w:r>
                        <w:rPr>
                          <w:rFonts w:hint="eastAsia" w:hAnsi="宋体"/>
                        </w:rPr>
                        <w:t>法人身份证复印件正反面</w:t>
                      </w:r>
                    </w:p>
                    <w:p w14:paraId="454DAF6F"/>
                  </w:txbxContent>
                </v:textbox>
              </v:roundrect>
            </w:pict>
          </mc:Fallback>
        </mc:AlternateContent>
      </w:r>
    </w:p>
    <w:p w14:paraId="4461DB6C">
      <w:pPr>
        <w:pStyle w:val="17"/>
        <w:tabs>
          <w:tab w:val="left" w:pos="5580"/>
        </w:tabs>
        <w:spacing w:line="240" w:lineRule="atLeast"/>
        <w:rPr>
          <w:rFonts w:hint="eastAsia" w:ascii="仿宋" w:hAnsi="仿宋" w:eastAsia="仿宋" w:cs="仿宋"/>
          <w:sz w:val="24"/>
          <w:szCs w:val="24"/>
        </w:rPr>
      </w:pPr>
    </w:p>
    <w:p w14:paraId="20A4202D">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供应商（盖单位章）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385559D1">
      <w:pPr>
        <w:pStyle w:val="17"/>
        <w:tabs>
          <w:tab w:val="left" w:pos="5580"/>
        </w:tabs>
        <w:spacing w:line="240" w:lineRule="atLeast"/>
        <w:ind w:left="1079" w:leftChars="257" w:hanging="540"/>
        <w:rPr>
          <w:rFonts w:hint="eastAsia" w:ascii="仿宋" w:hAnsi="仿宋" w:eastAsia="仿宋" w:cs="仿宋"/>
          <w:sz w:val="24"/>
          <w:szCs w:val="24"/>
        </w:rPr>
      </w:pPr>
    </w:p>
    <w:p w14:paraId="34F24760">
      <w:pPr>
        <w:pStyle w:val="17"/>
        <w:tabs>
          <w:tab w:val="left" w:pos="5580"/>
        </w:tabs>
        <w:spacing w:line="240" w:lineRule="atLeast"/>
        <w:ind w:left="1079" w:leftChars="257" w:hanging="540"/>
        <w:rPr>
          <w:rFonts w:hint="eastAsia" w:ascii="仿宋" w:hAnsi="仿宋" w:eastAsia="仿宋" w:cs="仿宋"/>
          <w:sz w:val="24"/>
          <w:szCs w:val="24"/>
        </w:rPr>
      </w:pPr>
    </w:p>
    <w:p w14:paraId="119787D8">
      <w:pPr>
        <w:pStyle w:val="17"/>
        <w:tabs>
          <w:tab w:val="left" w:pos="5580"/>
        </w:tabs>
        <w:spacing w:line="240" w:lineRule="atLeast"/>
        <w:ind w:left="1079" w:leftChars="257" w:hanging="540"/>
        <w:rPr>
          <w:rFonts w:hint="eastAsia" w:ascii="仿宋" w:hAnsi="仿宋" w:eastAsia="仿宋" w:cs="仿宋"/>
          <w:sz w:val="24"/>
          <w:szCs w:val="24"/>
        </w:rPr>
      </w:pPr>
    </w:p>
    <w:p w14:paraId="136F3B26">
      <w:pPr>
        <w:pStyle w:val="17"/>
        <w:tabs>
          <w:tab w:val="left" w:pos="5370"/>
        </w:tabs>
        <w:spacing w:line="240" w:lineRule="atLeast"/>
        <w:ind w:firstLine="480" w:firstLineChars="200"/>
        <w:rPr>
          <w:rFonts w:hint="eastAsia" w:ascii="仿宋" w:hAnsi="仿宋" w:eastAsia="仿宋" w:cs="仿宋"/>
          <w:sz w:val="24"/>
          <w:szCs w:val="24"/>
        </w:rPr>
      </w:pPr>
    </w:p>
    <w:p w14:paraId="7F6D9A07">
      <w:pPr>
        <w:pStyle w:val="17"/>
        <w:tabs>
          <w:tab w:val="left" w:pos="5370"/>
        </w:tabs>
        <w:spacing w:line="240" w:lineRule="atLeast"/>
        <w:ind w:firstLine="480" w:firstLineChars="200"/>
        <w:rPr>
          <w:rFonts w:hint="eastAsia" w:ascii="仿宋" w:hAnsi="仿宋" w:eastAsia="仿宋" w:cs="仿宋"/>
          <w:sz w:val="24"/>
          <w:szCs w:val="24"/>
        </w:rPr>
      </w:pPr>
    </w:p>
    <w:p w14:paraId="6150C0E2">
      <w:pPr>
        <w:pStyle w:val="17"/>
        <w:tabs>
          <w:tab w:val="left" w:pos="5370"/>
        </w:tabs>
        <w:spacing w:line="240" w:lineRule="atLeast"/>
        <w:ind w:firstLine="480" w:firstLineChars="200"/>
        <w:rPr>
          <w:rFonts w:hint="eastAsia" w:ascii="仿宋" w:hAnsi="仿宋" w:eastAsia="仿宋" w:cs="仿宋"/>
          <w:sz w:val="24"/>
          <w:szCs w:val="24"/>
        </w:rPr>
      </w:pPr>
    </w:p>
    <w:p w14:paraId="4FEB7285">
      <w:pPr>
        <w:pStyle w:val="17"/>
        <w:tabs>
          <w:tab w:val="left" w:pos="5370"/>
        </w:tabs>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sz w:val="24"/>
          <w:szCs w:val="24"/>
          <w:u w:val="single"/>
        </w:rPr>
        <w:tab/>
      </w:r>
      <w:r>
        <w:rPr>
          <w:rFonts w:hint="eastAsia" w:ascii="仿宋" w:hAnsi="仿宋" w:eastAsia="仿宋" w:cs="仿宋"/>
          <w:sz w:val="24"/>
        </w:rPr>
        <w:t xml:space="preserve"> </w:t>
      </w:r>
    </w:p>
    <w:p w14:paraId="4E05E69B">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法定代表人（签/章）：                     </w:t>
      </w:r>
    </w:p>
    <w:p w14:paraId="7E482466">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身份证号码： </w:t>
      </w:r>
    </w:p>
    <w:p w14:paraId="12042E76">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委托代理人（签/章）：                                   </w:t>
      </w:r>
    </w:p>
    <w:p w14:paraId="6B168DB4">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身份证号码：                                   </w:t>
      </w:r>
    </w:p>
    <w:p w14:paraId="41BAB492">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详细通讯地址：                                 </w:t>
      </w:r>
    </w:p>
    <w:p w14:paraId="3211F968">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邮 政 编 码 ：                                 </w:t>
      </w:r>
    </w:p>
    <w:p w14:paraId="32E53365">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传　　　　真：                                 </w:t>
      </w:r>
    </w:p>
    <w:p w14:paraId="43BFAD60">
      <w:pPr>
        <w:pStyle w:val="17"/>
        <w:tabs>
          <w:tab w:val="left" w:pos="5580"/>
        </w:tabs>
        <w:spacing w:line="240" w:lineRule="atLeast"/>
        <w:ind w:left="1079" w:leftChars="257" w:hanging="540"/>
        <w:rPr>
          <w:rFonts w:hint="eastAsia" w:ascii="仿宋" w:hAnsi="仿宋" w:eastAsia="仿宋" w:cs="仿宋"/>
          <w:sz w:val="24"/>
          <w:szCs w:val="24"/>
        </w:rPr>
      </w:pPr>
      <w:r>
        <w:rPr>
          <w:rFonts w:hint="eastAsia" w:ascii="仿宋" w:hAnsi="仿宋" w:eastAsia="仿宋" w:cs="仿宋"/>
          <w:sz w:val="24"/>
          <w:szCs w:val="24"/>
        </w:rPr>
        <w:t xml:space="preserve">电　　　　话：                                 </w:t>
      </w:r>
    </w:p>
    <w:p w14:paraId="6DF29C53">
      <w:pPr>
        <w:pStyle w:val="17"/>
        <w:tabs>
          <w:tab w:val="left" w:pos="5580"/>
        </w:tabs>
        <w:spacing w:line="240" w:lineRule="atLeast"/>
        <w:ind w:firstLine="480" w:firstLineChars="200"/>
        <w:rPr>
          <w:rFonts w:hint="eastAsia" w:ascii="仿宋" w:hAnsi="仿宋" w:eastAsia="仿宋" w:cs="仿宋"/>
          <w:color w:val="auto"/>
          <w:sz w:val="24"/>
          <w:highlight w:val="none"/>
        </w:rPr>
      </w:pPr>
    </w:p>
    <w:p w14:paraId="2B60D6A4">
      <w:pPr>
        <w:pStyle w:val="5"/>
        <w:spacing w:before="0" w:line="240" w:lineRule="atLeast"/>
        <w:ind w:left="1079" w:leftChars="257" w:hanging="540"/>
        <w:rPr>
          <w:rFonts w:hint="eastAsia" w:ascii="仿宋" w:hAnsi="仿宋" w:eastAsia="仿宋" w:cs="仿宋"/>
          <w:color w:val="auto"/>
          <w:sz w:val="24"/>
          <w:highlight w:val="none"/>
          <w:lang w:val="en-US" w:eastAsia="zh-CN"/>
        </w:rPr>
      </w:pPr>
      <w:bookmarkStart w:id="301" w:name="_Toc515647808"/>
      <w:bookmarkStart w:id="302" w:name="_Toc7039"/>
      <w:bookmarkStart w:id="303" w:name="_Toc32520"/>
      <w:r>
        <w:rPr>
          <w:rFonts w:hint="eastAsia" w:ascii="仿宋" w:hAnsi="仿宋" w:eastAsia="仿宋" w:cs="仿宋"/>
          <w:b/>
          <w:color w:val="auto"/>
          <w:sz w:val="24"/>
          <w:highlight w:val="none"/>
          <w:lang w:val="en-US" w:eastAsia="zh-CN"/>
        </w:rPr>
        <w:br w:type="page"/>
      </w:r>
      <w:bookmarkStart w:id="304" w:name="_Toc24857"/>
      <w:r>
        <w:rPr>
          <w:rFonts w:hint="eastAsia" w:ascii="仿宋" w:hAnsi="仿宋" w:eastAsia="仿宋" w:cs="仿宋"/>
          <w:b/>
          <w:color w:val="auto"/>
          <w:sz w:val="24"/>
          <w:highlight w:val="none"/>
          <w:lang w:val="en-US" w:eastAsia="zh-CN"/>
        </w:rPr>
        <w:t xml:space="preserve">5  </w:t>
      </w:r>
      <w:r>
        <w:rPr>
          <w:rFonts w:hint="eastAsia" w:ascii="仿宋" w:hAnsi="仿宋" w:eastAsia="仿宋" w:cs="仿宋"/>
          <w:color w:val="auto"/>
          <w:sz w:val="24"/>
          <w:highlight w:val="none"/>
          <w:lang w:eastAsia="zh-CN"/>
        </w:rPr>
        <w:t>近期（投标截止日期前六个月内任意一个月）依法缴纳社会保障金的缴费证明或银行出具的“银行电子缴纳社会保障金付款凭证”（新成立公司提供相关证明文件）</w:t>
      </w:r>
      <w:bookmarkEnd w:id="304"/>
    </w:p>
    <w:p w14:paraId="4960BDF7">
      <w:pPr>
        <w:pStyle w:val="17"/>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5AF50B55">
      <w:pPr>
        <w:pStyle w:val="17"/>
        <w:tabs>
          <w:tab w:val="left" w:pos="5580"/>
        </w:tabs>
        <w:spacing w:line="240" w:lineRule="atLeast"/>
        <w:ind w:left="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505836DD">
      <w:pPr>
        <w:pStyle w:val="5"/>
        <w:spacing w:before="0" w:line="240" w:lineRule="atLeast"/>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br w:type="page"/>
      </w:r>
      <w:bookmarkStart w:id="305" w:name="_Toc3947"/>
      <w:r>
        <w:rPr>
          <w:rFonts w:hint="eastAsia" w:ascii="仿宋" w:hAnsi="仿宋" w:eastAsia="仿宋" w:cs="仿宋"/>
          <w:b/>
          <w:color w:val="auto"/>
          <w:sz w:val="24"/>
          <w:highlight w:val="none"/>
          <w:lang w:val="en-US" w:eastAsia="zh-CN"/>
        </w:rPr>
        <w:t xml:space="preserve">6  </w:t>
      </w:r>
      <w:bookmarkEnd w:id="301"/>
      <w:bookmarkEnd w:id="302"/>
      <w:bookmarkEnd w:id="303"/>
      <w:r>
        <w:rPr>
          <w:rFonts w:hint="eastAsia" w:ascii="仿宋" w:hAnsi="仿宋" w:eastAsia="仿宋" w:cs="仿宋"/>
          <w:b/>
          <w:color w:val="auto"/>
          <w:sz w:val="24"/>
          <w:highlight w:val="none"/>
          <w:lang w:val="en-US" w:eastAsia="zh-CN"/>
        </w:rPr>
        <w:t>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bookmarkEnd w:id="305"/>
    </w:p>
    <w:p w14:paraId="49955317">
      <w:pPr>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1841120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AE8857B">
      <w:pPr>
        <w:pStyle w:val="5"/>
        <w:spacing w:before="0" w:line="240" w:lineRule="atLeast"/>
        <w:ind w:left="1079" w:leftChars="257" w:hanging="540"/>
        <w:rPr>
          <w:rFonts w:hint="eastAsia" w:ascii="仿宋" w:hAnsi="仿宋" w:eastAsia="仿宋" w:cs="仿宋"/>
          <w:b/>
          <w:color w:val="auto"/>
          <w:sz w:val="24"/>
          <w:highlight w:val="none"/>
          <w:lang w:val="en-US" w:eastAsia="zh-CN"/>
        </w:rPr>
      </w:pPr>
      <w:bookmarkStart w:id="306" w:name="_Toc8998"/>
      <w:r>
        <w:rPr>
          <w:rFonts w:hint="eastAsia" w:ascii="仿宋" w:hAnsi="仿宋" w:eastAsia="仿宋" w:cs="仿宋"/>
          <w:b/>
          <w:color w:val="auto"/>
          <w:sz w:val="24"/>
          <w:highlight w:val="none"/>
          <w:lang w:val="en-US" w:eastAsia="zh-CN"/>
        </w:rPr>
        <w:t xml:space="preserve">7 </w:t>
      </w:r>
      <w:bookmarkEnd w:id="306"/>
      <w:r>
        <w:rPr>
          <w:rFonts w:hint="eastAsia" w:ascii="仿宋" w:hAnsi="仿宋" w:eastAsia="仿宋" w:cs="仿宋"/>
          <w:b/>
          <w:color w:val="auto"/>
          <w:sz w:val="24"/>
          <w:highlight w:val="none"/>
          <w:lang w:val="en-US" w:eastAsia="zh-CN"/>
        </w:rPr>
        <w:t>提供2024年或2025年任意一年完整的财务审计报告（成立未满十二个月的新公司可提供近三个月内任意一个月的银行资信证明）；</w:t>
      </w:r>
    </w:p>
    <w:p w14:paraId="6F46B2E6">
      <w:pPr>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1603955E">
      <w:pPr>
        <w:ind w:firstLine="480" w:firstLineChars="200"/>
        <w:rPr>
          <w:rFonts w:hint="eastAsia" w:ascii="仿宋" w:hAnsi="仿宋" w:eastAsia="仿宋" w:cs="仿宋"/>
          <w:color w:val="auto"/>
          <w:sz w:val="24"/>
          <w:highlight w:val="none"/>
          <w:lang w:val="en-US" w:eastAsia="zh-CN"/>
        </w:rPr>
      </w:pPr>
    </w:p>
    <w:p w14:paraId="519CBB83">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24A465D6">
      <w:pPr>
        <w:tabs>
          <w:tab w:val="left" w:pos="5580"/>
        </w:tabs>
        <w:spacing w:line="240" w:lineRule="atLeast"/>
        <w:ind w:left="540"/>
        <w:rPr>
          <w:rFonts w:hint="eastAsia" w:ascii="仿宋" w:hAnsi="仿宋" w:eastAsia="仿宋" w:cs="仿宋"/>
          <w:bCs/>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如提供本单位上年度经会计师事务所出具的审计报告复印件须加盖</w:t>
      </w:r>
      <w:r>
        <w:rPr>
          <w:rFonts w:hint="eastAsia" w:ascii="仿宋" w:hAnsi="仿宋" w:eastAsia="仿宋" w:cs="仿宋"/>
          <w:bCs/>
          <w:color w:val="auto"/>
          <w:sz w:val="24"/>
          <w:highlight w:val="none"/>
        </w:rPr>
        <w:t>本单位</w:t>
      </w:r>
      <w:r>
        <w:rPr>
          <w:rFonts w:hint="eastAsia" w:ascii="仿宋" w:hAnsi="仿宋" w:eastAsia="仿宋" w:cs="仿宋"/>
          <w:bCs/>
          <w:color w:val="auto"/>
          <w:sz w:val="24"/>
          <w:highlight w:val="none"/>
          <w:lang w:eastAsia="zh-CN"/>
        </w:rPr>
        <w:t>电子</w:t>
      </w:r>
      <w:r>
        <w:rPr>
          <w:rFonts w:hint="eastAsia" w:ascii="仿宋" w:hAnsi="仿宋" w:eastAsia="仿宋" w:cs="仿宋"/>
          <w:bCs/>
          <w:color w:val="auto"/>
          <w:sz w:val="24"/>
          <w:highlight w:val="none"/>
        </w:rPr>
        <w:t>章。</w:t>
      </w:r>
    </w:p>
    <w:p w14:paraId="00BE27F6">
      <w:pPr>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52E7E4B8">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如果是联合体投标，联合体各方均需提供上述证明。</w:t>
      </w:r>
    </w:p>
    <w:p w14:paraId="1BC11132">
      <w:pPr>
        <w:ind w:firstLine="480" w:firstLineChars="200"/>
        <w:rPr>
          <w:rFonts w:hint="eastAsia" w:ascii="仿宋" w:hAnsi="仿宋" w:eastAsia="仿宋" w:cs="仿宋"/>
          <w:color w:val="auto"/>
          <w:sz w:val="24"/>
          <w:highlight w:val="none"/>
          <w:lang w:val="en-US" w:eastAsia="zh-CN"/>
        </w:rPr>
      </w:pPr>
    </w:p>
    <w:p w14:paraId="0693B4E8">
      <w:pPr>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br w:type="page"/>
      </w:r>
    </w:p>
    <w:p w14:paraId="7DA910C0">
      <w:pPr>
        <w:pStyle w:val="5"/>
        <w:spacing w:before="0" w:line="240" w:lineRule="atLeast"/>
        <w:ind w:left="1079" w:leftChars="257" w:hanging="540"/>
        <w:rPr>
          <w:rFonts w:hint="eastAsia" w:ascii="仿宋" w:hAnsi="仿宋" w:eastAsia="仿宋" w:cs="仿宋"/>
          <w:b/>
          <w:color w:val="auto"/>
          <w:sz w:val="24"/>
          <w:highlight w:val="none"/>
          <w:lang w:val="en-US" w:eastAsia="zh-CN"/>
        </w:rPr>
      </w:pPr>
      <w:bookmarkStart w:id="307" w:name="_Toc515647809"/>
      <w:bookmarkStart w:id="308" w:name="_Toc10870"/>
      <w:bookmarkStart w:id="309" w:name="_Toc28445"/>
      <w:bookmarkStart w:id="310" w:name="_Toc11047"/>
      <w:bookmarkStart w:id="311" w:name="_Toc19471"/>
      <w:r>
        <w:rPr>
          <w:rFonts w:hint="eastAsia" w:ascii="仿宋" w:hAnsi="仿宋" w:eastAsia="仿宋" w:cs="仿宋"/>
          <w:b/>
          <w:color w:val="auto"/>
          <w:sz w:val="24"/>
          <w:highlight w:val="none"/>
          <w:lang w:val="en-US" w:eastAsia="zh-CN"/>
        </w:rPr>
        <w:t xml:space="preserve">8 </w:t>
      </w:r>
      <w:bookmarkEnd w:id="307"/>
      <w:bookmarkEnd w:id="308"/>
      <w:bookmarkEnd w:id="309"/>
      <w:bookmarkEnd w:id="310"/>
      <w:bookmarkStart w:id="312" w:name="_Toc515647811"/>
      <w:bookmarkStart w:id="313" w:name="_Toc32670"/>
      <w:bookmarkStart w:id="314" w:name="_Toc24428"/>
      <w:bookmarkStart w:id="315" w:name="_Toc24985"/>
      <w:r>
        <w:rPr>
          <w:rFonts w:hint="eastAsia" w:ascii="仿宋" w:hAnsi="仿宋" w:eastAsia="仿宋" w:cs="仿宋"/>
          <w:b/>
          <w:color w:val="auto"/>
          <w:sz w:val="24"/>
          <w:highlight w:val="none"/>
          <w:lang w:val="en-US" w:eastAsia="zh-CN"/>
        </w:rPr>
        <w:t>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bookmarkEnd w:id="311"/>
    </w:p>
    <w:p w14:paraId="63ABFC43">
      <w:pPr>
        <w:pStyle w:val="5"/>
        <w:spacing w:before="0" w:line="240" w:lineRule="atLeast"/>
        <w:ind w:left="1079" w:leftChars="257" w:hanging="540"/>
        <w:rPr>
          <w:rFonts w:hint="eastAsia" w:ascii="仿宋" w:hAnsi="仿宋" w:eastAsia="仿宋" w:cs="仿宋"/>
          <w:b/>
          <w:color w:val="auto"/>
          <w:sz w:val="24"/>
          <w:highlight w:val="none"/>
          <w:lang w:val="en-US" w:eastAsia="zh-CN"/>
        </w:rPr>
      </w:pPr>
      <w:bookmarkStart w:id="316" w:name="_Toc9336"/>
      <w:r>
        <w:rPr>
          <w:rFonts w:hint="eastAsia" w:ascii="仿宋" w:hAnsi="仿宋" w:eastAsia="仿宋" w:cs="仿宋"/>
          <w:b/>
          <w:color w:val="auto"/>
          <w:sz w:val="24"/>
          <w:highlight w:val="none"/>
          <w:lang w:val="en-US" w:eastAsia="zh-CN"/>
        </w:rPr>
        <w:br w:type="column"/>
      </w:r>
      <w:r>
        <w:rPr>
          <w:rFonts w:hint="eastAsia" w:ascii="仿宋" w:hAnsi="仿宋" w:eastAsia="仿宋" w:cs="仿宋"/>
          <w:b/>
          <w:color w:val="auto"/>
          <w:sz w:val="24"/>
          <w:highlight w:val="none"/>
          <w:lang w:val="en-US" w:eastAsia="zh-CN"/>
        </w:rPr>
        <w:t>9  供应商具备履行合同所必需的设备和专业技术能力的证明材料（投标格式三）</w:t>
      </w:r>
      <w:bookmarkEnd w:id="316"/>
    </w:p>
    <w:p w14:paraId="30D9C59C">
      <w:pPr>
        <w:pStyle w:val="5"/>
        <w:spacing w:before="0" w:line="240" w:lineRule="atLeast"/>
        <w:ind w:left="1079" w:leftChars="257" w:hanging="540"/>
        <w:rPr>
          <w:rFonts w:hint="eastAsia" w:ascii="仿宋" w:hAnsi="仿宋" w:eastAsia="仿宋" w:cs="仿宋"/>
          <w:b/>
          <w:color w:val="auto"/>
          <w:sz w:val="24"/>
          <w:highlight w:val="none"/>
          <w:lang w:val="en-US" w:eastAsia="zh-CN"/>
        </w:rPr>
      </w:pPr>
      <w:bookmarkStart w:id="317" w:name="_Toc25471"/>
      <w:r>
        <w:rPr>
          <w:rFonts w:hint="eastAsia" w:ascii="仿宋" w:hAnsi="仿宋" w:eastAsia="仿宋" w:cs="仿宋"/>
          <w:color w:val="auto"/>
          <w:sz w:val="24"/>
          <w:highlight w:val="none"/>
          <w:lang w:val="en-US" w:eastAsia="zh-CN"/>
        </w:rPr>
        <w:t>9.1</w:t>
      </w:r>
      <w:r>
        <w:rPr>
          <w:rFonts w:hint="eastAsia" w:ascii="仿宋" w:hAnsi="仿宋" w:eastAsia="仿宋" w:cs="仿宋"/>
          <w:color w:val="auto"/>
          <w:kern w:val="0"/>
          <w:sz w:val="24"/>
          <w:highlight w:val="none"/>
          <w:lang w:val="en-US" w:eastAsia="zh-CN"/>
        </w:rPr>
        <w:t>具备履行合同所必需的设备和专业技术能力的承诺</w:t>
      </w:r>
      <w:bookmarkEnd w:id="317"/>
    </w:p>
    <w:p w14:paraId="66C9D139">
      <w:pPr>
        <w:pStyle w:val="17"/>
        <w:tabs>
          <w:tab w:val="left" w:pos="5580"/>
        </w:tabs>
        <w:spacing w:line="360" w:lineRule="auto"/>
        <w:ind w:left="1079" w:leftChars="257" w:hanging="540"/>
        <w:rPr>
          <w:rFonts w:hint="eastAsia" w:ascii="仿宋" w:hAnsi="仿宋" w:eastAsia="仿宋" w:cs="仿宋"/>
          <w:color w:val="auto"/>
          <w:kern w:val="0"/>
          <w:sz w:val="24"/>
          <w:highlight w:val="none"/>
          <w:lang w:val="en-US" w:eastAsia="zh-CN"/>
        </w:rPr>
      </w:pPr>
    </w:p>
    <w:p w14:paraId="65766304">
      <w:pPr>
        <w:pStyle w:val="17"/>
        <w:tabs>
          <w:tab w:val="left" w:pos="5580"/>
        </w:tabs>
        <w:spacing w:line="360" w:lineRule="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致：</w:t>
      </w:r>
      <w:r>
        <w:rPr>
          <w:rFonts w:hint="eastAsia" w:ascii="仿宋" w:hAnsi="仿宋" w:eastAsia="仿宋" w:cs="仿宋"/>
          <w:color w:val="auto"/>
          <w:kern w:val="0"/>
          <w:sz w:val="24"/>
          <w:highlight w:val="none"/>
          <w:u w:val="single"/>
          <w:lang w:val="en-US" w:eastAsia="zh-CN"/>
        </w:rPr>
        <w:t xml:space="preserve">                   采购人</w:t>
      </w:r>
    </w:p>
    <w:p w14:paraId="356E5330">
      <w:pPr>
        <w:pStyle w:val="17"/>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我公司（</w:t>
      </w:r>
      <w:r>
        <w:rPr>
          <w:rFonts w:hint="eastAsia" w:ascii="仿宋" w:hAnsi="仿宋" w:eastAsia="仿宋" w:cs="仿宋"/>
          <w:color w:val="auto"/>
          <w:kern w:val="0"/>
          <w:sz w:val="24"/>
          <w:highlight w:val="none"/>
          <w:u w:val="single"/>
          <w:lang w:val="en-US" w:eastAsia="zh-CN"/>
        </w:rPr>
        <w:t xml:space="preserve">                     公司</w:t>
      </w:r>
      <w:r>
        <w:rPr>
          <w:rFonts w:hint="eastAsia" w:ascii="仿宋" w:hAnsi="仿宋" w:eastAsia="仿宋" w:cs="仿宋"/>
          <w:color w:val="auto"/>
          <w:kern w:val="0"/>
          <w:sz w:val="24"/>
          <w:highlight w:val="none"/>
          <w:lang w:val="en-US" w:eastAsia="zh-CN"/>
        </w:rPr>
        <w:t>）参加贵方组织的</w:t>
      </w:r>
      <w:r>
        <w:rPr>
          <w:rFonts w:hint="eastAsia" w:ascii="仿宋" w:hAnsi="仿宋" w:eastAsia="仿宋" w:cs="仿宋"/>
          <w:color w:val="auto"/>
          <w:kern w:val="0"/>
          <w:sz w:val="24"/>
          <w:highlight w:val="none"/>
          <w:u w:val="single"/>
          <w:lang w:val="en-US" w:eastAsia="zh-CN"/>
        </w:rPr>
        <w:t xml:space="preserve">               项目</w:t>
      </w:r>
      <w:r>
        <w:rPr>
          <w:rFonts w:hint="eastAsia" w:ascii="仿宋" w:hAnsi="仿宋" w:eastAsia="仿宋" w:cs="仿宋"/>
          <w:color w:val="auto"/>
          <w:kern w:val="0"/>
          <w:sz w:val="24"/>
          <w:highlight w:val="none"/>
          <w:lang w:val="en-US" w:eastAsia="zh-CN"/>
        </w:rPr>
        <w:t>（项目编号：</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en-US" w:eastAsia="zh-CN"/>
        </w:rPr>
        <w:t>）的投标活动，如我方获得中标资格，我方保证具备履行合同所必需的设备和专业技术能力，并承诺如下：</w:t>
      </w:r>
    </w:p>
    <w:p w14:paraId="7BF2127C">
      <w:pPr>
        <w:pStyle w:val="17"/>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具有独立承担民事责任的能力；</w:t>
      </w:r>
    </w:p>
    <w:p w14:paraId="4775E08C">
      <w:pPr>
        <w:pStyle w:val="17"/>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具有良好的商业信誉和健全的财务会计制度；</w:t>
      </w:r>
    </w:p>
    <w:p w14:paraId="511A6756">
      <w:pPr>
        <w:pStyle w:val="17"/>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具有履行合同所必需的设备和专业技术能力；</w:t>
      </w:r>
    </w:p>
    <w:p w14:paraId="7D0C4575">
      <w:pPr>
        <w:pStyle w:val="17"/>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参加政府采购活动前三年内，在经营活动中没有重大违法记录；</w:t>
      </w:r>
    </w:p>
    <w:p w14:paraId="4CBB2A97">
      <w:pPr>
        <w:pStyle w:val="17"/>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法律、行政法规规定的其他条件；</w:t>
      </w:r>
    </w:p>
    <w:p w14:paraId="03F521BF">
      <w:pPr>
        <w:pStyle w:val="17"/>
        <w:numPr>
          <w:ilvl w:val="0"/>
          <w:numId w:val="6"/>
        </w:numPr>
        <w:tabs>
          <w:tab w:val="left" w:pos="5580"/>
        </w:tabs>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我公司已完全了解本招标文件中规定的技术要求和商务条款。</w:t>
      </w:r>
    </w:p>
    <w:p w14:paraId="1DADCA62">
      <w:pPr>
        <w:pStyle w:val="17"/>
        <w:tabs>
          <w:tab w:val="left" w:pos="558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同时，我公司具有很好的厂家原厂产品支持、技术服务、产品调试、系统培训及原厂售后服务承诺保证书。</w:t>
      </w:r>
    </w:p>
    <w:p w14:paraId="090EC961">
      <w:pPr>
        <w:pStyle w:val="17"/>
        <w:tabs>
          <w:tab w:val="left" w:pos="558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如违反以上承诺，本公司愿承担一切法律责任。</w:t>
      </w:r>
    </w:p>
    <w:p w14:paraId="4CDAD83C">
      <w:pPr>
        <w:pStyle w:val="17"/>
        <w:tabs>
          <w:tab w:val="left" w:pos="5580"/>
        </w:tabs>
        <w:spacing w:line="360" w:lineRule="auto"/>
        <w:ind w:firstLine="480"/>
        <w:rPr>
          <w:rFonts w:hint="eastAsia" w:ascii="仿宋" w:hAnsi="仿宋" w:eastAsia="仿宋" w:cs="仿宋"/>
          <w:color w:val="auto"/>
          <w:kern w:val="0"/>
          <w:sz w:val="24"/>
          <w:highlight w:val="none"/>
          <w:lang w:val="en-US" w:eastAsia="zh-CN"/>
        </w:rPr>
      </w:pPr>
    </w:p>
    <w:p w14:paraId="10AB3E02">
      <w:pPr>
        <w:pStyle w:val="17"/>
        <w:tabs>
          <w:tab w:val="left" w:pos="5580"/>
        </w:tabs>
        <w:spacing w:line="360" w:lineRule="auto"/>
        <w:ind w:firstLine="480"/>
        <w:rPr>
          <w:rFonts w:hint="eastAsia" w:ascii="仿宋" w:hAnsi="仿宋" w:eastAsia="仿宋" w:cs="仿宋"/>
          <w:color w:val="auto"/>
          <w:kern w:val="0"/>
          <w:sz w:val="24"/>
          <w:highlight w:val="none"/>
          <w:lang w:val="en-US" w:eastAsia="zh-CN"/>
        </w:rPr>
      </w:pPr>
    </w:p>
    <w:p w14:paraId="574DD74E">
      <w:pPr>
        <w:pStyle w:val="17"/>
        <w:tabs>
          <w:tab w:val="left" w:pos="5580"/>
        </w:tabs>
        <w:spacing w:line="360" w:lineRule="auto"/>
        <w:ind w:firstLine="480"/>
        <w:rPr>
          <w:rFonts w:hint="eastAsia" w:ascii="仿宋" w:hAnsi="仿宋" w:eastAsia="仿宋" w:cs="仿宋"/>
          <w:color w:val="auto"/>
          <w:kern w:val="0"/>
          <w:sz w:val="24"/>
          <w:highlight w:val="none"/>
          <w:lang w:val="en-US" w:eastAsia="zh-CN"/>
        </w:rPr>
      </w:pPr>
    </w:p>
    <w:p w14:paraId="022FEBEA">
      <w:pPr>
        <w:pStyle w:val="17"/>
        <w:tabs>
          <w:tab w:val="left" w:pos="5580"/>
        </w:tabs>
        <w:spacing w:line="360" w:lineRule="auto"/>
        <w:ind w:firstLine="480"/>
        <w:rPr>
          <w:rFonts w:hint="eastAsia" w:ascii="仿宋" w:hAnsi="仿宋" w:eastAsia="仿宋" w:cs="仿宋"/>
          <w:color w:val="auto"/>
          <w:kern w:val="0"/>
          <w:sz w:val="24"/>
          <w:highlight w:val="none"/>
          <w:lang w:val="en-US" w:eastAsia="zh-CN"/>
        </w:rPr>
      </w:pPr>
    </w:p>
    <w:p w14:paraId="5AF50F6E">
      <w:pPr>
        <w:pStyle w:val="17"/>
        <w:tabs>
          <w:tab w:val="left" w:pos="5580"/>
        </w:tabs>
        <w:spacing w:line="360" w:lineRule="auto"/>
        <w:ind w:firstLine="2640" w:firstLineChars="1100"/>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法定代表人或其委托代理人：</w:t>
      </w:r>
      <w:r>
        <w:rPr>
          <w:rFonts w:hint="eastAsia" w:ascii="仿宋" w:hAnsi="仿宋" w:eastAsia="仿宋" w:cs="仿宋"/>
          <w:color w:val="auto"/>
          <w:kern w:val="0"/>
          <w:sz w:val="24"/>
          <w:highlight w:val="none"/>
          <w:u w:val="single"/>
          <w:lang w:val="en-US" w:eastAsia="zh-CN"/>
        </w:rPr>
        <w:t xml:space="preserve">                     </w:t>
      </w:r>
    </w:p>
    <w:p w14:paraId="72CCDE63">
      <w:pPr>
        <w:pStyle w:val="17"/>
        <w:tabs>
          <w:tab w:val="left" w:pos="5580"/>
        </w:tabs>
        <w:spacing w:line="360" w:lineRule="auto"/>
        <w:ind w:firstLine="480" w:firstLineChars="200"/>
        <w:jc w:val="center"/>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 xml:space="preserve">    供应商：</w:t>
      </w:r>
      <w:r>
        <w:rPr>
          <w:rFonts w:hint="eastAsia" w:ascii="仿宋" w:hAnsi="仿宋" w:eastAsia="仿宋" w:cs="仿宋"/>
          <w:color w:val="auto"/>
          <w:kern w:val="0"/>
          <w:sz w:val="24"/>
          <w:highlight w:val="none"/>
          <w:u w:val="single"/>
          <w:lang w:val="en-US" w:eastAsia="zh-CN"/>
        </w:rPr>
        <w:t xml:space="preserve">        （电子签章）                   </w:t>
      </w:r>
    </w:p>
    <w:p w14:paraId="416FDE3C">
      <w:pPr>
        <w:pStyle w:val="17"/>
        <w:tabs>
          <w:tab w:val="left" w:pos="5580"/>
        </w:tabs>
        <w:spacing w:line="360" w:lineRule="auto"/>
        <w:ind w:firstLine="480" w:firstLineChars="200"/>
        <w:jc w:val="center"/>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 xml:space="preserve">日期： </w:t>
      </w:r>
      <w:r>
        <w:rPr>
          <w:rFonts w:hint="eastAsia" w:ascii="仿宋" w:hAnsi="仿宋" w:eastAsia="仿宋" w:cs="仿宋"/>
          <w:color w:val="auto"/>
          <w:kern w:val="0"/>
          <w:sz w:val="24"/>
          <w:highlight w:val="none"/>
          <w:u w:val="single"/>
          <w:lang w:val="en-US" w:eastAsia="zh-CN"/>
        </w:rPr>
        <w:t xml:space="preserve"> 2026年     月     日                   </w:t>
      </w:r>
    </w:p>
    <w:p w14:paraId="1115A11E">
      <w:pPr>
        <w:pStyle w:val="5"/>
        <w:spacing w:before="0" w:line="240" w:lineRule="atLeast"/>
        <w:ind w:left="1079" w:leftChars="257" w:hanging="540"/>
        <w:rPr>
          <w:rFonts w:hint="eastAsia" w:ascii="仿宋" w:hAnsi="仿宋" w:eastAsia="仿宋" w:cs="仿宋"/>
          <w:b/>
          <w:color w:val="auto"/>
          <w:sz w:val="24"/>
          <w:highlight w:val="none"/>
          <w:lang w:val="en-US" w:eastAsia="zh-CN"/>
        </w:rPr>
      </w:pPr>
      <w:r>
        <w:rPr>
          <w:rFonts w:hint="eastAsia" w:ascii="仿宋" w:hAnsi="仿宋" w:eastAsia="仿宋" w:cs="仿宋"/>
          <w:color w:val="auto"/>
          <w:kern w:val="0"/>
          <w:sz w:val="24"/>
          <w:highlight w:val="none"/>
          <w:lang w:val="en-US" w:eastAsia="zh-CN"/>
        </w:rPr>
        <w:br w:type="page"/>
      </w:r>
      <w:bookmarkStart w:id="318" w:name="_Toc18579"/>
      <w:r>
        <w:rPr>
          <w:rFonts w:hint="eastAsia" w:ascii="仿宋" w:hAnsi="仿宋" w:eastAsia="仿宋" w:cs="仿宋"/>
          <w:kern w:val="0"/>
          <w:sz w:val="24"/>
          <w:lang w:val="en-US" w:eastAsia="zh-CN"/>
        </w:rPr>
        <w:t>9.2具备履行合同所必须的设备表</w:t>
      </w:r>
      <w:bookmarkEnd w:id="318"/>
    </w:p>
    <w:p w14:paraId="14A9F0D3">
      <w:pPr>
        <w:pStyle w:val="17"/>
        <w:tabs>
          <w:tab w:val="left" w:pos="5580"/>
        </w:tabs>
        <w:spacing w:line="360" w:lineRule="auto"/>
        <w:rPr>
          <w:rFonts w:hint="eastAsia" w:ascii="仿宋" w:hAnsi="仿宋" w:eastAsia="仿宋" w:cs="仿宋"/>
          <w:kern w:val="0"/>
          <w:sz w:val="24"/>
          <w:lang w:val="en-US"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728"/>
        <w:gridCol w:w="2078"/>
        <w:gridCol w:w="764"/>
        <w:gridCol w:w="1711"/>
        <w:gridCol w:w="1133"/>
      </w:tblGrid>
      <w:tr w14:paraId="6219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13E0D22D">
            <w:pPr>
              <w:pStyle w:val="17"/>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序号</w:t>
            </w:r>
          </w:p>
        </w:tc>
        <w:tc>
          <w:tcPr>
            <w:tcW w:w="1728" w:type="dxa"/>
            <w:noWrap w:val="0"/>
            <w:vAlign w:val="center"/>
          </w:tcPr>
          <w:p w14:paraId="3C70F542">
            <w:pPr>
              <w:pStyle w:val="17"/>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设备名称</w:t>
            </w:r>
          </w:p>
        </w:tc>
        <w:tc>
          <w:tcPr>
            <w:tcW w:w="2078" w:type="dxa"/>
            <w:noWrap w:val="0"/>
            <w:vAlign w:val="center"/>
          </w:tcPr>
          <w:p w14:paraId="2D1D59DE">
            <w:pPr>
              <w:pStyle w:val="17"/>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品牌、规格型号</w:t>
            </w:r>
          </w:p>
        </w:tc>
        <w:tc>
          <w:tcPr>
            <w:tcW w:w="764" w:type="dxa"/>
            <w:noWrap w:val="0"/>
            <w:vAlign w:val="center"/>
          </w:tcPr>
          <w:p w14:paraId="48752AEA">
            <w:pPr>
              <w:pStyle w:val="17"/>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数量</w:t>
            </w:r>
          </w:p>
        </w:tc>
        <w:tc>
          <w:tcPr>
            <w:tcW w:w="1711" w:type="dxa"/>
            <w:noWrap w:val="0"/>
            <w:vAlign w:val="center"/>
          </w:tcPr>
          <w:p w14:paraId="7114D5A8">
            <w:pPr>
              <w:pStyle w:val="17"/>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主要技术参数</w:t>
            </w:r>
          </w:p>
        </w:tc>
        <w:tc>
          <w:tcPr>
            <w:tcW w:w="1133" w:type="dxa"/>
            <w:noWrap w:val="0"/>
            <w:vAlign w:val="center"/>
          </w:tcPr>
          <w:p w14:paraId="5E811C6D">
            <w:pPr>
              <w:pStyle w:val="17"/>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tc>
      </w:tr>
      <w:tr w14:paraId="6D8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54D93670">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27B0F5F5">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3D147AB3">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6588CE01">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4F93FF69">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08DC656A">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1AD5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4D56D520">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308B1F31">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350DBFD4">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24149E7E">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EBB7A49">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4032F93E">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0644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394A3A05">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234E7C25">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018E3D6E">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6A11B6FA">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6D759D97">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701C2AE4">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5DEF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6DCAA49F">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68A47D04">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25DE4181">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2B54C284">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385B53E0">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02B05B6B">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6D28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7E66EE3F">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6A79219A">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6473BE5F">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53A12712">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0A574EB7">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62B723AD">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2D56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166C8AF7">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5C5D22DF">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18F87F5A">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6C58A522">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049BB80">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21D14647">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0AF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2C06ED19">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5CC7F723">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2D251E25">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04A0486C">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49517C75">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5B861512">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1F19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74B44817">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5755F754">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0F4C8B26">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2A121CE8">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677DCC2B">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6165235D">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4829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4D94B899">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4F5B51B5">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1FB22ABD">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5881715B">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2BFAA4D">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20F32EA6">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r w14:paraId="1318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213C3A69">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28" w:type="dxa"/>
            <w:noWrap w:val="0"/>
            <w:vAlign w:val="center"/>
          </w:tcPr>
          <w:p w14:paraId="10FF136C">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2078" w:type="dxa"/>
            <w:noWrap w:val="0"/>
            <w:vAlign w:val="center"/>
          </w:tcPr>
          <w:p w14:paraId="26B16E8B">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764" w:type="dxa"/>
            <w:noWrap w:val="0"/>
            <w:vAlign w:val="center"/>
          </w:tcPr>
          <w:p w14:paraId="0DBDCA4D">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711" w:type="dxa"/>
            <w:noWrap w:val="0"/>
            <w:vAlign w:val="center"/>
          </w:tcPr>
          <w:p w14:paraId="7698A0EF">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c>
          <w:tcPr>
            <w:tcW w:w="1133" w:type="dxa"/>
            <w:noWrap w:val="0"/>
            <w:vAlign w:val="center"/>
          </w:tcPr>
          <w:p w14:paraId="5CD668E4">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p>
        </w:tc>
      </w:tr>
    </w:tbl>
    <w:p w14:paraId="17A27E14">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24E0ACA8">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2CBF71C0">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71374A6C">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4F7F44E1">
      <w:pPr>
        <w:pStyle w:val="17"/>
        <w:tabs>
          <w:tab w:val="left" w:pos="5580"/>
        </w:tabs>
        <w:spacing w:line="240" w:lineRule="atLeast"/>
        <w:rPr>
          <w:rFonts w:hint="eastAsia" w:ascii="仿宋" w:hAnsi="仿宋" w:eastAsia="仿宋" w:cs="仿宋"/>
          <w:kern w:val="0"/>
          <w:sz w:val="24"/>
          <w:lang w:val="en-US" w:eastAsia="zh-CN"/>
        </w:rPr>
      </w:pPr>
    </w:p>
    <w:p w14:paraId="68CEF3D7">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3A4C2DA6">
      <w:pPr>
        <w:pStyle w:val="17"/>
        <w:tabs>
          <w:tab w:val="left" w:pos="5580"/>
        </w:tabs>
        <w:spacing w:line="360" w:lineRule="auto"/>
        <w:ind w:firstLine="2880" w:firstLineChars="1200"/>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法定代表人或其委托代理人：</w:t>
      </w:r>
      <w:r>
        <w:rPr>
          <w:rFonts w:hint="eastAsia" w:ascii="仿宋" w:hAnsi="仿宋" w:eastAsia="仿宋" w:cs="仿宋"/>
          <w:kern w:val="0"/>
          <w:sz w:val="24"/>
          <w:u w:val="single"/>
          <w:lang w:val="en-US" w:eastAsia="zh-CN"/>
        </w:rPr>
        <w:t xml:space="preserve">                     </w:t>
      </w:r>
    </w:p>
    <w:p w14:paraId="2BC17170">
      <w:pPr>
        <w:pStyle w:val="17"/>
        <w:tabs>
          <w:tab w:val="left" w:pos="5580"/>
        </w:tabs>
        <w:spacing w:line="360" w:lineRule="auto"/>
        <w:ind w:firstLine="480" w:firstLineChars="200"/>
        <w:jc w:val="center"/>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 xml:space="preserve">       供应商：</w:t>
      </w:r>
      <w:r>
        <w:rPr>
          <w:rFonts w:hint="eastAsia" w:ascii="仿宋" w:hAnsi="仿宋" w:eastAsia="仿宋" w:cs="仿宋"/>
          <w:kern w:val="0"/>
          <w:sz w:val="24"/>
          <w:u w:val="single"/>
          <w:lang w:val="en-US" w:eastAsia="zh-CN"/>
        </w:rPr>
        <w:t xml:space="preserve">        （电子签章）                   </w:t>
      </w:r>
    </w:p>
    <w:p w14:paraId="5B88BD60">
      <w:pPr>
        <w:pStyle w:val="17"/>
        <w:tabs>
          <w:tab w:val="left" w:pos="5580"/>
        </w:tabs>
        <w:spacing w:line="240" w:lineRule="atLeast"/>
        <w:ind w:left="1257" w:leftChars="599" w:firstLine="1540" w:firstLineChars="642"/>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日期： </w:t>
      </w:r>
      <w:r>
        <w:rPr>
          <w:rFonts w:hint="eastAsia" w:ascii="仿宋" w:hAnsi="仿宋" w:eastAsia="仿宋" w:cs="仿宋"/>
          <w:kern w:val="0"/>
          <w:sz w:val="24"/>
          <w:highlight w:val="none"/>
          <w:u w:val="single"/>
          <w:lang w:val="en-US" w:eastAsia="zh-CN"/>
        </w:rPr>
        <w:t xml:space="preserve"> 2026</w:t>
      </w:r>
      <w:r>
        <w:rPr>
          <w:rFonts w:hint="eastAsia" w:ascii="仿宋" w:hAnsi="仿宋" w:eastAsia="仿宋" w:cs="仿宋"/>
          <w:kern w:val="0"/>
          <w:sz w:val="24"/>
          <w:u w:val="single"/>
          <w:lang w:val="en-US" w:eastAsia="zh-CN"/>
        </w:rPr>
        <w:t xml:space="preserve">年     月     日                  </w:t>
      </w:r>
    </w:p>
    <w:p w14:paraId="63775B29">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5867F0D">
      <w:pPr>
        <w:pStyle w:val="5"/>
        <w:spacing w:before="0" w:line="240" w:lineRule="atLeast"/>
        <w:ind w:left="1079" w:leftChars="257" w:hanging="54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bookmarkStart w:id="319" w:name="_Toc523"/>
      <w:r>
        <w:rPr>
          <w:rFonts w:hint="eastAsia" w:ascii="仿宋" w:hAnsi="仿宋" w:eastAsia="仿宋" w:cs="仿宋"/>
          <w:kern w:val="0"/>
          <w:sz w:val="24"/>
          <w:lang w:val="en-US" w:eastAsia="zh-CN"/>
        </w:rPr>
        <w:t>9.3具备履行合同所必须的专业技术能力</w:t>
      </w:r>
      <w:bookmarkEnd w:id="319"/>
    </w:p>
    <w:p w14:paraId="5A1821B6">
      <w:pPr>
        <w:pStyle w:val="17"/>
        <w:tabs>
          <w:tab w:val="left" w:pos="5580"/>
        </w:tabs>
        <w:spacing w:line="240" w:lineRule="atLeast"/>
        <w:jc w:val="left"/>
        <w:rPr>
          <w:rFonts w:hint="eastAsia" w:ascii="仿宋" w:hAnsi="仿宋" w:eastAsia="仿宋" w:cs="仿宋"/>
          <w:kern w:val="0"/>
          <w:sz w:val="24"/>
          <w:lang w:val="en-US"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220"/>
        <w:gridCol w:w="1256"/>
        <w:gridCol w:w="1789"/>
      </w:tblGrid>
      <w:tr w14:paraId="7E9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421" w:type="dxa"/>
            <w:noWrap w:val="0"/>
            <w:vAlign w:val="center"/>
          </w:tcPr>
          <w:p w14:paraId="3123F8F7">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岗位</w:t>
            </w:r>
          </w:p>
        </w:tc>
        <w:tc>
          <w:tcPr>
            <w:tcW w:w="1421" w:type="dxa"/>
            <w:noWrap w:val="0"/>
            <w:vAlign w:val="center"/>
          </w:tcPr>
          <w:p w14:paraId="71AA8AC1">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姓名</w:t>
            </w:r>
          </w:p>
        </w:tc>
        <w:tc>
          <w:tcPr>
            <w:tcW w:w="1421" w:type="dxa"/>
            <w:noWrap w:val="0"/>
            <w:vAlign w:val="center"/>
          </w:tcPr>
          <w:p w14:paraId="58F9832D">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岗位职责</w:t>
            </w:r>
          </w:p>
        </w:tc>
        <w:tc>
          <w:tcPr>
            <w:tcW w:w="1220" w:type="dxa"/>
            <w:noWrap w:val="0"/>
            <w:vAlign w:val="center"/>
          </w:tcPr>
          <w:p w14:paraId="6439A4D6">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性别</w:t>
            </w:r>
          </w:p>
        </w:tc>
        <w:tc>
          <w:tcPr>
            <w:tcW w:w="1256" w:type="dxa"/>
            <w:noWrap w:val="0"/>
            <w:vAlign w:val="center"/>
          </w:tcPr>
          <w:p w14:paraId="5F183BAA">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工作年限</w:t>
            </w:r>
          </w:p>
        </w:tc>
        <w:tc>
          <w:tcPr>
            <w:tcW w:w="1789" w:type="dxa"/>
            <w:noWrap w:val="0"/>
            <w:vAlign w:val="center"/>
          </w:tcPr>
          <w:p w14:paraId="7FD46B12">
            <w:pPr>
              <w:pStyle w:val="17"/>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岗位证书（资格证书、职称证书）及编号</w:t>
            </w:r>
          </w:p>
        </w:tc>
      </w:tr>
      <w:tr w14:paraId="1FBD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14C25485">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6CD52502">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1CFA6A03">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112C8467">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05A2A00D">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0C8700E5">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7390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689721F4">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386C34D1">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705836F8">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273C5F16">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5C756D22">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13ED15B4">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332F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6A72C9B2">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2BF6C145">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64EB5AE2">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22A172DA">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29A138DB">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518A71D9">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4CD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29A56B75">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4CD3B968">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49738979">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45E292E0">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7F398D16">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11EEC6FB">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r w14:paraId="5D73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noWrap w:val="0"/>
            <w:vAlign w:val="top"/>
          </w:tcPr>
          <w:p w14:paraId="358EB577">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1114A085">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421" w:type="dxa"/>
            <w:noWrap w:val="0"/>
            <w:vAlign w:val="top"/>
          </w:tcPr>
          <w:p w14:paraId="699A7DD9">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20" w:type="dxa"/>
            <w:noWrap w:val="0"/>
            <w:vAlign w:val="top"/>
          </w:tcPr>
          <w:p w14:paraId="60183A8E">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256" w:type="dxa"/>
            <w:noWrap w:val="0"/>
            <w:vAlign w:val="top"/>
          </w:tcPr>
          <w:p w14:paraId="7609630B">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c>
          <w:tcPr>
            <w:tcW w:w="1789" w:type="dxa"/>
            <w:noWrap w:val="0"/>
            <w:vAlign w:val="top"/>
          </w:tcPr>
          <w:p w14:paraId="0140E2D2">
            <w:pPr>
              <w:pStyle w:val="17"/>
              <w:keepNext w:val="0"/>
              <w:keepLines w:val="0"/>
              <w:suppressLineNumbers w:val="0"/>
              <w:tabs>
                <w:tab w:val="left" w:pos="5580"/>
              </w:tabs>
              <w:spacing w:before="0" w:beforeAutospacing="0" w:after="0" w:afterAutospacing="0" w:line="240" w:lineRule="atLeast"/>
              <w:ind w:left="0" w:right="0"/>
              <w:rPr>
                <w:rFonts w:hint="eastAsia" w:ascii="仿宋" w:hAnsi="仿宋" w:eastAsia="仿宋" w:cs="仿宋"/>
                <w:kern w:val="0"/>
                <w:sz w:val="24"/>
                <w:lang w:val="en-US" w:eastAsia="zh-CN"/>
              </w:rPr>
            </w:pPr>
          </w:p>
        </w:tc>
      </w:tr>
    </w:tbl>
    <w:p w14:paraId="14074A29">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4BDE8CE9">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656D5803">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528F3004">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60DB042D">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19630B2B">
      <w:pPr>
        <w:pStyle w:val="17"/>
        <w:tabs>
          <w:tab w:val="left" w:pos="5580"/>
        </w:tabs>
        <w:spacing w:line="240" w:lineRule="atLeast"/>
        <w:ind w:left="1079" w:leftChars="257" w:hanging="540"/>
        <w:rPr>
          <w:rFonts w:hint="eastAsia" w:ascii="仿宋" w:hAnsi="仿宋" w:eastAsia="仿宋" w:cs="仿宋"/>
          <w:kern w:val="0"/>
          <w:sz w:val="24"/>
          <w:lang w:val="en-US" w:eastAsia="zh-CN"/>
        </w:rPr>
      </w:pPr>
    </w:p>
    <w:p w14:paraId="63B00C85">
      <w:pPr>
        <w:pStyle w:val="17"/>
        <w:tabs>
          <w:tab w:val="left" w:pos="5580"/>
        </w:tabs>
        <w:spacing w:line="360" w:lineRule="auto"/>
        <w:ind w:firstLine="2640" w:firstLineChars="1100"/>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法定代表人或其委托代理人：</w:t>
      </w:r>
      <w:r>
        <w:rPr>
          <w:rFonts w:hint="eastAsia" w:ascii="仿宋" w:hAnsi="仿宋" w:eastAsia="仿宋" w:cs="仿宋"/>
          <w:kern w:val="0"/>
          <w:sz w:val="24"/>
          <w:u w:val="single"/>
          <w:lang w:val="en-US" w:eastAsia="zh-CN"/>
        </w:rPr>
        <w:t xml:space="preserve">                     </w:t>
      </w:r>
    </w:p>
    <w:p w14:paraId="193DAE56">
      <w:pPr>
        <w:pStyle w:val="17"/>
        <w:tabs>
          <w:tab w:val="left" w:pos="5580"/>
        </w:tabs>
        <w:spacing w:line="360" w:lineRule="auto"/>
        <w:ind w:firstLine="480" w:firstLineChars="200"/>
        <w:jc w:val="center"/>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 xml:space="preserve">    供应商：</w:t>
      </w:r>
      <w:r>
        <w:rPr>
          <w:rFonts w:hint="eastAsia" w:ascii="仿宋" w:hAnsi="仿宋" w:eastAsia="仿宋" w:cs="仿宋"/>
          <w:kern w:val="0"/>
          <w:sz w:val="24"/>
          <w:u w:val="single"/>
          <w:lang w:val="en-US" w:eastAsia="zh-CN"/>
        </w:rPr>
        <w:t xml:space="preserve">        （电子签章）                   </w:t>
      </w:r>
    </w:p>
    <w:p w14:paraId="054F07AD">
      <w:pPr>
        <w:pStyle w:val="17"/>
        <w:tabs>
          <w:tab w:val="left" w:pos="5580"/>
        </w:tabs>
        <w:spacing w:line="360" w:lineRule="auto"/>
        <w:ind w:firstLine="480" w:firstLineChars="200"/>
        <w:jc w:val="center"/>
        <w:rPr>
          <w:rFonts w:hint="eastAsia" w:ascii="仿宋" w:hAnsi="仿宋" w:eastAsia="仿宋" w:cs="仿宋"/>
          <w:kern w:val="0"/>
          <w:sz w:val="24"/>
          <w:u w:val="single"/>
          <w:lang w:val="en-US" w:eastAsia="zh-CN"/>
        </w:rPr>
      </w:pPr>
      <w:r>
        <w:rPr>
          <w:rFonts w:hint="eastAsia" w:ascii="仿宋" w:hAnsi="仿宋" w:eastAsia="仿宋" w:cs="仿宋"/>
          <w:kern w:val="0"/>
          <w:sz w:val="24"/>
          <w:lang w:val="en-US" w:eastAsia="zh-CN"/>
        </w:rPr>
        <w:t>日期</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u w:val="single"/>
          <w:lang w:val="en-US" w:eastAsia="zh-CN"/>
        </w:rPr>
        <w:t xml:space="preserve"> 2026</w:t>
      </w:r>
      <w:r>
        <w:rPr>
          <w:rFonts w:hint="eastAsia" w:ascii="仿宋" w:hAnsi="仿宋" w:eastAsia="仿宋" w:cs="仿宋"/>
          <w:kern w:val="0"/>
          <w:sz w:val="24"/>
          <w:u w:val="single"/>
          <w:lang w:val="en-US" w:eastAsia="zh-CN"/>
        </w:rPr>
        <w:t xml:space="preserve">年     月     日                   </w:t>
      </w:r>
    </w:p>
    <w:p w14:paraId="50BA4CF4">
      <w:pPr>
        <w:pStyle w:val="5"/>
        <w:numPr>
          <w:ilvl w:val="0"/>
          <w:numId w:val="0"/>
        </w:numPr>
        <w:spacing w:before="0" w:line="240" w:lineRule="atLeast"/>
        <w:jc w:val="both"/>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br w:type="page"/>
      </w:r>
      <w:bookmarkStart w:id="320" w:name="_Toc28158"/>
      <w:r>
        <w:rPr>
          <w:rFonts w:hint="eastAsia" w:ascii="仿宋" w:hAnsi="仿宋" w:eastAsia="仿宋" w:cs="仿宋"/>
          <w:b/>
          <w:color w:val="auto"/>
          <w:sz w:val="24"/>
          <w:highlight w:val="none"/>
          <w:lang w:val="en-US" w:eastAsia="zh-CN"/>
        </w:rPr>
        <w:t xml:space="preserve">10  </w:t>
      </w:r>
      <w:bookmarkStart w:id="321" w:name="_Toc17417"/>
      <w:r>
        <w:rPr>
          <w:rFonts w:hint="eastAsia" w:ascii="仿宋" w:hAnsi="仿宋" w:eastAsia="仿宋" w:cs="仿宋"/>
          <w:sz w:val="24"/>
        </w:rPr>
        <w:t>针对本次项目《反商业贿赂承诺书》</w:t>
      </w:r>
      <w:bookmarkEnd w:id="321"/>
      <w:r>
        <w:rPr>
          <w:rFonts w:hint="eastAsia" w:ascii="仿宋" w:hAnsi="仿宋" w:eastAsia="仿宋" w:cs="仿宋"/>
          <w:color w:val="auto"/>
          <w:sz w:val="24"/>
          <w:highlight w:val="none"/>
          <w:lang w:val="en-US" w:eastAsia="zh-CN"/>
        </w:rPr>
        <w:t>；</w:t>
      </w:r>
      <w:bookmarkEnd w:id="320"/>
    </w:p>
    <w:p w14:paraId="3F43DBE0">
      <w:pPr>
        <w:pStyle w:val="5"/>
        <w:numPr>
          <w:ilvl w:val="0"/>
          <w:numId w:val="0"/>
        </w:numPr>
        <w:spacing w:before="0" w:line="240" w:lineRule="atLeast"/>
        <w:jc w:val="both"/>
        <w:rPr>
          <w:rFonts w:hint="eastAsia" w:ascii="仿宋" w:hAnsi="仿宋" w:eastAsia="仿宋" w:cs="仿宋"/>
          <w:color w:val="auto"/>
          <w:sz w:val="24"/>
          <w:highlight w:val="none"/>
          <w:lang w:eastAsia="zh-CN"/>
        </w:rPr>
      </w:pPr>
      <w:bookmarkStart w:id="322" w:name="_Toc10692"/>
      <w:r>
        <w:rPr>
          <w:rFonts w:hint="eastAsia" w:ascii="仿宋" w:hAnsi="仿宋" w:eastAsia="仿宋" w:cs="仿宋"/>
          <w:color w:val="auto"/>
          <w:sz w:val="24"/>
          <w:highlight w:val="none"/>
          <w:lang w:val="en-US" w:eastAsia="zh-CN"/>
        </w:rPr>
        <w:t xml:space="preserve">11  </w:t>
      </w:r>
      <w:r>
        <w:rPr>
          <w:rFonts w:hint="eastAsia" w:ascii="仿宋" w:hAnsi="仿宋" w:eastAsia="仿宋" w:cs="仿宋"/>
          <w:color w:val="auto"/>
          <w:sz w:val="24"/>
          <w:highlight w:val="none"/>
        </w:rPr>
        <w:t>参加政府采购活动前3年内</w:t>
      </w:r>
      <w:bookmarkEnd w:id="312"/>
      <w:bookmarkEnd w:id="313"/>
      <w:bookmarkEnd w:id="314"/>
      <w:bookmarkStart w:id="323" w:name="_Toc1137"/>
      <w:bookmarkStart w:id="324" w:name="_Toc6008"/>
      <w:bookmarkStart w:id="325" w:name="_Toc515647812"/>
      <w:r>
        <w:rPr>
          <w:rFonts w:hint="eastAsia" w:ascii="仿宋" w:hAnsi="仿宋" w:eastAsia="仿宋" w:cs="仿宋"/>
          <w:color w:val="auto"/>
          <w:sz w:val="24"/>
          <w:highlight w:val="none"/>
        </w:rPr>
        <w:t>在经营活动中没有重大违法记录的书面声明</w:t>
      </w:r>
      <w:bookmarkEnd w:id="315"/>
      <w:bookmarkEnd w:id="323"/>
      <w:bookmarkEnd w:id="324"/>
      <w:bookmarkEnd w:id="325"/>
      <w:r>
        <w:rPr>
          <w:rFonts w:hint="eastAsia" w:ascii="仿宋" w:hAnsi="仿宋" w:eastAsia="仿宋" w:cs="仿宋"/>
          <w:color w:val="auto"/>
          <w:sz w:val="24"/>
          <w:highlight w:val="none"/>
          <w:lang w:eastAsia="zh-CN"/>
        </w:rPr>
        <w:t>；</w:t>
      </w:r>
      <w:bookmarkEnd w:id="322"/>
    </w:p>
    <w:p w14:paraId="795EA6C0">
      <w:pPr>
        <w:pStyle w:val="17"/>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0CDF7179">
      <w:pPr>
        <w:pStyle w:val="17"/>
        <w:tabs>
          <w:tab w:val="left" w:pos="5580"/>
        </w:tabs>
        <w:spacing w:line="240" w:lineRule="atLeast"/>
        <w:ind w:left="1079" w:leftChars="257" w:hanging="540"/>
        <w:rPr>
          <w:rFonts w:hint="eastAsia" w:ascii="仿宋" w:hAnsi="仿宋" w:eastAsia="仿宋" w:cs="仿宋"/>
          <w:color w:val="auto"/>
          <w:sz w:val="24"/>
          <w:highlight w:val="none"/>
        </w:rPr>
      </w:pPr>
    </w:p>
    <w:p w14:paraId="38D20049">
      <w:pPr>
        <w:pStyle w:val="17"/>
        <w:tabs>
          <w:tab w:val="left" w:pos="5580"/>
        </w:tabs>
        <w:spacing w:line="240" w:lineRule="atLeast"/>
        <w:ind w:left="1079" w:leftChars="257" w:hanging="540"/>
        <w:rPr>
          <w:rFonts w:hint="eastAsia" w:ascii="仿宋" w:hAnsi="仿宋" w:eastAsia="仿宋" w:cs="仿宋"/>
          <w:color w:val="auto"/>
          <w:sz w:val="24"/>
          <w:highlight w:val="none"/>
        </w:rPr>
      </w:pPr>
    </w:p>
    <w:p w14:paraId="4BAB073A">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14:paraId="557325F2">
      <w:pPr>
        <w:pStyle w:val="17"/>
        <w:tabs>
          <w:tab w:val="left" w:pos="5580"/>
        </w:tabs>
        <w:spacing w:line="240" w:lineRule="atLeast"/>
        <w:ind w:left="644" w:leftChars="307"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按照招标文件的规定加盖单位</w:t>
      </w:r>
      <w:r>
        <w:rPr>
          <w:rFonts w:hint="eastAsia" w:ascii="仿宋" w:hAnsi="仿宋" w:eastAsia="仿宋" w:cs="仿宋"/>
          <w:color w:val="auto"/>
          <w:sz w:val="24"/>
          <w:highlight w:val="none"/>
          <w:lang w:eastAsia="zh-CN"/>
        </w:rPr>
        <w:t>电子</w:t>
      </w:r>
      <w:r>
        <w:rPr>
          <w:rFonts w:hint="eastAsia" w:ascii="仿宋" w:hAnsi="仿宋" w:eastAsia="仿宋" w:cs="仿宋"/>
          <w:color w:val="auto"/>
          <w:sz w:val="24"/>
          <w:highlight w:val="none"/>
        </w:rPr>
        <w:t>章（自然人投标的无需盖章，需要签字）。</w:t>
      </w:r>
    </w:p>
    <w:p w14:paraId="7B04A6B0">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3.如果是联合体投标，联合体各方均需提供上述证明。</w:t>
      </w:r>
    </w:p>
    <w:p w14:paraId="63E5B161">
      <w:pPr>
        <w:pStyle w:val="5"/>
        <w:numPr>
          <w:ilvl w:val="0"/>
          <w:numId w:val="0"/>
        </w:numPr>
        <w:spacing w:before="0" w:line="240" w:lineRule="atLeast"/>
        <w:ind w:leftChars="257"/>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26" w:name="_Toc23936"/>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sz w:val="24"/>
        </w:rPr>
        <w:t>投标保证金缴纳凭证或投标担保函</w:t>
      </w:r>
      <w:bookmarkEnd w:id="326"/>
    </w:p>
    <w:p w14:paraId="3CB03292">
      <w:pPr>
        <w:tabs>
          <w:tab w:val="left" w:pos="5580"/>
        </w:tabs>
        <w:spacing w:line="240" w:lineRule="atLeast"/>
        <w:ind w:left="540" w:firstLine="480" w:firstLineChars="200"/>
        <w:rPr>
          <w:rFonts w:hint="eastAsia" w:ascii="仿宋" w:hAnsi="仿宋" w:eastAsia="仿宋" w:cs="仿宋"/>
          <w:color w:val="auto"/>
          <w:sz w:val="24"/>
          <w:highlight w:val="none"/>
        </w:rPr>
      </w:pPr>
    </w:p>
    <w:p w14:paraId="14AB651E">
      <w:pPr>
        <w:tabs>
          <w:tab w:val="left" w:pos="5580"/>
        </w:tabs>
        <w:spacing w:line="240" w:lineRule="atLeast"/>
        <w:ind w:left="54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投标人可将本项目投标保证金支付的汇款凭证、支票、汇票</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保证金收据的</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作为缴纳凭证装订在本部分，</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上应加盖本单位</w:t>
      </w:r>
      <w:r>
        <w:rPr>
          <w:rFonts w:hint="eastAsia" w:ascii="仿宋" w:hAnsi="仿宋" w:eastAsia="仿宋" w:cs="仿宋"/>
          <w:color w:val="auto"/>
          <w:sz w:val="24"/>
          <w:highlight w:val="none"/>
          <w:lang w:eastAsia="zh-CN"/>
        </w:rPr>
        <w:t>电子</w:t>
      </w:r>
      <w:r>
        <w:rPr>
          <w:rFonts w:hint="eastAsia" w:ascii="仿宋" w:hAnsi="仿宋" w:eastAsia="仿宋" w:cs="仿宋"/>
          <w:color w:val="auto"/>
          <w:sz w:val="24"/>
          <w:highlight w:val="none"/>
        </w:rPr>
        <w:t>章；使用银行保函等其他投标担保函的，应将担保函正本</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，装订在本部分正本中；如采用政府采购信用担保形式的，应使用（投标文件格式</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将原件</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装订在本部分正本中。</w:t>
      </w:r>
    </w:p>
    <w:p w14:paraId="21581A6A">
      <w:pPr>
        <w:spacing w:line="240" w:lineRule="atLeast"/>
        <w:ind w:left="1079" w:leftChars="257" w:hanging="540"/>
        <w:jc w:val="center"/>
        <w:rPr>
          <w:rFonts w:hint="eastAsia" w:ascii="仿宋" w:hAnsi="仿宋" w:eastAsia="仿宋" w:cs="仿宋"/>
          <w:color w:val="auto"/>
          <w:sz w:val="24"/>
          <w:highlight w:val="none"/>
        </w:rPr>
      </w:pPr>
    </w:p>
    <w:p w14:paraId="45124709">
      <w:pPr>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政府采购投标担保函 （项目用</w:t>
      </w:r>
      <w:r>
        <w:rPr>
          <w:rFonts w:hint="eastAsia" w:ascii="仿宋" w:hAnsi="仿宋" w:eastAsia="仿宋" w:cs="仿宋"/>
          <w:color w:val="auto"/>
          <w:sz w:val="24"/>
          <w:highlight w:val="none"/>
          <w:lang w:eastAsia="zh-CN"/>
        </w:rPr>
        <w:t>）（投标文件格式四）</w:t>
      </w:r>
    </w:p>
    <w:p w14:paraId="05D0AE56">
      <w:pPr>
        <w:ind w:firstLine="7680" w:firstLineChars="3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14:paraId="624F88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8EB99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p>
    <w:p w14:paraId="348B883A">
      <w:pPr>
        <w:rPr>
          <w:rFonts w:hint="eastAsia" w:ascii="仿宋" w:hAnsi="仿宋" w:eastAsia="仿宋" w:cs="仿宋"/>
          <w:color w:val="auto"/>
          <w:sz w:val="24"/>
          <w:szCs w:val="24"/>
          <w:highlight w:val="none"/>
        </w:rPr>
      </w:pPr>
    </w:p>
    <w:p w14:paraId="08CA9E6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（以下简称“投标人”）拟参加编号为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5A2FB9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E1A300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一、保证责任的情形及保证金额</w:t>
      </w:r>
    </w:p>
    <w:p w14:paraId="5E55A583">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（一）在投标人出现下列情形之一时，我方承担保证责任：</w:t>
      </w:r>
    </w:p>
    <w:p w14:paraId="6DCCF0E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中标后投标人无正当理由不与采购人或者采购代理机构签订《政府采购合同》；</w:t>
      </w:r>
    </w:p>
    <w:p w14:paraId="3ABBE0A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招标文件规定的投标人应当缴纳保证金的其他情形。</w:t>
      </w:r>
    </w:p>
    <w:p w14:paraId="74C20C12">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14:paraId="7E4A546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二、保证的方式及保证期间</w:t>
      </w:r>
    </w:p>
    <w:p w14:paraId="57E6FAF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14:paraId="71AD475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14:paraId="1F2F6AE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三、承担保证责任的程序</w:t>
      </w:r>
    </w:p>
    <w:p w14:paraId="01056BF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2118537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个工作日内进行审查，符合应承担保证责任情形的，我方应按照你方的要求代投标人向你方支付投标保证金。</w:t>
      </w:r>
    </w:p>
    <w:p w14:paraId="72D192C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四、保证责任的终止</w:t>
      </w:r>
    </w:p>
    <w:p w14:paraId="21FB241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保证期间届满你方未向我方书面主张保证责任的，自保证期间届满次日起，我方保证责任自动终止。</w:t>
      </w:r>
    </w:p>
    <w:p w14:paraId="57F0EFB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我方按照本保函向你贵方履行了保证责任后，自我方向你贵方支付款项（支付款项从我方账户划出）之日起，保证责任终止。</w:t>
      </w:r>
    </w:p>
    <w:p w14:paraId="24A3DC9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按照法律法规的规定或出现我方保证责任终止的</w:t>
      </w:r>
      <w:r>
        <w:rPr>
          <w:rFonts w:hint="eastAsia" w:ascii="仿宋" w:hAnsi="仿宋" w:eastAsia="仿宋" w:cs="仿宋"/>
          <w:color w:val="auto"/>
          <w:sz w:val="24"/>
          <w:szCs w:val="24"/>
          <w:highlight w:val="none"/>
          <w:lang w:eastAsia="zh-CN"/>
        </w:rPr>
        <w:t>其他情形的</w:t>
      </w:r>
      <w:r>
        <w:rPr>
          <w:rFonts w:hint="eastAsia" w:ascii="仿宋" w:hAnsi="仿宋" w:eastAsia="仿宋" w:cs="仿宋"/>
          <w:color w:val="auto"/>
          <w:sz w:val="24"/>
          <w:szCs w:val="24"/>
          <w:highlight w:val="none"/>
        </w:rPr>
        <w:t>，我方在本保函项下的保证责任亦终止。</w:t>
      </w:r>
    </w:p>
    <w:p w14:paraId="7EE0AC2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五、免责条款</w:t>
      </w:r>
    </w:p>
    <w:p w14:paraId="4CDD1D4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依照法律规定或你方与投标人的另行约定，全部或者部分免除投标人投标保证金义务时，我方亦免除相应的保证责任。</w:t>
      </w:r>
    </w:p>
    <w:p w14:paraId="3A56271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因你方原因致使投标人发生本保函第一条第（一）款约定情形的，我方不承担保证责任。</w:t>
      </w:r>
    </w:p>
    <w:p w14:paraId="3CCC6FE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因不可抗力造成投标人发生本保函第一条约定情形的，我方不承担保证责任。</w:t>
      </w:r>
    </w:p>
    <w:p w14:paraId="78D16E3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你方或其他有权机关对招标文件进行任何澄清或修改，加重我方保证责任的，我方对加重部分不承担保证责任，但该澄清或修改经我方事先书面同意的除外。</w:t>
      </w:r>
    </w:p>
    <w:p w14:paraId="0284348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六、争议的解决</w:t>
      </w:r>
    </w:p>
    <w:p w14:paraId="2205EAD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14:paraId="64BDB36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七、保函的生效</w:t>
      </w:r>
    </w:p>
    <w:p w14:paraId="3CC59E6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14:paraId="3BA20022">
      <w:pPr>
        <w:jc w:val="right"/>
        <w:rPr>
          <w:rFonts w:hint="eastAsia" w:ascii="仿宋" w:hAnsi="仿宋" w:eastAsia="仿宋" w:cs="仿宋"/>
          <w:color w:val="auto"/>
          <w:sz w:val="24"/>
          <w:szCs w:val="24"/>
          <w:highlight w:val="none"/>
        </w:rPr>
      </w:pPr>
    </w:p>
    <w:p w14:paraId="5A4D3082">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p>
    <w:p w14:paraId="58510CB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1F57F73">
      <w:pPr>
        <w:jc w:val="right"/>
        <w:rPr>
          <w:rFonts w:hint="eastAsia" w:ascii="仿宋" w:hAnsi="仿宋" w:eastAsia="仿宋" w:cs="仿宋"/>
          <w:color w:val="auto"/>
          <w:sz w:val="24"/>
          <w:szCs w:val="24"/>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年   月   </w:t>
      </w:r>
      <w:r>
        <w:rPr>
          <w:rFonts w:hint="eastAsia" w:ascii="仿宋" w:hAnsi="仿宋" w:eastAsia="仿宋" w:cs="仿宋"/>
          <w:color w:val="auto"/>
          <w:sz w:val="24"/>
          <w:szCs w:val="24"/>
          <w:highlight w:val="none"/>
          <w:lang w:val="en-US" w:eastAsia="zh-CN"/>
        </w:rPr>
        <w:t>日</w:t>
      </w:r>
    </w:p>
    <w:p w14:paraId="1405292D">
      <w:pPr>
        <w:pStyle w:val="17"/>
        <w:tabs>
          <w:tab w:val="left" w:pos="5580"/>
        </w:tabs>
        <w:spacing w:line="240" w:lineRule="atLeast"/>
        <w:ind w:left="1079" w:leftChars="257" w:hanging="540"/>
        <w:jc w:val="center"/>
        <w:rPr>
          <w:rFonts w:hint="eastAsia" w:ascii="仿宋" w:hAnsi="仿宋" w:eastAsia="仿宋" w:cs="仿宋"/>
          <w:color w:val="auto"/>
          <w:sz w:val="24"/>
          <w:highlight w:val="none"/>
        </w:rPr>
      </w:pPr>
    </w:p>
    <w:p w14:paraId="6FFE0EB9">
      <w:pPr>
        <w:pStyle w:val="5"/>
        <w:spacing w:before="0" w:line="240" w:lineRule="atLeast"/>
        <w:ind w:left="1079" w:leftChars="257" w:hanging="540"/>
        <w:rPr>
          <w:rFonts w:hint="eastAsia" w:ascii="仿宋" w:hAnsi="仿宋" w:eastAsia="仿宋" w:cs="仿宋"/>
          <w:color w:val="auto"/>
          <w:sz w:val="24"/>
          <w:highlight w:val="none"/>
        </w:rPr>
      </w:pPr>
      <w:bookmarkStart w:id="327" w:name="_Toc6995"/>
      <w:r>
        <w:rPr>
          <w:rFonts w:hint="eastAsia" w:ascii="仿宋" w:hAnsi="仿宋" w:eastAsia="仿宋" w:cs="仿宋"/>
          <w:color w:val="auto"/>
          <w:sz w:val="24"/>
          <w:highlight w:val="none"/>
          <w:lang w:val="en-US" w:eastAsia="zh-CN"/>
        </w:rPr>
        <w:t xml:space="preserve">13 </w:t>
      </w:r>
      <w:r>
        <w:rPr>
          <w:rFonts w:hint="eastAsia" w:ascii="仿宋" w:hAnsi="仿宋" w:eastAsia="仿宋" w:cs="仿宋"/>
          <w:color w:val="auto"/>
          <w:sz w:val="24"/>
          <w:highlight w:val="none"/>
        </w:rPr>
        <w:t>投标人须知资料表要求的其他资格证明文件</w:t>
      </w:r>
      <w:bookmarkEnd w:id="327"/>
    </w:p>
    <w:p w14:paraId="4F3F0665">
      <w:pPr>
        <w:spacing w:line="240" w:lineRule="atLeast"/>
        <w:ind w:left="1079" w:leftChars="257" w:hanging="540"/>
        <w:jc w:val="center"/>
        <w:rPr>
          <w:rFonts w:hint="eastAsia" w:ascii="仿宋" w:hAnsi="仿宋" w:eastAsia="仿宋" w:cs="仿宋"/>
          <w:b/>
          <w:bCs/>
          <w:color w:val="auto"/>
          <w:sz w:val="24"/>
          <w:highlight w:val="none"/>
        </w:rPr>
      </w:pPr>
    </w:p>
    <w:p w14:paraId="4A9B742A">
      <w:pPr>
        <w:spacing w:line="240" w:lineRule="atLeast"/>
        <w:ind w:left="1079" w:leftChars="257" w:hanging="540"/>
        <w:jc w:val="center"/>
        <w:rPr>
          <w:rFonts w:hint="eastAsia" w:ascii="仿宋" w:hAnsi="仿宋" w:eastAsia="仿宋" w:cs="仿宋"/>
          <w:b/>
          <w:bCs/>
          <w:color w:val="auto"/>
          <w:sz w:val="24"/>
          <w:highlight w:val="none"/>
        </w:rPr>
      </w:pPr>
    </w:p>
    <w:p w14:paraId="3735E29F">
      <w:pPr>
        <w:spacing w:line="240" w:lineRule="atLeast"/>
        <w:ind w:left="1079" w:leftChars="257" w:hanging="540"/>
        <w:jc w:val="center"/>
        <w:rPr>
          <w:rFonts w:hint="eastAsia" w:ascii="仿宋" w:hAnsi="仿宋" w:eastAsia="仿宋" w:cs="仿宋"/>
          <w:b/>
          <w:bCs/>
          <w:color w:val="auto"/>
          <w:sz w:val="24"/>
          <w:highlight w:val="none"/>
        </w:rPr>
      </w:pPr>
    </w:p>
    <w:p w14:paraId="054D2A06">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14:paraId="5EE6B581">
      <w:pPr>
        <w:pStyle w:val="17"/>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2.应加盖本单位</w:t>
      </w:r>
      <w:r>
        <w:rPr>
          <w:rFonts w:hint="eastAsia" w:ascii="仿宋" w:hAnsi="仿宋" w:eastAsia="仿宋" w:cs="仿宋"/>
          <w:color w:val="auto"/>
          <w:sz w:val="24"/>
          <w:highlight w:val="none"/>
          <w:lang w:eastAsia="zh-CN"/>
        </w:rPr>
        <w:t>电子章</w:t>
      </w:r>
      <w:r>
        <w:rPr>
          <w:rFonts w:hint="eastAsia" w:ascii="仿宋" w:hAnsi="仿宋" w:eastAsia="仿宋" w:cs="仿宋"/>
          <w:color w:val="auto"/>
          <w:sz w:val="24"/>
          <w:highlight w:val="none"/>
        </w:rPr>
        <w:t>（自然人投标的无需盖章，需要签字）。</w:t>
      </w:r>
    </w:p>
    <w:p w14:paraId="339E4766">
      <w:pPr>
        <w:pStyle w:val="17"/>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 如果是联合体投标，联合体各方需</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满足招标文件要求的其他资格证明文件。</w:t>
      </w:r>
    </w:p>
    <w:p w14:paraId="0C87D749">
      <w:pPr>
        <w:pStyle w:val="17"/>
        <w:tabs>
          <w:tab w:val="left" w:pos="5580"/>
        </w:tabs>
        <w:spacing w:line="240" w:lineRule="atLeas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F7FF69B">
      <w:pPr>
        <w:pStyle w:val="5"/>
        <w:spacing w:before="0" w:line="240" w:lineRule="atLeast"/>
        <w:ind w:left="1079" w:leftChars="257" w:hanging="540"/>
        <w:rPr>
          <w:rFonts w:hint="eastAsia" w:ascii="仿宋" w:hAnsi="仿宋" w:eastAsia="仿宋" w:cs="仿宋"/>
          <w:color w:val="auto"/>
          <w:sz w:val="24"/>
          <w:highlight w:val="none"/>
        </w:rPr>
      </w:pPr>
      <w:bookmarkStart w:id="328" w:name="_Toc11180"/>
      <w:bookmarkStart w:id="329" w:name="_Toc27703"/>
      <w:bookmarkStart w:id="330" w:name="_Toc515647816"/>
      <w:bookmarkStart w:id="331" w:name="_Toc22967"/>
      <w:r>
        <w:rPr>
          <w:rFonts w:hint="eastAsia" w:ascii="仿宋" w:hAnsi="仿宋" w:eastAsia="仿宋" w:cs="仿宋"/>
          <w:color w:val="auto"/>
          <w:sz w:val="24"/>
          <w:highlight w:val="none"/>
        </w:rPr>
        <w:t>第二部分  商务及技术文件</w:t>
      </w:r>
      <w:bookmarkEnd w:id="328"/>
      <w:bookmarkEnd w:id="329"/>
      <w:bookmarkEnd w:id="330"/>
      <w:bookmarkEnd w:id="331"/>
    </w:p>
    <w:p w14:paraId="5BE30108">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投标书（投标文件格式五）</w:t>
      </w:r>
    </w:p>
    <w:p w14:paraId="6DF358B3">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投标保证金缴纳凭证或投标担保函（见投标文件格式六）</w:t>
      </w:r>
    </w:p>
    <w:p w14:paraId="74CE3B1E">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投标分项报价表（投标文件格式七）</w:t>
      </w:r>
    </w:p>
    <w:p w14:paraId="4277CAC5">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4.服务</w:t>
      </w:r>
      <w:r>
        <w:rPr>
          <w:rFonts w:hint="eastAsia" w:ascii="仿宋" w:hAnsi="仿宋" w:eastAsia="仿宋" w:cs="仿宋"/>
          <w:color w:val="auto"/>
          <w:sz w:val="24"/>
          <w:highlight w:val="none"/>
        </w:rPr>
        <w:t>说明一览表（投标文件格式八）</w:t>
      </w:r>
    </w:p>
    <w:p w14:paraId="30BF2D6B">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技术规格偏离表（投标文件格式九）</w:t>
      </w:r>
    </w:p>
    <w:p w14:paraId="0C548208">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商务条款偏离表（投标文件格式十）</w:t>
      </w:r>
    </w:p>
    <w:p w14:paraId="32B78CB6">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rPr>
        <w:t>符合《政府采购促进中小企业发展管理办法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关于进一步加大政府采购支持中小企业力度的通知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关于政府采购支持监狱企业发展有关问题的通知》和《三部门联合发布关于促进残疾人就业政府采购政策的通知</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价格扣减条件的投标人须提交</w:t>
      </w:r>
    </w:p>
    <w:p w14:paraId="54DF3E1A">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rPr>
        <w:t>7-1《投标人企业（单位）类型声明函》（投标文件格式十一）</w:t>
      </w:r>
    </w:p>
    <w:p w14:paraId="0DE2B332">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w:t>
      </w:r>
      <w:r>
        <w:rPr>
          <w:rFonts w:hint="eastAsia" w:ascii="仿宋" w:hAnsi="仿宋" w:eastAsia="仿宋" w:cs="仿宋"/>
          <w:color w:val="auto"/>
          <w:sz w:val="24"/>
          <w:highlight w:val="none"/>
          <w:lang w:val="en-US" w:eastAsia="zh-CN"/>
        </w:rPr>
        <w:t>格式十二</w:t>
      </w:r>
      <w:r>
        <w:rPr>
          <w:rFonts w:hint="eastAsia" w:ascii="仿宋" w:hAnsi="仿宋" w:eastAsia="仿宋" w:cs="仿宋"/>
          <w:color w:val="auto"/>
          <w:sz w:val="24"/>
          <w:highlight w:val="none"/>
        </w:rPr>
        <w:t>）</w:t>
      </w:r>
    </w:p>
    <w:p w14:paraId="74977C22">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投标人关联单位的说明（格式自拟）</w:t>
      </w:r>
    </w:p>
    <w:p w14:paraId="610CB5E2">
      <w:pPr>
        <w:pStyle w:val="17"/>
        <w:numPr>
          <w:ilvl w:val="0"/>
          <w:numId w:val="0"/>
        </w:numPr>
        <w:ind w:leftChars="148"/>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9.</w:t>
      </w:r>
      <w:r>
        <w:rPr>
          <w:rFonts w:hint="eastAsia" w:ascii="仿宋" w:hAnsi="仿宋" w:eastAsia="仿宋" w:cs="仿宋"/>
          <w:color w:val="auto"/>
          <w:sz w:val="24"/>
          <w:highlight w:val="none"/>
        </w:rPr>
        <w:t>投标文件还应包括投标人须知第10条的所有技术文件</w:t>
      </w:r>
    </w:p>
    <w:p w14:paraId="5AD47F03">
      <w:pPr>
        <w:pStyle w:val="11"/>
        <w:rPr>
          <w:rFonts w:hint="eastAsia" w:ascii="仿宋" w:hAnsi="仿宋" w:eastAsia="仿宋" w:cs="仿宋"/>
        </w:rPr>
      </w:pPr>
    </w:p>
    <w:p w14:paraId="4928BFA8">
      <w:pPr>
        <w:pStyle w:val="12"/>
        <w:rPr>
          <w:rFonts w:hint="eastAsia" w:ascii="仿宋" w:hAnsi="仿宋" w:eastAsia="仿宋" w:cs="仿宋"/>
        </w:rPr>
      </w:pPr>
    </w:p>
    <w:p w14:paraId="5B8176FE">
      <w:pPr>
        <w:rPr>
          <w:rFonts w:hint="eastAsia" w:ascii="仿宋" w:hAnsi="仿宋" w:eastAsia="仿宋" w:cs="仿宋"/>
        </w:rPr>
      </w:pPr>
    </w:p>
    <w:p w14:paraId="1ACAB338">
      <w:pPr>
        <w:pStyle w:val="39"/>
        <w:rPr>
          <w:rFonts w:hint="eastAsia" w:ascii="仿宋" w:hAnsi="仿宋" w:eastAsia="仿宋" w:cs="仿宋"/>
        </w:rPr>
      </w:pPr>
    </w:p>
    <w:p w14:paraId="5C5E39EF">
      <w:pPr>
        <w:pStyle w:val="39"/>
        <w:rPr>
          <w:rFonts w:hint="eastAsia" w:ascii="仿宋" w:hAnsi="仿宋" w:eastAsia="仿宋" w:cs="仿宋"/>
        </w:rPr>
      </w:pPr>
    </w:p>
    <w:p w14:paraId="78CCD753">
      <w:pPr>
        <w:pStyle w:val="39"/>
        <w:rPr>
          <w:rFonts w:hint="eastAsia" w:ascii="仿宋" w:hAnsi="仿宋" w:eastAsia="仿宋" w:cs="仿宋"/>
        </w:rPr>
      </w:pPr>
    </w:p>
    <w:p w14:paraId="6D0ADC2F">
      <w:pPr>
        <w:pStyle w:val="39"/>
        <w:rPr>
          <w:rFonts w:hint="eastAsia" w:ascii="仿宋" w:hAnsi="仿宋" w:eastAsia="仿宋" w:cs="仿宋"/>
        </w:rPr>
      </w:pPr>
    </w:p>
    <w:p w14:paraId="17E11BF3">
      <w:pPr>
        <w:pStyle w:val="39"/>
        <w:rPr>
          <w:rFonts w:hint="eastAsia" w:ascii="仿宋" w:hAnsi="仿宋" w:eastAsia="仿宋" w:cs="仿宋"/>
        </w:rPr>
      </w:pPr>
    </w:p>
    <w:p w14:paraId="46C59D5C">
      <w:pPr>
        <w:pStyle w:val="39"/>
        <w:rPr>
          <w:rFonts w:hint="eastAsia" w:ascii="仿宋" w:hAnsi="仿宋" w:eastAsia="仿宋" w:cs="仿宋"/>
        </w:rPr>
      </w:pPr>
    </w:p>
    <w:p w14:paraId="7C87F33D">
      <w:pPr>
        <w:pStyle w:val="39"/>
        <w:rPr>
          <w:rFonts w:hint="eastAsia" w:ascii="仿宋" w:hAnsi="仿宋" w:eastAsia="仿宋" w:cs="仿宋"/>
        </w:rPr>
      </w:pPr>
    </w:p>
    <w:p w14:paraId="3B961D3B">
      <w:pPr>
        <w:pStyle w:val="39"/>
        <w:rPr>
          <w:rFonts w:hint="eastAsia" w:ascii="仿宋" w:hAnsi="仿宋" w:eastAsia="仿宋" w:cs="仿宋"/>
        </w:rPr>
      </w:pPr>
    </w:p>
    <w:p w14:paraId="3A0CAE4E">
      <w:pPr>
        <w:pStyle w:val="39"/>
        <w:rPr>
          <w:rFonts w:hint="eastAsia" w:ascii="仿宋" w:hAnsi="仿宋" w:eastAsia="仿宋" w:cs="仿宋"/>
        </w:rPr>
      </w:pPr>
    </w:p>
    <w:p w14:paraId="54D9BD75">
      <w:pPr>
        <w:pStyle w:val="39"/>
        <w:rPr>
          <w:rFonts w:hint="eastAsia" w:ascii="仿宋" w:hAnsi="仿宋" w:eastAsia="仿宋" w:cs="仿宋"/>
        </w:rPr>
      </w:pPr>
    </w:p>
    <w:p w14:paraId="6916C670">
      <w:pPr>
        <w:pStyle w:val="39"/>
        <w:rPr>
          <w:rFonts w:hint="eastAsia" w:ascii="仿宋" w:hAnsi="仿宋" w:eastAsia="仿宋" w:cs="仿宋"/>
        </w:rPr>
      </w:pPr>
    </w:p>
    <w:p w14:paraId="656AABC9">
      <w:pPr>
        <w:pStyle w:val="39"/>
        <w:rPr>
          <w:rFonts w:hint="eastAsia" w:ascii="仿宋" w:hAnsi="仿宋" w:eastAsia="仿宋" w:cs="仿宋"/>
        </w:rPr>
      </w:pPr>
    </w:p>
    <w:p w14:paraId="37A472FD">
      <w:pPr>
        <w:pStyle w:val="39"/>
        <w:rPr>
          <w:rFonts w:hint="eastAsia" w:ascii="仿宋" w:hAnsi="仿宋" w:eastAsia="仿宋" w:cs="仿宋"/>
        </w:rPr>
      </w:pPr>
    </w:p>
    <w:p w14:paraId="2FE44FE5">
      <w:pPr>
        <w:pStyle w:val="39"/>
        <w:rPr>
          <w:rFonts w:hint="eastAsia" w:ascii="仿宋" w:hAnsi="仿宋" w:eastAsia="仿宋" w:cs="仿宋"/>
        </w:rPr>
      </w:pPr>
    </w:p>
    <w:p w14:paraId="73C61017">
      <w:pPr>
        <w:pStyle w:val="39"/>
        <w:rPr>
          <w:rFonts w:hint="eastAsia" w:ascii="仿宋" w:hAnsi="仿宋" w:eastAsia="仿宋" w:cs="仿宋"/>
        </w:rPr>
      </w:pPr>
    </w:p>
    <w:p w14:paraId="154710F7">
      <w:pPr>
        <w:pStyle w:val="39"/>
        <w:rPr>
          <w:rFonts w:hint="eastAsia" w:ascii="仿宋" w:hAnsi="仿宋" w:eastAsia="仿宋" w:cs="仿宋"/>
        </w:rPr>
      </w:pPr>
    </w:p>
    <w:bookmarkEnd w:id="274"/>
    <w:bookmarkEnd w:id="275"/>
    <w:bookmarkEnd w:id="276"/>
    <w:bookmarkEnd w:id="277"/>
    <w:p w14:paraId="218AEFA9">
      <w:pPr>
        <w:pStyle w:val="5"/>
        <w:bidi w:val="0"/>
        <w:rPr>
          <w:rFonts w:hint="eastAsia" w:ascii="仿宋" w:hAnsi="仿宋" w:eastAsia="仿宋" w:cs="仿宋"/>
          <w:sz w:val="24"/>
          <w:szCs w:val="24"/>
        </w:rPr>
      </w:pPr>
      <w:bookmarkStart w:id="332" w:name="_Toc14915"/>
      <w:bookmarkStart w:id="333" w:name="_Toc2041"/>
      <w:bookmarkStart w:id="334" w:name="_Toc13105"/>
      <w:bookmarkStart w:id="335" w:name="_Toc23078"/>
      <w:bookmarkStart w:id="336" w:name="_Toc515647817"/>
      <w:r>
        <w:rPr>
          <w:rFonts w:hint="eastAsia" w:ascii="仿宋" w:hAnsi="仿宋" w:eastAsia="仿宋" w:cs="仿宋"/>
          <w:sz w:val="24"/>
          <w:szCs w:val="24"/>
        </w:rPr>
        <w:t xml:space="preserve">1   </w:t>
      </w:r>
      <w:bookmarkStart w:id="337" w:name="_Hlt520355504"/>
      <w:bookmarkEnd w:id="337"/>
      <w:r>
        <w:rPr>
          <w:rFonts w:hint="eastAsia" w:ascii="仿宋" w:hAnsi="仿宋" w:eastAsia="仿宋" w:cs="仿宋"/>
          <w:sz w:val="24"/>
          <w:szCs w:val="24"/>
        </w:rPr>
        <w:t>投标书（投标文件格式</w:t>
      </w:r>
      <w:r>
        <w:rPr>
          <w:rFonts w:hint="eastAsia" w:ascii="仿宋" w:hAnsi="仿宋" w:eastAsia="仿宋" w:cs="仿宋"/>
          <w:sz w:val="24"/>
          <w:szCs w:val="24"/>
          <w:lang w:eastAsia="zh-CN"/>
        </w:rPr>
        <w:t>五</w:t>
      </w:r>
      <w:r>
        <w:rPr>
          <w:rFonts w:hint="eastAsia" w:ascii="仿宋" w:hAnsi="仿宋" w:eastAsia="仿宋" w:cs="仿宋"/>
          <w:sz w:val="24"/>
          <w:szCs w:val="24"/>
        </w:rPr>
        <w:t>）</w:t>
      </w:r>
      <w:bookmarkEnd w:id="332"/>
      <w:bookmarkEnd w:id="333"/>
      <w:bookmarkEnd w:id="334"/>
      <w:bookmarkEnd w:id="335"/>
      <w:bookmarkEnd w:id="336"/>
    </w:p>
    <w:p w14:paraId="0DC65BEF">
      <w:pPr>
        <w:tabs>
          <w:tab w:val="left" w:pos="5580"/>
        </w:tabs>
        <w:spacing w:line="240" w:lineRule="atLeast"/>
        <w:ind w:left="1079" w:leftChars="257" w:hanging="540"/>
        <w:rPr>
          <w:rFonts w:hint="eastAsia" w:ascii="仿宋" w:hAnsi="仿宋" w:eastAsia="仿宋" w:cs="仿宋"/>
          <w:sz w:val="24"/>
        </w:rPr>
      </w:pPr>
    </w:p>
    <w:p w14:paraId="391CB9FB">
      <w:pPr>
        <w:tabs>
          <w:tab w:val="left" w:pos="5580"/>
        </w:tabs>
        <w:spacing w:line="240" w:lineRule="atLeast"/>
        <w:ind w:left="1080" w:hanging="108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14:paraId="1E960F4C">
      <w:pPr>
        <w:pStyle w:val="17"/>
        <w:tabs>
          <w:tab w:val="left" w:pos="5580"/>
        </w:tabs>
        <w:spacing w:line="240" w:lineRule="atLeast"/>
        <w:ind w:left="1079" w:leftChars="257" w:hanging="540"/>
        <w:rPr>
          <w:rFonts w:hint="eastAsia" w:ascii="仿宋" w:hAnsi="仿宋" w:eastAsia="仿宋" w:cs="仿宋"/>
          <w:sz w:val="24"/>
        </w:rPr>
      </w:pPr>
    </w:p>
    <w:p w14:paraId="5B3AFF5D">
      <w:pPr>
        <w:pStyle w:val="17"/>
        <w:tabs>
          <w:tab w:val="left" w:pos="5580"/>
        </w:tabs>
        <w:spacing w:line="240" w:lineRule="atLeast"/>
        <w:ind w:left="2" w:leftChars="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lang w:eastAsia="zh-CN"/>
        </w:rPr>
        <w:t>（</w:t>
      </w:r>
      <w:r>
        <w:rPr>
          <w:rFonts w:hint="eastAsia" w:ascii="仿宋" w:hAnsi="仿宋" w:eastAsia="仿宋" w:cs="仿宋"/>
          <w:i/>
          <w:sz w:val="24"/>
          <w:u w:val="single"/>
        </w:rPr>
        <w:t>项目名称</w:t>
      </w:r>
      <w:r>
        <w:rPr>
          <w:rFonts w:hint="eastAsia" w:ascii="仿宋" w:hAnsi="仿宋" w:eastAsia="仿宋" w:cs="仿宋"/>
          <w:i/>
          <w:sz w:val="24"/>
          <w:u w:val="single"/>
          <w:lang w:eastAsia="zh-CN"/>
        </w:rPr>
        <w:t>）</w:t>
      </w:r>
      <w:r>
        <w:rPr>
          <w:rFonts w:hint="eastAsia" w:ascii="仿宋" w:hAnsi="仿宋" w:eastAsia="仿宋" w:cs="仿宋"/>
          <w:sz w:val="24"/>
        </w:rPr>
        <w:t>项目的投标邀请</w:t>
      </w:r>
      <w:r>
        <w:rPr>
          <w:rFonts w:hint="eastAsia" w:ascii="仿宋" w:hAnsi="仿宋" w:eastAsia="仿宋" w:cs="仿宋"/>
          <w:sz w:val="24"/>
          <w:lang w:eastAsia="zh-CN"/>
        </w:rPr>
        <w:t>（</w:t>
      </w:r>
      <w:r>
        <w:rPr>
          <w:rFonts w:hint="eastAsia" w:ascii="仿宋" w:hAnsi="仿宋" w:eastAsia="仿宋" w:cs="仿宋"/>
          <w:i/>
          <w:sz w:val="24"/>
          <w:u w:val="single"/>
        </w:rPr>
        <w:t>招标编号</w:t>
      </w:r>
      <w:r>
        <w:rPr>
          <w:rFonts w:hint="eastAsia" w:ascii="仿宋" w:hAnsi="仿宋" w:eastAsia="仿宋" w:cs="仿宋"/>
          <w:i/>
          <w:sz w:val="24"/>
          <w:u w:val="single"/>
          <w:lang w:eastAsia="zh-CN"/>
        </w:rPr>
        <w:t>），</w:t>
      </w:r>
      <w:r>
        <w:rPr>
          <w:rFonts w:hint="eastAsia" w:ascii="仿宋" w:hAnsi="仿宋" w:eastAsia="仿宋" w:cs="仿宋"/>
          <w:sz w:val="24"/>
        </w:rPr>
        <w:t>签字代表</w:t>
      </w:r>
      <w:r>
        <w:rPr>
          <w:rFonts w:hint="eastAsia" w:ascii="仿宋" w:hAnsi="仿宋" w:eastAsia="仿宋" w:cs="仿宋"/>
          <w:sz w:val="24"/>
          <w:lang w:eastAsia="zh-CN"/>
        </w:rPr>
        <w:t>（</w:t>
      </w:r>
      <w:r>
        <w:rPr>
          <w:rFonts w:hint="eastAsia" w:ascii="仿宋" w:hAnsi="仿宋" w:eastAsia="仿宋" w:cs="仿宋"/>
          <w:i/>
          <w:sz w:val="24"/>
          <w:u w:val="single"/>
        </w:rPr>
        <w:t>姓名、职务</w:t>
      </w:r>
      <w:r>
        <w:rPr>
          <w:rFonts w:hint="eastAsia" w:ascii="仿宋" w:hAnsi="仿宋" w:eastAsia="仿宋" w:cs="仿宋"/>
          <w:i/>
          <w:sz w:val="24"/>
          <w:u w:val="single"/>
          <w:lang w:eastAsia="zh-CN"/>
        </w:rPr>
        <w:t>）</w:t>
      </w:r>
      <w:r>
        <w:rPr>
          <w:rFonts w:hint="eastAsia" w:ascii="仿宋" w:hAnsi="仿宋" w:eastAsia="仿宋" w:cs="仿宋"/>
          <w:sz w:val="24"/>
        </w:rPr>
        <w:t>经正式授权并代表投标人（</w:t>
      </w:r>
      <w:r>
        <w:rPr>
          <w:rFonts w:hint="eastAsia" w:ascii="仿宋" w:hAnsi="仿宋" w:eastAsia="仿宋" w:cs="仿宋"/>
          <w:i/>
          <w:sz w:val="24"/>
          <w:u w:val="single"/>
        </w:rPr>
        <w:t>名称、地址</w:t>
      </w:r>
      <w:r>
        <w:rPr>
          <w:rFonts w:hint="eastAsia" w:ascii="仿宋" w:hAnsi="仿宋" w:eastAsia="仿宋" w:cs="仿宋"/>
          <w:sz w:val="24"/>
        </w:rPr>
        <w:t>）提交</w:t>
      </w:r>
      <w:r>
        <w:rPr>
          <w:rFonts w:hint="eastAsia" w:ascii="仿宋" w:hAnsi="仿宋" w:eastAsia="仿宋" w:cs="仿宋"/>
          <w:sz w:val="24"/>
          <w:lang w:eastAsia="zh-CN"/>
        </w:rPr>
        <w:t>电子投标文件</w:t>
      </w:r>
      <w:r>
        <w:rPr>
          <w:rFonts w:hint="eastAsia" w:ascii="仿宋" w:hAnsi="仿宋" w:eastAsia="仿宋" w:cs="仿宋"/>
          <w:sz w:val="24"/>
        </w:rPr>
        <w:t>，并以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14:paraId="01791C73">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据此，签字代表宣布同意如下：</w:t>
      </w:r>
    </w:p>
    <w:p w14:paraId="66FE08AD">
      <w:pPr>
        <w:pStyle w:val="17"/>
        <w:tabs>
          <w:tab w:val="left" w:pos="720"/>
          <w:tab w:val="left" w:pos="900"/>
        </w:tabs>
        <w:spacing w:line="240" w:lineRule="atLeast"/>
        <w:ind w:left="768" w:leftChars="257" w:hanging="229"/>
        <w:rPr>
          <w:rFonts w:hint="eastAsia" w:ascii="仿宋" w:hAnsi="仿宋" w:eastAsia="仿宋" w:cs="仿宋"/>
          <w:sz w:val="24"/>
          <w:u w:val="single"/>
        </w:rPr>
      </w:pPr>
      <w:r>
        <w:rPr>
          <w:rFonts w:hint="eastAsia" w:ascii="仿宋" w:hAnsi="仿宋" w:eastAsia="仿宋" w:cs="仿宋"/>
          <w:sz w:val="24"/>
        </w:rPr>
        <w:t>（1）附投标价格表中规定的应提供</w:t>
      </w:r>
      <w:r>
        <w:rPr>
          <w:rFonts w:hint="eastAsia" w:ascii="仿宋" w:hAnsi="仿宋" w:eastAsia="仿宋" w:cs="仿宋"/>
          <w:sz w:val="24"/>
          <w:lang w:eastAsia="zh-CN"/>
        </w:rPr>
        <w:t>服务</w:t>
      </w:r>
      <w:r>
        <w:rPr>
          <w:rFonts w:hint="eastAsia" w:ascii="仿宋" w:hAnsi="仿宋" w:eastAsia="仿宋" w:cs="仿宋"/>
          <w:sz w:val="24"/>
        </w:rPr>
        <w:t>的投标总价详见开标一览表，</w:t>
      </w:r>
      <w:r>
        <w:rPr>
          <w:rFonts w:hint="eastAsia" w:ascii="仿宋" w:hAnsi="仿宋" w:eastAsia="仿宋" w:cs="仿宋"/>
          <w:sz w:val="24"/>
          <w:szCs w:val="24"/>
          <w:u w:val="single"/>
        </w:rPr>
        <w:t>其中由小型和微型企业</w:t>
      </w:r>
      <w:r>
        <w:rPr>
          <w:rFonts w:hint="eastAsia" w:ascii="仿宋" w:hAnsi="仿宋" w:eastAsia="仿宋" w:cs="仿宋"/>
          <w:sz w:val="24"/>
          <w:szCs w:val="24"/>
        </w:rPr>
        <w:t>提供服务的价格为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14:paraId="7AD5230C">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14:paraId="5E0CC835">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存在、不存在）投资关系（如果是联合体的话）。</w:t>
      </w:r>
    </w:p>
    <w:p w14:paraId="157BF22E">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14:paraId="4A0D9ED2">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（5）在规定的开标时间后，遵守招标文件中有关保证金的规定。</w:t>
      </w:r>
    </w:p>
    <w:p w14:paraId="1C617938">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（6）我方不是为本项目提供整体设计、规范编制或者项目管理、监理、检测等服务的供应商，我方不是采购代理机构的附属机构。</w:t>
      </w:r>
    </w:p>
    <w:p w14:paraId="1D9D906D">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14:paraId="5CA1FC3C">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14:paraId="1A1B2AE1">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（9）按照招标文件的规定履行合同责任和义务。</w:t>
      </w:r>
    </w:p>
    <w:p w14:paraId="2C914093">
      <w:pPr>
        <w:pStyle w:val="17"/>
        <w:tabs>
          <w:tab w:val="left" w:pos="5580"/>
        </w:tabs>
        <w:spacing w:line="240" w:lineRule="atLeast"/>
        <w:ind w:left="358" w:leftChars="68" w:hanging="216" w:hangingChars="90"/>
        <w:rPr>
          <w:rFonts w:hint="eastAsia" w:ascii="仿宋" w:hAnsi="仿宋" w:eastAsia="仿宋" w:cs="仿宋"/>
          <w:sz w:val="24"/>
        </w:rPr>
      </w:pPr>
      <w:r>
        <w:rPr>
          <w:rFonts w:hint="eastAsia" w:ascii="仿宋" w:hAnsi="仿宋" w:eastAsia="仿宋" w:cs="仿宋"/>
          <w:sz w:val="24"/>
        </w:rPr>
        <w:t xml:space="preserve">  与本投标有关的一切正式往来信函请寄：</w:t>
      </w:r>
    </w:p>
    <w:p w14:paraId="3D293D80">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14:paraId="4361B00A">
      <w:pPr>
        <w:pStyle w:val="17"/>
        <w:tabs>
          <w:tab w:val="left" w:pos="5580"/>
        </w:tabs>
        <w:spacing w:line="240" w:lineRule="atLeast"/>
        <w:ind w:left="1079"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14:paraId="40B1C612">
      <w:pPr>
        <w:pStyle w:val="17"/>
        <w:tabs>
          <w:tab w:val="left" w:pos="5580"/>
        </w:tabs>
        <w:spacing w:line="240" w:lineRule="atLeast"/>
        <w:ind w:left="1079" w:leftChars="257" w:hanging="540"/>
        <w:rPr>
          <w:rFonts w:hint="eastAsia" w:ascii="仿宋" w:hAnsi="仿宋" w:eastAsia="仿宋" w:cs="仿宋"/>
          <w:sz w:val="24"/>
        </w:rPr>
      </w:pPr>
    </w:p>
    <w:p w14:paraId="7F0D91F6">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法定代表人或其委托代理人签字-----------------</w:t>
      </w:r>
    </w:p>
    <w:p w14:paraId="41430BC1">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投标人名称-----------------</w:t>
      </w:r>
    </w:p>
    <w:p w14:paraId="0E85994C">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14:paraId="25252EF1">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lang w:eastAsia="zh-CN"/>
        </w:rPr>
        <w:t>银行账号</w:t>
      </w:r>
      <w:r>
        <w:rPr>
          <w:rFonts w:hint="eastAsia" w:ascii="仿宋" w:hAnsi="仿宋" w:eastAsia="仿宋" w:cs="仿宋"/>
          <w:sz w:val="24"/>
          <w:u w:val="single"/>
        </w:rPr>
        <w:t>　　　　　　　　 　　</w:t>
      </w:r>
    </w:p>
    <w:p w14:paraId="08E72F72">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投标人（电子签章）-------------------------</w:t>
      </w:r>
    </w:p>
    <w:p w14:paraId="1E6890C2">
      <w:pPr>
        <w:pStyle w:val="17"/>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日期-------------------------------</w:t>
      </w:r>
    </w:p>
    <w:p w14:paraId="6DFB3BB0">
      <w:pPr>
        <w:pStyle w:val="17"/>
        <w:tabs>
          <w:tab w:val="left" w:pos="5580"/>
        </w:tabs>
        <w:spacing w:line="240" w:lineRule="atLeast"/>
        <w:rPr>
          <w:rFonts w:hint="eastAsia" w:ascii="仿宋" w:hAnsi="仿宋" w:eastAsia="仿宋" w:cs="仿宋"/>
          <w:sz w:val="24"/>
        </w:rPr>
      </w:pPr>
    </w:p>
    <w:p w14:paraId="6F99F9DB">
      <w:pPr>
        <w:pStyle w:val="5"/>
        <w:spacing w:before="0" w:line="240" w:lineRule="atLeast"/>
        <w:rPr>
          <w:rFonts w:hint="eastAsia" w:ascii="仿宋" w:hAnsi="仿宋" w:eastAsia="仿宋" w:cs="仿宋"/>
          <w:sz w:val="24"/>
        </w:rPr>
      </w:pPr>
      <w:r>
        <w:rPr>
          <w:rFonts w:hint="eastAsia" w:ascii="仿宋" w:hAnsi="仿宋" w:eastAsia="仿宋" w:cs="仿宋"/>
          <w:sz w:val="24"/>
        </w:rPr>
        <w:br w:type="page"/>
      </w:r>
      <w:bookmarkStart w:id="338" w:name="_Toc32401"/>
      <w:bookmarkStart w:id="339" w:name="_Toc1266"/>
      <w:bookmarkStart w:id="340" w:name="_Toc12150"/>
      <w:bookmarkStart w:id="341" w:name="_Toc23473"/>
      <w:r>
        <w:rPr>
          <w:rFonts w:hint="eastAsia" w:ascii="仿宋" w:hAnsi="仿宋" w:eastAsia="仿宋" w:cs="仿宋"/>
          <w:sz w:val="24"/>
        </w:rPr>
        <w:t>2   投标保证金缴纳凭证或投标担保函</w:t>
      </w:r>
      <w:bookmarkEnd w:id="338"/>
      <w:bookmarkEnd w:id="339"/>
      <w:bookmarkEnd w:id="340"/>
      <w:bookmarkEnd w:id="341"/>
    </w:p>
    <w:p w14:paraId="30D81CAE">
      <w:pPr>
        <w:ind w:firstLine="480" w:firstLineChars="200"/>
        <w:rPr>
          <w:rFonts w:hint="eastAsia" w:ascii="仿宋" w:hAnsi="仿宋" w:eastAsia="仿宋" w:cs="仿宋"/>
          <w:sz w:val="24"/>
        </w:rPr>
      </w:pPr>
      <w:r>
        <w:rPr>
          <w:rFonts w:hint="eastAsia" w:ascii="仿宋" w:hAnsi="仿宋" w:eastAsia="仿宋" w:cs="仿宋"/>
          <w:kern w:val="2"/>
          <w:sz w:val="24"/>
          <w:szCs w:val="20"/>
          <w:lang w:val="en-US" w:eastAsia="zh-CN" w:bidi="ar-SA"/>
        </w:rPr>
        <w:t>投标人可将本项目投标保证金支付的汇款凭证、支票、汇票或保证金收据（如有）的扫描件作为缴纳凭证装订在本部分，应加盖本单位章；使用银行保函等其他投标担保函的，应将担保函正本的扫描件，装订在本部分正本中；如采用政府采购信用担保形式的，应使用政府采购投标担保函（投标文件格式六），将原件的扫描件装订在本部分正本中。</w:t>
      </w:r>
    </w:p>
    <w:p w14:paraId="40A00843">
      <w:pPr>
        <w:jc w:val="center"/>
        <w:rPr>
          <w:rFonts w:hint="eastAsia" w:ascii="仿宋" w:hAnsi="仿宋" w:eastAsia="仿宋" w:cs="仿宋"/>
          <w:b/>
          <w:bCs/>
          <w:sz w:val="24"/>
          <w:szCs w:val="24"/>
        </w:rPr>
      </w:pPr>
    </w:p>
    <w:p w14:paraId="207631B1">
      <w:pPr>
        <w:jc w:val="center"/>
        <w:rPr>
          <w:rFonts w:hint="eastAsia" w:ascii="仿宋" w:hAnsi="仿宋" w:eastAsia="仿宋" w:cs="仿宋"/>
          <w:b/>
          <w:bCs/>
          <w:sz w:val="24"/>
          <w:szCs w:val="24"/>
        </w:rPr>
      </w:pPr>
    </w:p>
    <w:p w14:paraId="5301DF91">
      <w:pPr>
        <w:jc w:val="center"/>
        <w:rPr>
          <w:rFonts w:hint="eastAsia" w:ascii="仿宋" w:hAnsi="仿宋" w:eastAsia="仿宋" w:cs="仿宋"/>
          <w:b/>
          <w:bCs/>
          <w:sz w:val="24"/>
          <w:szCs w:val="24"/>
        </w:rPr>
      </w:pPr>
      <w:r>
        <w:rPr>
          <w:rFonts w:hint="eastAsia" w:ascii="仿宋" w:hAnsi="仿宋" w:eastAsia="仿宋" w:cs="仿宋"/>
          <w:b/>
          <w:bCs/>
          <w:sz w:val="24"/>
          <w:szCs w:val="24"/>
        </w:rPr>
        <w:t>政府采购投标担保函 （项目用）（投标文件格式六）</w:t>
      </w:r>
    </w:p>
    <w:p w14:paraId="39670F52">
      <w:pPr>
        <w:ind w:firstLine="480" w:firstLineChars="200"/>
        <w:jc w:val="left"/>
        <w:rPr>
          <w:rFonts w:hint="eastAsia" w:ascii="仿宋" w:hAnsi="仿宋" w:eastAsia="仿宋" w:cs="仿宋"/>
          <w:kern w:val="2"/>
          <w:sz w:val="24"/>
          <w:szCs w:val="20"/>
          <w:lang w:val="en-US" w:eastAsia="zh-CN" w:bidi="ar-SA"/>
        </w:rPr>
      </w:pPr>
    </w:p>
    <w:p w14:paraId="4DFF7EB0">
      <w:pPr>
        <w:ind w:firstLine="480" w:firstLineChars="200"/>
        <w:jc w:val="left"/>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编号：</w:t>
      </w:r>
    </w:p>
    <w:p w14:paraId="0DDA4E02">
      <w:pPr>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（采购人或采购代理机构）：</w:t>
      </w:r>
    </w:p>
    <w:p w14:paraId="3EEB93F0">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鉴于</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（以下简称“投标人”）拟参加编号为</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 xml:space="preserve">的                                       </w:t>
      </w:r>
    </w:p>
    <w:p w14:paraId="5EE1979E">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C293266">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一、保证责任的情形及保证金额</w:t>
      </w:r>
    </w:p>
    <w:p w14:paraId="3CA7A4BB">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（一）在投标人出现下列情形之一时，我方承担保证责任：</w:t>
      </w:r>
    </w:p>
    <w:p w14:paraId="3EE225D1">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1.中标后投标人无正当理由不与采购人或者采购代理机构签订《政府采购合同》；</w:t>
      </w:r>
    </w:p>
    <w:p w14:paraId="31E957F4">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2.招标文件规定的投标人应当缴纳保证金的其他情形。</w:t>
      </w:r>
    </w:p>
    <w:p w14:paraId="46C49297">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（二）我方承担保证责任的最高金额为人民币</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元（大写</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），即本项目的投标保证金金额。</w:t>
      </w:r>
    </w:p>
    <w:p w14:paraId="05CA5CEB">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二、保证的方式及保证期间</w:t>
      </w:r>
    </w:p>
    <w:p w14:paraId="50B64E67">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我方保证的方式为：连带责任保证。</w:t>
      </w:r>
    </w:p>
    <w:p w14:paraId="4AFDD406">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我方的保证期间为：自本保函生效之日起</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个月止。</w:t>
      </w:r>
    </w:p>
    <w:p w14:paraId="4DB95E42">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三、承担保证责任的程序</w:t>
      </w:r>
    </w:p>
    <w:p w14:paraId="359D5949">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1F60BC4">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2.我方在收到索赔通知及相关证明材料后，在　　　个工作日内进行审查，符合应承担保证责任情形的，我方应按照你方的要求代投标人向你方支付投标保证金。</w:t>
      </w:r>
    </w:p>
    <w:p w14:paraId="42EBB85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四、保证责任的终止</w:t>
      </w:r>
    </w:p>
    <w:p w14:paraId="1C0B5D34">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1.保证期间届满你方未向我方书面主张保证责任的，自保证期间届满次日起，我方保证责任自动终止。</w:t>
      </w:r>
    </w:p>
    <w:p w14:paraId="658FCC3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2.我方按照本保函向你贵方履行了保证责任后，自我方向你贵方支付款项（支付款项从我方账户划出）之日起，保证责任终止。</w:t>
      </w:r>
    </w:p>
    <w:p w14:paraId="552FB90C">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3.按照法律法规的规定或出现我方保证责任终止的其他情形的，我方在本保函项下的保证责任亦终止。</w:t>
      </w:r>
    </w:p>
    <w:p w14:paraId="2FCD4517">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五、免责条款</w:t>
      </w:r>
    </w:p>
    <w:p w14:paraId="60BA2F1F">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1.依照法律规定或你方与投标人的另行约定，全部或者部分免除投标人投标保证金义务时，我方亦免除相应的保证责任。</w:t>
      </w:r>
    </w:p>
    <w:p w14:paraId="6355FEBF">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2.因你方原因致使投标人发生本保函第一条第（一）款约定情形的，我方不承担保证责任。</w:t>
      </w:r>
    </w:p>
    <w:p w14:paraId="4FDB7A2F">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3.因不可抗力造成投标人发生本保函第一条约定情形的，我方不承担保证责任。</w:t>
      </w:r>
    </w:p>
    <w:p w14:paraId="00683F1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4.你方或其他有权机关对招标文件进行任何澄清或修改，加重我方保证责任的，我方对加重部分不承担保证责任，但该澄清或修改经我方事先书面同意的除外。</w:t>
      </w:r>
    </w:p>
    <w:p w14:paraId="295E2BA3">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六、争议的解决</w:t>
      </w:r>
    </w:p>
    <w:p w14:paraId="12324500">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因本保函发生的纠纷，由你我双方协商解决，协商不成的，通过诉讼程序解决，诉讼管辖地法院为</w:t>
      </w:r>
      <w:r>
        <w:rPr>
          <w:rFonts w:hint="eastAsia" w:ascii="仿宋" w:hAnsi="仿宋" w:eastAsia="仿宋" w:cs="仿宋"/>
          <w:kern w:val="2"/>
          <w:sz w:val="24"/>
          <w:szCs w:val="20"/>
          <w:u w:val="single"/>
          <w:lang w:val="en-US" w:eastAsia="zh-CN" w:bidi="ar-SA"/>
        </w:rPr>
        <w:t xml:space="preserve">      </w:t>
      </w:r>
      <w:r>
        <w:rPr>
          <w:rFonts w:hint="eastAsia" w:ascii="仿宋" w:hAnsi="仿宋" w:eastAsia="仿宋" w:cs="仿宋"/>
          <w:kern w:val="2"/>
          <w:sz w:val="24"/>
          <w:szCs w:val="20"/>
          <w:lang w:val="en-US" w:eastAsia="zh-CN" w:bidi="ar-SA"/>
        </w:rPr>
        <w:t>法院。</w:t>
      </w:r>
    </w:p>
    <w:p w14:paraId="5EC7F4A2">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七、保函的生效</w:t>
      </w:r>
    </w:p>
    <w:p w14:paraId="517EEF00">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本保函自我方加盖公章之日起生效。</w:t>
      </w:r>
    </w:p>
    <w:p w14:paraId="0FC54B15">
      <w:pPr>
        <w:ind w:firstLine="480" w:firstLineChars="200"/>
        <w:jc w:val="right"/>
        <w:rPr>
          <w:rFonts w:hint="eastAsia" w:ascii="仿宋" w:hAnsi="仿宋" w:eastAsia="仿宋" w:cs="仿宋"/>
          <w:kern w:val="2"/>
          <w:sz w:val="24"/>
          <w:szCs w:val="20"/>
          <w:lang w:val="en-US" w:eastAsia="zh-CN" w:bidi="ar-SA"/>
        </w:rPr>
      </w:pPr>
    </w:p>
    <w:p w14:paraId="3364EE2E">
      <w:pPr>
        <w:ind w:firstLine="480" w:firstLineChars="200"/>
        <w:jc w:val="right"/>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保证人：（</w:t>
      </w:r>
      <w:r>
        <w:rPr>
          <w:rFonts w:hint="eastAsia" w:ascii="仿宋" w:hAnsi="仿宋" w:eastAsia="仿宋" w:cs="仿宋"/>
          <w:color w:val="auto"/>
          <w:sz w:val="24"/>
          <w:highlight w:val="none"/>
          <w:lang w:eastAsia="zh-CN"/>
        </w:rPr>
        <w:t>电子签章</w:t>
      </w:r>
      <w:r>
        <w:rPr>
          <w:rFonts w:hint="eastAsia" w:ascii="仿宋" w:hAnsi="仿宋" w:eastAsia="仿宋" w:cs="仿宋"/>
          <w:kern w:val="2"/>
          <w:sz w:val="24"/>
          <w:szCs w:val="20"/>
          <w:lang w:val="en-US" w:eastAsia="zh-CN" w:bidi="ar-SA"/>
        </w:rPr>
        <w:t>）</w:t>
      </w:r>
    </w:p>
    <w:p w14:paraId="168048D5">
      <w:pPr>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                               </w:t>
      </w:r>
    </w:p>
    <w:p w14:paraId="4CBDA2D5">
      <w:pPr>
        <w:ind w:firstLine="480" w:firstLineChars="200"/>
        <w:jc w:val="right"/>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年     月      日</w:t>
      </w:r>
    </w:p>
    <w:p w14:paraId="5C9BE8C3">
      <w:pPr>
        <w:ind w:firstLine="480" w:firstLineChars="200"/>
        <w:rPr>
          <w:rFonts w:hint="eastAsia" w:ascii="仿宋" w:hAnsi="仿宋" w:eastAsia="仿宋" w:cs="仿宋"/>
          <w:kern w:val="2"/>
          <w:sz w:val="24"/>
          <w:szCs w:val="20"/>
          <w:lang w:val="en-US" w:eastAsia="zh-CN" w:bidi="ar-SA"/>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0A6EFC44">
      <w:pPr>
        <w:pStyle w:val="5"/>
        <w:spacing w:before="0" w:line="240" w:lineRule="atLeast"/>
        <w:rPr>
          <w:rFonts w:ascii="仿宋" w:hAnsi="仿宋" w:eastAsia="仿宋" w:cs="仿宋"/>
          <w:sz w:val="24"/>
          <w:szCs w:val="24"/>
        </w:rPr>
      </w:pPr>
      <w:bookmarkStart w:id="342" w:name="_Hlt520356243"/>
      <w:bookmarkEnd w:id="342"/>
      <w:bookmarkStart w:id="343" w:name="_Hlt520355938"/>
      <w:bookmarkEnd w:id="343"/>
      <w:bookmarkStart w:id="344" w:name="_Toc20897"/>
      <w:bookmarkStart w:id="345" w:name="_Toc1881"/>
      <w:bookmarkStart w:id="346" w:name="_Toc216582815"/>
      <w:bookmarkStart w:id="347" w:name="_Toc19241"/>
      <w:bookmarkStart w:id="348" w:name="_Toc515647818"/>
      <w:bookmarkStart w:id="349" w:name="_Toc20317"/>
      <w:r>
        <w:rPr>
          <w:rFonts w:hint="eastAsia" w:ascii="仿宋" w:hAnsi="仿宋" w:eastAsia="仿宋" w:cs="仿宋"/>
          <w:sz w:val="24"/>
          <w:szCs w:val="24"/>
        </w:rPr>
        <w:t xml:space="preserve">3   </w:t>
      </w:r>
      <w:bookmarkEnd w:id="344"/>
      <w:bookmarkEnd w:id="345"/>
      <w:bookmarkEnd w:id="346"/>
      <w:bookmarkEnd w:id="347"/>
      <w:bookmarkEnd w:id="348"/>
      <w:r>
        <w:rPr>
          <w:rFonts w:hint="eastAsia" w:ascii="仿宋" w:hAnsi="仿宋" w:eastAsia="仿宋" w:cs="仿宋"/>
          <w:sz w:val="24"/>
          <w:szCs w:val="24"/>
          <w:lang w:val="en-US" w:eastAsia="zh-CN"/>
        </w:rPr>
        <w:t>服务</w:t>
      </w:r>
      <w:r>
        <w:rPr>
          <w:rFonts w:hint="eastAsia" w:ascii="仿宋" w:hAnsi="仿宋" w:eastAsia="仿宋" w:cs="仿宋"/>
          <w:sz w:val="24"/>
          <w:szCs w:val="24"/>
        </w:rPr>
        <w:t>分项报价表（</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文件格式七）</w:t>
      </w:r>
      <w:bookmarkEnd w:id="349"/>
    </w:p>
    <w:p w14:paraId="79E4C855">
      <w:pPr>
        <w:pStyle w:val="17"/>
        <w:spacing w:line="240" w:lineRule="atLeast"/>
        <w:ind w:left="1080" w:leftChars="257" w:hanging="540"/>
        <w:rPr>
          <w:rFonts w:ascii="仿宋" w:hAnsi="仿宋" w:eastAsia="仿宋" w:cs="仿宋"/>
          <w:sz w:val="24"/>
          <w:szCs w:val="24"/>
        </w:rPr>
      </w:pPr>
    </w:p>
    <w:p w14:paraId="202F6A4C">
      <w:pPr>
        <w:pStyle w:val="17"/>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w:t>
      </w:r>
      <w:r>
        <w:rPr>
          <w:rFonts w:hint="eastAsia" w:ascii="仿宋" w:hAnsi="仿宋" w:eastAsia="仿宋" w:cs="仿宋"/>
          <w:sz w:val="24"/>
          <w:szCs w:val="24"/>
        </w:rPr>
        <w:t xml:space="preserve">                      项目编号</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3E310951">
      <w:pPr>
        <w:pStyle w:val="17"/>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包号</w:t>
      </w:r>
      <w:r>
        <w:rPr>
          <w:rFonts w:hint="eastAsia" w:ascii="仿宋" w:hAnsi="仿宋" w:eastAsia="仿宋" w:cs="仿宋"/>
          <w:sz w:val="24"/>
          <w:szCs w:val="24"/>
          <w:lang w:eastAsia="zh-CN"/>
        </w:rPr>
        <w:t>：</w:t>
      </w:r>
      <w:r>
        <w:rPr>
          <w:rFonts w:hint="eastAsia" w:ascii="仿宋" w:hAnsi="仿宋" w:eastAsia="仿宋" w:cs="仿宋"/>
          <w:sz w:val="24"/>
          <w:szCs w:val="24"/>
        </w:rPr>
        <w:t xml:space="preserve"> 　               　报价单位：人民币万元</w:t>
      </w:r>
    </w:p>
    <w:tbl>
      <w:tblPr>
        <w:tblStyle w:val="40"/>
        <w:tblpPr w:leftFromText="180" w:rightFromText="180" w:vertAnchor="text" w:horzAnchor="page" w:tblpXSpec="center" w:tblpY="373"/>
        <w:tblOverlap w:val="never"/>
        <w:tblW w:w="10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875"/>
        <w:gridCol w:w="2253"/>
        <w:gridCol w:w="1330"/>
        <w:gridCol w:w="1639"/>
        <w:gridCol w:w="2227"/>
      </w:tblGrid>
      <w:tr w14:paraId="3878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72" w:type="dxa"/>
            <w:vAlign w:val="center"/>
          </w:tcPr>
          <w:p w14:paraId="7A045506">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r>
              <w:rPr>
                <w:rFonts w:hint="eastAsia" w:ascii="仿宋" w:hAnsi="仿宋" w:eastAsia="仿宋" w:cs="仿宋"/>
                <w:sz w:val="24"/>
                <w:szCs w:val="24"/>
              </w:rPr>
              <w:t>序号</w:t>
            </w:r>
          </w:p>
        </w:tc>
        <w:tc>
          <w:tcPr>
            <w:tcW w:w="1875" w:type="dxa"/>
            <w:vAlign w:val="center"/>
          </w:tcPr>
          <w:p w14:paraId="737EEBAC">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r>
              <w:rPr>
                <w:rFonts w:hint="eastAsia" w:ascii="仿宋" w:hAnsi="仿宋" w:eastAsia="仿宋" w:cs="仿宋"/>
                <w:sz w:val="24"/>
                <w:szCs w:val="24"/>
              </w:rPr>
              <w:t>服务名称</w:t>
            </w:r>
          </w:p>
        </w:tc>
        <w:tc>
          <w:tcPr>
            <w:tcW w:w="2253" w:type="dxa"/>
            <w:vAlign w:val="center"/>
          </w:tcPr>
          <w:p w14:paraId="29B9CCB9">
            <w:pPr>
              <w:pStyle w:val="17"/>
              <w:keepNext w:val="0"/>
              <w:keepLines w:val="0"/>
              <w:suppressLineNumbers w:val="0"/>
              <w:spacing w:before="0" w:beforeAutospacing="0" w:after="0" w:afterAutospacing="0" w:line="240" w:lineRule="atLeast"/>
              <w:ind w:left="0" w:right="0"/>
              <w:jc w:val="center"/>
              <w:rPr>
                <w:rFonts w:ascii="仿宋" w:hAnsi="仿宋" w:eastAsia="仿宋" w:cs="仿宋"/>
                <w:sz w:val="24"/>
                <w:szCs w:val="24"/>
              </w:rPr>
            </w:pPr>
            <w:r>
              <w:rPr>
                <w:rFonts w:hint="eastAsia" w:ascii="仿宋" w:hAnsi="仿宋" w:eastAsia="仿宋" w:cs="仿宋"/>
                <w:sz w:val="24"/>
                <w:szCs w:val="24"/>
              </w:rPr>
              <w:t>服务内容</w:t>
            </w:r>
          </w:p>
        </w:tc>
        <w:tc>
          <w:tcPr>
            <w:tcW w:w="1330" w:type="dxa"/>
            <w:vAlign w:val="center"/>
          </w:tcPr>
          <w:p w14:paraId="7C493F59">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39" w:type="dxa"/>
            <w:vAlign w:val="center"/>
          </w:tcPr>
          <w:p w14:paraId="2E4AB1B0">
            <w:pPr>
              <w:pStyle w:val="17"/>
              <w:keepNext w:val="0"/>
              <w:keepLines w:val="0"/>
              <w:suppressLineNumbers w:val="0"/>
              <w:spacing w:before="0" w:beforeAutospacing="0" w:after="0" w:afterAutospacing="0" w:line="240" w:lineRule="atLeast"/>
              <w:ind w:left="0" w:right="0"/>
              <w:jc w:val="center"/>
              <w:rPr>
                <w:rFonts w:ascii="仿宋" w:hAnsi="仿宋" w:eastAsia="仿宋" w:cs="仿宋"/>
                <w:sz w:val="24"/>
                <w:szCs w:val="24"/>
              </w:rPr>
            </w:pPr>
            <w:r>
              <w:rPr>
                <w:rFonts w:hint="eastAsia" w:ascii="仿宋" w:hAnsi="仿宋" w:eastAsia="仿宋" w:cs="仿宋"/>
                <w:sz w:val="24"/>
                <w:szCs w:val="24"/>
              </w:rPr>
              <w:t>总价</w:t>
            </w:r>
          </w:p>
        </w:tc>
        <w:tc>
          <w:tcPr>
            <w:tcW w:w="2227" w:type="dxa"/>
            <w:vAlign w:val="center"/>
          </w:tcPr>
          <w:p w14:paraId="1D72EADA">
            <w:pPr>
              <w:pStyle w:val="17"/>
              <w:keepNext w:val="0"/>
              <w:keepLines w:val="0"/>
              <w:suppressLineNumbers w:val="0"/>
              <w:spacing w:before="0" w:beforeAutospacing="0" w:after="0" w:afterAutospacing="0" w:line="240" w:lineRule="atLeast"/>
              <w:ind w:left="0" w:right="0"/>
              <w:jc w:val="center"/>
              <w:rPr>
                <w:rFonts w:ascii="仿宋" w:hAnsi="仿宋" w:eastAsia="仿宋" w:cs="仿宋"/>
                <w:sz w:val="24"/>
                <w:szCs w:val="24"/>
              </w:rPr>
            </w:pPr>
            <w:r>
              <w:rPr>
                <w:rFonts w:hint="eastAsia" w:ascii="仿宋" w:hAnsi="仿宋" w:eastAsia="仿宋" w:cs="仿宋"/>
                <w:sz w:val="24"/>
                <w:szCs w:val="24"/>
              </w:rPr>
              <w:t>备注</w:t>
            </w:r>
          </w:p>
        </w:tc>
      </w:tr>
      <w:tr w14:paraId="6DDD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272" w:type="dxa"/>
            <w:vAlign w:val="center"/>
          </w:tcPr>
          <w:p w14:paraId="162266CB">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334C62B7">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61183685">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50FB3054">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0884EC2B">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2069EE53">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42E2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272" w:type="dxa"/>
            <w:vAlign w:val="center"/>
          </w:tcPr>
          <w:p w14:paraId="5ED39E84">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459D6487">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45499B16">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17031874">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545716F0">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4F1D85BF">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034A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72" w:type="dxa"/>
            <w:vAlign w:val="center"/>
          </w:tcPr>
          <w:p w14:paraId="1C5ECA02">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6290D100">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418E53DF">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41014C9C">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78570CFA">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28884A7E">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78EF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72" w:type="dxa"/>
            <w:vAlign w:val="center"/>
          </w:tcPr>
          <w:p w14:paraId="7BDA1D1A">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37327CC1">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612CED07">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3CAE41DF">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1E7209E6">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7C138402">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446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72" w:type="dxa"/>
            <w:vAlign w:val="center"/>
          </w:tcPr>
          <w:p w14:paraId="4FC79E01">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13AEA14D">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53B0A43F">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13421F14">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3D454147">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28B34205">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4528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72" w:type="dxa"/>
            <w:vAlign w:val="center"/>
          </w:tcPr>
          <w:p w14:paraId="3A81588C">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7D5DB3C5">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0E83BBC1">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6FCB92FA">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41542B3F">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3F0A88C7">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2872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72" w:type="dxa"/>
            <w:vAlign w:val="center"/>
          </w:tcPr>
          <w:p w14:paraId="6ED66703">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234AB524">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712CF170">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3010063E">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065AE4B1">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7B358B0F">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0FD3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72" w:type="dxa"/>
            <w:vAlign w:val="center"/>
          </w:tcPr>
          <w:p w14:paraId="53CB3635">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194A1C2B">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4E05BFB7">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3007CDFF">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58360596">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05F4BD0D">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r w14:paraId="3512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2" w:type="dxa"/>
            <w:vAlign w:val="center"/>
          </w:tcPr>
          <w:p w14:paraId="280AC93A">
            <w:pPr>
              <w:keepNext w:val="0"/>
              <w:keepLines w:val="0"/>
              <w:widowControl/>
              <w:suppressLineNumbers w:val="0"/>
              <w:spacing w:before="0" w:beforeAutospacing="0" w:after="0" w:afterAutospacing="0"/>
              <w:ind w:left="0" w:right="0"/>
              <w:jc w:val="center"/>
              <w:textAlignment w:val="center"/>
              <w:rPr>
                <w:rFonts w:ascii="仿宋" w:hAnsi="仿宋" w:eastAsia="仿宋" w:cs="仿宋"/>
                <w:sz w:val="24"/>
              </w:rPr>
            </w:pPr>
          </w:p>
        </w:tc>
        <w:tc>
          <w:tcPr>
            <w:tcW w:w="1875" w:type="dxa"/>
            <w:vAlign w:val="center"/>
          </w:tcPr>
          <w:p w14:paraId="72BE0863">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rPr>
            </w:pPr>
          </w:p>
        </w:tc>
        <w:tc>
          <w:tcPr>
            <w:tcW w:w="2253" w:type="dxa"/>
            <w:vAlign w:val="center"/>
          </w:tcPr>
          <w:p w14:paraId="1FB293EE">
            <w:pPr>
              <w:pStyle w:val="17"/>
              <w:keepNext w:val="0"/>
              <w:keepLines w:val="0"/>
              <w:suppressLineNumbers w:val="0"/>
              <w:spacing w:before="0" w:beforeAutospacing="0" w:after="0" w:afterAutospacing="0" w:line="240" w:lineRule="atLeast"/>
              <w:ind w:left="0" w:right="0"/>
              <w:jc w:val="left"/>
              <w:rPr>
                <w:rFonts w:ascii="仿宋" w:hAnsi="仿宋" w:eastAsia="仿宋" w:cs="仿宋"/>
                <w:sz w:val="24"/>
                <w:szCs w:val="24"/>
              </w:rPr>
            </w:pPr>
          </w:p>
        </w:tc>
        <w:tc>
          <w:tcPr>
            <w:tcW w:w="1330" w:type="dxa"/>
            <w:vAlign w:val="center"/>
          </w:tcPr>
          <w:p w14:paraId="37CBC75F">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1639" w:type="dxa"/>
            <w:vAlign w:val="center"/>
          </w:tcPr>
          <w:p w14:paraId="4811F0DE">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c>
          <w:tcPr>
            <w:tcW w:w="2227" w:type="dxa"/>
            <w:vAlign w:val="center"/>
          </w:tcPr>
          <w:p w14:paraId="12738001">
            <w:pPr>
              <w:pStyle w:val="17"/>
              <w:keepNext w:val="0"/>
              <w:keepLines w:val="0"/>
              <w:suppressLineNumbers w:val="0"/>
              <w:spacing w:before="0" w:beforeAutospacing="0" w:after="0" w:afterAutospacing="0" w:line="240" w:lineRule="atLeast"/>
              <w:ind w:left="1080" w:leftChars="257" w:right="0" w:hanging="540"/>
              <w:jc w:val="left"/>
              <w:rPr>
                <w:rFonts w:ascii="仿宋" w:hAnsi="仿宋" w:eastAsia="仿宋" w:cs="仿宋"/>
                <w:sz w:val="24"/>
                <w:szCs w:val="24"/>
              </w:rPr>
            </w:pPr>
          </w:p>
        </w:tc>
      </w:tr>
    </w:tbl>
    <w:p w14:paraId="1DEF6C54">
      <w:pPr>
        <w:pStyle w:val="17"/>
        <w:spacing w:line="240" w:lineRule="atLeast"/>
        <w:rPr>
          <w:rFonts w:ascii="仿宋" w:hAnsi="仿宋" w:eastAsia="仿宋" w:cs="仿宋"/>
          <w:sz w:val="24"/>
          <w:szCs w:val="24"/>
        </w:rPr>
      </w:pPr>
    </w:p>
    <w:p w14:paraId="0960CFC6">
      <w:pPr>
        <w:pStyle w:val="17"/>
        <w:tabs>
          <w:tab w:val="left" w:pos="5370"/>
        </w:tabs>
        <w:spacing w:line="240" w:lineRule="atLeast"/>
        <w:jc w:val="lef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35FA5B1">
      <w:pPr>
        <w:pStyle w:val="17"/>
        <w:tabs>
          <w:tab w:val="left" w:pos="5370"/>
        </w:tabs>
        <w:spacing w:line="240" w:lineRule="atLeast"/>
        <w:jc w:val="left"/>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u w:val="single"/>
        </w:rPr>
        <w:tab/>
      </w:r>
    </w:p>
    <w:p w14:paraId="0D3480CC">
      <w:pPr>
        <w:pStyle w:val="17"/>
        <w:spacing w:line="240" w:lineRule="atLeast"/>
        <w:ind w:left="1080" w:leftChars="257" w:hanging="540"/>
        <w:jc w:val="left"/>
        <w:rPr>
          <w:rFonts w:hint="eastAsia" w:ascii="仿宋" w:hAnsi="仿宋" w:eastAsia="仿宋" w:cs="仿宋"/>
          <w:sz w:val="24"/>
        </w:rPr>
      </w:pPr>
    </w:p>
    <w:p w14:paraId="5691147C">
      <w:pPr>
        <w:pStyle w:val="17"/>
        <w:spacing w:line="240" w:lineRule="atLeast"/>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w:t>
      </w:r>
      <w:r>
        <w:rPr>
          <w:rFonts w:hint="eastAsia" w:ascii="仿宋" w:hAnsi="仿宋" w:eastAsia="仿宋" w:cs="仿宋"/>
          <w:sz w:val="24"/>
          <w:szCs w:val="24"/>
        </w:rPr>
        <w:t>1.如果按单价计算的结果与总价不一致</w:t>
      </w:r>
      <w:r>
        <w:rPr>
          <w:rFonts w:hint="eastAsia" w:ascii="仿宋" w:hAnsi="仿宋" w:eastAsia="仿宋" w:cs="仿宋"/>
          <w:sz w:val="24"/>
          <w:szCs w:val="24"/>
          <w:lang w:eastAsia="zh-CN"/>
        </w:rPr>
        <w:t>，</w:t>
      </w:r>
      <w:r>
        <w:rPr>
          <w:rFonts w:hint="eastAsia" w:ascii="仿宋" w:hAnsi="仿宋" w:eastAsia="仿宋" w:cs="仿宋"/>
          <w:sz w:val="24"/>
          <w:szCs w:val="24"/>
        </w:rPr>
        <w:t>以单价为准修正总价。</w:t>
      </w:r>
    </w:p>
    <w:p w14:paraId="70AB622F">
      <w:pPr>
        <w:pStyle w:val="17"/>
        <w:spacing w:line="240" w:lineRule="atLeast"/>
        <w:rPr>
          <w:rFonts w:ascii="仿宋" w:hAnsi="仿宋" w:eastAsia="仿宋" w:cs="仿宋"/>
          <w:sz w:val="24"/>
          <w:szCs w:val="24"/>
        </w:rPr>
      </w:pPr>
      <w:r>
        <w:rPr>
          <w:rFonts w:hint="eastAsia" w:ascii="仿宋" w:hAnsi="仿宋" w:eastAsia="仿宋" w:cs="仿宋"/>
          <w:sz w:val="24"/>
          <w:szCs w:val="24"/>
        </w:rPr>
        <w:t xml:space="preserve">   2.上述各项的详细分项报价，应另页描述。</w:t>
      </w:r>
    </w:p>
    <w:p w14:paraId="48251F1E">
      <w:pPr>
        <w:pStyle w:val="17"/>
        <w:spacing w:line="240" w:lineRule="atLeast"/>
        <w:rPr>
          <w:rFonts w:ascii="仿宋" w:hAnsi="仿宋" w:eastAsia="仿宋" w:cs="仿宋"/>
          <w:sz w:val="24"/>
          <w:szCs w:val="24"/>
        </w:rPr>
      </w:pPr>
      <w:r>
        <w:rPr>
          <w:rFonts w:hint="eastAsia" w:ascii="仿宋" w:hAnsi="仿宋" w:eastAsia="仿宋" w:cs="仿宋"/>
          <w:sz w:val="24"/>
          <w:szCs w:val="24"/>
        </w:rPr>
        <w:t xml:space="preserve">   3.如果开标一览表（报价表）内容与投标文件中明细表内容不一致的，以开标一览表（报价表）内容为准。</w:t>
      </w:r>
    </w:p>
    <w:p w14:paraId="780D87CC">
      <w:pPr>
        <w:pStyle w:val="5"/>
        <w:bidi w:val="0"/>
        <w:rPr>
          <w:rFonts w:hint="eastAsia" w:ascii="仿宋" w:hAnsi="仿宋" w:eastAsia="仿宋" w:cs="仿宋"/>
          <w:sz w:val="24"/>
          <w:szCs w:val="24"/>
        </w:rPr>
      </w:pPr>
      <w:bookmarkStart w:id="350" w:name="_Toc216582816"/>
      <w:bookmarkStart w:id="351" w:name="_Toc515647819"/>
      <w:bookmarkStart w:id="352" w:name="_Toc18267"/>
      <w:bookmarkStart w:id="353" w:name="_Toc14037"/>
      <w:bookmarkStart w:id="354" w:name="_Toc617"/>
    </w:p>
    <w:p w14:paraId="1928914C">
      <w:pPr>
        <w:pStyle w:val="5"/>
        <w:bidi w:val="0"/>
        <w:rPr>
          <w:rFonts w:hint="eastAsia" w:ascii="仿宋" w:hAnsi="仿宋" w:eastAsia="仿宋" w:cs="仿宋"/>
          <w:sz w:val="24"/>
          <w:szCs w:val="24"/>
        </w:rPr>
      </w:pPr>
    </w:p>
    <w:p w14:paraId="514897AE">
      <w:pPr>
        <w:pStyle w:val="5"/>
        <w:bidi w:val="0"/>
        <w:rPr>
          <w:rFonts w:hint="eastAsia" w:ascii="仿宋" w:hAnsi="仿宋" w:eastAsia="仿宋" w:cs="仿宋"/>
          <w:sz w:val="24"/>
          <w:szCs w:val="24"/>
        </w:rPr>
      </w:pPr>
      <w:bookmarkStart w:id="355" w:name="_Toc22673"/>
      <w:r>
        <w:rPr>
          <w:rFonts w:hint="eastAsia" w:ascii="仿宋" w:hAnsi="仿宋" w:eastAsia="仿宋" w:cs="仿宋"/>
          <w:sz w:val="24"/>
          <w:szCs w:val="24"/>
        </w:rPr>
        <w:t xml:space="preserve">4   </w:t>
      </w:r>
      <w:r>
        <w:rPr>
          <w:rFonts w:hint="eastAsia" w:ascii="仿宋" w:hAnsi="仿宋" w:eastAsia="仿宋" w:cs="仿宋"/>
          <w:sz w:val="24"/>
          <w:szCs w:val="24"/>
          <w:lang w:eastAsia="zh-CN"/>
        </w:rPr>
        <w:t>服务</w:t>
      </w:r>
      <w:r>
        <w:rPr>
          <w:rFonts w:hint="eastAsia" w:ascii="仿宋" w:hAnsi="仿宋" w:eastAsia="仿宋" w:cs="仿宋"/>
          <w:sz w:val="24"/>
          <w:szCs w:val="24"/>
        </w:rPr>
        <w:t>说明一览表</w:t>
      </w:r>
      <w:bookmarkEnd w:id="350"/>
      <w:r>
        <w:rPr>
          <w:rFonts w:hint="eastAsia" w:ascii="仿宋" w:hAnsi="仿宋" w:eastAsia="仿宋" w:cs="仿宋"/>
          <w:sz w:val="24"/>
          <w:szCs w:val="24"/>
        </w:rPr>
        <w:t>（投标文件格式八）</w:t>
      </w:r>
      <w:bookmarkEnd w:id="351"/>
      <w:bookmarkEnd w:id="352"/>
      <w:bookmarkEnd w:id="353"/>
      <w:bookmarkEnd w:id="354"/>
      <w:bookmarkEnd w:id="355"/>
    </w:p>
    <w:p w14:paraId="4CD5FC07">
      <w:pPr>
        <w:pStyle w:val="17"/>
        <w:spacing w:line="240" w:lineRule="atLeast"/>
        <w:ind w:left="1080" w:leftChars="257" w:hanging="540"/>
        <w:rPr>
          <w:rFonts w:hint="eastAsia" w:ascii="仿宋" w:hAnsi="仿宋" w:eastAsia="仿宋" w:cs="仿宋"/>
          <w:sz w:val="24"/>
        </w:rPr>
      </w:pPr>
    </w:p>
    <w:p w14:paraId="110FAE98">
      <w:pPr>
        <w:pStyle w:val="17"/>
        <w:spacing w:line="240" w:lineRule="atLeast"/>
        <w:ind w:left="1080" w:leftChars="257" w:hanging="54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rPr>
        <w:t xml:space="preserve">                    招标编号</w:t>
      </w:r>
      <w:r>
        <w:rPr>
          <w:rFonts w:hint="eastAsia" w:ascii="仿宋" w:hAnsi="仿宋" w:eastAsia="仿宋" w:cs="仿宋"/>
          <w:sz w:val="24"/>
          <w:lang w:eastAsia="zh-CN"/>
        </w:rPr>
        <w:t>：</w:t>
      </w:r>
      <w:r>
        <w:rPr>
          <w:rFonts w:hint="eastAsia" w:ascii="仿宋" w:hAnsi="仿宋" w:eastAsia="仿宋" w:cs="仿宋"/>
          <w:sz w:val="24"/>
        </w:rPr>
        <w:t xml:space="preserve">                包号</w:t>
      </w:r>
      <w:r>
        <w:rPr>
          <w:rFonts w:hint="eastAsia" w:ascii="仿宋" w:hAnsi="仿宋" w:eastAsia="仿宋" w:cs="仿宋"/>
          <w:sz w:val="24"/>
          <w:lang w:eastAsia="zh-CN"/>
        </w:rPr>
        <w:t>：</w:t>
      </w:r>
      <w:r>
        <w:rPr>
          <w:rFonts w:hint="eastAsia" w:ascii="仿宋" w:hAnsi="仿宋" w:eastAsia="仿宋" w:cs="仿宋"/>
          <w:sz w:val="24"/>
        </w:rPr>
        <w:t xml:space="preserve">                      </w:t>
      </w:r>
    </w:p>
    <w:p w14:paraId="3EE236D2">
      <w:pPr>
        <w:pStyle w:val="17"/>
        <w:spacing w:line="240" w:lineRule="atLeast"/>
        <w:ind w:left="1080" w:leftChars="257" w:hanging="540"/>
        <w:rPr>
          <w:rFonts w:hint="eastAsia" w:ascii="仿宋" w:hAnsi="仿宋" w:eastAsia="仿宋" w:cs="仿宋"/>
          <w:sz w:val="24"/>
        </w:rPr>
      </w:pPr>
    </w:p>
    <w:p w14:paraId="68C3286B">
      <w:pPr>
        <w:pStyle w:val="17"/>
        <w:spacing w:line="240" w:lineRule="atLeast"/>
        <w:ind w:left="1080" w:leftChars="257" w:hanging="540"/>
        <w:rPr>
          <w:rFonts w:hint="eastAsia" w:ascii="仿宋" w:hAnsi="仿宋" w:eastAsia="仿宋" w:cs="仿宋"/>
          <w:sz w:val="24"/>
        </w:rPr>
      </w:pPr>
    </w:p>
    <w:tbl>
      <w:tblPr>
        <w:tblStyle w:val="40"/>
        <w:tblpPr w:leftFromText="180" w:rightFromText="180" w:vertAnchor="text" w:horzAnchor="page" w:tblpX="1158" w:tblpY="8"/>
        <w:tblOverlap w:val="never"/>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616"/>
        <w:gridCol w:w="1469"/>
        <w:gridCol w:w="1322"/>
        <w:gridCol w:w="1616"/>
        <w:gridCol w:w="1352"/>
        <w:gridCol w:w="1061"/>
      </w:tblGrid>
      <w:tr w14:paraId="6B9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24B1A4FA">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序号</w:t>
            </w:r>
          </w:p>
        </w:tc>
        <w:tc>
          <w:tcPr>
            <w:tcW w:w="1616" w:type="dxa"/>
            <w:noWrap w:val="0"/>
            <w:vAlign w:val="top"/>
          </w:tcPr>
          <w:p w14:paraId="0CEDF74F">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lang w:eastAsia="zh-CN"/>
              </w:rPr>
              <w:t>服务</w:t>
            </w:r>
            <w:r>
              <w:rPr>
                <w:rFonts w:hint="eastAsia" w:ascii="仿宋" w:hAnsi="仿宋" w:eastAsia="仿宋" w:cs="仿宋"/>
                <w:sz w:val="24"/>
              </w:rPr>
              <w:t>名称</w:t>
            </w:r>
          </w:p>
        </w:tc>
        <w:tc>
          <w:tcPr>
            <w:tcW w:w="1469" w:type="dxa"/>
            <w:noWrap w:val="0"/>
            <w:vAlign w:val="top"/>
          </w:tcPr>
          <w:p w14:paraId="20D9336F">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pacing w:val="-2"/>
                <w:sz w:val="24"/>
                <w:szCs w:val="24"/>
                <w:lang w:val="en-US" w:eastAsia="zh-CN"/>
              </w:rPr>
              <w:t>数量</w:t>
            </w:r>
          </w:p>
        </w:tc>
        <w:tc>
          <w:tcPr>
            <w:tcW w:w="1322" w:type="dxa"/>
            <w:noWrap w:val="0"/>
            <w:vAlign w:val="top"/>
          </w:tcPr>
          <w:p w14:paraId="0DAB9A3B">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pacing w:val="-2"/>
                <w:sz w:val="24"/>
                <w:szCs w:val="24"/>
                <w:lang w:val="en-US" w:eastAsia="zh-CN"/>
              </w:rPr>
              <w:t>单位</w:t>
            </w:r>
          </w:p>
        </w:tc>
        <w:tc>
          <w:tcPr>
            <w:tcW w:w="1616" w:type="dxa"/>
            <w:noWrap w:val="0"/>
            <w:vAlign w:val="top"/>
          </w:tcPr>
          <w:p w14:paraId="2B49DD2D">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期</w:t>
            </w:r>
          </w:p>
        </w:tc>
        <w:tc>
          <w:tcPr>
            <w:tcW w:w="1352" w:type="dxa"/>
            <w:noWrap w:val="0"/>
            <w:vAlign w:val="top"/>
          </w:tcPr>
          <w:p w14:paraId="4B9CD60D">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地点</w:t>
            </w:r>
          </w:p>
        </w:tc>
        <w:tc>
          <w:tcPr>
            <w:tcW w:w="1061" w:type="dxa"/>
            <w:noWrap w:val="0"/>
            <w:vAlign w:val="top"/>
          </w:tcPr>
          <w:p w14:paraId="535705BE">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lang w:eastAsia="zh-CN"/>
              </w:rPr>
              <w:t>其他</w:t>
            </w:r>
          </w:p>
        </w:tc>
      </w:tr>
      <w:tr w14:paraId="122A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3151E8D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6D6F8A7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15D289E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4830815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2E6848B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33C17E1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2C011CF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A66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4CCA2E9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16E27F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6866E05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0A7DD93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8FB8BF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2139917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5D748F6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5D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06D416A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011600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3F70643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1A00D61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09AA96E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67EDFB7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619CE18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F2E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3B22E83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64F1050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36CFE1E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6C5C07E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581A3BF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7205906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3CE92E5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6B7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5115484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AF67A0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23FAF71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2DB7D49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1CD5FBE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6B4DE69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20103F7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2FB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1C3405E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30AFF6F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1939C18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5497D03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ADC349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59B7BED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2738E1E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0E7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5" w:type="dxa"/>
            <w:noWrap w:val="0"/>
            <w:vAlign w:val="top"/>
          </w:tcPr>
          <w:p w14:paraId="65B797A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334BCB0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1F532EE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133ED90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D8B51B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5414857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4F54CCB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BD7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75" w:type="dxa"/>
            <w:noWrap w:val="0"/>
            <w:vAlign w:val="top"/>
          </w:tcPr>
          <w:p w14:paraId="25AA5F6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6A88E32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469" w:type="dxa"/>
            <w:noWrap w:val="0"/>
            <w:vAlign w:val="top"/>
          </w:tcPr>
          <w:p w14:paraId="4B76325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22" w:type="dxa"/>
            <w:noWrap w:val="0"/>
            <w:vAlign w:val="top"/>
          </w:tcPr>
          <w:p w14:paraId="001443E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616" w:type="dxa"/>
            <w:noWrap w:val="0"/>
            <w:vAlign w:val="top"/>
          </w:tcPr>
          <w:p w14:paraId="755CC0D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352" w:type="dxa"/>
            <w:noWrap w:val="0"/>
            <w:vAlign w:val="top"/>
          </w:tcPr>
          <w:p w14:paraId="5784578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061" w:type="dxa"/>
            <w:noWrap w:val="0"/>
            <w:vAlign w:val="top"/>
          </w:tcPr>
          <w:p w14:paraId="67E6910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bl>
    <w:p w14:paraId="08FDE697">
      <w:pPr>
        <w:pStyle w:val="17"/>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319C5DCE">
      <w:pPr>
        <w:pStyle w:val="17"/>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u w:val="single"/>
        </w:rPr>
        <w:tab/>
      </w:r>
    </w:p>
    <w:p w14:paraId="73E6B6A0">
      <w:pPr>
        <w:pStyle w:val="17"/>
        <w:spacing w:line="240" w:lineRule="atLeast"/>
        <w:ind w:left="1080" w:leftChars="257" w:hanging="540"/>
        <w:rPr>
          <w:rFonts w:hint="eastAsia" w:ascii="仿宋" w:hAnsi="仿宋" w:eastAsia="仿宋" w:cs="仿宋"/>
          <w:sz w:val="24"/>
        </w:rPr>
      </w:pPr>
    </w:p>
    <w:p w14:paraId="202A3144">
      <w:pPr>
        <w:pStyle w:val="17"/>
        <w:spacing w:line="240" w:lineRule="atLeast"/>
        <w:ind w:left="1080" w:leftChars="257" w:hanging="540"/>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 xml:space="preserve"> 各项</w:t>
      </w:r>
      <w:r>
        <w:rPr>
          <w:rFonts w:hint="eastAsia" w:ascii="仿宋" w:hAnsi="仿宋" w:eastAsia="仿宋" w:cs="仿宋"/>
          <w:sz w:val="24"/>
          <w:lang w:eastAsia="zh-CN"/>
        </w:rPr>
        <w:t>服务</w:t>
      </w:r>
      <w:r>
        <w:rPr>
          <w:rFonts w:hint="eastAsia" w:ascii="仿宋" w:hAnsi="仿宋" w:eastAsia="仿宋" w:cs="仿宋"/>
          <w:sz w:val="24"/>
        </w:rPr>
        <w:t>详细技术性能应另页描述。</w:t>
      </w:r>
    </w:p>
    <w:p w14:paraId="71DD677C">
      <w:pPr>
        <w:pStyle w:val="17"/>
        <w:spacing w:line="240" w:lineRule="atLeast"/>
        <w:ind w:left="1080" w:leftChars="257" w:hanging="540"/>
        <w:jc w:val="center"/>
        <w:rPr>
          <w:rFonts w:hint="eastAsia" w:ascii="仿宋" w:hAnsi="仿宋" w:eastAsia="仿宋" w:cs="仿宋"/>
          <w:sz w:val="24"/>
        </w:rPr>
      </w:pPr>
    </w:p>
    <w:p w14:paraId="3DFEA18E">
      <w:pPr>
        <w:pStyle w:val="17"/>
        <w:spacing w:line="240" w:lineRule="atLeast"/>
        <w:ind w:left="1080" w:leftChars="257" w:hanging="540"/>
        <w:jc w:val="center"/>
        <w:rPr>
          <w:rFonts w:hint="eastAsia" w:ascii="仿宋" w:hAnsi="仿宋" w:eastAsia="仿宋" w:cs="仿宋"/>
          <w:sz w:val="24"/>
        </w:rPr>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4378E25A">
      <w:pPr>
        <w:pStyle w:val="5"/>
        <w:bidi w:val="0"/>
        <w:rPr>
          <w:rFonts w:hint="eastAsia" w:ascii="仿宋" w:hAnsi="仿宋" w:eastAsia="仿宋" w:cs="仿宋"/>
          <w:sz w:val="24"/>
          <w:szCs w:val="24"/>
        </w:rPr>
      </w:pPr>
      <w:bookmarkStart w:id="356" w:name="_Toc216582817"/>
      <w:bookmarkStart w:id="357" w:name="_Toc18950"/>
      <w:bookmarkStart w:id="358" w:name="_Toc28959"/>
      <w:bookmarkStart w:id="359" w:name="_Toc26857"/>
      <w:bookmarkStart w:id="360" w:name="_Toc515647820"/>
      <w:bookmarkStart w:id="361" w:name="_Toc22563"/>
      <w:r>
        <w:rPr>
          <w:rFonts w:hint="eastAsia" w:ascii="仿宋" w:hAnsi="仿宋" w:eastAsia="仿宋" w:cs="仿宋"/>
          <w:sz w:val="24"/>
          <w:szCs w:val="24"/>
        </w:rPr>
        <w:t>5   技术规格偏离表</w:t>
      </w:r>
      <w:bookmarkEnd w:id="356"/>
      <w:r>
        <w:rPr>
          <w:rFonts w:hint="eastAsia" w:ascii="仿宋" w:hAnsi="仿宋" w:eastAsia="仿宋" w:cs="仿宋"/>
          <w:sz w:val="24"/>
          <w:szCs w:val="24"/>
        </w:rPr>
        <w:t>（投标文件格式九）</w:t>
      </w:r>
      <w:bookmarkEnd w:id="357"/>
      <w:bookmarkEnd w:id="358"/>
      <w:bookmarkEnd w:id="359"/>
      <w:bookmarkEnd w:id="360"/>
      <w:bookmarkEnd w:id="361"/>
    </w:p>
    <w:p w14:paraId="3556D9D5">
      <w:pPr>
        <w:pStyle w:val="17"/>
        <w:spacing w:line="240" w:lineRule="atLeast"/>
        <w:ind w:left="1080" w:leftChars="257" w:hanging="540"/>
        <w:rPr>
          <w:rFonts w:hint="eastAsia" w:ascii="仿宋" w:hAnsi="仿宋" w:eastAsia="仿宋" w:cs="仿宋"/>
          <w:sz w:val="24"/>
        </w:rPr>
      </w:pPr>
    </w:p>
    <w:p w14:paraId="5902CB7C">
      <w:pPr>
        <w:pStyle w:val="17"/>
        <w:spacing w:line="240" w:lineRule="atLeast"/>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rPr>
        <w:t xml:space="preserve">                       招标编号</w:t>
      </w:r>
      <w:r>
        <w:rPr>
          <w:rFonts w:hint="eastAsia" w:ascii="仿宋" w:hAnsi="仿宋" w:eastAsia="仿宋" w:cs="仿宋"/>
          <w:sz w:val="24"/>
          <w:lang w:eastAsia="zh-CN"/>
        </w:rPr>
        <w:t>：</w:t>
      </w:r>
      <w:r>
        <w:rPr>
          <w:rFonts w:hint="eastAsia" w:ascii="仿宋" w:hAnsi="仿宋" w:eastAsia="仿宋" w:cs="仿宋"/>
          <w:sz w:val="24"/>
        </w:rPr>
        <w:t xml:space="preserve">                 包号</w:t>
      </w:r>
      <w:r>
        <w:rPr>
          <w:rFonts w:hint="eastAsia" w:ascii="仿宋" w:hAnsi="仿宋" w:eastAsia="仿宋" w:cs="仿宋"/>
          <w:sz w:val="24"/>
          <w:lang w:eastAsia="zh-CN"/>
        </w:rPr>
        <w:t>：</w:t>
      </w:r>
    </w:p>
    <w:p w14:paraId="226D5BD2">
      <w:pPr>
        <w:pStyle w:val="17"/>
        <w:spacing w:line="240" w:lineRule="atLeast"/>
        <w:ind w:left="1080" w:leftChars="257" w:hanging="540"/>
        <w:rPr>
          <w:rFonts w:hint="eastAsia" w:ascii="仿宋" w:hAnsi="仿宋" w:eastAsia="仿宋" w:cs="仿宋"/>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52D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2AFF4C1B">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序号</w:t>
            </w:r>
          </w:p>
        </w:tc>
        <w:tc>
          <w:tcPr>
            <w:tcW w:w="1260" w:type="dxa"/>
            <w:noWrap w:val="0"/>
            <w:vAlign w:val="center"/>
          </w:tcPr>
          <w:p w14:paraId="19E5307F">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lang w:eastAsia="zh-CN"/>
              </w:rPr>
              <w:t>服务</w:t>
            </w:r>
            <w:r>
              <w:rPr>
                <w:rFonts w:hint="eastAsia" w:ascii="仿宋" w:hAnsi="仿宋" w:eastAsia="仿宋" w:cs="仿宋"/>
                <w:sz w:val="24"/>
              </w:rPr>
              <w:t>名称</w:t>
            </w:r>
          </w:p>
        </w:tc>
        <w:tc>
          <w:tcPr>
            <w:tcW w:w="2340" w:type="dxa"/>
            <w:noWrap w:val="0"/>
            <w:vAlign w:val="center"/>
          </w:tcPr>
          <w:p w14:paraId="6408FACD">
            <w:pPr>
              <w:pStyle w:val="17"/>
              <w:keepNext w:val="0"/>
              <w:keepLines w:val="0"/>
              <w:suppressLineNumbers w:val="0"/>
              <w:spacing w:before="0" w:beforeAutospacing="0" w:after="0" w:afterAutospacing="0" w:line="240" w:lineRule="atLeast"/>
              <w:ind w:left="269" w:leftChars="128" w:right="0"/>
              <w:jc w:val="center"/>
              <w:rPr>
                <w:rFonts w:hint="eastAsia" w:ascii="仿宋" w:hAnsi="仿宋" w:eastAsia="仿宋" w:cs="仿宋"/>
                <w:sz w:val="24"/>
              </w:rPr>
            </w:pPr>
            <w:r>
              <w:rPr>
                <w:rFonts w:hint="eastAsia" w:ascii="仿宋" w:hAnsi="仿宋" w:eastAsia="仿宋" w:cs="仿宋"/>
                <w:sz w:val="24"/>
              </w:rPr>
              <w:t>招标文件条款号</w:t>
            </w:r>
          </w:p>
        </w:tc>
        <w:tc>
          <w:tcPr>
            <w:tcW w:w="1260" w:type="dxa"/>
            <w:noWrap w:val="0"/>
            <w:vAlign w:val="center"/>
          </w:tcPr>
          <w:p w14:paraId="4A1636C6">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招标规格</w:t>
            </w:r>
          </w:p>
        </w:tc>
        <w:tc>
          <w:tcPr>
            <w:tcW w:w="1260" w:type="dxa"/>
            <w:noWrap w:val="0"/>
            <w:vAlign w:val="center"/>
          </w:tcPr>
          <w:p w14:paraId="6EDAD865">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投标规格</w:t>
            </w:r>
          </w:p>
        </w:tc>
        <w:tc>
          <w:tcPr>
            <w:tcW w:w="900" w:type="dxa"/>
            <w:noWrap w:val="0"/>
            <w:vAlign w:val="center"/>
          </w:tcPr>
          <w:p w14:paraId="56EB29B9">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偏离</w:t>
            </w:r>
          </w:p>
        </w:tc>
        <w:tc>
          <w:tcPr>
            <w:tcW w:w="900" w:type="dxa"/>
            <w:noWrap w:val="0"/>
            <w:vAlign w:val="center"/>
          </w:tcPr>
          <w:p w14:paraId="4E06BD7C">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说明</w:t>
            </w:r>
          </w:p>
        </w:tc>
      </w:tr>
      <w:tr w14:paraId="7C77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2AA75F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260D67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35B9C5F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EC07F1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5F14FA7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66043B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5F7D16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686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08844B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C53B92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0BD2858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4DF0FA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347059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4FB879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BF4DAC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4D4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654E50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7B8598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12BC036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0C04A6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E36516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8192A8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4B8F87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D4C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7D21A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037480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38C9C84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2EBA1D8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E69AD6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37B033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F94C26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E04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315581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FE524B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199121D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4EA632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80C1AB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FABE04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EFFAAD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6E2C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3ADB5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69ABB9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520B190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021D576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3F7EB4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E737800">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BEA623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23A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FE6AEF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062D6B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7CDAA7B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277DDA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5A1925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B53C3F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4A23F3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D13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C1DE0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3011EF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25F52ED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5AD38CE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E2EB7E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015F0E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65448F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2F9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91F7AF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814764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608B81B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0858ED2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308A74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7118F5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A14BEF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C72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7DB84D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72A2C7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4C5B93F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934154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98D4E2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BF796D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1DCB46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617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C694F0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4C724F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041E36D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2A0EF66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851010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ECAA63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6E172D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767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72D9F1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507F74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26E480D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A24E79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9C3074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5CC786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FB4CED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81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1E3B11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C9A9C0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10F4FEE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5D98CE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2102BDA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F5D315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2B8D350">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AAD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F8336B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273147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4D40524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04AC59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18F13A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28341A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35FC93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B4C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03CB48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85C6F3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4D7B6CD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4C6071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0D65761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738CA7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66CB6E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49CB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1F1F6E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3F689AA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76AE653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4415D5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443FE47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012C0A8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F8AE1D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6B6F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4116E6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1ABBEE0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340" w:type="dxa"/>
            <w:noWrap w:val="0"/>
            <w:vAlign w:val="top"/>
          </w:tcPr>
          <w:p w14:paraId="6D520A8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6EDF25F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1260" w:type="dxa"/>
            <w:noWrap w:val="0"/>
            <w:vAlign w:val="top"/>
          </w:tcPr>
          <w:p w14:paraId="7B04388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63056E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20EB54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bl>
    <w:p w14:paraId="00C64F8E">
      <w:pPr>
        <w:pStyle w:val="17"/>
        <w:spacing w:line="240" w:lineRule="atLeast"/>
        <w:ind w:left="1080" w:leftChars="257" w:hanging="540"/>
        <w:rPr>
          <w:rFonts w:hint="eastAsia" w:ascii="仿宋" w:hAnsi="仿宋" w:eastAsia="仿宋" w:cs="仿宋"/>
          <w:sz w:val="24"/>
        </w:rPr>
      </w:pPr>
    </w:p>
    <w:p w14:paraId="2F944B41">
      <w:pPr>
        <w:pStyle w:val="17"/>
        <w:spacing w:line="240" w:lineRule="atLeast"/>
        <w:ind w:left="1080" w:leftChars="257" w:hanging="540"/>
        <w:rPr>
          <w:rFonts w:hint="eastAsia" w:ascii="仿宋" w:hAnsi="仿宋" w:eastAsia="仿宋" w:cs="仿宋"/>
          <w:sz w:val="24"/>
        </w:rPr>
      </w:pPr>
    </w:p>
    <w:p w14:paraId="2F839823">
      <w:pPr>
        <w:pStyle w:val="17"/>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30A28611">
      <w:pPr>
        <w:pStyle w:val="17"/>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u w:val="single"/>
        </w:rPr>
        <w:tab/>
      </w:r>
    </w:p>
    <w:p w14:paraId="79238CCF">
      <w:pPr>
        <w:pStyle w:val="17"/>
        <w:tabs>
          <w:tab w:val="left" w:pos="5580"/>
        </w:tabs>
        <w:spacing w:line="240" w:lineRule="auto"/>
        <w:ind w:left="0" w:leftChars="0" w:firstLine="0"/>
        <w:rPr>
          <w:rFonts w:hint="eastAsia" w:ascii="仿宋" w:hAnsi="仿宋" w:eastAsia="仿宋" w:cs="仿宋"/>
          <w:sz w:val="24"/>
        </w:rPr>
      </w:pPr>
      <w:r>
        <w:rPr>
          <w:rFonts w:hint="eastAsia" w:ascii="仿宋" w:hAnsi="仿宋" w:eastAsia="仿宋" w:cs="仿宋"/>
          <w:b/>
          <w:bCs/>
          <w:sz w:val="24"/>
          <w:lang w:val="en-US" w:eastAsia="zh-CN"/>
        </w:rPr>
        <w:t>注：投标人需如实完整地填写上表，如填写不完整或填写内容与产品证明资料不符或内容与供货时提供的不一致，投标人自行承担投标无效、提供虚假材料谋取中标成交、验收不通过的风险。</w:t>
      </w:r>
      <w:r>
        <w:rPr>
          <w:rFonts w:hint="eastAsia" w:ascii="仿宋" w:hAnsi="仿宋" w:eastAsia="仿宋" w:cs="仿宋"/>
          <w:sz w:val="24"/>
          <w:u w:val="single"/>
        </w:rPr>
        <w:br w:type="page"/>
      </w:r>
    </w:p>
    <w:p w14:paraId="04FC4080">
      <w:pPr>
        <w:pStyle w:val="5"/>
        <w:bidi w:val="0"/>
        <w:rPr>
          <w:rFonts w:hint="eastAsia" w:ascii="仿宋" w:hAnsi="仿宋" w:eastAsia="仿宋" w:cs="仿宋"/>
          <w:sz w:val="24"/>
          <w:szCs w:val="24"/>
        </w:rPr>
      </w:pPr>
      <w:bookmarkStart w:id="362" w:name="_Toc216582818"/>
      <w:bookmarkStart w:id="363" w:name="_Toc16379"/>
      <w:bookmarkStart w:id="364" w:name="_Toc23"/>
      <w:bookmarkStart w:id="365" w:name="_Toc7624"/>
      <w:bookmarkStart w:id="366" w:name="_Toc1980"/>
      <w:bookmarkStart w:id="367" w:name="_Toc515647821"/>
      <w:r>
        <w:rPr>
          <w:rFonts w:hint="eastAsia" w:ascii="仿宋" w:hAnsi="仿宋" w:eastAsia="仿宋" w:cs="仿宋"/>
          <w:sz w:val="24"/>
          <w:szCs w:val="24"/>
        </w:rPr>
        <w:t>6   商务条款偏离表</w:t>
      </w:r>
      <w:bookmarkEnd w:id="362"/>
      <w:r>
        <w:rPr>
          <w:rFonts w:hint="eastAsia" w:ascii="仿宋" w:hAnsi="仿宋" w:eastAsia="仿宋" w:cs="仿宋"/>
          <w:sz w:val="24"/>
          <w:szCs w:val="24"/>
        </w:rPr>
        <w:t>（投标文件格式十）</w:t>
      </w:r>
      <w:bookmarkEnd w:id="363"/>
      <w:bookmarkEnd w:id="364"/>
      <w:bookmarkEnd w:id="365"/>
      <w:bookmarkEnd w:id="366"/>
      <w:bookmarkEnd w:id="367"/>
    </w:p>
    <w:p w14:paraId="3F8F6909">
      <w:pPr>
        <w:pStyle w:val="17"/>
        <w:spacing w:line="240" w:lineRule="atLeast"/>
        <w:ind w:left="1080" w:leftChars="257" w:hanging="540"/>
        <w:rPr>
          <w:rFonts w:hint="eastAsia" w:ascii="仿宋" w:hAnsi="仿宋" w:eastAsia="仿宋" w:cs="仿宋"/>
          <w:sz w:val="24"/>
        </w:rPr>
      </w:pPr>
    </w:p>
    <w:p w14:paraId="5467D47C">
      <w:pPr>
        <w:pStyle w:val="17"/>
        <w:spacing w:line="240" w:lineRule="atLeast"/>
        <w:ind w:left="1080" w:leftChars="257" w:hanging="540"/>
        <w:rPr>
          <w:rFonts w:hint="eastAsia" w:ascii="仿宋" w:hAnsi="仿宋" w:eastAsia="仿宋" w:cs="仿宋"/>
          <w:sz w:val="24"/>
        </w:rPr>
      </w:pPr>
    </w:p>
    <w:p w14:paraId="0A5D9F6C">
      <w:pPr>
        <w:pStyle w:val="17"/>
        <w:spacing w:line="240" w:lineRule="atLeast"/>
        <w:ind w:left="1080" w:leftChars="257" w:hanging="54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rPr>
        <w:t xml:space="preserve">                      招标编号</w:t>
      </w:r>
      <w:r>
        <w:rPr>
          <w:rFonts w:hint="eastAsia" w:ascii="仿宋" w:hAnsi="仿宋" w:eastAsia="仿宋" w:cs="仿宋"/>
          <w:sz w:val="24"/>
          <w:lang w:eastAsia="zh-CN"/>
        </w:rPr>
        <w:t>：</w:t>
      </w:r>
      <w:r>
        <w:rPr>
          <w:rFonts w:hint="eastAsia" w:ascii="仿宋" w:hAnsi="仿宋" w:eastAsia="仿宋" w:cs="仿宋"/>
          <w:sz w:val="24"/>
        </w:rPr>
        <w:t xml:space="preserve">             包号</w:t>
      </w:r>
      <w:r>
        <w:rPr>
          <w:rFonts w:hint="eastAsia" w:ascii="仿宋" w:hAnsi="仿宋" w:eastAsia="仿宋" w:cs="仿宋"/>
          <w:sz w:val="24"/>
          <w:lang w:eastAsia="zh-CN"/>
        </w:rPr>
        <w:t>：</w:t>
      </w:r>
    </w:p>
    <w:p w14:paraId="7597BC0E">
      <w:pPr>
        <w:pStyle w:val="17"/>
        <w:spacing w:line="240" w:lineRule="atLeast"/>
        <w:ind w:left="1080" w:leftChars="257" w:hanging="540"/>
        <w:rPr>
          <w:rFonts w:hint="eastAsia" w:ascii="仿宋" w:hAnsi="仿宋" w:eastAsia="仿宋" w:cs="仿宋"/>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5BA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1F4702">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top"/>
          </w:tcPr>
          <w:p w14:paraId="2D61070C">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招标文件条款号</w:t>
            </w:r>
          </w:p>
        </w:tc>
        <w:tc>
          <w:tcPr>
            <w:tcW w:w="2520" w:type="dxa"/>
            <w:noWrap w:val="0"/>
            <w:vAlign w:val="top"/>
          </w:tcPr>
          <w:p w14:paraId="3D911C48">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noWrap w:val="0"/>
            <w:vAlign w:val="top"/>
          </w:tcPr>
          <w:p w14:paraId="56097C48">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投标文件的商务条款</w:t>
            </w:r>
          </w:p>
        </w:tc>
        <w:tc>
          <w:tcPr>
            <w:tcW w:w="900" w:type="dxa"/>
            <w:noWrap w:val="0"/>
            <w:vAlign w:val="top"/>
          </w:tcPr>
          <w:p w14:paraId="31A4D23D">
            <w:pPr>
              <w:pStyle w:val="17"/>
              <w:keepNext w:val="0"/>
              <w:keepLines w:val="0"/>
              <w:suppressLineNumbers w:val="0"/>
              <w:spacing w:before="0" w:beforeAutospacing="0" w:after="0" w:afterAutospacing="0" w:line="240" w:lineRule="atLeast"/>
              <w:ind w:left="0" w:right="0"/>
              <w:jc w:val="center"/>
              <w:rPr>
                <w:rFonts w:hint="eastAsia" w:ascii="仿宋" w:hAnsi="仿宋" w:eastAsia="仿宋" w:cs="仿宋"/>
                <w:sz w:val="24"/>
              </w:rPr>
            </w:pPr>
            <w:r>
              <w:rPr>
                <w:rFonts w:hint="eastAsia" w:ascii="仿宋" w:hAnsi="仿宋" w:eastAsia="仿宋" w:cs="仿宋"/>
                <w:sz w:val="24"/>
              </w:rPr>
              <w:t>说明</w:t>
            </w:r>
          </w:p>
        </w:tc>
      </w:tr>
      <w:tr w14:paraId="0D80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DA18A20">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2A20795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5BA4F02C">
            <w:pPr>
              <w:pStyle w:val="17"/>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sz w:val="24"/>
              </w:rPr>
            </w:pPr>
          </w:p>
        </w:tc>
        <w:tc>
          <w:tcPr>
            <w:tcW w:w="2520" w:type="dxa"/>
            <w:noWrap w:val="0"/>
            <w:vAlign w:val="top"/>
          </w:tcPr>
          <w:p w14:paraId="11B4C3EE">
            <w:pPr>
              <w:pStyle w:val="17"/>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sz w:val="24"/>
              </w:rPr>
            </w:pPr>
          </w:p>
        </w:tc>
        <w:tc>
          <w:tcPr>
            <w:tcW w:w="900" w:type="dxa"/>
            <w:noWrap w:val="0"/>
            <w:vAlign w:val="top"/>
          </w:tcPr>
          <w:p w14:paraId="0D3C9F6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D1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D42DB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547F2A2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8DE7FB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905193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583DA9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EB0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6AA5BA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03EB3D2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181794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BECAA6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74E174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4D5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014A5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6C27FDE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FA58CC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370A25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3405BD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C2A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1EE363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71EAA9B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6DA60A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937E2E0">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38A07A5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010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6A9B0F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4BDBB86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462EA8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5AC9295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3D604E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7BD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645E24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273E724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42ED85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66393B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2C0C520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358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3A07F0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15E8367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8C4B2F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1A5D726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5A5586A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68A3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E5BD9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0B138B5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A4A3B2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D3B5C8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9D1E33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B1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2D7DDC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552A6023">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634CAB0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CF3DE3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98A10E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08E2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8ABF3F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006FE60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83DC3E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38B2B0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C28D2F0">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3516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DD36C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1C8190C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50BAC4A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3B5E8E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B6B7B7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C52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936D76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358233EA">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15CAF5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B60AAB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62A37F1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20AE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2E2C3D6">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3C5E6667">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62031BC">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833012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1458453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5ACC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D7794C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59F74D2B">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72DE1F2F">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3C98B989">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8D20A6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74AB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6C001C5">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4E4AE6E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EF9241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2AB80E92">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78467E4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r w14:paraId="12EF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901F474">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040" w:type="dxa"/>
            <w:noWrap w:val="0"/>
            <w:vAlign w:val="top"/>
          </w:tcPr>
          <w:p w14:paraId="2D8097BE">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0106DA48">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2520" w:type="dxa"/>
            <w:noWrap w:val="0"/>
            <w:vAlign w:val="top"/>
          </w:tcPr>
          <w:p w14:paraId="40623AFD">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c>
          <w:tcPr>
            <w:tcW w:w="900" w:type="dxa"/>
            <w:noWrap w:val="0"/>
            <w:vAlign w:val="top"/>
          </w:tcPr>
          <w:p w14:paraId="4BC92141">
            <w:pPr>
              <w:pStyle w:val="17"/>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sz w:val="24"/>
              </w:rPr>
            </w:pPr>
          </w:p>
        </w:tc>
      </w:tr>
    </w:tbl>
    <w:p w14:paraId="7BB7BE58">
      <w:pPr>
        <w:pStyle w:val="17"/>
        <w:spacing w:line="240" w:lineRule="atLeast"/>
        <w:ind w:left="1080" w:leftChars="257" w:hanging="540"/>
        <w:rPr>
          <w:rFonts w:hint="eastAsia" w:ascii="仿宋" w:hAnsi="仿宋" w:eastAsia="仿宋" w:cs="仿宋"/>
          <w:sz w:val="24"/>
        </w:rPr>
      </w:pPr>
    </w:p>
    <w:p w14:paraId="030C492F">
      <w:pPr>
        <w:pStyle w:val="17"/>
        <w:spacing w:line="240" w:lineRule="atLeast"/>
        <w:ind w:left="1080" w:leftChars="257" w:hanging="540"/>
        <w:rPr>
          <w:rFonts w:hint="eastAsia" w:ascii="仿宋" w:hAnsi="仿宋" w:eastAsia="仿宋" w:cs="仿宋"/>
          <w:sz w:val="24"/>
        </w:rPr>
      </w:pPr>
    </w:p>
    <w:p w14:paraId="6F0D2259">
      <w:pPr>
        <w:pStyle w:val="17"/>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lang w:eastAsia="zh-CN"/>
        </w:rPr>
        <w:t>（电子签章）：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04B17C1B">
      <w:pPr>
        <w:pStyle w:val="17"/>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sz w:val="24"/>
          <w:u w:val="single"/>
        </w:rPr>
        <w:tab/>
      </w:r>
    </w:p>
    <w:p w14:paraId="3FC0F882">
      <w:pPr>
        <w:pStyle w:val="17"/>
        <w:spacing w:line="240" w:lineRule="atLeast"/>
        <w:rPr>
          <w:rFonts w:hint="eastAsia" w:ascii="仿宋" w:hAnsi="仿宋" w:eastAsia="仿宋" w:cs="仿宋"/>
          <w:sz w:val="24"/>
        </w:rPr>
      </w:pPr>
    </w:p>
    <w:p w14:paraId="21CFEAFF">
      <w:pPr>
        <w:pStyle w:val="17"/>
        <w:spacing w:line="240" w:lineRule="atLeast"/>
        <w:rPr>
          <w:rFonts w:hint="eastAsia" w:ascii="仿宋" w:hAnsi="仿宋" w:eastAsia="仿宋" w:cs="仿宋"/>
          <w:sz w:val="24"/>
        </w:rPr>
      </w:pPr>
    </w:p>
    <w:p w14:paraId="1067BA03">
      <w:pPr>
        <w:pStyle w:val="17"/>
        <w:spacing w:line="240" w:lineRule="atLeast"/>
        <w:rPr>
          <w:rFonts w:hint="eastAsia" w:ascii="仿宋" w:hAnsi="仿宋" w:eastAsia="仿宋" w:cs="仿宋"/>
          <w:sz w:val="24"/>
        </w:rPr>
      </w:pPr>
    </w:p>
    <w:p w14:paraId="5769F4A0">
      <w:pPr>
        <w:pStyle w:val="17"/>
        <w:spacing w:line="240" w:lineRule="atLeast"/>
        <w:rPr>
          <w:rFonts w:hint="eastAsia" w:ascii="仿宋" w:hAnsi="仿宋" w:eastAsia="仿宋" w:cs="仿宋"/>
          <w:sz w:val="24"/>
        </w:rPr>
      </w:pPr>
    </w:p>
    <w:p w14:paraId="6CF1C217">
      <w:pPr>
        <w:pStyle w:val="17"/>
        <w:spacing w:line="240" w:lineRule="atLeast"/>
        <w:rPr>
          <w:rFonts w:hint="eastAsia" w:ascii="仿宋" w:hAnsi="仿宋" w:eastAsia="仿宋" w:cs="仿宋"/>
          <w:sz w:val="24"/>
        </w:rPr>
      </w:pPr>
    </w:p>
    <w:p w14:paraId="101FB60F">
      <w:pPr>
        <w:pStyle w:val="5"/>
        <w:bidi w:val="0"/>
        <w:rPr>
          <w:rFonts w:hint="eastAsia" w:ascii="仿宋" w:hAnsi="仿宋" w:eastAsia="仿宋" w:cs="仿宋"/>
          <w:b/>
          <w:kern w:val="0"/>
          <w:sz w:val="24"/>
          <w:szCs w:val="24"/>
          <w:u w:val="none"/>
          <w:lang w:val="en-US" w:eastAsia="zh-CN" w:bidi="ar-SA"/>
        </w:rPr>
      </w:pPr>
      <w:bookmarkStart w:id="368" w:name="_Hlt520350918"/>
      <w:bookmarkEnd w:id="368"/>
      <w:bookmarkStart w:id="369" w:name="_Hlt520274911"/>
      <w:bookmarkEnd w:id="369"/>
      <w:bookmarkStart w:id="370" w:name="_Hlt520274393"/>
      <w:bookmarkEnd w:id="370"/>
      <w:bookmarkStart w:id="371" w:name="_Hlt520273711"/>
      <w:bookmarkEnd w:id="371"/>
      <w:bookmarkStart w:id="372" w:name="_Hlt520350957"/>
      <w:bookmarkEnd w:id="372"/>
      <w:bookmarkStart w:id="373" w:name="_Hlt520343000"/>
      <w:bookmarkEnd w:id="373"/>
      <w:bookmarkStart w:id="374" w:name="_Hlt520274407"/>
      <w:bookmarkEnd w:id="374"/>
      <w:bookmarkStart w:id="375" w:name="_Hlt520273973"/>
      <w:bookmarkEnd w:id="375"/>
      <w:bookmarkStart w:id="376" w:name="_Hlt520274065"/>
      <w:bookmarkEnd w:id="376"/>
      <w:bookmarkStart w:id="377" w:name="_Hlt520271212"/>
      <w:bookmarkEnd w:id="377"/>
      <w:bookmarkStart w:id="378" w:name="_Hlt520343392"/>
      <w:bookmarkEnd w:id="378"/>
      <w:bookmarkStart w:id="379" w:name="_Toc16041"/>
      <w:bookmarkStart w:id="380" w:name="_Toc23068"/>
      <w:bookmarkStart w:id="381" w:name="_Toc12407"/>
      <w:bookmarkStart w:id="382" w:name="_Toc515647825"/>
      <w:bookmarkStart w:id="383" w:name="_Toc19284"/>
      <w:bookmarkStart w:id="384" w:name="OLE_LINK13"/>
      <w:bookmarkStart w:id="385" w:name="OLE_LINK14"/>
      <w:r>
        <w:rPr>
          <w:rFonts w:hint="eastAsia" w:ascii="仿宋" w:hAnsi="仿宋" w:eastAsia="仿宋" w:cs="仿宋"/>
          <w:b/>
          <w:kern w:val="0"/>
          <w:sz w:val="24"/>
          <w:szCs w:val="24"/>
          <w:u w:val="none"/>
          <w:lang w:val="en-US" w:eastAsia="zh-CN" w:bidi="ar-SA"/>
        </w:rPr>
        <w:t>7 中小企业声明函</w:t>
      </w:r>
      <w:bookmarkEnd w:id="379"/>
    </w:p>
    <w:p w14:paraId="40ECE202">
      <w:pPr>
        <w:pStyle w:val="6"/>
        <w:jc w:val="center"/>
        <w:rPr>
          <w:rFonts w:hint="eastAsia" w:ascii="仿宋" w:hAnsi="仿宋" w:eastAsia="仿宋" w:cs="仿宋"/>
          <w:b/>
          <w:kern w:val="0"/>
          <w:sz w:val="24"/>
          <w:szCs w:val="24"/>
          <w:u w:val="none"/>
          <w:lang w:val="en-US" w:eastAsia="zh-CN" w:bidi="ar-SA"/>
        </w:rPr>
      </w:pPr>
      <w:bookmarkStart w:id="386" w:name="_Toc8803"/>
      <w:r>
        <w:rPr>
          <w:rFonts w:hint="eastAsia" w:ascii="仿宋" w:hAnsi="仿宋" w:eastAsia="仿宋" w:cs="仿宋"/>
          <w:b/>
          <w:kern w:val="0"/>
          <w:sz w:val="24"/>
          <w:szCs w:val="24"/>
          <w:u w:val="none"/>
          <w:lang w:val="en-US" w:eastAsia="zh-CN" w:bidi="ar-SA"/>
        </w:rPr>
        <w:t>7-1、中小企业声明函（工程、服务）</w:t>
      </w:r>
      <w:bookmarkEnd w:id="386"/>
    </w:p>
    <w:p w14:paraId="30CC3EAE">
      <w:pPr>
        <w:widowControl/>
        <w:spacing w:line="500" w:lineRule="exact"/>
        <w:ind w:firstLine="480" w:firstLineChars="200"/>
        <w:jc w:val="left"/>
        <w:rPr>
          <w:sz w:val="24"/>
        </w:rPr>
      </w:pPr>
      <w:r>
        <w:rPr>
          <w:rFonts w:ascii="仿宋" w:hAnsi="仿宋" w:eastAsia="仿宋" w:cs="仿宋"/>
          <w:color w:val="000000"/>
          <w:kern w:val="0"/>
          <w:sz w:val="24"/>
        </w:rPr>
        <w:t>本公司（联合体）郑重声明，根据《政府采购促进中小</w:t>
      </w:r>
      <w:r>
        <w:rPr>
          <w:rFonts w:hint="eastAsia" w:ascii="仿宋" w:hAnsi="仿宋" w:eastAsia="仿宋" w:cs="仿宋"/>
          <w:color w:val="000000"/>
          <w:kern w:val="0"/>
          <w:sz w:val="24"/>
        </w:rPr>
        <w:t>企业发展管理办法》（财库</w:t>
      </w:r>
      <w:r>
        <w:rPr>
          <w:rFonts w:hint="eastAsia" w:ascii="宋体" w:hAnsi="宋体" w:cs="宋体"/>
          <w:color w:val="000000"/>
          <w:kern w:val="0"/>
          <w:sz w:val="24"/>
        </w:rPr>
        <w:t>﹝</w:t>
      </w:r>
      <w:r>
        <w:rPr>
          <w:rFonts w:hint="eastAsia" w:ascii="仿宋" w:hAnsi="仿宋" w:eastAsia="仿宋" w:cs="仿宋"/>
          <w:color w:val="000000"/>
          <w:kern w:val="0"/>
          <w:sz w:val="24"/>
        </w:rPr>
        <w:t>2020</w:t>
      </w:r>
      <w:r>
        <w:rPr>
          <w:rFonts w:hint="eastAsia" w:ascii="宋体" w:hAnsi="宋体" w:cs="宋体"/>
          <w:color w:val="000000"/>
          <w:kern w:val="0"/>
          <w:sz w:val="24"/>
        </w:rPr>
        <w:t>﹞</w:t>
      </w:r>
      <w:r>
        <w:rPr>
          <w:rFonts w:hint="eastAsia" w:ascii="仿宋" w:hAnsi="仿宋" w:eastAsia="仿宋" w:cs="仿宋"/>
          <w:color w:val="000000"/>
          <w:kern w:val="0"/>
          <w:sz w:val="24"/>
        </w:rPr>
        <w:t>46 号）的规定，本公司（联合体）参加</w:t>
      </w:r>
      <w:r>
        <w:rPr>
          <w:rFonts w:hint="eastAsia" w:ascii="仿宋" w:hAnsi="仿宋" w:eastAsia="仿宋" w:cs="仿宋"/>
          <w:i/>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i/>
          <w:color w:val="000000"/>
          <w:kern w:val="0"/>
          <w:sz w:val="24"/>
          <w:u w:val="single"/>
        </w:rPr>
        <w:t>（项目名称）</w:t>
      </w:r>
      <w:r>
        <w:rPr>
          <w:rFonts w:hint="eastAsia" w:ascii="仿宋" w:hAnsi="仿宋" w:eastAsia="仿宋" w:cs="仿宋"/>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4C9480E">
      <w:pPr>
        <w:widowControl/>
        <w:spacing w:line="500" w:lineRule="exact"/>
        <w:ind w:firstLine="480" w:firstLineChars="200"/>
        <w:jc w:val="left"/>
        <w:rPr>
          <w:sz w:val="24"/>
        </w:rPr>
      </w:pPr>
      <w:r>
        <w:rPr>
          <w:rFonts w:hint="eastAsia" w:ascii="仿宋" w:hAnsi="仿宋" w:eastAsia="仿宋" w:cs="仿宋"/>
          <w:color w:val="000000"/>
          <w:kern w:val="0"/>
          <w:sz w:val="24"/>
        </w:rPr>
        <w:t xml:space="preserve">1.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 小型企业、微型企业）</w:t>
      </w:r>
      <w:r>
        <w:rPr>
          <w:rFonts w:hint="eastAsia" w:ascii="仿宋" w:hAnsi="仿宋" w:eastAsia="仿宋" w:cs="仿宋"/>
          <w:color w:val="000000"/>
          <w:kern w:val="0"/>
          <w:sz w:val="24"/>
        </w:rPr>
        <w:t xml:space="preserve">； </w:t>
      </w:r>
    </w:p>
    <w:p w14:paraId="56F4B4FC">
      <w:pPr>
        <w:widowControl/>
        <w:spacing w:line="5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（中型企业、小型企业、微型企业）</w:t>
      </w:r>
      <w:r>
        <w:rPr>
          <w:rFonts w:hint="eastAsia" w:ascii="仿宋" w:hAnsi="仿宋" w:eastAsia="仿宋" w:cs="仿宋"/>
          <w:color w:val="000000"/>
          <w:kern w:val="0"/>
          <w:sz w:val="24"/>
        </w:rPr>
        <w:t xml:space="preserve">； </w:t>
      </w:r>
    </w:p>
    <w:p w14:paraId="1C97868A">
      <w:pPr>
        <w:widowControl/>
        <w:spacing w:line="500" w:lineRule="exact"/>
        <w:ind w:firstLine="720" w:firstLineChars="300"/>
        <w:jc w:val="left"/>
        <w:rPr>
          <w:sz w:val="24"/>
        </w:rPr>
      </w:pPr>
      <w:r>
        <w:rPr>
          <w:rFonts w:ascii="仿宋" w:hAnsi="仿宋" w:eastAsia="仿宋" w:cs="仿宋"/>
          <w:color w:val="000000"/>
          <w:kern w:val="0"/>
          <w:sz w:val="24"/>
        </w:rPr>
        <w:t>……</w:t>
      </w:r>
    </w:p>
    <w:p w14:paraId="6A943DD7">
      <w:pPr>
        <w:widowControl/>
        <w:spacing w:line="500" w:lineRule="exact"/>
        <w:ind w:firstLine="480" w:firstLineChars="200"/>
        <w:jc w:val="left"/>
        <w:rPr>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 形。</w:t>
      </w:r>
    </w:p>
    <w:p w14:paraId="1F51E9E4">
      <w:pPr>
        <w:widowControl/>
        <w:spacing w:line="500" w:lineRule="exact"/>
        <w:ind w:firstLine="480" w:firstLineChars="200"/>
        <w:jc w:val="left"/>
        <w:rPr>
          <w:sz w:val="24"/>
        </w:rPr>
      </w:pPr>
      <w:r>
        <w:rPr>
          <w:rFonts w:hint="eastAsia" w:ascii="仿宋" w:hAnsi="仿宋" w:eastAsia="仿宋" w:cs="仿宋"/>
          <w:color w:val="000000"/>
          <w:kern w:val="0"/>
          <w:sz w:val="24"/>
        </w:rPr>
        <w:t xml:space="preserve">本企业对上述声明内容的真实性负责。如有虚假，将依法承担相应责任。 </w:t>
      </w:r>
    </w:p>
    <w:p w14:paraId="79F70BD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xml:space="preserve"> </w:t>
      </w:r>
    </w:p>
    <w:p w14:paraId="042BC6AB">
      <w:pPr>
        <w:widowControl/>
        <w:jc w:val="center"/>
        <w:rPr>
          <w:sz w:val="24"/>
        </w:rPr>
      </w:pPr>
      <w:r>
        <w:rPr>
          <w:rFonts w:hint="eastAsia" w:ascii="仿宋" w:hAnsi="仿宋" w:eastAsia="仿宋" w:cs="仿宋"/>
          <w:color w:val="000000"/>
          <w:kern w:val="0"/>
          <w:sz w:val="24"/>
        </w:rPr>
        <w:t xml:space="preserve"> 企业名称（</w:t>
      </w:r>
      <w:r>
        <w:rPr>
          <w:rFonts w:hint="eastAsia" w:ascii="仿宋" w:hAnsi="仿宋" w:eastAsia="仿宋" w:cs="仿宋"/>
          <w:color w:val="000000"/>
          <w:kern w:val="0"/>
          <w:sz w:val="24"/>
          <w:lang w:eastAsia="zh-CN"/>
        </w:rPr>
        <w:t>电子签章</w:t>
      </w:r>
      <w:r>
        <w:rPr>
          <w:rFonts w:hint="eastAsia" w:ascii="仿宋" w:hAnsi="仿宋" w:eastAsia="仿宋" w:cs="仿宋"/>
          <w:color w:val="000000"/>
          <w:kern w:val="0"/>
          <w:sz w:val="24"/>
        </w:rPr>
        <w:t>）：</w:t>
      </w:r>
    </w:p>
    <w:p w14:paraId="65A5FB18">
      <w:pPr>
        <w:widowControl/>
        <w:ind w:firstLine="3600" w:firstLineChars="1500"/>
        <w:rPr>
          <w:rFonts w:ascii="仿宋" w:hAnsi="仿宋" w:eastAsia="仿宋" w:cs="仿宋"/>
          <w:color w:val="000000"/>
          <w:kern w:val="0"/>
          <w:sz w:val="24"/>
        </w:rPr>
      </w:pPr>
      <w:r>
        <w:rPr>
          <w:rFonts w:hint="eastAsia" w:ascii="仿宋" w:hAnsi="仿宋" w:eastAsia="仿宋" w:cs="仿宋"/>
          <w:color w:val="000000"/>
          <w:kern w:val="0"/>
          <w:sz w:val="24"/>
        </w:rPr>
        <w:t>日 期：</w:t>
      </w:r>
    </w:p>
    <w:p w14:paraId="4983CC1B">
      <w:pPr>
        <w:pStyle w:val="39"/>
        <w:ind w:firstLine="0" w:firstLineChars="0"/>
        <w:rPr>
          <w:rFonts w:ascii="仿宋" w:hAnsi="仿宋" w:eastAsia="仿宋" w:cs="仿宋"/>
          <w:color w:val="000000"/>
          <w:kern w:val="0"/>
        </w:rPr>
      </w:pPr>
    </w:p>
    <w:p w14:paraId="359392FB">
      <w:pPr>
        <w:pStyle w:val="39"/>
        <w:ind w:firstLine="0" w:firstLineChars="0"/>
        <w:rPr>
          <w:rFonts w:ascii="仿宋" w:hAnsi="仿宋" w:eastAsia="仿宋" w:cs="仿宋"/>
          <w:b/>
          <w:bCs/>
          <w:color w:val="000000"/>
          <w:kern w:val="0"/>
        </w:rPr>
      </w:pPr>
      <w:r>
        <w:rPr>
          <w:rFonts w:hint="eastAsia" w:ascii="仿宋" w:hAnsi="仿宋" w:eastAsia="仿宋" w:cs="仿宋"/>
          <w:b/>
          <w:bCs/>
          <w:color w:val="000000"/>
          <w:kern w:val="0"/>
        </w:rPr>
        <w:t>注：1、从业人员、营业收入、资产总额填报上一年度数据，无上一年度数据的新成立企业可不填报。</w:t>
      </w:r>
    </w:p>
    <w:p w14:paraId="2DB397C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7CA3FE64">
      <w:pPr>
        <w:pStyle w:val="5"/>
        <w:bidi w:val="0"/>
        <w:rPr>
          <w:rFonts w:hint="eastAsia" w:ascii="仿宋" w:hAnsi="仿宋" w:eastAsia="仿宋" w:cs="仿宋"/>
          <w:sz w:val="24"/>
          <w:szCs w:val="24"/>
          <w:lang w:val="en-US" w:eastAsia="zh-CN"/>
        </w:rPr>
      </w:pPr>
      <w:bookmarkStart w:id="387" w:name="_Toc21914"/>
      <w:r>
        <w:rPr>
          <w:rFonts w:hint="eastAsia" w:ascii="仿宋" w:hAnsi="仿宋" w:eastAsia="仿宋" w:cs="仿宋"/>
          <w:sz w:val="24"/>
          <w:szCs w:val="24"/>
          <w:lang w:val="en-US" w:eastAsia="zh-CN"/>
        </w:rPr>
        <w:t>7.2  残疾人福利性单位声明函</w:t>
      </w:r>
      <w:bookmarkEnd w:id="380"/>
      <w:bookmarkEnd w:id="381"/>
      <w:bookmarkEnd w:id="382"/>
      <w:bookmarkEnd w:id="383"/>
      <w:r>
        <w:rPr>
          <w:rFonts w:hint="eastAsia" w:ascii="仿宋" w:hAnsi="仿宋" w:eastAsia="仿宋" w:cs="仿宋"/>
          <w:sz w:val="24"/>
          <w:szCs w:val="24"/>
          <w:lang w:val="en-US" w:eastAsia="zh-CN"/>
        </w:rPr>
        <w:t>（投标文件格式十二）</w:t>
      </w:r>
      <w:bookmarkEnd w:id="387"/>
    </w:p>
    <w:bookmarkEnd w:id="384"/>
    <w:bookmarkEnd w:id="385"/>
    <w:p w14:paraId="0092E3F6">
      <w:pPr>
        <w:spacing w:line="240" w:lineRule="atLeast"/>
        <w:ind w:left="1080" w:leftChars="257" w:hanging="540"/>
        <w:jc w:val="center"/>
        <w:rPr>
          <w:rFonts w:hint="eastAsia" w:ascii="仿宋" w:hAnsi="仿宋" w:eastAsia="仿宋" w:cs="仿宋"/>
          <w:kern w:val="0"/>
          <w:sz w:val="24"/>
          <w:szCs w:val="20"/>
        </w:rPr>
      </w:pPr>
    </w:p>
    <w:p w14:paraId="7D4281F8">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CB5DE4D">
      <w:pPr>
        <w:spacing w:line="240" w:lineRule="atLeast"/>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14:paraId="6C3C3752">
      <w:pPr>
        <w:spacing w:line="240" w:lineRule="atLeast"/>
        <w:ind w:left="1080" w:leftChars="257" w:hanging="540"/>
        <w:jc w:val="center"/>
        <w:rPr>
          <w:rFonts w:hint="eastAsia" w:ascii="仿宋" w:hAnsi="仿宋" w:eastAsia="仿宋" w:cs="仿宋"/>
          <w:kern w:val="0"/>
          <w:sz w:val="24"/>
          <w:szCs w:val="20"/>
        </w:rPr>
      </w:pPr>
    </w:p>
    <w:p w14:paraId="672AFBFF">
      <w:pPr>
        <w:spacing w:line="240" w:lineRule="atLeast"/>
        <w:ind w:left="1080" w:leftChars="257" w:hanging="540"/>
        <w:jc w:val="center"/>
        <w:rPr>
          <w:rFonts w:hint="eastAsia" w:ascii="仿宋" w:hAnsi="仿宋" w:eastAsia="仿宋" w:cs="仿宋"/>
          <w:kern w:val="0"/>
          <w:sz w:val="24"/>
          <w:szCs w:val="20"/>
        </w:rPr>
      </w:pPr>
    </w:p>
    <w:p w14:paraId="42D67E91">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残疾人福利性单位名称（电子签章）：______________</w:t>
      </w:r>
    </w:p>
    <w:p w14:paraId="564E724D">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期：_____________________________________________</w:t>
      </w:r>
    </w:p>
    <w:p w14:paraId="447B3FA8">
      <w:pPr>
        <w:spacing w:line="240" w:lineRule="atLeast"/>
        <w:ind w:left="1080" w:leftChars="257" w:hanging="540"/>
        <w:jc w:val="center"/>
        <w:rPr>
          <w:rFonts w:hint="eastAsia" w:ascii="仿宋" w:hAnsi="仿宋" w:eastAsia="仿宋" w:cs="仿宋"/>
          <w:b/>
          <w:kern w:val="0"/>
          <w:sz w:val="24"/>
          <w:szCs w:val="20"/>
        </w:rPr>
      </w:pPr>
    </w:p>
    <w:p w14:paraId="7ED5F7C2">
      <w:pPr>
        <w:spacing w:line="240" w:lineRule="atLeast"/>
        <w:ind w:left="1080" w:leftChars="257" w:hanging="540"/>
        <w:jc w:val="center"/>
        <w:rPr>
          <w:rFonts w:hint="eastAsia" w:ascii="仿宋" w:hAnsi="仿宋" w:eastAsia="仿宋" w:cs="仿宋"/>
          <w:b/>
          <w:kern w:val="0"/>
          <w:sz w:val="24"/>
          <w:szCs w:val="20"/>
        </w:rPr>
      </w:pPr>
    </w:p>
    <w:p w14:paraId="31663AD2">
      <w:pPr>
        <w:spacing w:line="240" w:lineRule="atLeast"/>
        <w:ind w:left="1080" w:leftChars="257" w:hanging="540"/>
        <w:jc w:val="center"/>
        <w:rPr>
          <w:rFonts w:hint="eastAsia" w:ascii="仿宋" w:hAnsi="仿宋" w:eastAsia="仿宋" w:cs="仿宋"/>
          <w:b/>
          <w:kern w:val="0"/>
          <w:sz w:val="24"/>
          <w:szCs w:val="20"/>
        </w:rPr>
      </w:pPr>
    </w:p>
    <w:p w14:paraId="3DE3CD31">
      <w:pPr>
        <w:spacing w:line="240" w:lineRule="atLeast"/>
        <w:ind w:left="1080" w:leftChars="257" w:hanging="540"/>
        <w:jc w:val="center"/>
        <w:rPr>
          <w:rFonts w:hint="eastAsia" w:ascii="仿宋" w:hAnsi="仿宋" w:eastAsia="仿宋" w:cs="仿宋"/>
          <w:b/>
          <w:kern w:val="0"/>
          <w:sz w:val="24"/>
          <w:szCs w:val="20"/>
        </w:rPr>
      </w:pPr>
    </w:p>
    <w:p w14:paraId="37614CF6">
      <w:pPr>
        <w:spacing w:line="240" w:lineRule="atLeast"/>
        <w:ind w:left="1080" w:leftChars="257" w:hanging="540"/>
        <w:jc w:val="center"/>
        <w:rPr>
          <w:rFonts w:hint="eastAsia" w:ascii="仿宋" w:hAnsi="仿宋" w:eastAsia="仿宋" w:cs="仿宋"/>
          <w:b/>
          <w:kern w:val="0"/>
          <w:sz w:val="24"/>
          <w:szCs w:val="20"/>
        </w:rPr>
      </w:pPr>
    </w:p>
    <w:p w14:paraId="3C10C63F">
      <w:pPr>
        <w:spacing w:line="240" w:lineRule="atLeast"/>
        <w:ind w:left="1080" w:leftChars="257" w:hanging="540"/>
        <w:jc w:val="center"/>
        <w:rPr>
          <w:rFonts w:hint="eastAsia" w:ascii="仿宋" w:hAnsi="仿宋" w:eastAsia="仿宋" w:cs="仿宋"/>
          <w:b/>
          <w:kern w:val="0"/>
          <w:sz w:val="24"/>
          <w:szCs w:val="20"/>
        </w:rPr>
      </w:pPr>
    </w:p>
    <w:p w14:paraId="6156B2A4">
      <w:pPr>
        <w:spacing w:line="240" w:lineRule="atLeast"/>
        <w:ind w:left="1080" w:leftChars="257" w:hanging="540"/>
        <w:jc w:val="center"/>
        <w:rPr>
          <w:rFonts w:hint="eastAsia" w:ascii="仿宋" w:hAnsi="仿宋" w:eastAsia="仿宋" w:cs="仿宋"/>
          <w:b/>
          <w:kern w:val="0"/>
          <w:sz w:val="24"/>
          <w:szCs w:val="20"/>
        </w:rPr>
      </w:pPr>
    </w:p>
    <w:p w14:paraId="58A64201">
      <w:pPr>
        <w:spacing w:line="240" w:lineRule="atLeast"/>
        <w:ind w:left="1080" w:leftChars="257" w:hanging="540"/>
        <w:jc w:val="center"/>
        <w:rPr>
          <w:rFonts w:hint="eastAsia" w:ascii="仿宋" w:hAnsi="仿宋" w:eastAsia="仿宋" w:cs="仿宋"/>
          <w:b/>
          <w:kern w:val="0"/>
          <w:sz w:val="24"/>
          <w:szCs w:val="20"/>
        </w:rPr>
      </w:pPr>
    </w:p>
    <w:p w14:paraId="5B7C7B19">
      <w:pPr>
        <w:pStyle w:val="2"/>
        <w:rPr>
          <w:rFonts w:hint="eastAsia"/>
        </w:rPr>
      </w:pPr>
    </w:p>
    <w:p w14:paraId="0FD4BAFF">
      <w:pPr>
        <w:spacing w:line="240" w:lineRule="atLeast"/>
        <w:ind w:left="1080" w:leftChars="257" w:hanging="540"/>
        <w:jc w:val="center"/>
        <w:rPr>
          <w:rFonts w:hint="eastAsia" w:ascii="仿宋" w:hAnsi="仿宋" w:eastAsia="仿宋" w:cs="仿宋"/>
          <w:b/>
          <w:kern w:val="0"/>
          <w:sz w:val="24"/>
          <w:szCs w:val="20"/>
        </w:rPr>
      </w:pPr>
    </w:p>
    <w:p w14:paraId="05909BED">
      <w:pPr>
        <w:spacing w:line="240" w:lineRule="atLeast"/>
        <w:ind w:left="1080" w:leftChars="257" w:hanging="540"/>
        <w:jc w:val="center"/>
        <w:rPr>
          <w:rFonts w:hint="eastAsia" w:ascii="仿宋" w:hAnsi="仿宋" w:eastAsia="仿宋" w:cs="仿宋"/>
          <w:b/>
          <w:kern w:val="0"/>
          <w:sz w:val="24"/>
          <w:szCs w:val="20"/>
        </w:rPr>
      </w:pPr>
    </w:p>
    <w:p w14:paraId="4A8B2BA3">
      <w:pPr>
        <w:spacing w:line="240" w:lineRule="atLeast"/>
        <w:ind w:left="1080" w:leftChars="257" w:hanging="540"/>
        <w:jc w:val="center"/>
        <w:rPr>
          <w:rFonts w:hint="eastAsia" w:ascii="仿宋" w:hAnsi="仿宋" w:eastAsia="仿宋" w:cs="仿宋"/>
          <w:b/>
          <w:kern w:val="0"/>
          <w:sz w:val="24"/>
          <w:szCs w:val="20"/>
        </w:rPr>
      </w:pPr>
    </w:p>
    <w:p w14:paraId="27978022">
      <w:pPr>
        <w:spacing w:line="240" w:lineRule="atLeast"/>
        <w:ind w:left="1080" w:leftChars="257" w:hanging="540"/>
        <w:jc w:val="center"/>
        <w:rPr>
          <w:rFonts w:hint="eastAsia" w:ascii="仿宋" w:hAnsi="仿宋" w:eastAsia="仿宋" w:cs="仿宋"/>
          <w:b/>
          <w:kern w:val="0"/>
          <w:sz w:val="24"/>
          <w:szCs w:val="20"/>
        </w:rPr>
      </w:pPr>
    </w:p>
    <w:p w14:paraId="6D950E1A">
      <w:pPr>
        <w:spacing w:line="240" w:lineRule="atLeast"/>
        <w:ind w:left="1080" w:leftChars="257" w:hanging="540"/>
        <w:jc w:val="center"/>
        <w:rPr>
          <w:rFonts w:hint="eastAsia" w:ascii="仿宋" w:hAnsi="仿宋" w:eastAsia="仿宋" w:cs="仿宋"/>
          <w:b/>
          <w:kern w:val="0"/>
          <w:sz w:val="24"/>
          <w:szCs w:val="20"/>
        </w:rPr>
      </w:pPr>
    </w:p>
    <w:p w14:paraId="1BDF6EDE">
      <w:pPr>
        <w:spacing w:line="240" w:lineRule="atLeast"/>
        <w:ind w:left="1080" w:leftChars="257" w:hanging="540"/>
        <w:jc w:val="center"/>
        <w:rPr>
          <w:rFonts w:hint="eastAsia" w:ascii="仿宋" w:hAnsi="仿宋" w:eastAsia="仿宋" w:cs="仿宋"/>
          <w:b/>
          <w:kern w:val="0"/>
          <w:sz w:val="24"/>
          <w:szCs w:val="20"/>
        </w:rPr>
      </w:pPr>
    </w:p>
    <w:p w14:paraId="6CA71740">
      <w:pPr>
        <w:spacing w:line="240" w:lineRule="atLeast"/>
        <w:ind w:left="1080" w:leftChars="257" w:hanging="540"/>
        <w:jc w:val="center"/>
        <w:rPr>
          <w:rFonts w:hint="eastAsia" w:ascii="仿宋" w:hAnsi="仿宋" w:eastAsia="仿宋" w:cs="仿宋"/>
          <w:b/>
          <w:kern w:val="0"/>
          <w:sz w:val="24"/>
          <w:szCs w:val="20"/>
        </w:rPr>
      </w:pPr>
    </w:p>
    <w:p w14:paraId="7BC1B128">
      <w:pPr>
        <w:spacing w:line="240" w:lineRule="atLeast"/>
        <w:ind w:left="1080" w:leftChars="257" w:hanging="540"/>
        <w:jc w:val="center"/>
        <w:rPr>
          <w:rFonts w:hint="eastAsia" w:ascii="仿宋" w:hAnsi="仿宋" w:eastAsia="仿宋" w:cs="仿宋"/>
          <w:b/>
          <w:kern w:val="0"/>
          <w:sz w:val="24"/>
          <w:szCs w:val="20"/>
        </w:rPr>
      </w:pPr>
    </w:p>
    <w:p w14:paraId="60E8C0C8">
      <w:pPr>
        <w:spacing w:line="240" w:lineRule="atLeast"/>
        <w:ind w:left="1080" w:leftChars="257" w:hanging="540"/>
        <w:jc w:val="center"/>
        <w:rPr>
          <w:rFonts w:hint="eastAsia" w:ascii="仿宋" w:hAnsi="仿宋" w:eastAsia="仿宋" w:cs="仿宋"/>
          <w:b/>
          <w:kern w:val="0"/>
          <w:sz w:val="24"/>
          <w:szCs w:val="20"/>
        </w:rPr>
      </w:pPr>
    </w:p>
    <w:p w14:paraId="5E97791E">
      <w:pPr>
        <w:spacing w:line="240" w:lineRule="atLeast"/>
        <w:ind w:left="1080" w:leftChars="257" w:hanging="540"/>
        <w:jc w:val="center"/>
        <w:rPr>
          <w:rFonts w:hint="eastAsia" w:ascii="仿宋" w:hAnsi="仿宋" w:eastAsia="仿宋" w:cs="仿宋"/>
          <w:b/>
          <w:kern w:val="0"/>
          <w:sz w:val="24"/>
          <w:szCs w:val="20"/>
        </w:rPr>
      </w:pPr>
    </w:p>
    <w:p w14:paraId="35DCF8DB">
      <w:pPr>
        <w:spacing w:line="240" w:lineRule="atLeast"/>
        <w:ind w:left="1080" w:leftChars="257" w:hanging="540"/>
        <w:jc w:val="center"/>
        <w:rPr>
          <w:rFonts w:hint="eastAsia" w:ascii="仿宋" w:hAnsi="仿宋" w:eastAsia="仿宋" w:cs="仿宋"/>
          <w:b/>
          <w:kern w:val="0"/>
          <w:sz w:val="24"/>
          <w:szCs w:val="20"/>
        </w:rPr>
      </w:pPr>
    </w:p>
    <w:p w14:paraId="619AA006">
      <w:pPr>
        <w:spacing w:line="240" w:lineRule="atLeast"/>
        <w:ind w:left="1080" w:leftChars="257" w:hanging="540"/>
        <w:jc w:val="center"/>
        <w:rPr>
          <w:rFonts w:hint="eastAsia" w:ascii="仿宋" w:hAnsi="仿宋" w:eastAsia="仿宋" w:cs="仿宋"/>
          <w:b/>
          <w:kern w:val="0"/>
          <w:sz w:val="24"/>
          <w:szCs w:val="20"/>
        </w:rPr>
      </w:pPr>
    </w:p>
    <w:p w14:paraId="59957277">
      <w:pPr>
        <w:spacing w:line="240" w:lineRule="atLeast"/>
        <w:ind w:left="1080" w:leftChars="257" w:hanging="540"/>
        <w:jc w:val="center"/>
        <w:rPr>
          <w:rFonts w:hint="eastAsia" w:ascii="仿宋" w:hAnsi="仿宋" w:eastAsia="仿宋" w:cs="仿宋"/>
          <w:b/>
          <w:kern w:val="0"/>
          <w:sz w:val="24"/>
          <w:szCs w:val="20"/>
        </w:rPr>
      </w:pPr>
    </w:p>
    <w:p w14:paraId="06CA9D27">
      <w:pPr>
        <w:spacing w:line="240" w:lineRule="atLeast"/>
        <w:ind w:left="1080" w:leftChars="257" w:hanging="540"/>
        <w:jc w:val="center"/>
        <w:rPr>
          <w:rFonts w:hint="eastAsia" w:ascii="仿宋" w:hAnsi="仿宋" w:eastAsia="仿宋" w:cs="仿宋"/>
          <w:b/>
          <w:kern w:val="0"/>
          <w:sz w:val="24"/>
          <w:szCs w:val="20"/>
        </w:rPr>
      </w:pPr>
    </w:p>
    <w:p w14:paraId="0375EC7E">
      <w:pPr>
        <w:spacing w:line="240" w:lineRule="atLeast"/>
        <w:ind w:left="1080" w:leftChars="257" w:hanging="540"/>
        <w:jc w:val="center"/>
        <w:rPr>
          <w:rFonts w:hint="eastAsia" w:ascii="仿宋" w:hAnsi="仿宋" w:eastAsia="仿宋" w:cs="仿宋"/>
          <w:b/>
          <w:kern w:val="0"/>
          <w:sz w:val="24"/>
          <w:szCs w:val="20"/>
        </w:rPr>
      </w:pPr>
    </w:p>
    <w:p w14:paraId="192D3B93">
      <w:pPr>
        <w:spacing w:line="240" w:lineRule="atLeast"/>
        <w:ind w:left="1080" w:leftChars="257" w:hanging="540"/>
        <w:jc w:val="center"/>
        <w:rPr>
          <w:rFonts w:hint="eastAsia" w:ascii="仿宋" w:hAnsi="仿宋" w:eastAsia="仿宋" w:cs="仿宋"/>
          <w:b/>
          <w:kern w:val="0"/>
          <w:sz w:val="24"/>
          <w:szCs w:val="20"/>
        </w:rPr>
      </w:pPr>
    </w:p>
    <w:p w14:paraId="68EDCB1A">
      <w:pPr>
        <w:spacing w:line="240" w:lineRule="atLeast"/>
        <w:ind w:left="1080" w:leftChars="257" w:hanging="540"/>
        <w:jc w:val="center"/>
        <w:rPr>
          <w:rFonts w:hint="eastAsia" w:ascii="仿宋" w:hAnsi="仿宋" w:eastAsia="仿宋" w:cs="仿宋"/>
          <w:b/>
          <w:kern w:val="0"/>
          <w:sz w:val="24"/>
          <w:szCs w:val="20"/>
        </w:rPr>
      </w:pPr>
    </w:p>
    <w:p w14:paraId="40D83BF4">
      <w:pPr>
        <w:spacing w:line="240" w:lineRule="atLeast"/>
        <w:ind w:left="1080" w:leftChars="257" w:hanging="540"/>
        <w:jc w:val="center"/>
        <w:rPr>
          <w:rFonts w:hint="eastAsia" w:ascii="仿宋" w:hAnsi="仿宋" w:eastAsia="仿宋" w:cs="仿宋"/>
          <w:b/>
          <w:kern w:val="0"/>
          <w:sz w:val="24"/>
          <w:szCs w:val="20"/>
        </w:rPr>
      </w:pPr>
    </w:p>
    <w:p w14:paraId="4B5069AE">
      <w:pPr>
        <w:spacing w:line="240" w:lineRule="atLeast"/>
        <w:ind w:left="1080" w:leftChars="257" w:hanging="540"/>
        <w:jc w:val="center"/>
        <w:rPr>
          <w:rFonts w:hint="eastAsia" w:ascii="仿宋" w:hAnsi="仿宋" w:eastAsia="仿宋" w:cs="仿宋"/>
          <w:b/>
          <w:kern w:val="0"/>
          <w:sz w:val="24"/>
          <w:szCs w:val="20"/>
        </w:rPr>
      </w:pPr>
    </w:p>
    <w:p w14:paraId="631A94F3">
      <w:pPr>
        <w:spacing w:line="240" w:lineRule="atLeast"/>
        <w:ind w:left="1080" w:leftChars="257" w:hanging="540"/>
        <w:jc w:val="center"/>
        <w:rPr>
          <w:rFonts w:hint="eastAsia" w:ascii="仿宋" w:hAnsi="仿宋" w:eastAsia="仿宋" w:cs="仿宋"/>
          <w:b/>
          <w:kern w:val="0"/>
          <w:sz w:val="24"/>
          <w:szCs w:val="20"/>
        </w:rPr>
      </w:pPr>
    </w:p>
    <w:p w14:paraId="54E8D3E7">
      <w:pPr>
        <w:spacing w:line="240" w:lineRule="atLeast"/>
        <w:ind w:left="1080" w:leftChars="257" w:hanging="540"/>
        <w:jc w:val="center"/>
        <w:rPr>
          <w:rFonts w:hint="eastAsia" w:ascii="仿宋" w:hAnsi="仿宋" w:eastAsia="仿宋" w:cs="仿宋"/>
          <w:b/>
          <w:kern w:val="0"/>
          <w:sz w:val="24"/>
          <w:szCs w:val="20"/>
        </w:rPr>
      </w:pPr>
    </w:p>
    <w:p w14:paraId="000522CD">
      <w:pPr>
        <w:spacing w:line="240" w:lineRule="atLeast"/>
        <w:ind w:left="1080" w:leftChars="257" w:hanging="540"/>
        <w:jc w:val="center"/>
        <w:rPr>
          <w:rFonts w:hint="eastAsia" w:ascii="仿宋" w:hAnsi="仿宋" w:eastAsia="仿宋" w:cs="仿宋"/>
          <w:b/>
          <w:kern w:val="0"/>
          <w:sz w:val="24"/>
          <w:szCs w:val="20"/>
        </w:rPr>
      </w:pPr>
    </w:p>
    <w:p w14:paraId="07BBBB10">
      <w:pPr>
        <w:spacing w:line="240" w:lineRule="atLeast"/>
        <w:ind w:left="1080" w:leftChars="257" w:hanging="540"/>
        <w:jc w:val="center"/>
        <w:rPr>
          <w:rFonts w:hint="eastAsia" w:ascii="仿宋" w:hAnsi="仿宋" w:eastAsia="仿宋" w:cs="仿宋"/>
          <w:b/>
          <w:kern w:val="0"/>
          <w:sz w:val="24"/>
          <w:szCs w:val="20"/>
        </w:rPr>
      </w:pPr>
    </w:p>
    <w:p w14:paraId="79D50B45">
      <w:pPr>
        <w:spacing w:line="240" w:lineRule="atLeast"/>
        <w:ind w:left="1080" w:leftChars="257" w:hanging="540"/>
        <w:jc w:val="center"/>
        <w:rPr>
          <w:rFonts w:hint="eastAsia" w:ascii="仿宋" w:hAnsi="仿宋" w:eastAsia="仿宋" w:cs="仿宋"/>
          <w:b/>
          <w:kern w:val="0"/>
          <w:sz w:val="24"/>
          <w:szCs w:val="20"/>
        </w:rPr>
      </w:pPr>
    </w:p>
    <w:p w14:paraId="72C67AC9">
      <w:pPr>
        <w:pStyle w:val="5"/>
        <w:spacing w:before="0" w:line="240" w:lineRule="atLeast"/>
        <w:ind w:left="1080" w:leftChars="257" w:hanging="540"/>
        <w:rPr>
          <w:rFonts w:hint="eastAsia" w:ascii="仿宋" w:hAnsi="仿宋" w:eastAsia="仿宋" w:cs="仿宋"/>
          <w:sz w:val="24"/>
          <w:lang w:eastAsia="zh-CN"/>
        </w:rPr>
      </w:pPr>
      <w:bookmarkStart w:id="388" w:name="_Toc30795"/>
      <w:bookmarkStart w:id="389" w:name="_Toc28099"/>
      <w:bookmarkStart w:id="390" w:name="_Toc31678"/>
      <w:bookmarkStart w:id="391" w:name="_Toc515647827"/>
      <w:bookmarkStart w:id="392" w:name="_Toc26550"/>
      <w:r>
        <w:rPr>
          <w:rFonts w:hint="eastAsia" w:ascii="仿宋" w:hAnsi="仿宋" w:eastAsia="仿宋" w:cs="仿宋"/>
          <w:sz w:val="24"/>
        </w:rPr>
        <w:t>8   投标人关联单位的说明</w:t>
      </w:r>
      <w:bookmarkEnd w:id="388"/>
      <w:bookmarkEnd w:id="389"/>
      <w:bookmarkEnd w:id="390"/>
      <w:bookmarkEnd w:id="391"/>
      <w:r>
        <w:rPr>
          <w:rFonts w:hint="eastAsia" w:ascii="仿宋" w:hAnsi="仿宋" w:eastAsia="仿宋" w:cs="仿宋"/>
          <w:sz w:val="24"/>
          <w:lang w:eastAsia="zh-CN"/>
        </w:rPr>
        <w:t>（</w:t>
      </w:r>
      <w:r>
        <w:rPr>
          <w:rFonts w:hint="eastAsia" w:ascii="仿宋" w:hAnsi="仿宋" w:eastAsia="仿宋" w:cs="仿宋"/>
          <w:sz w:val="24"/>
          <w:lang w:val="en-US" w:eastAsia="zh-CN"/>
        </w:rPr>
        <w:t>格式自拟</w:t>
      </w:r>
      <w:r>
        <w:rPr>
          <w:rFonts w:hint="eastAsia" w:ascii="仿宋" w:hAnsi="仿宋" w:eastAsia="仿宋" w:cs="仿宋"/>
          <w:sz w:val="24"/>
          <w:lang w:eastAsia="zh-CN"/>
        </w:rPr>
        <w:t>）</w:t>
      </w:r>
      <w:bookmarkEnd w:id="392"/>
    </w:p>
    <w:p w14:paraId="58DC8C4A">
      <w:pPr>
        <w:pStyle w:val="11"/>
        <w:jc w:val="center"/>
        <w:rPr>
          <w:rFonts w:hint="eastAsia" w:ascii="仿宋" w:hAnsi="仿宋" w:eastAsia="仿宋" w:cs="仿宋"/>
        </w:rPr>
      </w:pPr>
    </w:p>
    <w:p w14:paraId="37E46274">
      <w:pPr>
        <w:pStyle w:val="11"/>
        <w:ind w:firstLine="480" w:firstLineChars="200"/>
        <w:rPr>
          <w:rFonts w:hint="eastAsia" w:ascii="仿宋" w:hAnsi="仿宋" w:eastAsia="仿宋" w:cs="仿宋"/>
        </w:rPr>
      </w:pPr>
      <w:r>
        <w:rPr>
          <w:rFonts w:hint="eastAsia" w:ascii="仿宋" w:hAnsi="仿宋" w:eastAsia="仿宋" w:cs="仿宋"/>
        </w:rPr>
        <w:t>说明：投标人应当如实披露与本单位存在下列关联关系的单位名称：</w:t>
      </w:r>
    </w:p>
    <w:p w14:paraId="4A1B55D8">
      <w:pPr>
        <w:pStyle w:val="11"/>
        <w:ind w:firstLine="960" w:firstLineChars="400"/>
        <w:rPr>
          <w:rFonts w:hint="eastAsia" w:ascii="仿宋" w:hAnsi="仿宋" w:eastAsia="仿宋" w:cs="仿宋"/>
          <w:lang w:eastAsia="zh-CN"/>
        </w:rPr>
      </w:pPr>
      <w:r>
        <w:rPr>
          <w:rFonts w:hint="eastAsia" w:ascii="仿宋" w:hAnsi="仿宋" w:eastAsia="仿宋" w:cs="仿宋"/>
        </w:rPr>
        <w:t>（1）与投标人单位负责人为同一人的其他单位；</w:t>
      </w:r>
    </w:p>
    <w:p w14:paraId="1AE57D65">
      <w:pPr>
        <w:pStyle w:val="11"/>
        <w:ind w:firstLine="48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（2）与投标人存在直接控股、</w:t>
      </w:r>
      <w:r>
        <w:rPr>
          <w:rFonts w:hint="eastAsia" w:ascii="仿宋" w:hAnsi="仿宋" w:eastAsia="仿宋" w:cs="仿宋"/>
          <w:lang w:eastAsia="zh-CN"/>
        </w:rPr>
        <w:t>关联</w:t>
      </w:r>
      <w:r>
        <w:rPr>
          <w:rFonts w:hint="eastAsia" w:ascii="仿宋" w:hAnsi="仿宋" w:eastAsia="仿宋" w:cs="仿宋"/>
        </w:rPr>
        <w:t>关系的其他单位。</w:t>
      </w:r>
    </w:p>
    <w:p w14:paraId="693B54EF">
      <w:pPr>
        <w:pStyle w:val="11"/>
        <w:ind w:left="0" w:leftChars="0" w:firstLine="0" w:firstLineChars="0"/>
        <w:rPr>
          <w:rFonts w:hint="eastAsia" w:ascii="仿宋" w:hAnsi="仿宋" w:eastAsia="仿宋" w:cs="仿宋"/>
          <w:b/>
          <w:kern w:val="0"/>
          <w:sz w:val="24"/>
          <w:szCs w:val="20"/>
        </w:rPr>
      </w:pPr>
      <w:r>
        <w:rPr>
          <w:rFonts w:hint="eastAsia" w:ascii="仿宋" w:hAnsi="仿宋" w:eastAsia="仿宋" w:cs="仿宋"/>
          <w:b/>
          <w:kern w:val="0"/>
          <w:sz w:val="24"/>
          <w:szCs w:val="20"/>
        </w:rPr>
        <w:br w:type="page"/>
      </w:r>
    </w:p>
    <w:p w14:paraId="0E2D433C">
      <w:pPr>
        <w:pStyle w:val="5"/>
        <w:bidi w:val="0"/>
        <w:rPr>
          <w:rFonts w:hint="eastAsia" w:ascii="仿宋" w:hAnsi="仿宋" w:eastAsia="仿宋" w:cs="仿宋"/>
        </w:rPr>
      </w:pPr>
      <w:bookmarkStart w:id="393" w:name="_Toc6436"/>
      <w:bookmarkStart w:id="394" w:name="_Toc6479"/>
      <w:bookmarkStart w:id="395" w:name="_Toc515647828"/>
      <w:bookmarkStart w:id="396" w:name="_Toc17333"/>
      <w:bookmarkStart w:id="397" w:name="_Toc7414"/>
      <w:r>
        <w:rPr>
          <w:rFonts w:hint="eastAsia" w:ascii="仿宋" w:hAnsi="仿宋" w:eastAsia="仿宋" w:cs="仿宋"/>
          <w:sz w:val="24"/>
          <w:szCs w:val="24"/>
        </w:rPr>
        <w:t>9  投标文件还应包括投标人须知第10条的所有技术文件</w:t>
      </w:r>
      <w:bookmarkEnd w:id="393"/>
      <w:bookmarkEnd w:id="394"/>
      <w:bookmarkEnd w:id="395"/>
      <w:bookmarkEnd w:id="396"/>
      <w:bookmarkEnd w:id="397"/>
    </w:p>
    <w:p w14:paraId="382362A5">
      <w:pPr>
        <w:pStyle w:val="39"/>
        <w:rPr>
          <w:rFonts w:hint="eastAsia" w:ascii="仿宋" w:hAnsi="仿宋" w:eastAsia="仿宋" w:cs="仿宋"/>
          <w:color w:val="auto"/>
          <w:sz w:val="24"/>
          <w:highlight w:val="none"/>
        </w:rPr>
      </w:pPr>
    </w:p>
    <w:p w14:paraId="6B82F996">
      <w:pPr>
        <w:rPr>
          <w:rFonts w:hint="eastAsia" w:ascii="仿宋" w:hAnsi="仿宋" w:eastAsia="仿宋" w:cs="仿宋"/>
          <w:b/>
          <w:bCs/>
          <w:color w:val="auto"/>
          <w:kern w:val="0"/>
          <w:sz w:val="56"/>
          <w:szCs w:val="56"/>
          <w:highlight w:val="none"/>
          <w:lang w:eastAsia="zh-CN"/>
        </w:rPr>
      </w:pPr>
      <w:r>
        <w:rPr>
          <w:rFonts w:hint="eastAsia" w:ascii="仿宋" w:hAnsi="仿宋" w:eastAsia="仿宋" w:cs="仿宋"/>
          <w:b/>
          <w:bCs/>
          <w:color w:val="auto"/>
          <w:kern w:val="0"/>
          <w:sz w:val="56"/>
          <w:szCs w:val="56"/>
          <w:highlight w:val="none"/>
          <w:lang w:eastAsia="zh-CN"/>
        </w:rPr>
        <w:br w:type="page"/>
      </w:r>
    </w:p>
    <w:p w14:paraId="13016064">
      <w:pPr>
        <w:bidi w:val="0"/>
        <w:jc w:val="center"/>
        <w:rPr>
          <w:rFonts w:hint="eastAsia" w:ascii="仿宋" w:hAnsi="仿宋" w:eastAsia="仿宋" w:cs="仿宋"/>
          <w:b/>
          <w:bCs/>
          <w:color w:val="auto"/>
          <w:kern w:val="0"/>
          <w:sz w:val="56"/>
          <w:szCs w:val="56"/>
          <w:highlight w:val="none"/>
          <w:lang w:eastAsia="zh-CN"/>
        </w:rPr>
      </w:pPr>
    </w:p>
    <w:p w14:paraId="2005D9AA">
      <w:pPr>
        <w:pStyle w:val="27"/>
        <w:jc w:val="center"/>
        <w:rPr>
          <w:rFonts w:hint="eastAsia" w:ascii="仿宋" w:hAnsi="仿宋" w:eastAsia="仿宋" w:cs="仿宋"/>
          <w:b/>
          <w:bCs/>
          <w:color w:val="auto"/>
          <w:kern w:val="0"/>
          <w:sz w:val="44"/>
          <w:szCs w:val="44"/>
          <w:highlight w:val="none"/>
        </w:rPr>
      </w:pPr>
      <w:r>
        <w:rPr>
          <w:rFonts w:hint="eastAsia" w:ascii="仿宋" w:hAnsi="仿宋" w:eastAsia="仿宋" w:cs="仿宋"/>
          <w:b/>
          <w:bCs/>
          <w:color w:val="auto"/>
          <w:kern w:val="0"/>
          <w:sz w:val="56"/>
          <w:szCs w:val="56"/>
          <w:highlight w:val="none"/>
          <w:lang w:eastAsia="zh-CN"/>
        </w:rPr>
        <w:t>莎车县国有农用地管理及农村集体土地清理数据库建立项目</w:t>
      </w:r>
    </w:p>
    <w:p w14:paraId="05D7377B">
      <w:pPr>
        <w:pStyle w:val="27"/>
        <w:rPr>
          <w:rFonts w:hint="eastAsia" w:ascii="仿宋" w:hAnsi="仿宋" w:eastAsia="仿宋" w:cs="仿宋"/>
          <w:b/>
          <w:bCs/>
          <w:color w:val="auto"/>
          <w:kern w:val="0"/>
          <w:sz w:val="44"/>
          <w:szCs w:val="44"/>
          <w:highlight w:val="none"/>
        </w:rPr>
      </w:pPr>
    </w:p>
    <w:p w14:paraId="7D08B080">
      <w:pPr>
        <w:pStyle w:val="27"/>
        <w:rPr>
          <w:rFonts w:hint="eastAsia" w:ascii="仿宋" w:hAnsi="仿宋" w:eastAsia="仿宋" w:cs="仿宋"/>
          <w:b/>
          <w:bCs/>
          <w:color w:val="auto"/>
          <w:kern w:val="0"/>
          <w:sz w:val="44"/>
          <w:szCs w:val="44"/>
          <w:highlight w:val="none"/>
        </w:rPr>
      </w:pPr>
    </w:p>
    <w:p w14:paraId="32B047A6">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r>
        <w:rPr>
          <w:rFonts w:hint="eastAsia" w:ascii="仿宋" w:hAnsi="仿宋" w:eastAsia="仿宋" w:cs="仿宋"/>
          <w:b/>
          <w:bCs/>
          <w:color w:val="auto"/>
          <w:kern w:val="0"/>
          <w:sz w:val="48"/>
          <w:szCs w:val="48"/>
          <w:highlight w:val="none"/>
          <w:lang w:val="en-US" w:eastAsia="zh-CN"/>
        </w:rPr>
        <w:t xml:space="preserve"> </w:t>
      </w:r>
    </w:p>
    <w:p w14:paraId="07EABA15">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59FA08CE">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30E8E7F8">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3B9A3291">
      <w:pPr>
        <w:spacing w:line="240" w:lineRule="atLeast"/>
        <w:ind w:left="1080" w:leftChars="257" w:hanging="540"/>
        <w:jc w:val="center"/>
        <w:rPr>
          <w:rFonts w:hint="eastAsia" w:ascii="仿宋" w:hAnsi="仿宋" w:eastAsia="仿宋" w:cs="仿宋"/>
          <w:b/>
          <w:bCs/>
          <w:color w:val="auto"/>
          <w:kern w:val="0"/>
          <w:sz w:val="48"/>
          <w:szCs w:val="48"/>
          <w:highlight w:val="none"/>
          <w:lang w:val="en-US" w:eastAsia="zh-CN"/>
        </w:rPr>
      </w:pPr>
    </w:p>
    <w:p w14:paraId="1E481E6A">
      <w:pPr>
        <w:spacing w:line="240" w:lineRule="atLeast"/>
        <w:ind w:left="1080" w:leftChars="257" w:hanging="540"/>
        <w:jc w:val="center"/>
        <w:rPr>
          <w:rFonts w:hint="eastAsia" w:ascii="仿宋" w:hAnsi="仿宋" w:eastAsia="仿宋" w:cs="仿宋"/>
          <w:b/>
          <w:bCs/>
          <w:color w:val="auto"/>
          <w:kern w:val="0"/>
          <w:sz w:val="48"/>
          <w:szCs w:val="48"/>
          <w:highlight w:val="none"/>
        </w:rPr>
      </w:pPr>
      <w:r>
        <w:rPr>
          <w:rFonts w:hint="eastAsia" w:ascii="仿宋" w:hAnsi="仿宋" w:eastAsia="仿宋" w:cs="仿宋"/>
          <w:b/>
          <w:bCs/>
          <w:color w:val="auto"/>
          <w:kern w:val="0"/>
          <w:sz w:val="48"/>
          <w:szCs w:val="48"/>
          <w:highlight w:val="none"/>
        </w:rPr>
        <w:t>招标文件（</w:t>
      </w: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eastAsia="zh-CN"/>
        </w:rPr>
        <w:t>二</w:t>
      </w:r>
      <w:r>
        <w:rPr>
          <w:rFonts w:hint="eastAsia" w:ascii="仿宋" w:hAnsi="仿宋" w:eastAsia="仿宋" w:cs="仿宋"/>
          <w:b/>
          <w:color w:val="auto"/>
          <w:sz w:val="48"/>
          <w:szCs w:val="48"/>
          <w:highlight w:val="none"/>
        </w:rPr>
        <w:t>册</w:t>
      </w:r>
      <w:r>
        <w:rPr>
          <w:rFonts w:hint="eastAsia" w:ascii="仿宋" w:hAnsi="仿宋" w:eastAsia="仿宋" w:cs="仿宋"/>
          <w:b/>
          <w:bCs/>
          <w:color w:val="auto"/>
          <w:kern w:val="0"/>
          <w:sz w:val="48"/>
          <w:szCs w:val="48"/>
          <w:highlight w:val="none"/>
        </w:rPr>
        <w:t>）</w:t>
      </w:r>
    </w:p>
    <w:p w14:paraId="4B855C15">
      <w:pPr>
        <w:pStyle w:val="39"/>
        <w:rPr>
          <w:rFonts w:hint="eastAsia" w:ascii="仿宋" w:hAnsi="仿宋" w:eastAsia="仿宋" w:cs="仿宋"/>
          <w:color w:val="auto"/>
          <w:highlight w:val="none"/>
        </w:rPr>
      </w:pPr>
    </w:p>
    <w:p w14:paraId="4AAFE141">
      <w:pPr>
        <w:rPr>
          <w:rFonts w:hint="eastAsia" w:ascii="仿宋" w:hAnsi="仿宋" w:eastAsia="仿宋" w:cs="仿宋"/>
          <w:color w:val="auto"/>
          <w:highlight w:val="none"/>
        </w:rPr>
      </w:pPr>
    </w:p>
    <w:p w14:paraId="3A614326">
      <w:pPr>
        <w:pStyle w:val="39"/>
        <w:rPr>
          <w:rFonts w:hint="eastAsia" w:ascii="仿宋" w:hAnsi="仿宋" w:eastAsia="仿宋" w:cs="仿宋"/>
          <w:color w:val="auto"/>
          <w:highlight w:val="none"/>
        </w:rPr>
      </w:pPr>
    </w:p>
    <w:p w14:paraId="06719398">
      <w:pPr>
        <w:pStyle w:val="39"/>
        <w:rPr>
          <w:rFonts w:hint="eastAsia" w:ascii="仿宋" w:hAnsi="仿宋" w:eastAsia="仿宋" w:cs="仿宋"/>
          <w:color w:val="auto"/>
          <w:highlight w:val="none"/>
        </w:rPr>
      </w:pPr>
    </w:p>
    <w:p w14:paraId="69916B17">
      <w:pPr>
        <w:pStyle w:val="39"/>
        <w:spacing w:line="240" w:lineRule="auto"/>
        <w:ind w:firstLine="0" w:firstLineChars="0"/>
        <w:rPr>
          <w:rFonts w:hint="eastAsia" w:ascii="仿宋" w:hAnsi="仿宋" w:eastAsia="仿宋" w:cs="仿宋"/>
          <w:color w:val="auto"/>
          <w:highlight w:val="none"/>
        </w:rPr>
      </w:pPr>
    </w:p>
    <w:p w14:paraId="54D3936D">
      <w:pPr>
        <w:pStyle w:val="39"/>
        <w:rPr>
          <w:rFonts w:hint="eastAsia" w:ascii="仿宋" w:hAnsi="仿宋" w:eastAsia="仿宋" w:cs="仿宋"/>
          <w:color w:val="auto"/>
          <w:highlight w:val="none"/>
        </w:rPr>
      </w:pPr>
    </w:p>
    <w:p w14:paraId="67262AAD">
      <w:pPr>
        <w:pStyle w:val="39"/>
        <w:rPr>
          <w:rFonts w:hint="eastAsia" w:ascii="仿宋" w:hAnsi="仿宋" w:eastAsia="仿宋" w:cs="仿宋"/>
          <w:color w:val="auto"/>
          <w:highlight w:val="none"/>
        </w:rPr>
      </w:pPr>
    </w:p>
    <w:p w14:paraId="34C568E5">
      <w:pPr>
        <w:pStyle w:val="39"/>
        <w:rPr>
          <w:rFonts w:hint="eastAsia" w:ascii="仿宋" w:hAnsi="仿宋" w:eastAsia="仿宋" w:cs="仿宋"/>
          <w:color w:val="auto"/>
          <w:highlight w:val="none"/>
        </w:rPr>
      </w:pPr>
    </w:p>
    <w:p w14:paraId="4C4FD3F7">
      <w:pPr>
        <w:pStyle w:val="39"/>
        <w:rPr>
          <w:rFonts w:hint="eastAsia" w:ascii="仿宋" w:hAnsi="仿宋" w:eastAsia="仿宋" w:cs="仿宋"/>
          <w:color w:val="auto"/>
          <w:highlight w:val="none"/>
        </w:rPr>
      </w:pPr>
    </w:p>
    <w:p w14:paraId="039F82FF">
      <w:pPr>
        <w:pStyle w:val="39"/>
        <w:rPr>
          <w:rFonts w:hint="eastAsia" w:ascii="仿宋" w:hAnsi="仿宋" w:eastAsia="仿宋" w:cs="仿宋"/>
          <w:color w:val="auto"/>
          <w:highlight w:val="none"/>
        </w:rPr>
      </w:pPr>
    </w:p>
    <w:p w14:paraId="26AE245C">
      <w:pPr>
        <w:pStyle w:val="39"/>
        <w:rPr>
          <w:rFonts w:hint="eastAsia" w:ascii="仿宋" w:hAnsi="仿宋" w:eastAsia="仿宋" w:cs="仿宋"/>
          <w:color w:val="auto"/>
          <w:highlight w:val="none"/>
        </w:rPr>
      </w:pPr>
    </w:p>
    <w:p w14:paraId="1F2D9BAA">
      <w:pPr>
        <w:pStyle w:val="39"/>
        <w:rPr>
          <w:rFonts w:hint="eastAsia" w:ascii="仿宋" w:hAnsi="仿宋" w:eastAsia="仿宋" w:cs="仿宋"/>
          <w:color w:val="auto"/>
          <w:highlight w:val="none"/>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2"/>
        <w:gridCol w:w="6476"/>
      </w:tblGrid>
      <w:tr w14:paraId="67DC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2F5FB8A2">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采购代理机构：</w:t>
            </w:r>
          </w:p>
        </w:tc>
        <w:tc>
          <w:tcPr>
            <w:tcW w:w="6476" w:type="dxa"/>
            <w:noWrap w:val="0"/>
            <w:vAlign w:val="top"/>
          </w:tcPr>
          <w:p w14:paraId="47E89AF8">
            <w:pPr>
              <w:pStyle w:val="39"/>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新疆盛世乾元工程项目管理咨询有限公司</w:t>
            </w:r>
          </w:p>
        </w:tc>
      </w:tr>
      <w:tr w14:paraId="0E22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0ECBA8FB">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发出日期：</w:t>
            </w:r>
          </w:p>
        </w:tc>
        <w:tc>
          <w:tcPr>
            <w:tcW w:w="6476" w:type="dxa"/>
            <w:noWrap w:val="0"/>
            <w:vAlign w:val="top"/>
          </w:tcPr>
          <w:p w14:paraId="33679482">
            <w:pPr>
              <w:keepNext w:val="0"/>
              <w:keepLines w:val="0"/>
              <w:suppressLineNumbers w:val="0"/>
              <w:bidi w:val="0"/>
              <w:spacing w:before="0" w:beforeAutospacing="0" w:after="0" w:afterAutospacing="0"/>
              <w:ind w:left="0" w:right="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二〇二六年六月</w:t>
            </w:r>
          </w:p>
        </w:tc>
      </w:tr>
    </w:tbl>
    <w:p w14:paraId="7C696E3E">
      <w:pPr>
        <w:pStyle w:val="4"/>
        <w:bidi w:val="0"/>
        <w:rPr>
          <w:rFonts w:hint="eastAsia" w:ascii="仿宋" w:hAnsi="仿宋" w:eastAsia="仿宋" w:cs="仿宋"/>
          <w:color w:val="auto"/>
          <w:highlight w:val="none"/>
        </w:rPr>
      </w:pPr>
      <w:bookmarkStart w:id="398" w:name="_Toc218935350"/>
      <w:bookmarkStart w:id="399" w:name="_Toc16370"/>
      <w:bookmarkStart w:id="400" w:name="_Toc216582822"/>
      <w:bookmarkStart w:id="401" w:name="_Toc515647829"/>
      <w:bookmarkStart w:id="402" w:name="_Toc219175634"/>
      <w:bookmarkStart w:id="403" w:name="_Toc507399902"/>
      <w:bookmarkStart w:id="404" w:name="_Toc28765"/>
      <w:r>
        <w:rPr>
          <w:rFonts w:hint="eastAsia" w:ascii="仿宋" w:hAnsi="仿宋" w:eastAsia="仿宋" w:cs="仿宋"/>
          <w:color w:val="auto"/>
          <w:highlight w:val="none"/>
          <w:lang w:eastAsia="zh-CN"/>
        </w:rPr>
        <w:br w:type="page"/>
      </w:r>
      <w:bookmarkStart w:id="405" w:name="_Toc19245"/>
      <w:r>
        <w:rPr>
          <w:rStyle w:val="49"/>
          <w:rFonts w:hint="eastAsia" w:ascii="仿宋" w:hAnsi="仿宋" w:eastAsia="仿宋" w:cs="仿宋"/>
          <w:b/>
          <w:bCs/>
          <w:sz w:val="32"/>
          <w:szCs w:val="32"/>
          <w:lang w:eastAsia="zh-CN"/>
        </w:rPr>
        <w:t>第</w:t>
      </w:r>
      <w:r>
        <w:rPr>
          <w:rStyle w:val="49"/>
          <w:rFonts w:hint="eastAsia" w:ascii="仿宋" w:hAnsi="仿宋" w:eastAsia="仿宋" w:cs="仿宋"/>
          <w:b/>
          <w:bCs/>
          <w:sz w:val="32"/>
          <w:szCs w:val="32"/>
          <w:lang w:val="en-US" w:eastAsia="zh-CN"/>
        </w:rPr>
        <w:t xml:space="preserve">3章  </w:t>
      </w:r>
      <w:r>
        <w:rPr>
          <w:rStyle w:val="49"/>
          <w:rFonts w:hint="eastAsia" w:ascii="仿宋" w:hAnsi="仿宋" w:eastAsia="仿宋" w:cs="仿宋"/>
          <w:b/>
          <w:bCs/>
          <w:sz w:val="32"/>
          <w:szCs w:val="32"/>
        </w:rPr>
        <w:t>投标邀请</w:t>
      </w:r>
      <w:bookmarkEnd w:id="398"/>
      <w:bookmarkEnd w:id="399"/>
      <w:bookmarkEnd w:id="400"/>
      <w:bookmarkEnd w:id="401"/>
      <w:bookmarkEnd w:id="402"/>
      <w:bookmarkEnd w:id="403"/>
      <w:bookmarkEnd w:id="404"/>
      <w:bookmarkEnd w:id="405"/>
    </w:p>
    <w:p w14:paraId="2D2E72C9">
      <w:pPr>
        <w:rPr>
          <w:rFonts w:hint="eastAsia" w:ascii="仿宋" w:hAnsi="仿宋" w:eastAsia="仿宋" w:cs="仿宋"/>
          <w:color w:val="auto"/>
          <w:highlight w:val="none"/>
        </w:rPr>
      </w:pPr>
    </w:p>
    <w:p w14:paraId="7153BC78">
      <w:pPr>
        <w:pStyle w:val="4"/>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bookmarkStart w:id="406" w:name="_Toc9797"/>
      <w:bookmarkStart w:id="407" w:name="_Toc35393789"/>
      <w:bookmarkStart w:id="408" w:name="_Toc17543"/>
      <w:bookmarkStart w:id="409" w:name="_Toc28359001"/>
      <w:r>
        <w:rPr>
          <w:rFonts w:hint="eastAsia" w:ascii="仿宋" w:hAnsi="仿宋" w:eastAsia="仿宋" w:cs="仿宋"/>
          <w:color w:val="auto"/>
          <w:highlight w:val="none"/>
          <w:lang w:eastAsia="zh-CN"/>
        </w:rPr>
        <w:t>莎车县国有农用地管理及农村集体土地清理数据库建立项目</w:t>
      </w:r>
      <w:r>
        <w:rPr>
          <w:rFonts w:hint="eastAsia" w:ascii="仿宋" w:hAnsi="仿宋" w:eastAsia="仿宋" w:cs="仿宋"/>
          <w:color w:val="auto"/>
          <w:highlight w:val="none"/>
        </w:rPr>
        <w:t>招标公告</w:t>
      </w:r>
      <w:bookmarkEnd w:id="406"/>
      <w:bookmarkEnd w:id="407"/>
      <w:bookmarkEnd w:id="408"/>
      <w:bookmarkEnd w:id="409"/>
    </w:p>
    <w:p w14:paraId="479A123E">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05AC454A">
      <w:pPr>
        <w:pBdr>
          <w:top w:val="single" w:color="auto" w:sz="4" w:space="1"/>
          <w:left w:val="single" w:color="auto" w:sz="4" w:space="4"/>
          <w:bottom w:val="single" w:color="auto" w:sz="4" w:space="1"/>
          <w:right w:val="single" w:color="auto" w:sz="4" w:space="4"/>
        </w:pBd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莎车县国有农用地管理及农村集体土地清理数据库建立项目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招标项目的潜在投标人应在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政采云平台</w:t>
      </w:r>
      <w:r>
        <w:rPr>
          <w:rFonts w:hint="eastAsia" w:ascii="仿宋" w:hAnsi="仿宋" w:eastAsia="仿宋" w:cs="仿宋"/>
          <w:color w:val="auto"/>
          <w:sz w:val="24"/>
          <w:szCs w:val="24"/>
          <w:highlight w:val="none"/>
          <w:u w:val="single"/>
          <w:lang w:val="en-US" w:eastAsia="zh-CN"/>
        </w:rPr>
        <w:t xml:space="preserve">线上下载 </w:t>
      </w:r>
      <w:r>
        <w:rPr>
          <w:rFonts w:hint="eastAsia" w:ascii="仿宋" w:hAnsi="仿宋" w:eastAsia="仿宋" w:cs="仿宋"/>
          <w:color w:val="auto"/>
          <w:sz w:val="24"/>
          <w:szCs w:val="24"/>
          <w:highlight w:val="none"/>
          <w:lang w:eastAsia="zh-CN"/>
        </w:rPr>
        <w:t>（供应商登录政采云平台http://www.zcygov.cn/在线申请获取采购文件（登录政府采购云平台 → 项目采购 → 获取采购文件 → 申请，如有操作性问题，可与政采云在线客服进行咨询，咨询电话：95763）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获取招标文件，并于</w:t>
      </w:r>
      <w:r>
        <w:rPr>
          <w:rFonts w:hint="eastAsia" w:ascii="仿宋" w:hAnsi="仿宋" w:eastAsia="仿宋" w:cs="仿宋"/>
          <w:bCs/>
          <w:color w:val="auto"/>
          <w:sz w:val="24"/>
          <w:szCs w:val="24"/>
          <w:highlight w:val="none"/>
          <w:u w:val="single"/>
          <w:lang w:val="en-US" w:eastAsia="zh-CN"/>
        </w:rPr>
        <w:t>2026年 6月23日11点00分</w:t>
      </w:r>
      <w:r>
        <w:rPr>
          <w:rFonts w:hint="eastAsia" w:ascii="仿宋" w:hAnsi="仿宋" w:eastAsia="仿宋" w:cs="仿宋"/>
          <w:color w:val="auto"/>
          <w:sz w:val="24"/>
          <w:szCs w:val="24"/>
          <w:highlight w:val="none"/>
          <w:u w:val="single"/>
          <w:shd w:val="clear" w:color="auto" w:fill="auto"/>
          <w:lang w:val="en-US" w:eastAsia="zh-CN"/>
        </w:rPr>
        <w:t>（北京时间）</w:t>
      </w:r>
      <w:r>
        <w:rPr>
          <w:rFonts w:hint="eastAsia" w:ascii="仿宋" w:hAnsi="仿宋" w:eastAsia="仿宋" w:cs="仿宋"/>
          <w:bCs/>
          <w:color w:val="auto"/>
          <w:sz w:val="24"/>
          <w:szCs w:val="24"/>
          <w:highlight w:val="none"/>
        </w:rPr>
        <w:t>前递交投标文件</w:t>
      </w:r>
      <w:r>
        <w:rPr>
          <w:rFonts w:hint="eastAsia" w:ascii="仿宋" w:hAnsi="仿宋" w:eastAsia="仿宋" w:cs="仿宋"/>
          <w:color w:val="auto"/>
          <w:sz w:val="24"/>
          <w:szCs w:val="24"/>
          <w:highlight w:val="none"/>
        </w:rPr>
        <w:t>。</w:t>
      </w:r>
    </w:p>
    <w:p w14:paraId="6AC57ACC">
      <w:pPr>
        <w:rPr>
          <w:rFonts w:hint="eastAsia" w:ascii="仿宋" w:hAnsi="仿宋" w:eastAsia="仿宋" w:cs="仿宋"/>
          <w:color w:val="auto"/>
          <w:sz w:val="24"/>
          <w:szCs w:val="24"/>
          <w:highlight w:val="none"/>
        </w:rPr>
      </w:pPr>
    </w:p>
    <w:p w14:paraId="2432CA2E">
      <w:pPr>
        <w:pStyle w:val="5"/>
        <w:spacing w:line="360" w:lineRule="auto"/>
        <w:jc w:val="left"/>
        <w:rPr>
          <w:rFonts w:hint="eastAsia" w:ascii="仿宋" w:hAnsi="仿宋" w:eastAsia="仿宋" w:cs="仿宋"/>
          <w:b w:val="0"/>
          <w:color w:val="auto"/>
          <w:sz w:val="24"/>
          <w:szCs w:val="24"/>
          <w:highlight w:val="none"/>
        </w:rPr>
      </w:pPr>
      <w:bookmarkStart w:id="410" w:name="_Toc35393790"/>
      <w:bookmarkStart w:id="411" w:name="_Toc28359002"/>
      <w:bookmarkStart w:id="412" w:name="_Toc35393621"/>
      <w:bookmarkStart w:id="413" w:name="_Toc28359079"/>
      <w:bookmarkStart w:id="414" w:name="_Toc19710"/>
      <w:bookmarkStart w:id="415" w:name="_Toc13523"/>
      <w:bookmarkStart w:id="416" w:name="_Hlk24379207"/>
      <w:r>
        <w:rPr>
          <w:rFonts w:hint="eastAsia" w:ascii="仿宋" w:hAnsi="仿宋" w:eastAsia="仿宋" w:cs="仿宋"/>
          <w:b w:val="0"/>
          <w:color w:val="auto"/>
          <w:sz w:val="24"/>
          <w:szCs w:val="24"/>
          <w:highlight w:val="none"/>
        </w:rPr>
        <w:t>一、项目基本情况</w:t>
      </w:r>
      <w:bookmarkEnd w:id="410"/>
      <w:bookmarkEnd w:id="411"/>
      <w:bookmarkEnd w:id="412"/>
      <w:bookmarkEnd w:id="413"/>
      <w:bookmarkEnd w:id="414"/>
      <w:bookmarkEnd w:id="415"/>
    </w:p>
    <w:p w14:paraId="26FE22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SSQY(SCCGGK)2026-02</w:t>
      </w:r>
    </w:p>
    <w:p w14:paraId="0A30D1EC">
      <w:pPr>
        <w:spacing w:line="480" w:lineRule="auto"/>
        <w:ind w:firstLine="480" w:firstLineChars="200"/>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仿宋"/>
          <w:color w:val="auto"/>
          <w:sz w:val="24"/>
          <w:szCs w:val="24"/>
          <w:highlight w:val="none"/>
        </w:rPr>
        <w:t>项目名称：</w:t>
      </w:r>
      <w:bookmarkEnd w:id="416"/>
      <w:bookmarkStart w:id="417" w:name="_Toc28359003"/>
      <w:bookmarkStart w:id="418" w:name="_Toc35393791"/>
      <w:bookmarkStart w:id="419" w:name="_Toc11609"/>
      <w:bookmarkStart w:id="420" w:name="_Toc28359080"/>
      <w:bookmarkStart w:id="421" w:name="_Toc35393622"/>
      <w:r>
        <w:rPr>
          <w:rFonts w:hint="eastAsia" w:ascii="仿宋" w:hAnsi="仿宋" w:eastAsia="仿宋" w:cs="Times New Roman"/>
          <w:kern w:val="2"/>
          <w:sz w:val="24"/>
          <w:szCs w:val="24"/>
          <w:highlight w:val="none"/>
          <w:u w:val="none"/>
          <w:lang w:val="en-US" w:eastAsia="zh-CN" w:bidi="ar-SA"/>
        </w:rPr>
        <w:t>莎车县国有农用地管理及农村集体土地清理数据库建立项目</w:t>
      </w:r>
    </w:p>
    <w:p w14:paraId="790C2D64">
      <w:pPr>
        <w:spacing w:line="48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300万元</w:t>
      </w:r>
    </w:p>
    <w:p w14:paraId="7D99D1A5">
      <w:pPr>
        <w:pStyle w:val="39"/>
        <w:spacing w:line="480" w:lineRule="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300万元</w:t>
      </w:r>
    </w:p>
    <w:p w14:paraId="5039B7D7">
      <w:pPr>
        <w:keepNext w:val="0"/>
        <w:keepLines w:val="0"/>
        <w:widowControl/>
        <w:suppressLineNumbers w:val="0"/>
        <w:spacing w:before="75" w:beforeAutospacing="0" w:after="75" w:afterAutospacing="0" w:line="360" w:lineRule="auto"/>
        <w:ind w:left="479" w:leftChars="228" w:right="0" w:firstLine="0" w:firstLineChars="0"/>
        <w:rPr>
          <w:rFonts w:hint="eastAsia" w:eastAsia="仿宋"/>
          <w:lang w:val="en-US" w:eastAsia="zh-CN"/>
        </w:rPr>
      </w:pPr>
      <w:r>
        <w:rPr>
          <w:rFonts w:hint="eastAsia" w:ascii="仿宋" w:hAnsi="仿宋" w:eastAsia="仿宋" w:cs="仿宋"/>
          <w:color w:val="auto"/>
          <w:sz w:val="24"/>
          <w:szCs w:val="24"/>
          <w:highlight w:val="none"/>
        </w:rPr>
        <w:t>采购需求：主要任务为指导乡镇进行现有农用地数据修改，提交符合要求的农用地数据成果，同时中标单位需整合农业农村局、自然资源局、林业和草原局提供的相关数据，最终合并建立“莎车农用地数据库”成果，成果内容符合《新</w:t>
      </w:r>
      <w:r>
        <w:rPr>
          <w:rFonts w:hint="eastAsia" w:ascii="仿宋" w:hAnsi="仿宋" w:eastAsia="仿宋" w:cs="仿宋"/>
          <w:color w:val="auto"/>
          <w:sz w:val="24"/>
          <w:szCs w:val="24"/>
          <w:highlight w:val="none"/>
          <w:lang w:val="en-US" w:eastAsia="zh-CN"/>
        </w:rPr>
        <w:t>疆</w:t>
      </w:r>
      <w:r>
        <w:rPr>
          <w:rFonts w:hint="eastAsia" w:ascii="仿宋" w:hAnsi="仿宋" w:eastAsia="仿宋" w:cs="仿宋"/>
          <w:color w:val="auto"/>
          <w:sz w:val="24"/>
          <w:szCs w:val="24"/>
          <w:highlight w:val="none"/>
        </w:rPr>
        <w:t>维吾尔自治区农用地数据采集及上报指南》文件内要求，并通过地区及自治区的各级检查</w:t>
      </w:r>
      <w:r>
        <w:rPr>
          <w:rFonts w:hint="eastAsia" w:ascii="仿宋" w:hAnsi="仿宋" w:eastAsia="仿宋" w:cs="仿宋"/>
          <w:sz w:val="24"/>
          <w:szCs w:val="32"/>
          <w:lang w:eastAsia="zh-CN"/>
        </w:rPr>
        <w:t>。详细采购内容详见招标文件</w:t>
      </w:r>
    </w:p>
    <w:p w14:paraId="3BB67184">
      <w:pPr>
        <w:pStyle w:val="11"/>
        <w:ind w:left="0" w:leftChars="0" w:firstLine="0" w:firstLineChars="0"/>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 xml:space="preserve">        </w:t>
      </w:r>
    </w:p>
    <w:p w14:paraId="0E4716FA">
      <w:pPr>
        <w:spacing w:line="480" w:lineRule="auto"/>
        <w:ind w:left="479" w:leftChars="2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eastAsia="zh-CN"/>
        </w:rPr>
        <w:t>：2026年12月31日之前完成（具体以自治区本项目工期要求及签订合同为主）</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接受联合体投标。</w:t>
      </w:r>
    </w:p>
    <w:p w14:paraId="08A2C862">
      <w:pPr>
        <w:pStyle w:val="5"/>
        <w:spacing w:line="360" w:lineRule="auto"/>
        <w:jc w:val="left"/>
        <w:rPr>
          <w:rFonts w:hint="eastAsia" w:ascii="仿宋" w:hAnsi="仿宋" w:eastAsia="仿宋" w:cs="仿宋"/>
          <w:b w:val="0"/>
          <w:color w:val="auto"/>
          <w:sz w:val="24"/>
          <w:szCs w:val="24"/>
          <w:highlight w:val="none"/>
          <w:lang w:val="en-US" w:eastAsia="zh-CN"/>
        </w:rPr>
      </w:pPr>
      <w:bookmarkStart w:id="422" w:name="_Toc5082"/>
      <w:r>
        <w:rPr>
          <w:rFonts w:hint="eastAsia" w:ascii="仿宋" w:hAnsi="仿宋" w:eastAsia="仿宋" w:cs="仿宋"/>
          <w:b w:val="0"/>
          <w:color w:val="auto"/>
          <w:sz w:val="24"/>
          <w:szCs w:val="24"/>
          <w:highlight w:val="none"/>
        </w:rPr>
        <w:t>二、申请人的资格要求：</w:t>
      </w:r>
      <w:bookmarkEnd w:id="417"/>
      <w:bookmarkEnd w:id="418"/>
      <w:bookmarkEnd w:id="419"/>
      <w:bookmarkEnd w:id="420"/>
      <w:bookmarkEnd w:id="421"/>
      <w:bookmarkEnd w:id="422"/>
      <w:r>
        <w:rPr>
          <w:rFonts w:hint="eastAsia" w:ascii="仿宋" w:hAnsi="仿宋" w:eastAsia="仿宋" w:cs="仿宋"/>
          <w:b w:val="0"/>
          <w:color w:val="auto"/>
          <w:sz w:val="24"/>
          <w:szCs w:val="24"/>
          <w:highlight w:val="none"/>
          <w:lang w:val="en-US" w:eastAsia="zh-CN"/>
        </w:rPr>
        <w:t xml:space="preserve"> </w:t>
      </w:r>
    </w:p>
    <w:p w14:paraId="6C24A44B">
      <w:pPr>
        <w:spacing w:line="360" w:lineRule="auto"/>
        <w:ind w:firstLine="480" w:firstLineChars="200"/>
        <w:rPr>
          <w:rFonts w:hint="eastAsia" w:ascii="仿宋" w:hAnsi="仿宋" w:eastAsia="仿宋" w:cs="仿宋"/>
          <w:color w:val="auto"/>
          <w:sz w:val="24"/>
          <w:szCs w:val="24"/>
          <w:highlight w:val="none"/>
        </w:rPr>
      </w:pPr>
      <w:bookmarkStart w:id="423" w:name="_Toc35393792"/>
      <w:bookmarkStart w:id="424" w:name="_Toc28359004"/>
      <w:bookmarkStart w:id="425" w:name="_Toc28359081"/>
      <w:bookmarkStart w:id="426" w:name="_Toc35393623"/>
      <w:r>
        <w:rPr>
          <w:rFonts w:hint="eastAsia" w:ascii="仿宋" w:hAnsi="仿宋" w:eastAsia="仿宋" w:cs="仿宋"/>
          <w:color w:val="auto"/>
          <w:sz w:val="24"/>
          <w:szCs w:val="24"/>
          <w:highlight w:val="none"/>
        </w:rPr>
        <w:t>1.满足《中华人民共和国政府采购法》第二十二条规定，</w:t>
      </w:r>
      <w:r>
        <w:rPr>
          <w:rFonts w:hint="eastAsia" w:ascii="仿宋" w:hAnsi="仿宋" w:eastAsia="仿宋" w:cs="仿宋"/>
          <w:color w:val="auto"/>
          <w:sz w:val="24"/>
          <w:szCs w:val="24"/>
          <w:highlight w:val="none"/>
          <w:lang w:eastAsia="zh-CN"/>
        </w:rPr>
        <w:t>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3878D7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14:paraId="45F2F7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（1）采购政策  </w:t>
      </w:r>
    </w:p>
    <w:p w14:paraId="6DA3CD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政府采购应当优先采购本国货物、工程和服务，并执行节能产品、环境标志产品、中小企业、残疾人福利性单位、监狱企业、商品外包装等适宜本项目的政府采购政策。  </w:t>
      </w:r>
    </w:p>
    <w:p w14:paraId="444617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（2）政策依据  </w:t>
      </w:r>
    </w:p>
    <w:p w14:paraId="151670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1）财政部、中华人民共和国国家发展和改革委员会、生态环境部、中华人民共和国国家市场监督管理总局《关于调整优化节能产品、环境标志产品政府采购执行机制的通知》（财库[2019]9号文）；  </w:t>
      </w:r>
    </w:p>
    <w:p w14:paraId="36F1ED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2）财政部、生态环境部《关于印发环境标志产品政府采购品目清单的通知》（财库</w:t>
      </w:r>
      <w:r>
        <w:rPr>
          <w:rFonts w:hint="eastAsia" w:ascii="仿宋" w:hAnsi="仿宋" w:eastAsia="仿宋" w:cs="仿宋"/>
          <w:color w:val="auto"/>
          <w:sz w:val="24"/>
          <w:szCs w:val="24"/>
          <w:highlight w:val="none"/>
          <w:lang w:eastAsia="zh-CN"/>
        </w:rPr>
        <w:t>〔2019〕18号</w:t>
      </w:r>
      <w:r>
        <w:rPr>
          <w:rFonts w:hint="eastAsia" w:ascii="仿宋" w:hAnsi="仿宋" w:eastAsia="仿宋" w:cs="仿宋"/>
          <w:color w:val="auto"/>
          <w:sz w:val="24"/>
          <w:szCs w:val="24"/>
          <w:highlight w:val="none"/>
        </w:rPr>
        <w:t xml:space="preserve">文）；  </w:t>
      </w:r>
    </w:p>
    <w:p w14:paraId="0B2635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3）财政部、发展改革委《关于印发节能产品政府采购品目清单的通知》（财库</w:t>
      </w:r>
      <w:r>
        <w:rPr>
          <w:rFonts w:hint="eastAsia" w:ascii="仿宋" w:hAnsi="仿宋" w:eastAsia="仿宋" w:cs="仿宋"/>
          <w:color w:val="auto"/>
          <w:sz w:val="24"/>
          <w:szCs w:val="24"/>
          <w:highlight w:val="none"/>
          <w:lang w:eastAsia="zh-CN"/>
        </w:rPr>
        <w:t>〔2019〕19号</w:t>
      </w:r>
      <w:r>
        <w:rPr>
          <w:rFonts w:hint="eastAsia" w:ascii="仿宋" w:hAnsi="仿宋" w:eastAsia="仿宋" w:cs="仿宋"/>
          <w:color w:val="auto"/>
          <w:sz w:val="24"/>
          <w:szCs w:val="24"/>
          <w:highlight w:val="none"/>
        </w:rPr>
        <w:t xml:space="preserve">文）； </w:t>
      </w:r>
    </w:p>
    <w:p w14:paraId="0F3752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4）市场监管总局《市场监管总局关于发布参与实施政府采购节能产品、环境标志产品认证机构名录的公告》（2019年第16号）；  </w:t>
      </w:r>
    </w:p>
    <w:p w14:paraId="5ED095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5）财政部、工业和信息化部《关于印发《政府采购促进中小企业发展管理办法》的通知》（财库</w:t>
      </w:r>
      <w:r>
        <w:rPr>
          <w:rFonts w:hint="eastAsia" w:ascii="仿宋" w:hAnsi="仿宋" w:eastAsia="仿宋" w:cs="仿宋"/>
          <w:color w:val="auto"/>
          <w:sz w:val="24"/>
          <w:szCs w:val="24"/>
          <w:highlight w:val="none"/>
          <w:lang w:eastAsia="zh-CN"/>
        </w:rPr>
        <w:t>〔2020〕46号</w:t>
      </w:r>
      <w:r>
        <w:rPr>
          <w:rFonts w:hint="eastAsia" w:ascii="仿宋" w:hAnsi="仿宋" w:eastAsia="仿宋" w:cs="仿宋"/>
          <w:color w:val="auto"/>
          <w:sz w:val="24"/>
          <w:szCs w:val="24"/>
          <w:highlight w:val="none"/>
        </w:rPr>
        <w:t>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关于进一步加大政府采购支持中小企业力度的通知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财库〔2022〕19号文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328B9E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6）财政部、民政部、中国残疾人联合会《关于促进残疾人就业政府采购政策的通知》（财库</w:t>
      </w:r>
      <w:r>
        <w:rPr>
          <w:rFonts w:hint="eastAsia" w:ascii="仿宋" w:hAnsi="仿宋" w:eastAsia="仿宋" w:cs="仿宋"/>
          <w:color w:val="auto"/>
          <w:sz w:val="24"/>
          <w:szCs w:val="24"/>
          <w:highlight w:val="none"/>
          <w:lang w:eastAsia="zh-CN"/>
        </w:rPr>
        <w:t>〔2017〕141号</w:t>
      </w:r>
      <w:r>
        <w:rPr>
          <w:rFonts w:hint="eastAsia" w:ascii="仿宋" w:hAnsi="仿宋" w:eastAsia="仿宋" w:cs="仿宋"/>
          <w:color w:val="auto"/>
          <w:sz w:val="24"/>
          <w:szCs w:val="24"/>
          <w:highlight w:val="none"/>
        </w:rPr>
        <w:t xml:space="preserve">）；  </w:t>
      </w:r>
    </w:p>
    <w:p w14:paraId="7CA6F5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7）财政部、司法部《关于政府采购支持监狱企业发展有关问题的通知》（财库</w:t>
      </w:r>
      <w:r>
        <w:rPr>
          <w:rFonts w:hint="eastAsia" w:ascii="仿宋" w:hAnsi="仿宋" w:eastAsia="仿宋" w:cs="仿宋"/>
          <w:color w:val="auto"/>
          <w:sz w:val="24"/>
          <w:szCs w:val="24"/>
          <w:highlight w:val="none"/>
          <w:lang w:eastAsia="zh-CN"/>
        </w:rPr>
        <w:t>〔2014〕68号</w:t>
      </w:r>
      <w:r>
        <w:rPr>
          <w:rFonts w:hint="eastAsia" w:ascii="仿宋" w:hAnsi="仿宋" w:eastAsia="仿宋" w:cs="仿宋"/>
          <w:color w:val="auto"/>
          <w:sz w:val="24"/>
          <w:szCs w:val="24"/>
          <w:highlight w:val="none"/>
        </w:rPr>
        <w:t xml:space="preserve">文）； </w:t>
      </w:r>
    </w:p>
    <w:p w14:paraId="6A29BBE2">
      <w:pPr>
        <w:numPr>
          <w:ilvl w:val="0"/>
          <w:numId w:val="7"/>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财政部、生态环境部、国家邮政局《关于印发《商品包装政府采购需求标准（试行）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快递包装政府采购需求标准（试行）》的通知》（财办库〔2020〕123号）。</w:t>
      </w:r>
    </w:p>
    <w:p w14:paraId="404205A5">
      <w:pPr>
        <w:pStyle w:val="11"/>
        <w:spacing w:line="360" w:lineRule="auto"/>
        <w:rPr>
          <w:rFonts w:hint="default" w:ascii="仿宋" w:hAnsi="仿宋" w:eastAsia="仿宋" w:cs="仿宋"/>
          <w:color w:val="auto"/>
          <w:kern w:val="2"/>
          <w:sz w:val="24"/>
          <w:szCs w:val="24"/>
          <w:highlight w:val="none"/>
          <w:lang w:val="en-US" w:eastAsia="zh-CN" w:bidi="ar-SA"/>
        </w:rPr>
      </w:pPr>
      <w:bookmarkStart w:id="427" w:name="_Toc30008"/>
      <w:r>
        <w:rPr>
          <w:rFonts w:hint="eastAsia" w:ascii="仿宋" w:hAnsi="仿宋" w:eastAsia="仿宋" w:cs="仿宋"/>
          <w:color w:val="auto"/>
          <w:kern w:val="2"/>
          <w:sz w:val="24"/>
          <w:szCs w:val="24"/>
          <w:highlight w:val="none"/>
          <w:lang w:val="en-US" w:eastAsia="zh-CN" w:bidi="ar-SA"/>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2.投标单位需具有测绘乙级及以上（含乙级）资质</w:t>
      </w:r>
    </w:p>
    <w:p w14:paraId="4B92176F">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3.法定代表人身份证明或法定代表人授权委托书及被授权人身份证； </w:t>
      </w:r>
    </w:p>
    <w:p w14:paraId="4AEA352F">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4.近期（投标截止日期前六个月内任意一个月）依法缴纳社会保障金的缴费证明或银行出具的“银行电子缴纳社会保障金付款凭证”（新成立公司提供相关证明文件） ；</w:t>
      </w:r>
    </w:p>
    <w:p w14:paraId="4CCB2FD2">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5EF1B81A">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lang w:val="en-US" w:eastAsia="zh-CN"/>
        </w:rPr>
        <w:t>提供2024年或2025年任意一年完整的财务审计报告（成立未满十二个月的新公司可提供近三个月内任意一个月的银行资信证明）；</w:t>
      </w:r>
    </w:p>
    <w:p w14:paraId="7A5993FC">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70122079">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8.提供参加政府采购活动前3年内在经营活动中没有重大违法记录的书面声明；</w:t>
      </w:r>
    </w:p>
    <w:p w14:paraId="546D087D">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9.提供针对本次项目《反商业贿赂承诺书》；</w:t>
      </w:r>
    </w:p>
    <w:p w14:paraId="1A6DAAD2">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10.必须具有履行合同所必需的设备和专业技术能力；</w:t>
      </w:r>
    </w:p>
    <w:p w14:paraId="0E5FC826">
      <w:pPr>
        <w:pStyle w:val="11"/>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11.本项目不接受联合体投标；</w:t>
      </w:r>
    </w:p>
    <w:p w14:paraId="0FD2B0A5">
      <w:pPr>
        <w:pStyle w:val="11"/>
        <w:rPr>
          <w:rFonts w:hint="eastAsia"/>
          <w:lang w:val="en-US" w:eastAsia="zh-CN"/>
        </w:rPr>
      </w:pPr>
    </w:p>
    <w:p w14:paraId="3C16EBD2">
      <w:pPr>
        <w:pStyle w:val="5"/>
        <w:spacing w:line="360" w:lineRule="auto"/>
        <w:jc w:val="left"/>
        <w:rPr>
          <w:rFonts w:hint="eastAsia" w:ascii="仿宋" w:hAnsi="仿宋" w:eastAsia="仿宋" w:cs="仿宋"/>
          <w:b w:val="0"/>
          <w:color w:val="auto"/>
          <w:sz w:val="24"/>
          <w:szCs w:val="24"/>
          <w:highlight w:val="none"/>
        </w:rPr>
      </w:pPr>
      <w:bookmarkStart w:id="428" w:name="_Toc22562"/>
      <w:r>
        <w:rPr>
          <w:rFonts w:hint="eastAsia" w:ascii="仿宋" w:hAnsi="仿宋" w:eastAsia="仿宋" w:cs="仿宋"/>
          <w:b w:val="0"/>
          <w:color w:val="auto"/>
          <w:sz w:val="24"/>
          <w:szCs w:val="24"/>
          <w:highlight w:val="none"/>
        </w:rPr>
        <w:t>三、获取招标文件</w:t>
      </w:r>
      <w:bookmarkEnd w:id="423"/>
      <w:bookmarkEnd w:id="424"/>
      <w:bookmarkEnd w:id="425"/>
      <w:bookmarkEnd w:id="426"/>
      <w:bookmarkEnd w:id="427"/>
      <w:bookmarkEnd w:id="428"/>
    </w:p>
    <w:p w14:paraId="583279BF">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shd w:val="clear" w:color="auto" w:fill="auto"/>
          <w:lang w:val="en-US" w:eastAsia="zh-CN"/>
        </w:rPr>
        <w:t>2026年6 月2日至2026年6月9日</w:t>
      </w:r>
      <w:r>
        <w:rPr>
          <w:rFonts w:hint="eastAsia" w:ascii="仿宋" w:hAnsi="仿宋" w:eastAsia="仿宋" w:cs="仿宋"/>
          <w:color w:val="auto"/>
          <w:sz w:val="24"/>
          <w:szCs w:val="24"/>
          <w:highlight w:val="none"/>
          <w:shd w:val="clear" w:color="auto" w:fill="auto"/>
        </w:rPr>
        <w:t>，每天</w:t>
      </w:r>
      <w:r>
        <w:rPr>
          <w:rFonts w:hint="eastAsia" w:ascii="仿宋" w:hAnsi="仿宋" w:eastAsia="仿宋" w:cs="仿宋"/>
          <w:color w:val="auto"/>
          <w:sz w:val="24"/>
          <w:szCs w:val="24"/>
          <w:highlight w:val="none"/>
          <w:u w:val="single"/>
          <w:shd w:val="clear" w:color="auto" w:fill="auto"/>
          <w:lang w:val="en-US" w:eastAsia="zh-CN"/>
        </w:rPr>
        <w:t>00:00</w:t>
      </w:r>
      <w:r>
        <w:rPr>
          <w:rFonts w:hint="eastAsia" w:ascii="仿宋" w:hAnsi="仿宋" w:eastAsia="仿宋" w:cs="仿宋"/>
          <w:color w:val="auto"/>
          <w:sz w:val="24"/>
          <w:szCs w:val="24"/>
          <w:highlight w:val="none"/>
          <w:shd w:val="clear" w:color="auto" w:fill="auto"/>
        </w:rPr>
        <w:t>至</w:t>
      </w:r>
      <w:r>
        <w:rPr>
          <w:rFonts w:hint="eastAsia" w:ascii="仿宋" w:hAnsi="仿宋" w:eastAsia="仿宋" w:cs="仿宋"/>
          <w:color w:val="auto"/>
          <w:sz w:val="24"/>
          <w:szCs w:val="24"/>
          <w:highlight w:val="none"/>
          <w:shd w:val="clear" w:color="auto" w:fill="auto"/>
          <w:lang w:val="en-US" w:eastAsia="zh-CN"/>
        </w:rPr>
        <w:t>23</w:t>
      </w:r>
      <w:r>
        <w:rPr>
          <w:rFonts w:hint="eastAsia" w:ascii="仿宋" w:hAnsi="仿宋" w:eastAsia="仿宋" w:cs="仿宋"/>
          <w:color w:val="auto"/>
          <w:sz w:val="24"/>
          <w:szCs w:val="24"/>
          <w:highlight w:val="none"/>
          <w:u w:val="single"/>
          <w:shd w:val="clear" w:color="auto" w:fill="auto"/>
          <w:lang w:val="en-US" w:eastAsia="zh-CN"/>
        </w:rPr>
        <w:t>:59</w:t>
      </w:r>
      <w:r>
        <w:rPr>
          <w:rFonts w:hint="eastAsia" w:ascii="仿宋" w:hAnsi="仿宋" w:eastAsia="仿宋" w:cs="仿宋"/>
          <w:color w:val="auto"/>
          <w:sz w:val="24"/>
          <w:szCs w:val="24"/>
          <w:highlight w:val="none"/>
        </w:rPr>
        <w:t>（北京时间，法定节假日除外）</w:t>
      </w:r>
    </w:p>
    <w:p w14:paraId="28794CC2">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http://www.zcygov.cn）</w:t>
      </w:r>
    </w:p>
    <w:p w14:paraId="34416032">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0"/>
          <w:sz w:val="24"/>
          <w:szCs w:val="24"/>
          <w:highlight w:val="none"/>
          <w:lang w:val="en-US" w:eastAsia="zh-CN" w:bidi="ar-SA"/>
        </w:rPr>
        <w:t>获取招标文</w:t>
      </w:r>
      <w:r>
        <w:rPr>
          <w:rFonts w:hint="eastAsia" w:ascii="仿宋" w:hAnsi="仿宋" w:eastAsia="仿宋" w:cs="仿宋"/>
          <w:color w:val="auto"/>
          <w:sz w:val="24"/>
          <w:szCs w:val="24"/>
          <w:highlight w:val="none"/>
          <w:lang w:val="en-US" w:eastAsia="zh-CN"/>
        </w:rPr>
        <w:t>件</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线上获取</w:t>
      </w:r>
    </w:p>
    <w:p w14:paraId="2C3335B4">
      <w:pPr>
        <w:pStyle w:val="5"/>
        <w:spacing w:line="360" w:lineRule="auto"/>
        <w:jc w:val="left"/>
        <w:rPr>
          <w:rFonts w:hint="eastAsia" w:ascii="仿宋" w:hAnsi="仿宋" w:eastAsia="仿宋" w:cs="仿宋"/>
          <w:b w:val="0"/>
          <w:color w:val="auto"/>
          <w:sz w:val="24"/>
          <w:szCs w:val="24"/>
          <w:highlight w:val="none"/>
        </w:rPr>
      </w:pPr>
      <w:bookmarkStart w:id="429" w:name="_Toc28359005"/>
      <w:bookmarkStart w:id="430" w:name="_Toc28359082"/>
      <w:bookmarkStart w:id="431" w:name="_Toc35393793"/>
      <w:bookmarkStart w:id="432" w:name="_Toc8936"/>
      <w:bookmarkStart w:id="433" w:name="_Toc8247"/>
      <w:bookmarkStart w:id="434" w:name="_Toc35393624"/>
      <w:r>
        <w:rPr>
          <w:rFonts w:hint="eastAsia" w:ascii="仿宋" w:hAnsi="仿宋" w:eastAsia="仿宋" w:cs="仿宋"/>
          <w:b w:val="0"/>
          <w:color w:val="auto"/>
          <w:sz w:val="24"/>
          <w:szCs w:val="24"/>
          <w:highlight w:val="none"/>
        </w:rPr>
        <w:t>四、提交投标文件</w:t>
      </w:r>
      <w:bookmarkEnd w:id="429"/>
      <w:bookmarkEnd w:id="430"/>
      <w:r>
        <w:rPr>
          <w:rFonts w:hint="eastAsia" w:ascii="仿宋" w:hAnsi="仿宋" w:eastAsia="仿宋" w:cs="仿宋"/>
          <w:b w:val="0"/>
          <w:color w:val="auto"/>
          <w:sz w:val="24"/>
          <w:szCs w:val="24"/>
          <w:highlight w:val="none"/>
        </w:rPr>
        <w:t>截止时间、开标时间和地点</w:t>
      </w:r>
      <w:bookmarkEnd w:id="431"/>
      <w:bookmarkEnd w:id="432"/>
      <w:bookmarkEnd w:id="433"/>
      <w:bookmarkEnd w:id="434"/>
    </w:p>
    <w:p w14:paraId="547C6BA7">
      <w:pPr>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lang w:val="en-US" w:eastAsia="zh-CN"/>
        </w:rPr>
        <w:t>开标时间：2026年6月23日11点00分（北京时间）</w:t>
      </w:r>
    </w:p>
    <w:p w14:paraId="7702229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地  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政采云平台http://www.zcygov.cn/</w:t>
      </w:r>
    </w:p>
    <w:p w14:paraId="7C92F9BA">
      <w:pPr>
        <w:pStyle w:val="5"/>
        <w:spacing w:line="360" w:lineRule="auto"/>
        <w:jc w:val="left"/>
        <w:rPr>
          <w:rFonts w:hint="eastAsia" w:ascii="仿宋" w:hAnsi="仿宋" w:eastAsia="仿宋" w:cs="仿宋"/>
          <w:b w:val="0"/>
          <w:color w:val="auto"/>
          <w:sz w:val="24"/>
          <w:szCs w:val="24"/>
          <w:highlight w:val="none"/>
          <w:lang w:val="en-US" w:eastAsia="zh-CN"/>
        </w:rPr>
      </w:pPr>
      <w:bookmarkStart w:id="435" w:name="_Toc28359007"/>
      <w:bookmarkStart w:id="436" w:name="_Toc28359084"/>
      <w:bookmarkStart w:id="437" w:name="_Toc35393794"/>
      <w:bookmarkStart w:id="438" w:name="_Toc2217"/>
      <w:bookmarkStart w:id="439" w:name="_Toc35393625"/>
      <w:r>
        <w:rPr>
          <w:rFonts w:hint="eastAsia" w:ascii="仿宋" w:hAnsi="仿宋" w:eastAsia="仿宋" w:cs="仿宋"/>
          <w:b w:val="0"/>
          <w:color w:val="auto"/>
          <w:sz w:val="24"/>
          <w:szCs w:val="24"/>
          <w:highlight w:val="none"/>
          <w:lang w:val="en-US" w:eastAsia="zh-CN"/>
        </w:rPr>
        <w:t>五、公告期限</w:t>
      </w:r>
      <w:bookmarkEnd w:id="435"/>
      <w:bookmarkEnd w:id="436"/>
      <w:bookmarkEnd w:id="437"/>
      <w:bookmarkEnd w:id="438"/>
      <w:bookmarkEnd w:id="439"/>
    </w:p>
    <w:p w14:paraId="2D26C10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2E138490">
      <w:pPr>
        <w:pStyle w:val="5"/>
        <w:numPr>
          <w:ilvl w:val="0"/>
          <w:numId w:val="8"/>
        </w:numPr>
        <w:spacing w:line="360" w:lineRule="auto"/>
        <w:jc w:val="left"/>
        <w:rPr>
          <w:rFonts w:hint="eastAsia" w:ascii="仿宋" w:hAnsi="仿宋" w:eastAsia="仿宋" w:cs="仿宋"/>
          <w:b w:val="0"/>
          <w:color w:val="auto"/>
          <w:sz w:val="24"/>
          <w:szCs w:val="24"/>
          <w:highlight w:val="none"/>
        </w:rPr>
      </w:pPr>
      <w:bookmarkStart w:id="440" w:name="_Toc7768"/>
      <w:bookmarkStart w:id="441" w:name="_Toc7953"/>
      <w:bookmarkStart w:id="442" w:name="_Toc35393795"/>
      <w:bookmarkStart w:id="443" w:name="_Toc35393626"/>
      <w:r>
        <w:rPr>
          <w:rFonts w:hint="eastAsia" w:ascii="仿宋" w:hAnsi="仿宋" w:eastAsia="仿宋" w:cs="仿宋"/>
          <w:b w:val="0"/>
          <w:color w:val="auto"/>
          <w:sz w:val="24"/>
          <w:szCs w:val="24"/>
          <w:highlight w:val="none"/>
        </w:rPr>
        <w:t>其他补充事宜</w:t>
      </w:r>
      <w:bookmarkEnd w:id="440"/>
      <w:bookmarkEnd w:id="441"/>
      <w:bookmarkEnd w:id="442"/>
      <w:bookmarkEnd w:id="443"/>
    </w:p>
    <w:p w14:paraId="55D7F9A1">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2E137D0">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1DA2E237">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63BEF08F">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C65CC2E">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5.供应商在开标时须使用制作加密电子投标文件所使用的CA锁及电脑，电脑须提前配置好浏览器（建议使用谷歌浏览器），以便开标时解锁。</w:t>
      </w:r>
    </w:p>
    <w:p w14:paraId="78FD7462">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w:t>
      </w:r>
    </w:p>
    <w:p w14:paraId="0FAE3E69">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6AF6664">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8.政采云线上获取招标文件方法：供应商登录政采云平台http://www.zcygov.cn/在线申请获取采购文件（登录政府采购云平台 → 项目采购 → 获取采购文件 → 申请，审核通过后可下载招标文件，如有操作性问题，可与政采云在线客服进行咨询，咨询电话：95763）</w:t>
      </w:r>
    </w:p>
    <w:p w14:paraId="7D381099">
      <w:pPr>
        <w:pStyle w:val="39"/>
        <w:ind w:left="0" w:leftChars="0" w:firstLine="480" w:firstLineChars="200"/>
        <w:rPr>
          <w:rFonts w:hint="eastAsia" w:ascii="仿宋" w:hAnsi="仿宋" w:eastAsia="仿宋" w:cs="仿宋"/>
          <w:b w:val="0"/>
          <w:bCs w:val="0"/>
          <w:color w:val="auto"/>
          <w:kern w:val="0"/>
          <w:sz w:val="24"/>
          <w:szCs w:val="24"/>
          <w:highlight w:val="none"/>
          <w:lang w:val="en-US" w:eastAsia="zh-CN"/>
        </w:rPr>
      </w:pPr>
    </w:p>
    <w:p w14:paraId="08FAB55B">
      <w:pPr>
        <w:pStyle w:val="39"/>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仿宋" w:hAnsi="仿宋" w:eastAsia="仿宋" w:cs="仿宋"/>
          <w:b/>
          <w:bCs/>
          <w:color w:val="auto"/>
          <w:kern w:val="0"/>
          <w:sz w:val="24"/>
          <w:szCs w:val="24"/>
          <w:highlight w:val="none"/>
          <w:lang w:val="en-US" w:eastAsia="zh-CN"/>
        </w:rPr>
      </w:pPr>
      <w:bookmarkStart w:id="444" w:name="_Toc35393796"/>
      <w:bookmarkStart w:id="445" w:name="_Toc28359085"/>
      <w:bookmarkStart w:id="446" w:name="_Toc35393627"/>
      <w:bookmarkStart w:id="447" w:name="_Toc19443"/>
      <w:bookmarkStart w:id="448" w:name="_Toc28359008"/>
    </w:p>
    <w:p w14:paraId="264259F1">
      <w:pPr>
        <w:pStyle w:val="39"/>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特别提示：</w:t>
      </w:r>
    </w:p>
    <w:p w14:paraId="79B21F35">
      <w:pPr>
        <w:pStyle w:val="39"/>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1.采购限额标准以上，200万元以下的货物和服务采购项目、400万元以下的工程采购项目，适宜由中小企业提供的，采购人应当专门面向中小企业采购。</w:t>
      </w:r>
    </w:p>
    <w:p w14:paraId="3BEA36F0">
      <w:pPr>
        <w:pStyle w:val="39"/>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3470E7F0">
      <w:pPr>
        <w:pStyle w:val="39"/>
        <w:ind w:left="0" w:leftChars="0" w:firstLine="482" w:firstLineChars="200"/>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highlight w:val="none"/>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8675EC">
      <w:pPr>
        <w:pStyle w:val="39"/>
        <w:ind w:left="0" w:leftChars="0" w:firstLine="482" w:firstLineChars="200"/>
        <w:rPr>
          <w:rFonts w:hint="eastAsia" w:ascii="仿宋" w:hAnsi="仿宋" w:eastAsia="仿宋" w:cs="仿宋"/>
          <w:b w:val="0"/>
          <w:color w:val="auto"/>
          <w:sz w:val="24"/>
          <w:szCs w:val="24"/>
          <w:highlight w:val="none"/>
          <w:lang w:val="en-US" w:eastAsia="zh-CN"/>
        </w:rPr>
      </w:pPr>
      <w:r>
        <w:rPr>
          <w:rFonts w:hint="eastAsia" w:ascii="仿宋" w:hAnsi="仿宋" w:eastAsia="仿宋" w:cs="仿宋"/>
          <w:b/>
          <w:bCs/>
          <w:kern w:val="0"/>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D673440">
      <w:pPr>
        <w:pStyle w:val="3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color w:val="auto"/>
          <w:kern w:val="2"/>
          <w:sz w:val="24"/>
          <w:szCs w:val="24"/>
          <w:lang w:val="en-US" w:eastAsia="zh-CN" w:bidi="ar-SA"/>
        </w:rPr>
      </w:pPr>
      <w:bookmarkStart w:id="449" w:name="_Toc31971"/>
      <w:r>
        <w:rPr>
          <w:rFonts w:hint="eastAsia" w:ascii="仿宋" w:hAnsi="仿宋" w:eastAsia="仿宋" w:cs="仿宋"/>
          <w:b w:val="0"/>
          <w:color w:val="auto"/>
          <w:sz w:val="24"/>
          <w:szCs w:val="24"/>
          <w:highlight w:val="none"/>
          <w:lang w:val="en-US" w:eastAsia="zh-CN"/>
        </w:rPr>
        <w:t>七、</w:t>
      </w:r>
      <w:bookmarkEnd w:id="444"/>
      <w:bookmarkEnd w:id="445"/>
      <w:bookmarkEnd w:id="446"/>
      <w:bookmarkEnd w:id="447"/>
      <w:bookmarkEnd w:id="448"/>
      <w:bookmarkStart w:id="450" w:name="_Toc8945"/>
      <w:r>
        <w:rPr>
          <w:rFonts w:hint="eastAsia" w:ascii="仿宋" w:hAnsi="仿宋" w:eastAsia="仿宋" w:cs="仿宋"/>
          <w:color w:val="auto"/>
          <w:kern w:val="2"/>
          <w:sz w:val="24"/>
          <w:szCs w:val="24"/>
          <w:lang w:val="en-US" w:eastAsia="zh-CN" w:bidi="ar-SA"/>
        </w:rPr>
        <w:t>凡对本次招标提出询问，请按以下方式联系</w:t>
      </w:r>
      <w:bookmarkEnd w:id="449"/>
      <w:bookmarkEnd w:id="450"/>
    </w:p>
    <w:p w14:paraId="64192159">
      <w:pPr>
        <w:widowControl/>
        <w:spacing w:line="348" w:lineRule="auto"/>
        <w:jc w:val="left"/>
        <w:rPr>
          <w:rFonts w:ascii="仿宋" w:hAnsi="仿宋" w:eastAsia="仿宋" w:cs="仿宋"/>
          <w:sz w:val="24"/>
        </w:rPr>
      </w:pPr>
      <w:r>
        <w:rPr>
          <w:rFonts w:hint="eastAsia" w:ascii="仿宋" w:hAnsi="仿宋" w:eastAsia="仿宋" w:cs="仿宋"/>
          <w:sz w:val="24"/>
        </w:rPr>
        <w:t>1.采购人信息</w:t>
      </w:r>
    </w:p>
    <w:p w14:paraId="529EA50D">
      <w:pPr>
        <w:spacing w:line="348" w:lineRule="auto"/>
        <w:ind w:left="1079" w:leftChars="371" w:hanging="300" w:hangingChars="125"/>
        <w:jc w:val="left"/>
        <w:rPr>
          <w:rFonts w:ascii="仿宋" w:hAnsi="仿宋" w:eastAsia="仿宋" w:cs="仿宋"/>
          <w:sz w:val="24"/>
        </w:rPr>
      </w:pPr>
      <w:bookmarkStart w:id="451" w:name="_Toc28359086"/>
      <w:bookmarkStart w:id="452" w:name="_Toc28359009"/>
      <w:r>
        <w:rPr>
          <w:rFonts w:hint="eastAsia" w:ascii="仿宋" w:hAnsi="仿宋" w:eastAsia="仿宋" w:cs="仿宋"/>
          <w:sz w:val="24"/>
        </w:rPr>
        <w:t xml:space="preserve">采购单位： </w:t>
      </w:r>
      <w:r>
        <w:rPr>
          <w:rFonts w:hint="eastAsia" w:ascii="仿宋" w:hAnsi="仿宋" w:eastAsia="仿宋" w:cs="仿宋"/>
          <w:sz w:val="24"/>
          <w:u w:val="single"/>
          <w:lang w:eastAsia="zh-CN"/>
        </w:rPr>
        <w:t>莎车县自然资源局</w:t>
      </w:r>
      <w:r>
        <w:rPr>
          <w:rFonts w:hint="eastAsia" w:ascii="仿宋" w:hAnsi="仿宋" w:eastAsia="仿宋" w:cs="仿宋"/>
          <w:sz w:val="24"/>
        </w:rPr>
        <w:t xml:space="preserve">    </w:t>
      </w:r>
    </w:p>
    <w:p w14:paraId="28428CD1">
      <w:pPr>
        <w:spacing w:line="348" w:lineRule="auto"/>
        <w:ind w:left="1079" w:leftChars="371" w:hanging="300" w:hangingChars="125"/>
        <w:jc w:val="left"/>
        <w:rPr>
          <w:rFonts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u w:val="single"/>
          <w:lang w:val="en-US" w:eastAsia="zh-CN"/>
        </w:rPr>
        <w:t>王先生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1ADF7F8">
      <w:pPr>
        <w:spacing w:line="348" w:lineRule="auto"/>
        <w:ind w:left="1079" w:leftChars="371" w:hanging="300" w:hangingChars="125"/>
        <w:jc w:val="lef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u w:val="single"/>
          <w:lang w:eastAsia="zh-CN"/>
        </w:rPr>
        <w:t>13199808816</w:t>
      </w:r>
    </w:p>
    <w:p w14:paraId="5F3FA092">
      <w:pPr>
        <w:spacing w:line="348" w:lineRule="auto"/>
        <w:ind w:left="1079" w:leftChars="371" w:hanging="300" w:hangingChars="125"/>
        <w:jc w:val="left"/>
        <w:rPr>
          <w:rFonts w:ascii="仿宋" w:hAnsi="仿宋" w:eastAsia="仿宋" w:cs="仿宋"/>
          <w:sz w:val="24"/>
        </w:rPr>
      </w:pPr>
      <w:r>
        <w:rPr>
          <w:rFonts w:hint="eastAsia" w:ascii="仿宋" w:hAnsi="仿宋" w:eastAsia="仿宋" w:cs="仿宋"/>
          <w:sz w:val="24"/>
        </w:rPr>
        <w:t>2.采购代理机构信息</w:t>
      </w:r>
      <w:bookmarkEnd w:id="451"/>
      <w:bookmarkEnd w:id="452"/>
    </w:p>
    <w:p w14:paraId="23DBD69B">
      <w:pPr>
        <w:spacing w:line="348" w:lineRule="auto"/>
        <w:ind w:firstLine="720" w:firstLineChars="300"/>
        <w:rPr>
          <w:rFonts w:hint="eastAsia" w:ascii="宋体" w:hAnsi="宋体" w:eastAsia="仿宋" w:cs="宋体"/>
          <w:b/>
          <w:bCs/>
          <w:sz w:val="24"/>
          <w:lang w:eastAsia="zh-CN"/>
        </w:rPr>
      </w:pPr>
      <w:r>
        <w:rPr>
          <w:rFonts w:hint="eastAsia" w:ascii="仿宋" w:hAnsi="仿宋" w:eastAsia="仿宋" w:cs="仿宋"/>
          <w:sz w:val="24"/>
        </w:rPr>
        <w:t>名  称：</w:t>
      </w:r>
      <w:r>
        <w:rPr>
          <w:rFonts w:hint="eastAsia" w:ascii="仿宋" w:hAnsi="仿宋" w:eastAsia="仿宋" w:cs="仿宋"/>
          <w:sz w:val="24"/>
          <w:u w:val="single"/>
          <w:lang w:eastAsia="zh-CN"/>
        </w:rPr>
        <w:t>新疆盛世乾元工程项目管理咨询有限公司</w:t>
      </w:r>
    </w:p>
    <w:p w14:paraId="77E05FB5">
      <w:pPr>
        <w:spacing w:line="348" w:lineRule="auto"/>
        <w:ind w:firstLine="720" w:firstLineChars="300"/>
        <w:rPr>
          <w:rFonts w:hint="eastAsia" w:ascii="仿宋" w:hAnsi="仿宋" w:eastAsia="仿宋" w:cs="仿宋"/>
          <w:sz w:val="24"/>
          <w:u w:val="single"/>
          <w:lang w:eastAsia="zh-CN"/>
        </w:rPr>
      </w:pPr>
      <w:r>
        <w:rPr>
          <w:rFonts w:hint="eastAsia" w:ascii="仿宋" w:hAnsi="仿宋" w:eastAsia="仿宋" w:cs="仿宋"/>
          <w:sz w:val="24"/>
        </w:rPr>
        <w:t>地　址：</w:t>
      </w:r>
      <w:r>
        <w:rPr>
          <w:rFonts w:hint="eastAsia" w:ascii="仿宋" w:hAnsi="仿宋" w:eastAsia="仿宋" w:cs="仿宋"/>
          <w:sz w:val="24"/>
          <w:u w:val="single"/>
          <w:lang w:eastAsia="zh-CN"/>
        </w:rPr>
        <w:t>新疆乌鲁木齐市水磨沟区南湖北路1956号亚欧财富广场 A 座1603室</w:t>
      </w:r>
    </w:p>
    <w:p w14:paraId="1D6B4857">
      <w:pPr>
        <w:spacing w:line="348" w:lineRule="auto"/>
        <w:ind w:firstLine="720" w:firstLineChars="300"/>
        <w:rPr>
          <w:rFonts w:hint="default" w:ascii="仿宋" w:hAnsi="仿宋" w:eastAsia="仿宋" w:cs="仿宋"/>
          <w:sz w:val="24"/>
          <w:lang w:val="en-US" w:eastAsia="zh-CN"/>
        </w:rPr>
      </w:pPr>
      <w:r>
        <w:rPr>
          <w:rFonts w:hint="eastAsia" w:ascii="仿宋" w:hAnsi="仿宋" w:eastAsia="仿宋" w:cs="仿宋"/>
          <w:sz w:val="24"/>
        </w:rPr>
        <w:t>联系方式：</w:t>
      </w:r>
      <w:bookmarkStart w:id="453" w:name="_Toc28359087"/>
      <w:bookmarkStart w:id="454" w:name="_Toc28359010"/>
      <w:r>
        <w:rPr>
          <w:rFonts w:hint="eastAsia" w:ascii="仿宋" w:hAnsi="仿宋" w:eastAsia="仿宋" w:cs="仿宋"/>
          <w:sz w:val="24"/>
          <w:u w:val="single"/>
          <w:lang w:val="en-US" w:eastAsia="zh-CN"/>
        </w:rPr>
        <w:t>杨昌明 19351171168</w:t>
      </w:r>
    </w:p>
    <w:bookmarkEnd w:id="453"/>
    <w:bookmarkEnd w:id="454"/>
    <w:p w14:paraId="01F2355F">
      <w:pP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br w:type="page"/>
      </w:r>
    </w:p>
    <w:p w14:paraId="0A26C799">
      <w:pPr>
        <w:pStyle w:val="4"/>
        <w:bidi w:val="0"/>
        <w:spacing w:line="360" w:lineRule="auto"/>
        <w:rPr>
          <w:rFonts w:hint="eastAsia" w:ascii="仿宋" w:hAnsi="仿宋" w:eastAsia="仿宋" w:cs="仿宋"/>
          <w:b/>
          <w:color w:val="auto"/>
          <w:highlight w:val="none"/>
          <w:lang w:eastAsia="zh-CN"/>
        </w:rPr>
      </w:pPr>
      <w:bookmarkStart w:id="455" w:name="_Toc25896"/>
      <w:r>
        <w:rPr>
          <w:rFonts w:hint="eastAsia" w:ascii="仿宋" w:hAnsi="仿宋" w:eastAsia="仿宋" w:cs="仿宋"/>
          <w:b/>
          <w:color w:val="auto"/>
          <w:highlight w:val="none"/>
          <w:lang w:val="en-US" w:eastAsia="zh-CN"/>
        </w:rPr>
        <w:t>第4章 投标人须知资料表</w:t>
      </w:r>
      <w:bookmarkEnd w:id="455"/>
    </w:p>
    <w:p w14:paraId="4DF62E05">
      <w:pPr>
        <w:spacing w:line="240" w:lineRule="atLeas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本表是本招标项目的具体资料，是对投标人须知的具体补充和修改，如有矛盾，应以本资料表为准。</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81"/>
        <w:gridCol w:w="7604"/>
      </w:tblGrid>
      <w:tr w14:paraId="40AF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81" w:type="dxa"/>
            <w:noWrap w:val="0"/>
            <w:vAlign w:val="center"/>
          </w:tcPr>
          <w:p w14:paraId="1A7C5991">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604" w:type="dxa"/>
            <w:noWrap w:val="0"/>
            <w:vAlign w:val="center"/>
          </w:tcPr>
          <w:p w14:paraId="3A7BF86C">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14:paraId="326E8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1" w:hRule="atLeast"/>
        </w:trPr>
        <w:tc>
          <w:tcPr>
            <w:tcW w:w="1381" w:type="dxa"/>
            <w:noWrap w:val="0"/>
            <w:vAlign w:val="center"/>
          </w:tcPr>
          <w:p w14:paraId="233066F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604" w:type="dxa"/>
            <w:noWrap w:val="0"/>
            <w:vAlign w:val="center"/>
          </w:tcPr>
          <w:p w14:paraId="0B00901B">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采购单位： 莎车县自然资源局    </w:t>
            </w:r>
          </w:p>
          <w:p w14:paraId="7B4EF27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人：王先生      </w:t>
            </w:r>
          </w:p>
          <w:p w14:paraId="71C5D1B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13199808816</w:t>
            </w:r>
          </w:p>
        </w:tc>
      </w:tr>
      <w:tr w14:paraId="0C61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81" w:type="dxa"/>
            <w:noWrap w:val="0"/>
            <w:vAlign w:val="center"/>
          </w:tcPr>
          <w:p w14:paraId="386F1217">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604" w:type="dxa"/>
            <w:noWrap w:val="0"/>
            <w:vAlign w:val="center"/>
          </w:tcPr>
          <w:p w14:paraId="27667F34">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称：新疆盛世乾元工程项目管理咨询有限公司</w:t>
            </w:r>
          </w:p>
          <w:p w14:paraId="068650B4">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址：新疆乌鲁木齐市水磨沟区南湖北路1956号亚欧财富广场 A 座1603室</w:t>
            </w:r>
          </w:p>
          <w:p w14:paraId="66A603F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联系方式：杨昌明   19351171168</w:t>
            </w:r>
          </w:p>
        </w:tc>
      </w:tr>
      <w:tr w14:paraId="68D48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6166D75A">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7604" w:type="dxa"/>
            <w:noWrap w:val="0"/>
            <w:vAlign w:val="center"/>
          </w:tcPr>
          <w:p w14:paraId="0442563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合格投标人的资格要求：</w:t>
            </w:r>
          </w:p>
          <w:p w14:paraId="2CF8F576">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p>
          <w:p w14:paraId="07A4A206">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2.投标单位需具有测绘乙级及以上（含乙级）资质；</w:t>
            </w:r>
          </w:p>
          <w:p w14:paraId="47B646C0">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3.法定代表人身份证明或法定代表人授权委托书及被授权人身份证； </w:t>
            </w:r>
          </w:p>
          <w:p w14:paraId="2C3B3E45">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4.近期（投标截止日期前六个月内任意一个月）依法缴纳社会保障金的缴费证明或银行出具的“银行电子缴纳社会保障金付款凭证”（新成立公司提供相关证明文件） ；</w:t>
            </w:r>
          </w:p>
          <w:p w14:paraId="01B12B20">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32EDE9E0">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color w:val="auto"/>
                <w:sz w:val="24"/>
                <w:szCs w:val="24"/>
                <w:highlight w:val="none"/>
                <w:lang w:val="en-US" w:eastAsia="zh-CN"/>
              </w:rPr>
              <w:t>提供2024年或2025年任意一年完整的财务审计报告（成立未满十二个月的新公司可提供近三个月内任意一个月的银行资信证明）；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sz w:val="24"/>
                <w:szCs w:val="24"/>
                <w:lang w:val="en-US" w:eastAsia="zh-CN"/>
              </w:rPr>
              <w:t>7.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4C983D0E">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8.提供参加政府采购活动前3年内在经营活动中没有重大违法记录的书面声明；</w:t>
            </w:r>
          </w:p>
          <w:p w14:paraId="7A2DF5B5">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9.提供针对本次项目《反商业贿赂承诺书》；</w:t>
            </w:r>
          </w:p>
          <w:p w14:paraId="2F57E79F">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10.必须具有履行合同所必需的设备和专业技术能力；</w:t>
            </w:r>
          </w:p>
          <w:p w14:paraId="40DC3EC3">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11.本项目不接受联合体投标；</w:t>
            </w:r>
          </w:p>
        </w:tc>
      </w:tr>
      <w:tr w14:paraId="3EFFD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381" w:type="dxa"/>
            <w:noWrap w:val="0"/>
            <w:vAlign w:val="center"/>
          </w:tcPr>
          <w:p w14:paraId="20405D02">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1.3.5   </w:t>
            </w:r>
          </w:p>
        </w:tc>
        <w:tc>
          <w:tcPr>
            <w:tcW w:w="7604" w:type="dxa"/>
            <w:noWrap w:val="0"/>
            <w:vAlign w:val="center"/>
          </w:tcPr>
          <w:p w14:paraId="0E60B57A">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是否允许采购进口产品：</w:t>
            </w:r>
            <w:r>
              <w:rPr>
                <w:rFonts w:hint="eastAsia" w:ascii="仿宋" w:hAnsi="仿宋" w:eastAsia="仿宋" w:cs="仿宋"/>
                <w:kern w:val="2"/>
                <w:sz w:val="24"/>
                <w:szCs w:val="24"/>
                <w:u w:val="single"/>
                <w:lang w:val="en-US" w:eastAsia="zh-CN" w:bidi="ar-SA"/>
              </w:rPr>
              <w:t xml:space="preserve"> 否</w:t>
            </w:r>
          </w:p>
        </w:tc>
      </w:tr>
      <w:tr w14:paraId="7FC9F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81" w:type="dxa"/>
            <w:noWrap w:val="0"/>
            <w:vAlign w:val="center"/>
          </w:tcPr>
          <w:p w14:paraId="6893892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604" w:type="dxa"/>
            <w:noWrap w:val="0"/>
            <w:vAlign w:val="center"/>
          </w:tcPr>
          <w:p w14:paraId="3E1C0F4F">
            <w:pPr>
              <w:pStyle w:val="2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是否为专门面向中小企业采购：</w:t>
            </w:r>
            <w:r>
              <w:rPr>
                <w:rFonts w:hint="eastAsia" w:ascii="仿宋" w:hAnsi="仿宋" w:eastAsia="仿宋" w:cs="仿宋"/>
                <w:kern w:val="2"/>
                <w:sz w:val="24"/>
                <w:szCs w:val="24"/>
                <w:u w:val="single"/>
                <w:lang w:val="en-US" w:eastAsia="zh-CN" w:bidi="ar-SA"/>
              </w:rPr>
              <w:t xml:space="preserve"> 否 </w:t>
            </w:r>
          </w:p>
        </w:tc>
      </w:tr>
      <w:tr w14:paraId="5D9CC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81" w:type="dxa"/>
            <w:noWrap w:val="0"/>
            <w:vAlign w:val="center"/>
          </w:tcPr>
          <w:p w14:paraId="5C00988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604" w:type="dxa"/>
            <w:noWrap w:val="0"/>
            <w:vAlign w:val="center"/>
          </w:tcPr>
          <w:p w14:paraId="07FE8B62">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是否允许联合体投标：</w:t>
            </w:r>
            <w:r>
              <w:rPr>
                <w:rFonts w:hint="eastAsia" w:ascii="仿宋" w:hAnsi="仿宋" w:eastAsia="仿宋" w:cs="仿宋"/>
                <w:sz w:val="24"/>
                <w:szCs w:val="24"/>
                <w:u w:val="single"/>
                <w:lang w:val="en-US" w:eastAsia="zh-CN"/>
              </w:rPr>
              <w:t xml:space="preserve"> 否</w:t>
            </w:r>
          </w:p>
        </w:tc>
      </w:tr>
      <w:tr w14:paraId="62EFF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381" w:type="dxa"/>
            <w:noWrap w:val="0"/>
            <w:vAlign w:val="center"/>
          </w:tcPr>
          <w:p w14:paraId="093CD13E">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1.4.8</w:t>
            </w:r>
          </w:p>
        </w:tc>
        <w:tc>
          <w:tcPr>
            <w:tcW w:w="7604" w:type="dxa"/>
            <w:noWrap w:val="0"/>
            <w:vAlign w:val="center"/>
          </w:tcPr>
          <w:p w14:paraId="6BA80518">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联合体的其他资格要求：</w:t>
            </w:r>
            <w:r>
              <w:rPr>
                <w:rFonts w:hint="eastAsia" w:ascii="仿宋" w:hAnsi="仿宋" w:eastAsia="仿宋" w:cs="仿宋"/>
                <w:sz w:val="24"/>
                <w:szCs w:val="24"/>
                <w:u w:val="single"/>
                <w:lang w:val="en-US" w:eastAsia="zh-CN"/>
              </w:rPr>
              <w:t>无</w:t>
            </w:r>
          </w:p>
        </w:tc>
      </w:tr>
      <w:tr w14:paraId="2D4EE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381" w:type="dxa"/>
            <w:noWrap w:val="0"/>
            <w:vAlign w:val="center"/>
          </w:tcPr>
          <w:p w14:paraId="553BE917">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7604" w:type="dxa"/>
            <w:noWrap w:val="0"/>
            <w:vAlign w:val="center"/>
          </w:tcPr>
          <w:p w14:paraId="0D70A484">
            <w:pPr>
              <w:keepNext w:val="0"/>
              <w:keepLines w:val="0"/>
              <w:suppressLineNumbers w:val="0"/>
              <w:tabs>
                <w:tab w:val="left" w:pos="5580"/>
              </w:tabs>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项目预算金额：300万元</w:t>
            </w:r>
          </w:p>
        </w:tc>
      </w:tr>
      <w:tr w14:paraId="56A60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81" w:type="dxa"/>
            <w:noWrap w:val="0"/>
            <w:vAlign w:val="center"/>
          </w:tcPr>
          <w:p w14:paraId="2F708AC0">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604" w:type="dxa"/>
            <w:noWrap w:val="0"/>
            <w:vAlign w:val="center"/>
          </w:tcPr>
          <w:p w14:paraId="716ED1AF">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保证金形式：</w:t>
            </w:r>
            <w:r>
              <w:rPr>
                <w:rFonts w:hint="eastAsia" w:ascii="仿宋" w:hAnsi="仿宋" w:eastAsia="仿宋" w:cs="仿宋"/>
                <w:b/>
                <w:bCs/>
                <w:iCs/>
                <w:sz w:val="24"/>
              </w:rPr>
              <w:t>☑保函  ☑电汇  ☑支票</w:t>
            </w:r>
            <w:r>
              <w:rPr>
                <w:rFonts w:hint="eastAsia" w:ascii="仿宋" w:hAnsi="仿宋" w:eastAsia="仿宋" w:cs="仿宋"/>
                <w:b/>
                <w:bCs/>
                <w:iCs/>
                <w:sz w:val="24"/>
                <w:lang w:val="en-US" w:eastAsia="zh-CN"/>
              </w:rPr>
              <w:t xml:space="preserve"> </w:t>
            </w:r>
            <w:r>
              <w:rPr>
                <w:rFonts w:hint="eastAsia" w:ascii="仿宋" w:hAnsi="仿宋" w:eastAsia="仿宋" w:cs="仿宋"/>
                <w:b/>
                <w:bCs/>
                <w:iCs/>
                <w:sz w:val="24"/>
              </w:rPr>
              <w:t xml:space="preserve">☑企业账户网银汇款 </w:t>
            </w:r>
          </w:p>
          <w:p w14:paraId="28CDE746">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rPr>
            </w:pPr>
            <w:r>
              <w:rPr>
                <w:rFonts w:hint="eastAsia" w:ascii="仿宋" w:hAnsi="仿宋" w:eastAsia="仿宋" w:cs="仿宋"/>
                <w:b/>
                <w:bCs/>
                <w:iCs/>
                <w:sz w:val="24"/>
                <w:highlight w:val="none"/>
              </w:rPr>
              <w:t>小写</w:t>
            </w:r>
            <w:r>
              <w:rPr>
                <w:rFonts w:hint="eastAsia" w:ascii="仿宋" w:hAnsi="仿宋" w:eastAsia="仿宋" w:cs="仿宋"/>
                <w:b/>
                <w:bCs/>
                <w:iCs/>
                <w:sz w:val="24"/>
                <w:highlight w:val="none"/>
                <w:lang w:val="en-US" w:eastAsia="zh-CN"/>
              </w:rPr>
              <w:t>60000.00元（</w:t>
            </w:r>
            <w:r>
              <w:rPr>
                <w:rFonts w:hint="eastAsia" w:ascii="仿宋" w:hAnsi="仿宋" w:eastAsia="仿宋" w:cs="仿宋"/>
                <w:b/>
                <w:bCs/>
                <w:iCs/>
                <w:sz w:val="24"/>
                <w:highlight w:val="none"/>
              </w:rPr>
              <w:t>大写：</w:t>
            </w:r>
            <w:r>
              <w:rPr>
                <w:rFonts w:hint="eastAsia" w:ascii="仿宋" w:hAnsi="仿宋" w:eastAsia="仿宋" w:cs="仿宋"/>
                <w:b/>
                <w:bCs/>
                <w:iCs/>
                <w:sz w:val="24"/>
                <w:highlight w:val="none"/>
                <w:lang w:val="en-US" w:eastAsia="zh-CN"/>
              </w:rPr>
              <w:t>陆万元整</w:t>
            </w:r>
            <w:r>
              <w:rPr>
                <w:rFonts w:hint="eastAsia" w:ascii="仿宋" w:hAnsi="仿宋" w:eastAsia="仿宋" w:cs="仿宋"/>
                <w:b/>
                <w:bCs/>
                <w:iCs/>
                <w:sz w:val="24"/>
                <w:highlight w:val="none"/>
              </w:rPr>
              <w:t>）</w:t>
            </w:r>
          </w:p>
          <w:p w14:paraId="7D33FF27">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保证金收款人：新疆盛世乾元工程项目管理咨询有限公司克拉玛依市分公司</w:t>
            </w:r>
          </w:p>
          <w:p w14:paraId="375BF003">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账户名：新疆盛世乾元工程项目管理咨询有限公司克拉玛依市分公司</w:t>
            </w:r>
          </w:p>
          <w:p w14:paraId="7D6952B4">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账  号：88202100981730000026</w:t>
            </w:r>
          </w:p>
          <w:p w14:paraId="4754A99D">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开户行：昆仑银行股份有限公司克拉玛依友谊路支行</w:t>
            </w:r>
          </w:p>
          <w:p w14:paraId="25E7793E">
            <w:pPr>
              <w:keepNext w:val="0"/>
              <w:keepLines w:val="0"/>
              <w:suppressLineNumbers w:val="0"/>
              <w:spacing w:before="0" w:beforeAutospacing="0" w:after="0" w:afterAutospacing="0" w:line="360" w:lineRule="auto"/>
              <w:ind w:left="0" w:right="0"/>
              <w:rPr>
                <w:rFonts w:hint="default"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行号： 313882000045</w:t>
            </w:r>
            <w:r>
              <w:rPr>
                <w:rFonts w:hint="eastAsia" w:ascii="仿宋" w:hAnsi="仿宋" w:eastAsia="仿宋" w:cs="仿宋"/>
                <w:b/>
                <w:bCs/>
                <w:iCs/>
                <w:sz w:val="24"/>
                <w:highlight w:val="none"/>
                <w:lang w:val="en-US" w:eastAsia="zh-CN"/>
              </w:rPr>
              <w:br w:type="textWrapping"/>
            </w:r>
            <w:r>
              <w:rPr>
                <w:rFonts w:hint="eastAsia" w:ascii="仿宋" w:hAnsi="仿宋" w:eastAsia="仿宋" w:cs="仿宋"/>
                <w:b/>
                <w:bCs/>
                <w:iCs/>
                <w:sz w:val="24"/>
                <w:highlight w:val="none"/>
                <w:lang w:val="en-US" w:eastAsia="zh-CN"/>
              </w:rPr>
              <w:t>联系电话：19351171168</w:t>
            </w:r>
          </w:p>
          <w:p w14:paraId="286FF7CC">
            <w:pPr>
              <w:keepNext w:val="0"/>
              <w:keepLines w:val="0"/>
              <w:suppressLineNumbers w:val="0"/>
              <w:spacing w:before="0" w:beforeAutospacing="0" w:after="0" w:afterAutospacing="0" w:line="360" w:lineRule="auto"/>
              <w:ind w:left="0" w:right="0"/>
              <w:rPr>
                <w:rFonts w:hint="eastAsia" w:ascii="仿宋" w:hAnsi="仿宋" w:eastAsia="仿宋" w:cs="仿宋"/>
                <w:b/>
                <w:bCs/>
                <w:iCs/>
                <w:sz w:val="24"/>
                <w:highlight w:val="none"/>
                <w:lang w:val="en-US" w:eastAsia="zh-CN"/>
              </w:rPr>
            </w:pPr>
            <w:r>
              <w:rPr>
                <w:rFonts w:hint="eastAsia" w:ascii="仿宋" w:hAnsi="仿宋" w:eastAsia="仿宋" w:cs="仿宋"/>
                <w:b/>
                <w:bCs/>
                <w:iCs/>
                <w:sz w:val="24"/>
                <w:highlight w:val="none"/>
                <w:lang w:val="en-US" w:eastAsia="zh-CN"/>
              </w:rPr>
              <w:t>打款时注明投标保证金项目名称</w:t>
            </w:r>
          </w:p>
          <w:p w14:paraId="4BC4C198">
            <w:pPr>
              <w:keepNext w:val="0"/>
              <w:keepLines w:val="0"/>
              <w:suppressLineNumbers w:val="0"/>
              <w:spacing w:before="0" w:beforeAutospacing="0" w:after="0" w:afterAutospacing="0" w:line="360" w:lineRule="auto"/>
              <w:ind w:left="0" w:right="0"/>
              <w:rPr>
                <w:rFonts w:hint="default" w:ascii="仿宋" w:hAnsi="仿宋" w:eastAsia="仿宋" w:cs="仿宋"/>
                <w:b/>
                <w:bCs/>
                <w:iCs/>
                <w:sz w:val="24"/>
                <w:highlight w:val="none"/>
              </w:rPr>
            </w:pPr>
            <w:r>
              <w:rPr>
                <w:rFonts w:hint="eastAsia" w:ascii="仿宋" w:hAnsi="仿宋" w:eastAsia="仿宋" w:cs="仿宋"/>
                <w:b/>
                <w:bCs/>
                <w:iCs/>
                <w:sz w:val="24"/>
                <w:highlight w:val="none"/>
              </w:rPr>
              <w:t>到账截止时间</w:t>
            </w:r>
            <w:r>
              <w:rPr>
                <w:rFonts w:hint="default" w:ascii="仿宋" w:hAnsi="仿宋" w:eastAsia="仿宋" w:cs="仿宋"/>
                <w:b/>
                <w:bCs/>
                <w:iCs/>
                <w:sz w:val="24"/>
                <w:highlight w:val="none"/>
              </w:rPr>
              <w:t>：</w:t>
            </w:r>
            <w:r>
              <w:rPr>
                <w:rFonts w:hint="eastAsia" w:ascii="仿宋" w:hAnsi="仿宋" w:eastAsia="仿宋" w:cs="仿宋"/>
                <w:b/>
                <w:bCs/>
                <w:iCs/>
                <w:sz w:val="24"/>
                <w:highlight w:val="none"/>
                <w:lang w:val="en-US" w:eastAsia="zh-CN"/>
              </w:rPr>
              <w:t>2026年6月23日11:00（北京时间）</w:t>
            </w:r>
            <w:r>
              <w:rPr>
                <w:rFonts w:hint="default" w:ascii="仿宋" w:hAnsi="仿宋" w:eastAsia="仿宋" w:cs="仿宋"/>
                <w:b/>
                <w:bCs/>
                <w:iCs/>
                <w:sz w:val="24"/>
                <w:highlight w:val="none"/>
              </w:rPr>
              <w:t>。</w:t>
            </w:r>
          </w:p>
          <w:p w14:paraId="09B3CC6A">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注：1.《中华人民共和国政府采购法实施条例》第三十三条：招标文件</w:t>
            </w:r>
          </w:p>
          <w:p w14:paraId="16CC037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要求投标人提交投标保证金的，投标保证金不得超过采购项目预算金额</w:t>
            </w:r>
          </w:p>
          <w:p w14:paraId="556E72CB">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的 2%。投标保证金应当以支票、汇票、本票或者金融机构、担保机构出</w:t>
            </w:r>
          </w:p>
          <w:p w14:paraId="7BBC0F9D">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具的保函等非现金形式提交。投标人未按照招标文件要求提交投标保证</w:t>
            </w:r>
          </w:p>
          <w:p w14:paraId="4B6DD470">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金的，投标无效。</w:t>
            </w:r>
          </w:p>
          <w:p w14:paraId="1AF01BE1">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2.根据《关于在政府采购活动中进一步推动开展信用担保工作的通知》，鼓励使用电子保函。</w:t>
            </w:r>
          </w:p>
          <w:p w14:paraId="0034666E">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3.使用保函的，保函的有效期不得低于投标有效期。</w:t>
            </w:r>
          </w:p>
          <w:p w14:paraId="28A71E7B">
            <w:pPr>
              <w:keepNext w:val="0"/>
              <w:keepLines w:val="0"/>
              <w:suppressLineNumbers w:val="0"/>
              <w:spacing w:before="0" w:beforeAutospacing="0" w:after="0" w:afterAutospacing="0" w:line="240" w:lineRule="atLeast"/>
              <w:ind w:left="0" w:right="0"/>
              <w:rPr>
                <w:rFonts w:hint="eastAsia" w:ascii="仿宋" w:hAnsi="仿宋" w:eastAsia="仿宋" w:cs="仿宋"/>
                <w:i/>
                <w:color w:val="auto"/>
                <w:sz w:val="24"/>
                <w:highlight w:val="none"/>
                <w:lang w:val="en-US" w:eastAsia="zh-CN"/>
              </w:rPr>
            </w:pPr>
            <w:r>
              <w:rPr>
                <w:rFonts w:hint="eastAsia" w:ascii="仿宋" w:hAnsi="仿宋" w:eastAsia="仿宋" w:cs="仿宋"/>
                <w:color w:val="auto"/>
                <w:sz w:val="24"/>
                <w:highlight w:val="none"/>
                <w:lang w:val="en-US" w:eastAsia="zh-CN"/>
              </w:rPr>
              <w:t>4.退还保证金：开评标结束后，根据</w:t>
            </w:r>
            <w:r>
              <w:rPr>
                <w:rFonts w:hint="eastAsia" w:ascii="仿宋" w:hAnsi="仿宋" w:eastAsia="仿宋" w:cs="仿宋"/>
                <w:color w:val="auto"/>
                <w:sz w:val="24"/>
                <w:highlight w:val="none"/>
              </w:rPr>
              <w:t xml:space="preserve">《政府采购货物和服务招标投标管理办法》（财政部第 </w:t>
            </w: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 xml:space="preserve"> 号令）</w:t>
            </w:r>
            <w:r>
              <w:rPr>
                <w:rFonts w:hint="eastAsia" w:ascii="仿宋" w:hAnsi="仿宋" w:eastAsia="仿宋" w:cs="仿宋"/>
                <w:color w:val="auto"/>
                <w:sz w:val="24"/>
                <w:highlight w:val="none"/>
                <w:lang w:val="en-US" w:eastAsia="zh-CN"/>
              </w:rPr>
              <w:t>第三十八条投标人在投标截止时间前撤回已提交的投标文件的，采购人或者采购代理机构应当自收到投标人书面撤回通知之日起5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tc>
      </w:tr>
      <w:tr w14:paraId="4F93D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81" w:type="dxa"/>
            <w:noWrap w:val="0"/>
            <w:vAlign w:val="center"/>
          </w:tcPr>
          <w:p w14:paraId="285C87AD">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604" w:type="dxa"/>
            <w:noWrap w:val="0"/>
            <w:vAlign w:val="center"/>
          </w:tcPr>
          <w:p w14:paraId="6858D9CC">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投标有效期：　</w:t>
            </w:r>
            <w:r>
              <w:rPr>
                <w:rFonts w:hint="eastAsia" w:ascii="仿宋" w:hAnsi="仿宋" w:eastAsia="仿宋" w:cs="仿宋"/>
                <w:color w:val="auto"/>
                <w:sz w:val="24"/>
                <w:highlight w:val="none"/>
                <w:u w:val="single"/>
                <w:lang w:val="en-US" w:eastAsia="zh-CN"/>
              </w:rPr>
              <w:t>　90　　</w:t>
            </w:r>
            <w:r>
              <w:rPr>
                <w:rFonts w:hint="eastAsia" w:ascii="仿宋" w:hAnsi="仿宋" w:eastAsia="仿宋" w:cs="仿宋"/>
                <w:color w:val="auto"/>
                <w:sz w:val="24"/>
                <w:highlight w:val="none"/>
                <w:lang w:val="en-US" w:eastAsia="zh-CN"/>
              </w:rPr>
              <w:t>日历日</w:t>
            </w:r>
          </w:p>
        </w:tc>
      </w:tr>
      <w:tr w14:paraId="5616E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81" w:type="dxa"/>
            <w:noWrap w:val="0"/>
            <w:vAlign w:val="center"/>
          </w:tcPr>
          <w:p w14:paraId="3372847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7604" w:type="dxa"/>
            <w:noWrap w:val="0"/>
            <w:vAlign w:val="center"/>
          </w:tcPr>
          <w:p w14:paraId="6CAAC64A">
            <w:pPr>
              <w:keepNext w:val="0"/>
              <w:keepLines w:val="0"/>
              <w:suppressLineNumbers w:val="0"/>
              <w:spacing w:before="0" w:beforeAutospacing="0" w:after="0" w:afterAutospacing="0" w:line="240" w:lineRule="atLeast"/>
              <w:ind w:left="0" w:right="0"/>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 xml:space="preserve">投标文件包括： </w:t>
            </w:r>
          </w:p>
          <w:p w14:paraId="54D46902">
            <w:pPr>
              <w:keepNext w:val="0"/>
              <w:keepLines w:val="0"/>
              <w:suppressLineNumbers w:val="0"/>
              <w:spacing w:before="0" w:beforeAutospacing="0" w:after="0" w:afterAutospacing="0" w:line="240" w:lineRule="atLeast"/>
              <w:ind w:left="0" w:right="0"/>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 xml:space="preserve">1.加密的电子投标文件，在投标截止时间前通过新疆维吾尔自治区政府采购网上传； </w:t>
            </w:r>
          </w:p>
          <w:p w14:paraId="32240346">
            <w:pPr>
              <w:pStyle w:val="39"/>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因投标人自身原因导致解密失败的，将导致其投标被拒绝且投标文件被退回；但因网上招标系统故障导致所有投标人均解密失败时，使用投标人未加密的电子投标文件进行开评标。未按照招标代理要求及时提供未加密电子投标文件导致解密失败的，由投标人自行承担责任，默认解密时长为：30分钟。</w:t>
            </w:r>
          </w:p>
        </w:tc>
      </w:tr>
      <w:tr w14:paraId="13198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81" w:type="dxa"/>
            <w:noWrap w:val="0"/>
            <w:vAlign w:val="center"/>
          </w:tcPr>
          <w:p w14:paraId="67417F17">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604" w:type="dxa"/>
            <w:noWrap w:val="0"/>
            <w:vAlign w:val="center"/>
          </w:tcPr>
          <w:p w14:paraId="4C3F975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u w:val="single"/>
                <w:lang w:val="en-US" w:eastAsia="zh-CN"/>
              </w:rPr>
              <w:t>2026年6月23日11点00分（北京时间）</w:t>
            </w:r>
          </w:p>
        </w:tc>
      </w:tr>
      <w:tr w14:paraId="15D63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56F80DFC">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7604" w:type="dxa"/>
            <w:noWrap w:val="0"/>
            <w:vAlign w:val="center"/>
          </w:tcPr>
          <w:p w14:paraId="4CE6E06E">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single"/>
                <w:lang w:val="en-US" w:eastAsia="zh-CN"/>
              </w:rPr>
              <w:t>2026年6月23日11点00分（北京时间）</w:t>
            </w:r>
          </w:p>
          <w:p w14:paraId="4469C87C">
            <w:pPr>
              <w:keepNext w:val="0"/>
              <w:keepLines w:val="0"/>
              <w:suppressLineNumbers w:val="0"/>
              <w:spacing w:before="0" w:beforeAutospacing="0" w:after="0" w:afterAutospacing="0" w:line="240" w:lineRule="atLeas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lang w:val="en-US" w:eastAsia="zh-CN"/>
              </w:rPr>
              <w:t>政采云平台</w:t>
            </w:r>
          </w:p>
        </w:tc>
      </w:tr>
      <w:tr w14:paraId="411B0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8" w:hRule="atLeast"/>
        </w:trPr>
        <w:tc>
          <w:tcPr>
            <w:tcW w:w="1381" w:type="dxa"/>
            <w:noWrap w:val="0"/>
            <w:vAlign w:val="center"/>
          </w:tcPr>
          <w:p w14:paraId="7199CF8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604" w:type="dxa"/>
            <w:noWrap w:val="0"/>
            <w:vAlign w:val="center"/>
          </w:tcPr>
          <w:p w14:paraId="008E5BDA">
            <w:pPr>
              <w:keepNext w:val="0"/>
              <w:keepLines w:val="0"/>
              <w:suppressLineNumbers w:val="0"/>
              <w:spacing w:before="0" w:beforeAutospacing="0" w:after="0" w:afterAutospacing="0" w:line="240" w:lineRule="atLeast"/>
              <w:ind w:left="0" w:right="0"/>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评标方法：适用</w:t>
            </w:r>
            <w:r>
              <w:rPr>
                <w:rFonts w:hint="eastAsia" w:ascii="仿宋" w:hAnsi="仿宋" w:eastAsia="仿宋" w:cs="仿宋"/>
                <w:color w:val="auto"/>
                <w:sz w:val="24"/>
                <w:szCs w:val="24"/>
                <w:highlight w:val="none"/>
                <w:u w:val="single"/>
              </w:rPr>
              <w:t>　中华人民共和国财政部令第87号</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政府采购货物和服务招标投标管理办法第五十五条综合评分法　　</w:t>
            </w:r>
            <w:r>
              <w:rPr>
                <w:rFonts w:hint="eastAsia" w:ascii="仿宋" w:hAnsi="仿宋" w:eastAsia="仿宋" w:cs="仿宋"/>
                <w:color w:val="auto"/>
                <w:sz w:val="24"/>
                <w:szCs w:val="24"/>
                <w:highlight w:val="none"/>
              </w:rPr>
              <w:t>　　　　　</w:t>
            </w:r>
          </w:p>
        </w:tc>
      </w:tr>
      <w:tr w14:paraId="106D3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66BB340D">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604" w:type="dxa"/>
            <w:noWrap w:val="0"/>
            <w:vAlign w:val="center"/>
          </w:tcPr>
          <w:p w14:paraId="39E10127">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推荐中标候选供应商的数量：</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eastAsia="zh-CN"/>
              </w:rPr>
              <w:t>三名</w:t>
            </w:r>
            <w:r>
              <w:rPr>
                <w:rFonts w:hint="eastAsia" w:ascii="仿宋" w:hAnsi="仿宋" w:eastAsia="仿宋" w:cs="仿宋"/>
                <w:color w:val="auto"/>
                <w:sz w:val="24"/>
                <w:szCs w:val="24"/>
                <w:highlight w:val="none"/>
                <w:u w:val="single"/>
              </w:rPr>
              <w:t xml:space="preserve">   　　</w:t>
            </w:r>
          </w:p>
        </w:tc>
      </w:tr>
      <w:tr w14:paraId="59F99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trPr>
        <w:tc>
          <w:tcPr>
            <w:tcW w:w="1381" w:type="dxa"/>
            <w:noWrap w:val="0"/>
            <w:vAlign w:val="center"/>
          </w:tcPr>
          <w:p w14:paraId="4F784BE5">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604" w:type="dxa"/>
            <w:noWrap w:val="0"/>
            <w:vAlign w:val="center"/>
          </w:tcPr>
          <w:p w14:paraId="0CF88724">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招标人是否委托评标委员会直接确定中标人：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color w:val="auto"/>
                <w:sz w:val="24"/>
                <w:szCs w:val="24"/>
                <w:highlight w:val="none"/>
              </w:rPr>
              <w:t>（是、否）</w:t>
            </w:r>
          </w:p>
        </w:tc>
      </w:tr>
      <w:tr w14:paraId="05626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1381" w:type="dxa"/>
            <w:noWrap w:val="0"/>
            <w:vAlign w:val="center"/>
          </w:tcPr>
          <w:p w14:paraId="1B42DF5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w:t>
            </w:r>
          </w:p>
        </w:tc>
        <w:tc>
          <w:tcPr>
            <w:tcW w:w="7604" w:type="dxa"/>
            <w:noWrap w:val="0"/>
            <w:vAlign w:val="center"/>
          </w:tcPr>
          <w:p w14:paraId="785D4891">
            <w:pPr>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yellow"/>
                <w:lang w:val="en-US" w:eastAsia="zh-CN" w:bidi="ar-SA"/>
              </w:rPr>
            </w:pPr>
            <w:r>
              <w:rPr>
                <w:rFonts w:hint="eastAsia" w:ascii="仿宋" w:hAnsi="仿宋" w:eastAsia="仿宋" w:cs="仿宋"/>
                <w:kern w:val="0"/>
                <w:sz w:val="24"/>
                <w:szCs w:val="24"/>
                <w:lang w:eastAsia="zh-CN"/>
              </w:rPr>
              <w:t>代理</w:t>
            </w:r>
            <w:r>
              <w:rPr>
                <w:rFonts w:hint="eastAsia" w:ascii="仿宋" w:hAnsi="仿宋" w:eastAsia="仿宋" w:cs="仿宋"/>
                <w:kern w:val="0"/>
                <w:sz w:val="24"/>
                <w:szCs w:val="24"/>
              </w:rPr>
              <w:t>服务费：差额累</w:t>
            </w:r>
            <w:r>
              <w:rPr>
                <w:rFonts w:hint="eastAsia" w:ascii="仿宋" w:hAnsi="仿宋" w:eastAsia="仿宋" w:cs="仿宋"/>
                <w:kern w:val="0"/>
                <w:sz w:val="24"/>
                <w:szCs w:val="24"/>
                <w:lang w:val="en-US" w:eastAsia="zh-CN"/>
              </w:rPr>
              <w:t>进</w:t>
            </w:r>
            <w:r>
              <w:rPr>
                <w:rFonts w:hint="eastAsia" w:ascii="仿宋" w:hAnsi="仿宋" w:eastAsia="仿宋" w:cs="仿宋"/>
                <w:kern w:val="0"/>
                <w:sz w:val="24"/>
                <w:szCs w:val="24"/>
              </w:rPr>
              <w:t>法</w:t>
            </w:r>
            <w:r>
              <w:rPr>
                <w:rFonts w:hint="eastAsia" w:ascii="仿宋" w:hAnsi="仿宋" w:eastAsia="仿宋" w:cs="仿宋"/>
                <w:kern w:val="0"/>
                <w:sz w:val="24"/>
                <w:szCs w:val="24"/>
                <w:highlight w:val="none"/>
              </w:rPr>
              <w:t>中标金额</w:t>
            </w:r>
            <w:r>
              <w:rPr>
                <w:rFonts w:hint="eastAsia" w:ascii="仿宋" w:hAnsi="仿宋" w:eastAsia="仿宋" w:cs="仿宋"/>
                <w:kern w:val="0"/>
                <w:sz w:val="24"/>
                <w:szCs w:val="24"/>
                <w:highlight w:val="none"/>
                <w:lang w:val="en-US" w:eastAsia="zh-CN"/>
              </w:rPr>
              <w:t>100万以下按1.5%收取；</w:t>
            </w:r>
            <w:r>
              <w:rPr>
                <w:rFonts w:hint="eastAsia" w:ascii="仿宋" w:hAnsi="仿宋" w:eastAsia="仿宋" w:cs="仿宋"/>
                <w:kern w:val="0"/>
                <w:sz w:val="24"/>
                <w:szCs w:val="24"/>
                <w:highlight w:val="none"/>
              </w:rPr>
              <w:t>中标金额</w:t>
            </w:r>
            <w:r>
              <w:rPr>
                <w:rFonts w:hint="eastAsia" w:ascii="仿宋" w:hAnsi="仿宋" w:eastAsia="仿宋" w:cs="仿宋"/>
                <w:kern w:val="0"/>
                <w:sz w:val="24"/>
                <w:szCs w:val="24"/>
                <w:highlight w:val="none"/>
                <w:lang w:eastAsia="zh-CN"/>
              </w:rPr>
              <w:t>100万-</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00万</w:t>
            </w:r>
            <w:r>
              <w:rPr>
                <w:rFonts w:hint="eastAsia" w:ascii="仿宋" w:hAnsi="仿宋" w:eastAsia="仿宋" w:cs="仿宋"/>
                <w:kern w:val="0"/>
                <w:sz w:val="24"/>
                <w:szCs w:val="24"/>
                <w:highlight w:val="none"/>
              </w:rPr>
              <w:t>元的按</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%收取；</w:t>
            </w:r>
            <w:r>
              <w:rPr>
                <w:rFonts w:hint="eastAsia" w:ascii="仿宋" w:hAnsi="仿宋" w:eastAsia="仿宋" w:cs="仿宋"/>
                <w:color w:val="auto"/>
                <w:kern w:val="0"/>
                <w:sz w:val="24"/>
                <w:szCs w:val="24"/>
                <w:highlight w:val="none"/>
                <w:lang w:val="en-US" w:eastAsia="zh-CN" w:bidi="ar-SA"/>
              </w:rPr>
              <w:t>（由中标单位支付）。</w:t>
            </w:r>
          </w:p>
          <w:p w14:paraId="4786BC18">
            <w:pPr>
              <w:pStyle w:val="39"/>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支付形式：对公转账                              </w:t>
            </w:r>
          </w:p>
          <w:p w14:paraId="73C4BFA2">
            <w:pPr>
              <w:pStyle w:val="39"/>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支付时间：领取中标通知书时由中标方支付一次性支付</w:t>
            </w:r>
          </w:p>
        </w:tc>
      </w:tr>
      <w:tr w14:paraId="621D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 w:hRule="atLeast"/>
        </w:trPr>
        <w:tc>
          <w:tcPr>
            <w:tcW w:w="1381" w:type="dxa"/>
            <w:noWrap w:val="0"/>
            <w:vAlign w:val="center"/>
          </w:tcPr>
          <w:p w14:paraId="40630010">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33.1</w:t>
            </w:r>
          </w:p>
        </w:tc>
        <w:tc>
          <w:tcPr>
            <w:tcW w:w="7604" w:type="dxa"/>
            <w:noWrap w:val="0"/>
            <w:vAlign w:val="center"/>
          </w:tcPr>
          <w:p w14:paraId="7517D9B2">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本项目是否属于信用担保试点范围：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color w:val="auto"/>
                <w:sz w:val="24"/>
                <w:szCs w:val="24"/>
                <w:highlight w:val="none"/>
              </w:rPr>
              <w:t>（是、否）</w:t>
            </w:r>
          </w:p>
        </w:tc>
      </w:tr>
      <w:tr w14:paraId="021CD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81" w:type="dxa"/>
            <w:noWrap w:val="0"/>
            <w:vAlign w:val="center"/>
          </w:tcPr>
          <w:p w14:paraId="53A7669D">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33.2</w:t>
            </w:r>
          </w:p>
        </w:tc>
        <w:tc>
          <w:tcPr>
            <w:tcW w:w="7604" w:type="dxa"/>
            <w:noWrap w:val="0"/>
            <w:vAlign w:val="center"/>
          </w:tcPr>
          <w:p w14:paraId="2D38F887">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政府采购专业担保机构：</w:t>
            </w:r>
          </w:p>
          <w:p w14:paraId="3D4894E5">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信用担保专业的担保机构：莎车县宏远融资担保有限责任公司 </w:t>
            </w:r>
          </w:p>
          <w:p w14:paraId="56D39264">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联系人：王升 </w:t>
            </w:r>
          </w:p>
          <w:p w14:paraId="1E5ADEEB">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联系电话：18699899296</w:t>
            </w:r>
          </w:p>
          <w:p w14:paraId="0A185F0E">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地址：莎车县新城路16号</w:t>
            </w:r>
          </w:p>
          <w:p w14:paraId="5ADA68A1">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邮箱：245462334@qq.com</w:t>
            </w:r>
          </w:p>
          <w:p w14:paraId="03A4EDB1">
            <w:pPr>
              <w:keepNext w:val="0"/>
              <w:keepLines w:val="0"/>
              <w:suppressLineNumbers w:val="0"/>
              <w:spacing w:before="0" w:beforeAutospacing="0" w:after="0" w:afterAutospacing="0" w:line="240" w:lineRule="atLeast"/>
              <w:ind w:left="0" w:right="0"/>
              <w:rPr>
                <w:rFonts w:hint="eastAsia" w:ascii="仿宋" w:hAnsi="仿宋" w:eastAsia="仿宋" w:cs="仿宋"/>
                <w:sz w:val="24"/>
                <w:szCs w:val="24"/>
                <w:lang w:eastAsia="zh-CN"/>
              </w:rPr>
            </w:pPr>
            <w:r>
              <w:rPr>
                <w:rFonts w:hint="eastAsia" w:ascii="仿宋" w:hAnsi="仿宋" w:eastAsia="仿宋" w:cs="仿宋"/>
                <w:color w:val="auto"/>
                <w:kern w:val="0"/>
                <w:sz w:val="24"/>
                <w:szCs w:val="24"/>
                <w:highlight w:val="none"/>
                <w:lang w:val="en-US" w:eastAsia="zh-CN" w:bidi="ar-SA"/>
              </w:rPr>
              <w:t>注：“以上担保机构只是给投标商多一个选择，最终选择哪个机构由投标单位自己决定，不论选择哪个合法的担保机构，不影响正常项目投标。”</w:t>
            </w:r>
          </w:p>
        </w:tc>
      </w:tr>
      <w:tr w14:paraId="124B5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81" w:type="dxa"/>
            <w:noWrap w:val="0"/>
            <w:vAlign w:val="center"/>
          </w:tcPr>
          <w:p w14:paraId="242247BD">
            <w:pPr>
              <w:keepNext w:val="0"/>
              <w:keepLines w:val="0"/>
              <w:suppressLineNumbers w:val="0"/>
              <w:spacing w:before="0" w:beforeAutospacing="0" w:after="0" w:afterAutospacing="0" w:line="240" w:lineRule="atLeast"/>
              <w:ind w:left="1080" w:leftChars="257" w:right="0" w:hanging="54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36.3</w:t>
            </w:r>
          </w:p>
        </w:tc>
        <w:tc>
          <w:tcPr>
            <w:tcW w:w="7604" w:type="dxa"/>
            <w:noWrap w:val="0"/>
            <w:vAlign w:val="center"/>
          </w:tcPr>
          <w:p w14:paraId="0188E0C6">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质疑函</w:t>
            </w:r>
            <w:r>
              <w:rPr>
                <w:rFonts w:hint="eastAsia" w:ascii="仿宋" w:hAnsi="仿宋" w:eastAsia="仿宋" w:cs="仿宋"/>
                <w:color w:val="auto"/>
                <w:sz w:val="24"/>
                <w:szCs w:val="24"/>
                <w:highlight w:val="none"/>
              </w:rPr>
              <w:t>接收部门：</w:t>
            </w:r>
            <w:r>
              <w:rPr>
                <w:rFonts w:hint="eastAsia" w:ascii="仿宋" w:hAnsi="仿宋" w:eastAsia="仿宋" w:cs="仿宋"/>
                <w:color w:val="auto"/>
                <w:sz w:val="24"/>
                <w:szCs w:val="24"/>
                <w:highlight w:val="none"/>
                <w:u w:val="single"/>
                <w:lang w:eastAsia="zh-CN"/>
              </w:rPr>
              <w:t>新疆盛世乾元工程项目管理咨询有限公司招标部</w:t>
            </w:r>
          </w:p>
          <w:p w14:paraId="6C5F9A50">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19351171168   </w:t>
            </w:r>
            <w:r>
              <w:rPr>
                <w:rFonts w:hint="eastAsia" w:ascii="仿宋" w:hAnsi="仿宋" w:eastAsia="仿宋" w:cs="仿宋"/>
                <w:color w:val="auto"/>
                <w:sz w:val="24"/>
                <w:szCs w:val="24"/>
                <w:highlight w:val="none"/>
                <w:lang w:val="en-US" w:eastAsia="zh-CN"/>
              </w:rPr>
              <w:t xml:space="preserve">    递交形式：</w:t>
            </w:r>
            <w:r>
              <w:rPr>
                <w:rFonts w:hint="eastAsia" w:ascii="仿宋" w:hAnsi="仿宋" w:eastAsia="仿宋" w:cs="仿宋"/>
                <w:color w:val="auto"/>
                <w:sz w:val="24"/>
                <w:szCs w:val="24"/>
                <w:highlight w:val="none"/>
                <w:u w:val="single"/>
                <w:lang w:val="en-US" w:eastAsia="zh-CN"/>
              </w:rPr>
              <w:t>书面形式</w:t>
            </w:r>
          </w:p>
          <w:p w14:paraId="7A8EA4A3">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single"/>
                <w:lang w:val="en-US" w:eastAsia="zh-CN"/>
              </w:rPr>
              <w:t>新疆喀什市明宇广场写字楼19层</w:t>
            </w:r>
          </w:p>
        </w:tc>
      </w:tr>
      <w:tr w14:paraId="30B09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199FD377">
            <w:pPr>
              <w:keepNext w:val="0"/>
              <w:keepLines w:val="0"/>
              <w:suppressLineNumbers w:val="0"/>
              <w:spacing w:before="0" w:beforeAutospacing="0" w:after="0" w:afterAutospacing="0" w:line="240" w:lineRule="atLeast"/>
              <w:ind w:left="1080" w:leftChars="257" w:right="0" w:hanging="54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36.10</w:t>
            </w:r>
          </w:p>
        </w:tc>
        <w:tc>
          <w:tcPr>
            <w:tcW w:w="7604" w:type="dxa"/>
            <w:noWrap w:val="0"/>
            <w:vAlign w:val="center"/>
          </w:tcPr>
          <w:p w14:paraId="24E37DFF">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受理投诉的方式、联系部门、联系电话和通讯地址等信息</w:t>
            </w:r>
            <w:r>
              <w:rPr>
                <w:rFonts w:hint="eastAsia" w:ascii="仿宋" w:hAnsi="仿宋" w:eastAsia="仿宋" w:cs="仿宋"/>
                <w:color w:val="auto"/>
                <w:sz w:val="24"/>
                <w:szCs w:val="24"/>
                <w:highlight w:val="none"/>
                <w:lang w:eastAsia="zh-CN"/>
              </w:rPr>
              <w:t>请在新疆政府采购网“政府采购投诉联系方式”模块查询。</w:t>
            </w:r>
          </w:p>
        </w:tc>
      </w:tr>
      <w:tr w14:paraId="2C4F7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985" w:type="dxa"/>
            <w:gridSpan w:val="2"/>
            <w:tcBorders>
              <w:top w:val="single" w:color="auto" w:sz="12" w:space="0"/>
              <w:left w:val="single" w:color="auto" w:sz="12" w:space="0"/>
              <w:bottom w:val="single" w:color="auto" w:sz="12" w:space="0"/>
              <w:right w:val="single" w:color="auto" w:sz="12" w:space="0"/>
            </w:tcBorders>
            <w:noWrap w:val="0"/>
            <w:vAlign w:val="center"/>
          </w:tcPr>
          <w:p w14:paraId="1AC8464D">
            <w:pPr>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适用于本投标人须知的额外增加的变动：</w:t>
            </w:r>
          </w:p>
        </w:tc>
      </w:tr>
      <w:tr w14:paraId="7ACD9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5" w:hRule="atLeast"/>
        </w:trPr>
        <w:tc>
          <w:tcPr>
            <w:tcW w:w="1381" w:type="dxa"/>
            <w:noWrap w:val="0"/>
            <w:vAlign w:val="center"/>
          </w:tcPr>
          <w:p w14:paraId="556435AE">
            <w:pPr>
              <w:keepNext w:val="0"/>
              <w:keepLines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604" w:type="dxa"/>
            <w:noWrap w:val="0"/>
            <w:vAlign w:val="center"/>
          </w:tcPr>
          <w:p w14:paraId="33678D75">
            <w:pPr>
              <w:keepNext w:val="0"/>
              <w:keepLines w:val="0"/>
              <w:suppressLineNumbers w:val="0"/>
              <w:tabs>
                <w:tab w:val="left" w:pos="5580"/>
              </w:tabs>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w:t>
            </w:r>
            <w:r>
              <w:rPr>
                <w:rFonts w:hint="eastAsia" w:ascii="仿宋" w:hAnsi="仿宋" w:eastAsia="仿宋" w:cs="仿宋"/>
                <w:color w:val="auto"/>
                <w:sz w:val="24"/>
                <w:szCs w:val="24"/>
                <w:highlight w:val="none"/>
                <w:u w:val="single"/>
                <w:lang w:val="en-US" w:eastAsia="zh-CN"/>
              </w:rPr>
              <w:t>提供2024年或2025年任意一年完整的财务审计报告（成立未满十二个月的新公司可提供近三个月内任意一个月的银行资信证明））；</w:t>
            </w:r>
          </w:p>
        </w:tc>
      </w:tr>
      <w:tr w14:paraId="4FD5C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1381" w:type="dxa"/>
            <w:noWrap w:val="0"/>
            <w:vAlign w:val="center"/>
          </w:tcPr>
          <w:p w14:paraId="1EE72D3C">
            <w:pPr>
              <w:keepNext w:val="0"/>
              <w:keepLines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7604" w:type="dxa"/>
            <w:noWrap w:val="0"/>
            <w:vAlign w:val="center"/>
          </w:tcPr>
          <w:p w14:paraId="575BC89A">
            <w:pPr>
              <w:keepNext w:val="0"/>
              <w:keepLines w:val="0"/>
              <w:suppressLineNumbers w:val="0"/>
              <w:spacing w:before="0" w:beforeAutospacing="0" w:after="0" w:afterAutospacing="0"/>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付款方式要求：合同签订后支付合同金额的50%，项目中期支付合同金额的40%；项目验收合格后支付合同金额的10%，成交供应商须提供合法的当届结算金额全额增值税发票并经采购人财务审核后方可付款。（最终付款方式以和采购单位签订合同为准）</w:t>
            </w:r>
          </w:p>
          <w:p w14:paraId="36F3ED4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bCs/>
                <w:sz w:val="24"/>
                <w:szCs w:val="24"/>
                <w:highlight w:val="none"/>
              </w:rPr>
              <w:t>付款方式：汇票/电汇/支票</w:t>
            </w:r>
            <w:r>
              <w:rPr>
                <w:rFonts w:hint="eastAsia" w:ascii="仿宋" w:hAnsi="仿宋" w:eastAsia="仿宋" w:cs="仿宋"/>
                <w:sz w:val="24"/>
                <w:szCs w:val="24"/>
                <w:highlight w:val="none"/>
              </w:rPr>
              <w:t>（具体以双方签订合同为准）</w:t>
            </w:r>
          </w:p>
        </w:tc>
      </w:tr>
      <w:tr w14:paraId="682B6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rPr>
        <w:tc>
          <w:tcPr>
            <w:tcW w:w="1381" w:type="dxa"/>
            <w:noWrap w:val="0"/>
            <w:vAlign w:val="center"/>
          </w:tcPr>
          <w:p w14:paraId="57EE8E0F">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604" w:type="dxa"/>
            <w:shd w:val="clear" w:color="auto" w:fill="auto"/>
            <w:noWrap w:val="0"/>
            <w:vAlign w:val="center"/>
          </w:tcPr>
          <w:p w14:paraId="4ED4CDDA">
            <w:pPr>
              <w:keepNext w:val="0"/>
              <w:keepLines w:val="0"/>
              <w:suppressLineNumbers w:val="0"/>
              <w:spacing w:before="0" w:beforeAutospacing="0" w:after="0" w:afterAutospacing="0"/>
              <w:ind w:left="0" w:right="0"/>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服务期限</w:t>
            </w:r>
            <w:r>
              <w:rPr>
                <w:rFonts w:hint="eastAsia" w:ascii="仿宋" w:hAnsi="仿宋" w:eastAsia="仿宋" w:cs="仿宋"/>
                <w:sz w:val="24"/>
                <w:szCs w:val="24"/>
                <w:highlight w:val="none"/>
              </w:rPr>
              <w:t>：2026年12月31日之前完成（</w:t>
            </w:r>
            <w:r>
              <w:rPr>
                <w:rFonts w:hint="eastAsia" w:ascii="仿宋" w:hAnsi="仿宋" w:eastAsia="仿宋" w:cs="仿宋"/>
                <w:sz w:val="24"/>
                <w:szCs w:val="24"/>
                <w:highlight w:val="none"/>
                <w:lang w:eastAsia="zh-CN"/>
              </w:rPr>
              <w:t>具体以自治区本项目工期要求及签订合同为主</w:t>
            </w:r>
            <w:r>
              <w:rPr>
                <w:rFonts w:hint="eastAsia" w:ascii="仿宋" w:hAnsi="仿宋" w:eastAsia="仿宋" w:cs="仿宋"/>
                <w:sz w:val="24"/>
                <w:szCs w:val="24"/>
                <w:highlight w:val="none"/>
              </w:rPr>
              <w:t>）</w:t>
            </w:r>
          </w:p>
        </w:tc>
      </w:tr>
      <w:tr w14:paraId="194EC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1381" w:type="dxa"/>
            <w:noWrap w:val="0"/>
            <w:vAlign w:val="top"/>
          </w:tcPr>
          <w:p w14:paraId="5F05B6DE">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41D2137C">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7FFD8C81">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7604" w:type="dxa"/>
            <w:noWrap w:val="0"/>
            <w:vAlign w:val="center"/>
          </w:tcPr>
          <w:p w14:paraId="66B85502">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0528D9D8">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2.本项目实行网上投标，采用电子投标文件（供应商须使用CA加密设备通过政采云电子投标客户端制作投标文件）。若供应商参与投标，自行承担投标一切费用。</w:t>
            </w:r>
          </w:p>
          <w:p w14:paraId="4EF4F20E">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2AB1F5BD">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EAE02C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5.供应商在开标时须使用制作加密电子投标文件所使用的CA锁及电脑，电脑须提前配置好浏览器（建议使用谷歌浏览器），以便开标时解锁。</w:t>
            </w:r>
          </w:p>
          <w:p w14:paraId="1100E3DD">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6.投标保证金缴纳及确认时间：凡拟参加本次招标项目的供应商，必须在开标前将投标保证金汇入指定账户。投标保证金汇款凭证上用途栏应注明：招标项目名称+投标保证金。</w:t>
            </w:r>
          </w:p>
          <w:p w14:paraId="4A5145E7">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56A2CA9">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8.政采云线上获取招标文件方法：供应商登录政采云平台http://www.zcygov.cn/在线申请获取采购文件（登录政府采购云平台 → 项目采购 → 获取采购文件 → 申请，审核通过后可下载招标文件，如有操作性问题，可与政采云在线客服进行咨询，咨询电话：95763）</w:t>
            </w:r>
          </w:p>
        </w:tc>
      </w:tr>
      <w:tr w14:paraId="0B6B8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381" w:type="dxa"/>
            <w:noWrap w:val="0"/>
            <w:vAlign w:val="top"/>
          </w:tcPr>
          <w:p w14:paraId="72892B30">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54913EFF">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48E0E382">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7A75C1B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3825776E">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4A173B03">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0C69579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p w14:paraId="1024FF06">
            <w:pPr>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7604" w:type="dxa"/>
            <w:noWrap w:val="0"/>
            <w:vAlign w:val="center"/>
          </w:tcPr>
          <w:p w14:paraId="5BE0734C">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1.请投标单位提前自学线上开标流程；投标截止时间当天，请投标人自备电脑及CA锁进行投标文件解密以及操作投标事项，投标人应提前调试好在线参标电脑的各项配置。 </w:t>
            </w:r>
          </w:p>
          <w:p w14:paraId="639CCC7F">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2.本项目投标前上传电子版投标文件，如电子开标完成后采购人需要提供纸质版的投标文件，投标单位须出具相应份数的与电子投标文件一致的纸质投标文件。 </w:t>
            </w:r>
          </w:p>
          <w:p w14:paraId="01CB33D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3.投标人对招标文件中采购清单、技术需求、商务条件等如有疑义，应当及时提出，否则视为充分理解招标文件各项要求。 </w:t>
            </w:r>
          </w:p>
          <w:p w14:paraId="05322B0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4.本次采用政府采购云平台线上招标、投标，请各潜在投标人及时办理CA锁和学习政府采购云平台线上投标相关知识。在政府采购云平台登录后，进行下载招标文件。请各投标人获取招标文件后及时关注云平台答疑文件获取栏目。具体相关事宜见政府采购云平台。 </w:t>
            </w:r>
          </w:p>
          <w:p w14:paraId="3FDC4EA4">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5.本项目采用资格后审，请投标人仔细阅读招标文件和各项要求， 制作文件及相关资料过程中，若因投标人资格条件不符、提供资料 不全等原因导致投标文件予以退还，责任自负。 </w:t>
            </w:r>
          </w:p>
          <w:p w14:paraId="6AB84B37">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6.招标文件中如有内容冲突的地方，以投标须知要求为准。</w:t>
            </w:r>
          </w:p>
        </w:tc>
      </w:tr>
      <w:tr w14:paraId="1FB13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4F8C51A5">
            <w:pPr>
              <w:keepNext w:val="0"/>
              <w:keepLines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7604" w:type="dxa"/>
            <w:noWrap w:val="0"/>
            <w:vAlign w:val="center"/>
          </w:tcPr>
          <w:p w14:paraId="43B9EB2B">
            <w:pPr>
              <w:pStyle w:val="33"/>
              <w:keepNext w:val="0"/>
              <w:keepLines w:val="0"/>
              <w:widowControl/>
              <w:suppressLineNumbers w:val="0"/>
              <w:spacing w:line="420" w:lineRule="atLeast"/>
              <w:ind w:left="0" w:firstLine="42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中小企业划型标准规定</w:t>
            </w:r>
          </w:p>
          <w:p w14:paraId="2C046C62">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一、根据《中华人民共和国中小企业促进法》和《国务院关于进一步促进中小企业发展的若干意见》(（国发〔2009〕〔2009〕36号），制定本规定。</w:t>
            </w:r>
          </w:p>
          <w:p w14:paraId="2E647635">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二、中小企业划分为中型、小型、微型三种类型，具体标准根据企业从业人员、营业收入、资产总额等指标，结合行业特点制定。</w:t>
            </w:r>
          </w:p>
          <w:p w14:paraId="7A6FC8E0">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EF0E78">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四、各行业划型标准为：</w:t>
            </w:r>
          </w:p>
          <w:p w14:paraId="589A0DBE">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531D3C89">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FA0101">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FBB5CD">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56DE8E">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17B5D">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220万元及以上的为小型企业；从业人员20人以下或营业收入220万元以下的为微型企业。</w:t>
            </w:r>
          </w:p>
          <w:p w14:paraId="3EAE1063">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31409E5">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695FC6">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ACCC80">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9AB13A">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C1E6E6">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AA78C5">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B86C5C">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3AC735">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1DB94A7">
            <w:pPr>
              <w:pStyle w:val="33"/>
              <w:keepNext w:val="0"/>
              <w:keepLines w:val="0"/>
              <w:widowControl/>
              <w:suppressLineNumbers w:val="0"/>
              <w:spacing w:line="420" w:lineRule="atLeast"/>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7319B2EA">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五、企业类型的划分以统计部门的统计数据为依据。</w:t>
            </w:r>
          </w:p>
          <w:p w14:paraId="47210E07">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六、本规定适用于在中华人民共和国境内依法设立的各类所有制和各种组织形式的企业。个体工商户和本规定以外的行业，参照本规定进行划型。</w:t>
            </w:r>
          </w:p>
          <w:p w14:paraId="242426CC">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66D3F73D">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八、本规定由工业和信息化部、国家统计局会同有关部门根据《国民经济行业分类》修订情况和企业发展变化情况适时修订。</w:t>
            </w:r>
          </w:p>
          <w:p w14:paraId="3E69646F">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九、本规定由工业和信息化部、国家统计局会同有关部门负责解释。</w:t>
            </w:r>
          </w:p>
          <w:p w14:paraId="5D3D12FB">
            <w:pPr>
              <w:pStyle w:val="33"/>
              <w:keepNext w:val="0"/>
              <w:keepLines w:val="0"/>
              <w:widowControl/>
              <w:suppressLineNumbers w:val="0"/>
              <w:spacing w:line="420" w:lineRule="atLeast"/>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highlight w:val="none"/>
                <w:lang w:val="en-US" w:eastAsia="zh-CN" w:bidi="ar-SA"/>
              </w:rPr>
              <w:t>十、本规定自发布之日起执行，原国家经贸委、原国家计委、财政部和国家统计局2003年颁布的《中小企业标准暂行规定》同时废止。</w:t>
            </w:r>
          </w:p>
        </w:tc>
      </w:tr>
      <w:tr w14:paraId="758C0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4F4D74BC">
            <w:pPr>
              <w:keepNext w:val="0"/>
              <w:keepLines w:val="0"/>
              <w:suppressLineNumbers w:val="0"/>
              <w:spacing w:before="0" w:beforeAutospacing="0" w:after="0" w:afterAutospacing="0" w:line="240" w:lineRule="atLeast"/>
              <w:ind w:left="1080" w:leftChars="257" w:right="0" w:hanging="54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7604" w:type="dxa"/>
            <w:noWrap w:val="0"/>
            <w:vAlign w:val="center"/>
          </w:tcPr>
          <w:p w14:paraId="6D9F28AC">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低于成本价不正当竞争预防措施：</w:t>
            </w:r>
          </w:p>
          <w:p w14:paraId="46A23B8D">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（1）根据“ 财政部 87 号令《政府采购服务服务招标投标管理办法》” 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7E5D618">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（2）根据财政部《关于推动解决政府采购异常低价问题的通知》〔财库〔2026〕2号〕政府采购评审中出现下列情形之一的，评审委员会应当启动异常低价投标（响应）审查程序：</w:t>
            </w:r>
          </w:p>
          <w:p w14:paraId="36AD9FF3">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07836D53">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4E174606">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3.投标（响应）报价低于采购项目最高限价45%的，即投标（响应）报价&lt;采购项目最高限价×45%；</w:t>
            </w:r>
          </w:p>
          <w:p w14:paraId="37D56016">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4.评审委员会基于专业判断，认为供应商报价过低，有可能影响产品质量或者不能诚信履约的其他情形。</w:t>
            </w:r>
          </w:p>
          <w:p w14:paraId="6806467D">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采购人可以结合具体项目实际情况，提高上述第1项至第3项中启动异常低价投标（响应）审查的数值标准，但是最高不得超过65%。</w:t>
            </w:r>
          </w:p>
          <w:p w14:paraId="24ADA9DE">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相关法律法规对供应商报价有规定的，从其规定。</w:t>
            </w:r>
          </w:p>
          <w:p w14:paraId="00427D2F">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93CC84F">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4ECA538">
            <w:pPr>
              <w:pStyle w:val="33"/>
              <w:keepNext w:val="0"/>
              <w:keepLines w:val="0"/>
              <w:widowControl/>
              <w:suppressLineNumbers w:val="0"/>
              <w:spacing w:line="42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提供说明后，评标委员会应当结合采购项目采购需求、专业实际情况、供应商财务状况报告、与其他供应商比较情况等就供应商说明进行审查评价。供应商拒绝或者变相拒绝提供有效说明或者说明不能证明其报价合理性的，评标委员会应当将其投标文件作为无效处理。</w:t>
            </w:r>
          </w:p>
        </w:tc>
      </w:tr>
      <w:tr w14:paraId="72F8A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81" w:type="dxa"/>
            <w:noWrap w:val="0"/>
            <w:vAlign w:val="center"/>
          </w:tcPr>
          <w:p w14:paraId="0C6582C4">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7604" w:type="dxa"/>
            <w:noWrap w:val="0"/>
            <w:vAlign w:val="center"/>
          </w:tcPr>
          <w:p w14:paraId="422E9134">
            <w:pPr>
              <w:pStyle w:val="33"/>
              <w:keepNext w:val="0"/>
              <w:keepLines w:val="0"/>
              <w:widowControl/>
              <w:suppressLineNumbers w:val="0"/>
              <w:spacing w:line="420" w:lineRule="atLeast"/>
              <w:rPr>
                <w:rFonts w:hint="default" w:ascii="仿宋" w:hAnsi="仿宋" w:eastAsia="宋体"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标的所属行业：其他未列明行业</w:t>
            </w:r>
          </w:p>
        </w:tc>
      </w:tr>
    </w:tbl>
    <w:p w14:paraId="3AA32825">
      <w:pPr>
        <w:spacing w:line="240" w:lineRule="atLeast"/>
        <w:ind w:left="1080" w:leftChars="257" w:hanging="540"/>
        <w:rPr>
          <w:rFonts w:hint="eastAsia" w:ascii="仿宋" w:hAnsi="仿宋" w:eastAsia="仿宋" w:cs="仿宋"/>
          <w:color w:val="auto"/>
          <w:sz w:val="24"/>
          <w:highlight w:val="none"/>
        </w:rPr>
        <w:sectPr>
          <w:headerReference r:id="rId10" w:type="default"/>
          <w:footerReference r:id="rId11" w:type="default"/>
          <w:pgSz w:w="11906" w:h="16838"/>
          <w:pgMar w:top="1440" w:right="1489" w:bottom="1440" w:left="1377" w:header="851" w:footer="992" w:gutter="0"/>
          <w:pgBorders>
            <w:top w:val="none" w:sz="0" w:space="0"/>
            <w:left w:val="none" w:sz="0" w:space="0"/>
            <w:bottom w:val="none" w:sz="0" w:space="0"/>
            <w:right w:val="none" w:sz="0" w:space="0"/>
          </w:pgBorders>
          <w:pgNumType w:fmt="decimal"/>
          <w:cols w:space="720" w:num="1"/>
          <w:docGrid w:linePitch="312" w:charSpace="0"/>
        </w:sectPr>
      </w:pPr>
    </w:p>
    <w:p w14:paraId="15DC2721">
      <w:pPr>
        <w:tabs>
          <w:tab w:val="left" w:pos="10290"/>
        </w:tabs>
        <w:jc w:val="center"/>
        <w:rPr>
          <w:rFonts w:hint="eastAsia" w:ascii="仿宋" w:hAnsi="仿宋" w:eastAsia="仿宋" w:cs="仿宋"/>
          <w:b/>
          <w:color w:val="auto"/>
          <w:kern w:val="0"/>
          <w:sz w:val="32"/>
          <w:szCs w:val="32"/>
          <w:highlight w:val="none"/>
        </w:rPr>
      </w:pPr>
      <w:bookmarkStart w:id="456" w:name="_Toc216582811"/>
      <w:bookmarkStart w:id="457" w:name="_Toc216513787"/>
      <w:bookmarkStart w:id="458" w:name="_Toc219175635"/>
      <w:bookmarkStart w:id="459" w:name="_Toc218935351"/>
      <w:r>
        <w:rPr>
          <w:rFonts w:hint="eastAsia" w:ascii="仿宋" w:hAnsi="仿宋" w:eastAsia="仿宋" w:cs="仿宋"/>
          <w:b/>
          <w:color w:val="auto"/>
          <w:kern w:val="0"/>
          <w:sz w:val="32"/>
          <w:szCs w:val="32"/>
          <w:highlight w:val="none"/>
        </w:rPr>
        <w:t>资格审查表</w:t>
      </w:r>
    </w:p>
    <w:tbl>
      <w:tblPr>
        <w:tblStyle w:val="40"/>
        <w:tblpPr w:leftFromText="180" w:rightFromText="180" w:vertAnchor="text" w:horzAnchor="page" w:tblpX="1208" w:tblpY="60"/>
        <w:tblOverlap w:val="never"/>
        <w:tblW w:w="14357" w:type="dxa"/>
        <w:jc w:val="center"/>
        <w:tblLayout w:type="fixed"/>
        <w:tblCellMar>
          <w:top w:w="0" w:type="dxa"/>
          <w:left w:w="108" w:type="dxa"/>
          <w:bottom w:w="0" w:type="dxa"/>
          <w:right w:w="108" w:type="dxa"/>
        </w:tblCellMar>
      </w:tblPr>
      <w:tblGrid>
        <w:gridCol w:w="645"/>
        <w:gridCol w:w="1548"/>
        <w:gridCol w:w="712"/>
        <w:gridCol w:w="900"/>
        <w:gridCol w:w="975"/>
        <w:gridCol w:w="1563"/>
        <w:gridCol w:w="947"/>
        <w:gridCol w:w="3350"/>
        <w:gridCol w:w="1213"/>
        <w:gridCol w:w="867"/>
        <w:gridCol w:w="880"/>
        <w:gridCol w:w="757"/>
      </w:tblGrid>
      <w:tr w14:paraId="1AA01FBE">
        <w:tblPrEx>
          <w:tblCellMar>
            <w:top w:w="0" w:type="dxa"/>
            <w:left w:w="108" w:type="dxa"/>
            <w:bottom w:w="0" w:type="dxa"/>
            <w:right w:w="108" w:type="dxa"/>
          </w:tblCellMar>
        </w:tblPrEx>
        <w:trPr>
          <w:trHeight w:val="554" w:hRule="atLeast"/>
          <w:jc w:val="center"/>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6EA610B9">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投标人名称</w:t>
            </w:r>
          </w:p>
        </w:tc>
        <w:tc>
          <w:tcPr>
            <w:tcW w:w="13712" w:type="dxa"/>
            <w:gridSpan w:val="11"/>
            <w:tcBorders>
              <w:top w:val="single" w:color="auto" w:sz="4" w:space="0"/>
              <w:left w:val="nil"/>
              <w:bottom w:val="single" w:color="auto" w:sz="4" w:space="0"/>
              <w:right w:val="single" w:color="auto" w:sz="4" w:space="0"/>
            </w:tcBorders>
            <w:vAlign w:val="center"/>
          </w:tcPr>
          <w:p w14:paraId="5BC053BB">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审查内容</w:t>
            </w:r>
          </w:p>
        </w:tc>
      </w:tr>
      <w:tr w14:paraId="0FF08E3B">
        <w:tblPrEx>
          <w:tblCellMar>
            <w:top w:w="0" w:type="dxa"/>
            <w:left w:w="108" w:type="dxa"/>
            <w:bottom w:w="0" w:type="dxa"/>
            <w:right w:w="108" w:type="dxa"/>
          </w:tblCellMar>
        </w:tblPrEx>
        <w:trPr>
          <w:trHeight w:val="6513" w:hRule="atLeast"/>
          <w:jc w:val="center"/>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4AB59D24">
            <w:pPr>
              <w:keepNext w:val="0"/>
              <w:keepLines w:val="0"/>
              <w:suppressLineNumbers w:val="0"/>
              <w:spacing w:before="0" w:beforeAutospacing="0" w:after="0" w:afterAutospacing="0"/>
              <w:ind w:left="0" w:right="0"/>
              <w:rPr>
                <w:rFonts w:hint="eastAsia" w:ascii="仿宋" w:hAnsi="仿宋" w:eastAsia="仿宋" w:cs="仿宋"/>
                <w:sz w:val="24"/>
                <w:lang w:eastAsia="zh-CN"/>
              </w:rPr>
            </w:pPr>
          </w:p>
        </w:tc>
        <w:tc>
          <w:tcPr>
            <w:tcW w:w="1548" w:type="dxa"/>
            <w:tcBorders>
              <w:top w:val="nil"/>
              <w:left w:val="nil"/>
              <w:bottom w:val="single" w:color="auto" w:sz="4" w:space="0"/>
              <w:right w:val="single" w:color="auto" w:sz="4" w:space="0"/>
            </w:tcBorders>
            <w:vAlign w:val="center"/>
          </w:tcPr>
          <w:p w14:paraId="64F636C9">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公章）或自然人的身份证明复印件</w:t>
            </w:r>
          </w:p>
        </w:tc>
        <w:tc>
          <w:tcPr>
            <w:tcW w:w="712" w:type="dxa"/>
            <w:tcBorders>
              <w:top w:val="nil"/>
              <w:left w:val="nil"/>
              <w:bottom w:val="single" w:color="auto" w:sz="4" w:space="0"/>
              <w:right w:val="single" w:color="auto" w:sz="4" w:space="0"/>
            </w:tcBorders>
            <w:vAlign w:val="center"/>
          </w:tcPr>
          <w:p w14:paraId="686A9CED">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color w:val="auto"/>
                <w:kern w:val="2"/>
                <w:sz w:val="24"/>
                <w:szCs w:val="24"/>
                <w:highlight w:val="none"/>
                <w:lang w:val="en-US" w:eastAsia="zh-CN" w:bidi="ar-SA"/>
              </w:rPr>
              <w:t>投标单位需具有测绘乙级及以上（含乙级）资质</w:t>
            </w:r>
          </w:p>
        </w:tc>
        <w:tc>
          <w:tcPr>
            <w:tcW w:w="900" w:type="dxa"/>
            <w:tcBorders>
              <w:top w:val="nil"/>
              <w:left w:val="nil"/>
              <w:bottom w:val="single" w:color="auto" w:sz="4" w:space="0"/>
              <w:right w:val="single" w:color="auto" w:sz="4" w:space="0"/>
            </w:tcBorders>
            <w:vAlign w:val="center"/>
          </w:tcPr>
          <w:p w14:paraId="50E48643">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val="en-US" w:eastAsia="zh-CN"/>
              </w:rPr>
              <w:t>法定代表人身份证明或法定代表人授权委托书及被授权人身份证</w:t>
            </w:r>
          </w:p>
        </w:tc>
        <w:tc>
          <w:tcPr>
            <w:tcW w:w="975" w:type="dxa"/>
            <w:tcBorders>
              <w:top w:val="nil"/>
              <w:left w:val="nil"/>
              <w:bottom w:val="single" w:color="auto" w:sz="4" w:space="0"/>
              <w:right w:val="single" w:color="auto" w:sz="4" w:space="0"/>
            </w:tcBorders>
            <w:vAlign w:val="center"/>
          </w:tcPr>
          <w:p w14:paraId="47F86E73">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近期（投标截止日期前六个月内任意一个月）依法缴纳社会保障金的缴费证明或银行出具的“银行电子缴纳社会保障金付款凭证”（新成立公司提供相关证明文件）</w:t>
            </w:r>
          </w:p>
        </w:tc>
        <w:tc>
          <w:tcPr>
            <w:tcW w:w="1563" w:type="dxa"/>
            <w:tcBorders>
              <w:top w:val="nil"/>
              <w:left w:val="nil"/>
              <w:bottom w:val="single" w:color="auto" w:sz="4" w:space="0"/>
              <w:right w:val="single" w:color="auto" w:sz="4" w:space="0"/>
            </w:tcBorders>
            <w:vAlign w:val="center"/>
          </w:tcPr>
          <w:p w14:paraId="0857E1FE">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tc>
        <w:tc>
          <w:tcPr>
            <w:tcW w:w="947" w:type="dxa"/>
            <w:tcBorders>
              <w:top w:val="nil"/>
              <w:left w:val="nil"/>
              <w:bottom w:val="single" w:color="auto" w:sz="4" w:space="0"/>
              <w:right w:val="single" w:color="auto" w:sz="4" w:space="0"/>
            </w:tcBorders>
            <w:vAlign w:val="center"/>
          </w:tcPr>
          <w:p w14:paraId="280BFCEC">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eastAsia="zh-CN"/>
              </w:rPr>
              <w:t>提供2024年或2025年任意一年完整的财务审计报告（成立未满十二个月的新公司可提供近三个月内任意一个月的银行资信证明）；</w:t>
            </w:r>
          </w:p>
        </w:tc>
        <w:tc>
          <w:tcPr>
            <w:tcW w:w="3350" w:type="dxa"/>
            <w:tcBorders>
              <w:top w:val="nil"/>
              <w:left w:val="nil"/>
              <w:bottom w:val="single" w:color="auto" w:sz="4" w:space="0"/>
              <w:right w:val="single" w:color="auto" w:sz="4" w:space="0"/>
            </w:tcBorders>
            <w:vAlign w:val="center"/>
          </w:tcPr>
          <w:p w14:paraId="11FC665F">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凡拟参加本次招标项目的供应商，如在“信用中国”网站（https://www.creditchina.gov.cn/）被列入失信被执行人、重大税收违法失信主体名单、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385477EF">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p>
        </w:tc>
        <w:tc>
          <w:tcPr>
            <w:tcW w:w="1213" w:type="dxa"/>
            <w:tcBorders>
              <w:top w:val="nil"/>
              <w:left w:val="nil"/>
              <w:bottom w:val="single" w:color="auto" w:sz="4" w:space="0"/>
              <w:right w:val="single" w:color="auto" w:sz="4" w:space="0"/>
            </w:tcBorders>
            <w:vAlign w:val="center"/>
          </w:tcPr>
          <w:p w14:paraId="246673BD">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参加政府采购活动前3年内在经营活动中没有重大违法记录的书面声明</w:t>
            </w:r>
          </w:p>
        </w:tc>
        <w:tc>
          <w:tcPr>
            <w:tcW w:w="867" w:type="dxa"/>
            <w:tcBorders>
              <w:top w:val="nil"/>
              <w:left w:val="nil"/>
              <w:bottom w:val="single" w:color="auto" w:sz="4" w:space="0"/>
              <w:right w:val="single" w:color="auto" w:sz="4" w:space="0"/>
            </w:tcBorders>
            <w:vAlign w:val="center"/>
          </w:tcPr>
          <w:p w14:paraId="0D17FD89">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val="en-US" w:eastAsia="zh-CN"/>
              </w:rPr>
              <w:t>具有履行合同所必需的设备和专业技术能力的证明材料</w:t>
            </w:r>
          </w:p>
        </w:tc>
        <w:tc>
          <w:tcPr>
            <w:tcW w:w="880" w:type="dxa"/>
            <w:tcBorders>
              <w:top w:val="nil"/>
              <w:left w:val="nil"/>
              <w:bottom w:val="single" w:color="auto" w:sz="4" w:space="0"/>
              <w:right w:val="single" w:color="auto" w:sz="4" w:space="0"/>
            </w:tcBorders>
            <w:vAlign w:val="center"/>
          </w:tcPr>
          <w:p w14:paraId="21C4F403">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提供针对本次项目《反商业贿赂承诺书》</w:t>
            </w:r>
          </w:p>
        </w:tc>
        <w:tc>
          <w:tcPr>
            <w:tcW w:w="757" w:type="dxa"/>
            <w:tcBorders>
              <w:top w:val="nil"/>
              <w:left w:val="nil"/>
              <w:bottom w:val="single" w:color="auto" w:sz="4" w:space="0"/>
              <w:right w:val="single" w:color="auto" w:sz="4" w:space="0"/>
            </w:tcBorders>
            <w:vAlign w:val="center"/>
          </w:tcPr>
          <w:p w14:paraId="7C7F6898">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p>
        </w:tc>
      </w:tr>
    </w:tbl>
    <w:p w14:paraId="317A2618">
      <w:pPr>
        <w:pStyle w:val="11"/>
        <w:rPr>
          <w:rFonts w:hint="eastAsia"/>
        </w:rPr>
        <w:sectPr>
          <w:pgSz w:w="16840" w:h="11910" w:orient="landscape"/>
          <w:pgMar w:top="1440" w:right="1800" w:bottom="1440" w:left="1800" w:header="0" w:footer="993" w:gutter="0"/>
          <w:pgBorders>
            <w:top w:val="none" w:sz="0" w:space="0"/>
            <w:left w:val="none" w:sz="0" w:space="0"/>
            <w:bottom w:val="none" w:sz="0" w:space="0"/>
            <w:right w:val="none" w:sz="0" w:space="0"/>
          </w:pgBorders>
          <w:pgNumType w:fmt="decimal"/>
          <w:cols w:space="720" w:num="1"/>
        </w:sectPr>
      </w:pPr>
      <w:r>
        <w:rPr>
          <w:sz w:val="24"/>
        </w:rPr>
        <mc:AlternateContent>
          <mc:Choice Requires="wps">
            <w:drawing>
              <wp:anchor distT="0" distB="0" distL="114300" distR="114300" simplePos="0" relativeHeight="251663360" behindDoc="0" locked="0" layoutInCell="1" allowOverlap="1">
                <wp:simplePos x="0" y="0"/>
                <wp:positionH relativeFrom="column">
                  <wp:posOffset>8198485</wp:posOffset>
                </wp:positionH>
                <wp:positionV relativeFrom="paragraph">
                  <wp:posOffset>35560</wp:posOffset>
                </wp:positionV>
                <wp:extent cx="462280" cy="360680"/>
                <wp:effectExtent l="4445" t="4445" r="9525" b="15875"/>
                <wp:wrapNone/>
                <wp:docPr id="2" name="文本框 2"/>
                <wp:cNvGraphicFramePr/>
                <a:graphic xmlns:a="http://schemas.openxmlformats.org/drawingml/2006/main">
                  <a:graphicData uri="http://schemas.microsoft.com/office/word/2010/wordprocessingShape">
                    <wps:wsp>
                      <wps:cNvSpPr txBox="1"/>
                      <wps:spPr>
                        <a:xfrm>
                          <a:off x="9341485" y="1213485"/>
                          <a:ext cx="462280" cy="360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E1A339">
                            <w:pPr>
                              <w:rPr>
                                <w:rFonts w:hint="eastAsia" w:eastAsia="宋体"/>
                                <w:lang w:val="en-US" w:eastAsia="zh-CN"/>
                              </w:rPr>
                            </w:pPr>
                            <w:r>
                              <w:rPr>
                                <w:rFonts w:hint="eastAsia"/>
                                <w:lang w:val="en-US" w:eastAsia="zh-CN"/>
                              </w:rPr>
                              <w:t>结论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5.55pt;margin-top:2.8pt;height:28.4pt;width:36.4pt;z-index:251663360;mso-width-relative:page;mso-height-relative:page;" fillcolor="#FFFFFF [3201]" filled="t" stroked="t" coordsize="21600,21600" o:gfxdata="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US5Q9cAAAAKAQAADwAAAAAAAAABACAAAAAiAAAAZHJzL2Rvd25yZXYueG1sUEsBAhQAFAAA&#10;AAgAh07iQA9JzB9iAgAAwgQAAA4AAAAAAAAAAQAgAAAAJgEAAGRycy9lMm9Eb2MueG1sUEsFBgAA&#10;AAAGAAYAWQEAAPoFAAAAAA==&#10;">
                <v:fill on="t" focussize="0,0"/>
                <v:stroke weight="0.5pt" color="#000000 [3204]" joinstyle="round"/>
                <v:imagedata o:title=""/>
                <o:lock v:ext="edit" aspectratio="f"/>
                <v:textbox>
                  <w:txbxContent>
                    <w:p w14:paraId="40E1A339">
                      <w:pPr>
                        <w:rPr>
                          <w:rFonts w:hint="eastAsia" w:eastAsia="宋体"/>
                          <w:lang w:val="en-US" w:eastAsia="zh-CN"/>
                        </w:rPr>
                      </w:pPr>
                      <w:r>
                        <w:rPr>
                          <w:rFonts w:hint="eastAsia"/>
                          <w:lang w:val="en-US" w:eastAsia="zh-CN"/>
                        </w:rPr>
                        <w:t>结论</w:t>
                      </w:r>
                    </w:p>
                  </w:txbxContent>
                </v:textbox>
              </v:shape>
            </w:pict>
          </mc:Fallback>
        </mc:AlternateContent>
      </w:r>
    </w:p>
    <w:bookmarkEnd w:id="456"/>
    <w:bookmarkEnd w:id="457"/>
    <w:bookmarkEnd w:id="458"/>
    <w:bookmarkEnd w:id="459"/>
    <w:p w14:paraId="273F0453">
      <w:pPr>
        <w:pStyle w:val="4"/>
        <w:numPr>
          <w:ilvl w:val="0"/>
          <w:numId w:val="9"/>
        </w:numPr>
        <w:rPr>
          <w:rFonts w:hint="eastAsia" w:ascii="仿宋" w:hAnsi="仿宋" w:eastAsia="仿宋" w:cs="仿宋"/>
        </w:rPr>
      </w:pPr>
      <w:bookmarkStart w:id="460" w:name="_Toc507399906"/>
      <w:bookmarkStart w:id="461" w:name="_Toc512937852"/>
      <w:bookmarkStart w:id="462" w:name="_Toc218935354"/>
      <w:bookmarkStart w:id="463" w:name="_Toc9887"/>
      <w:bookmarkStart w:id="464" w:name="_Toc216582825"/>
      <w:bookmarkStart w:id="465" w:name="_Toc219175638"/>
      <w:bookmarkStart w:id="466" w:name="_Toc9032"/>
      <w:bookmarkStart w:id="467" w:name="_Toc515647831"/>
      <w:bookmarkStart w:id="468" w:name="_Toc9003"/>
      <w:r>
        <w:rPr>
          <w:rFonts w:hint="eastAsia" w:ascii="仿宋" w:hAnsi="仿宋" w:eastAsia="仿宋" w:cs="仿宋"/>
        </w:rPr>
        <w:t xml:space="preserve"> </w:t>
      </w:r>
      <w:bookmarkEnd w:id="460"/>
      <w:bookmarkEnd w:id="461"/>
      <w:bookmarkEnd w:id="462"/>
      <w:bookmarkEnd w:id="463"/>
      <w:bookmarkEnd w:id="464"/>
      <w:bookmarkEnd w:id="465"/>
      <w:bookmarkEnd w:id="466"/>
      <w:bookmarkEnd w:id="467"/>
      <w:bookmarkStart w:id="469" w:name="_Toc14490"/>
      <w:r>
        <w:rPr>
          <w:rFonts w:hint="eastAsia" w:ascii="仿宋" w:hAnsi="仿宋" w:eastAsia="仿宋" w:cs="仿宋"/>
        </w:rPr>
        <w:t>货物需求一览表及技术规格</w:t>
      </w:r>
      <w:bookmarkEnd w:id="468"/>
      <w:bookmarkEnd w:id="469"/>
    </w:p>
    <w:p w14:paraId="1E4B7A9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根据自治区党委农领办《关于印发〈自治区加强和规范农用地管理工作方案&gt;的通知》（新党农领办</w:t>
      </w:r>
      <w:r>
        <w:rPr>
          <w:rFonts w:hint="eastAsia" w:ascii="方正仿宋_GB2312" w:hAnsi="方正仿宋_GB2312" w:eastAsia="方正仿宋_GB2312" w:cs="方正仿宋_GB2312"/>
          <w:color w:val="000000"/>
          <w:kern w:val="0"/>
          <w:sz w:val="28"/>
          <w:szCs w:val="28"/>
          <w:lang w:val="en-US" w:eastAsia="zh-CN" w:bidi="ar"/>
        </w:rPr>
        <w:t>〔</w:t>
      </w:r>
      <w:r>
        <w:rPr>
          <w:rFonts w:hint="eastAsia" w:ascii="方正仿宋_GB2312" w:hAnsi="方正仿宋_GB2312" w:eastAsia="方正仿宋_GB2312" w:cs="方正仿宋_GB2312"/>
          <w:b w:val="0"/>
          <w:bCs w:val="0"/>
          <w:color w:val="000000"/>
          <w:kern w:val="0"/>
          <w:sz w:val="28"/>
          <w:szCs w:val="28"/>
          <w:lang w:val="en-US" w:eastAsia="zh-CN" w:bidi="ar"/>
        </w:rPr>
        <w:t>2024</w:t>
      </w:r>
      <w:r>
        <w:rPr>
          <w:rFonts w:hint="eastAsia" w:ascii="方正仿宋_GB2312" w:hAnsi="方正仿宋_GB2312" w:eastAsia="方正仿宋_GB2312" w:cs="方正仿宋_GB2312"/>
          <w:color w:val="000000"/>
          <w:kern w:val="0"/>
          <w:sz w:val="28"/>
          <w:szCs w:val="28"/>
          <w:lang w:val="en-US" w:eastAsia="zh-CN" w:bidi="ar"/>
        </w:rPr>
        <w:t>〕</w:t>
      </w:r>
      <w:r>
        <w:rPr>
          <w:rFonts w:hint="eastAsia" w:ascii="方正仿宋_GB2312" w:hAnsi="方正仿宋_GB2312" w:eastAsia="方正仿宋_GB2312" w:cs="方正仿宋_GB2312"/>
          <w:b w:val="0"/>
          <w:bCs w:val="0"/>
          <w:color w:val="000000"/>
          <w:kern w:val="0"/>
          <w:sz w:val="28"/>
          <w:szCs w:val="28"/>
          <w:lang w:val="en-US" w:eastAsia="zh-CN" w:bidi="ar"/>
        </w:rPr>
        <w:t>35号)、</w:t>
      </w:r>
      <w:r>
        <w:rPr>
          <w:rFonts w:hint="eastAsia" w:ascii="方正仿宋_GB2312" w:hAnsi="方正仿宋_GB2312" w:eastAsia="方正仿宋_GB2312" w:cs="方正仿宋_GB2312"/>
          <w:color w:val="000000"/>
          <w:kern w:val="0"/>
          <w:sz w:val="28"/>
          <w:szCs w:val="28"/>
          <w:lang w:bidi="ar"/>
        </w:rPr>
        <w:t>《喀什地区加强和规范农用地管理实施方案》</w:t>
      </w:r>
      <w:r>
        <w:rPr>
          <w:rFonts w:hint="eastAsia" w:ascii="方正仿宋_GB2312" w:hAnsi="方正仿宋_GB2312" w:eastAsia="方正仿宋_GB2312" w:cs="方正仿宋_GB2312"/>
          <w:color w:val="000000"/>
          <w:kern w:val="0"/>
          <w:sz w:val="28"/>
          <w:szCs w:val="28"/>
          <w:lang w:eastAsia="zh-CN" w:bidi="ar"/>
        </w:rPr>
        <w:t>、</w:t>
      </w:r>
      <w:r>
        <w:rPr>
          <w:rFonts w:hint="eastAsia" w:ascii="方正仿宋_GB2312" w:hAnsi="方正仿宋_GB2312" w:eastAsia="方正仿宋_GB2312" w:cs="方正仿宋_GB2312"/>
          <w:color w:val="000000"/>
          <w:kern w:val="0"/>
          <w:sz w:val="28"/>
          <w:szCs w:val="28"/>
          <w:lang w:bidi="ar"/>
        </w:rPr>
        <w:t>《</w:t>
      </w:r>
      <w:r>
        <w:rPr>
          <w:rFonts w:hint="eastAsia" w:ascii="方正仿宋_GB2312" w:hAnsi="方正仿宋_GB2312" w:eastAsia="方正仿宋_GB2312" w:cs="方正仿宋_GB2312"/>
          <w:color w:val="000000"/>
          <w:kern w:val="0"/>
          <w:sz w:val="28"/>
          <w:szCs w:val="28"/>
          <w:lang w:eastAsia="zh-CN" w:bidi="ar"/>
        </w:rPr>
        <w:t>新疆维吾尔自治区农用地数据采集及上报指南</w:t>
      </w:r>
      <w:r>
        <w:rPr>
          <w:rFonts w:hint="eastAsia" w:ascii="方正仿宋_GB2312" w:hAnsi="方正仿宋_GB2312" w:eastAsia="方正仿宋_GB2312" w:cs="方正仿宋_GB2312"/>
          <w:color w:val="000000"/>
          <w:kern w:val="0"/>
          <w:sz w:val="28"/>
          <w:szCs w:val="28"/>
          <w:lang w:bidi="ar"/>
        </w:rPr>
        <w:t>》</w:t>
      </w:r>
      <w:r>
        <w:rPr>
          <w:rFonts w:hint="eastAsia" w:ascii="方正仿宋_GB2312" w:hAnsi="方正仿宋_GB2312" w:eastAsia="方正仿宋_GB2312" w:cs="方正仿宋_GB2312"/>
          <w:color w:val="000000"/>
          <w:kern w:val="0"/>
          <w:sz w:val="28"/>
          <w:szCs w:val="28"/>
          <w:lang w:eastAsia="zh-CN" w:bidi="ar"/>
        </w:rPr>
        <w:t>（2026修订版）</w:t>
      </w:r>
      <w:r>
        <w:rPr>
          <w:rFonts w:hint="eastAsia" w:ascii="方正仿宋_GB2312" w:hAnsi="方正仿宋_GB2312" w:eastAsia="方正仿宋_GB2312" w:cs="方正仿宋_GB2312"/>
          <w:b w:val="0"/>
          <w:bCs w:val="0"/>
          <w:color w:val="000000"/>
          <w:kern w:val="0"/>
          <w:sz w:val="28"/>
          <w:szCs w:val="28"/>
          <w:lang w:val="en-US" w:eastAsia="zh-CN" w:bidi="ar"/>
        </w:rPr>
        <w:t>文件要求，为进一步加强和规范自治区农用地管理，维护农牧民切身利益，全面推进乡村振兴，实现农业农村现代化，自治区决定在全区开展加强和规范农用地管理工作，莎车县需根据自治区要求进行农用地数据数据库建立及上报工作。</w:t>
      </w:r>
    </w:p>
    <w:p w14:paraId="719D53DF">
      <w:pPr>
        <w:pStyle w:val="4"/>
        <w:bidi w:val="0"/>
        <w:jc w:val="left"/>
        <w:rPr>
          <w:rFonts w:hint="eastAsia"/>
          <w:lang w:eastAsia="zh-CN"/>
        </w:rPr>
      </w:pPr>
      <w:r>
        <w:rPr>
          <w:rFonts w:hint="eastAsia"/>
          <w:lang w:val="en-US" w:eastAsia="zh-CN"/>
        </w:rPr>
        <w:t xml:space="preserve">一 、工作任务 </w:t>
      </w:r>
    </w:p>
    <w:p w14:paraId="770FF97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 xml:space="preserve">以2023年度国土变更调查数据、影像数据（2023年度国家下发数据）、集体土地所有权数据、各类登记数据、批复文件、承包合同、费用缴纳凭证等为基础，结合实地摸排进行数据整理汇交，形成农用地成果数据库。 </w:t>
      </w:r>
    </w:p>
    <w:p w14:paraId="1C5BE8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数据库包括如下内容：</w:t>
      </w:r>
    </w:p>
    <w:p w14:paraId="3A135B46">
      <w:pPr>
        <w:jc w:val="both"/>
        <w:rPr>
          <w:rFonts w:hint="default" w:ascii="方正仿宋_GB2312" w:hAnsi="方正仿宋_GB2312" w:eastAsia="方正仿宋_GB2312" w:cs="方正仿宋_GB2312"/>
          <w:color w:val="000000"/>
          <w:kern w:val="0"/>
          <w:sz w:val="28"/>
          <w:szCs w:val="28"/>
          <w:lang w:val="en-US" w:eastAsia="zh-CN" w:bidi="ar"/>
        </w:rPr>
      </w:pPr>
      <w:r>
        <w:rPr>
          <w:rFonts w:hint="default" w:ascii="方正仿宋_GB2312" w:hAnsi="方正仿宋_GB2312" w:eastAsia="方正仿宋_GB2312" w:cs="方正仿宋_GB2312"/>
          <w:color w:val="000000"/>
          <w:kern w:val="0"/>
          <w:sz w:val="28"/>
          <w:szCs w:val="28"/>
          <w:lang w:val="en-US" w:eastAsia="zh-CN" w:bidi="ar"/>
        </w:rPr>
        <w:drawing>
          <wp:inline distT="0" distB="0" distL="114300" distR="114300">
            <wp:extent cx="5431155" cy="3723005"/>
            <wp:effectExtent l="0" t="0" r="9525" b="10795"/>
            <wp:docPr id="1" name="图片 1" descr="工作簿1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簿1_Sheet1"/>
                    <pic:cNvPicPr>
                      <a:picLocks noChangeAspect="1"/>
                    </pic:cNvPicPr>
                  </pic:nvPicPr>
                  <pic:blipFill>
                    <a:blip r:embed="rId14"/>
                    <a:stretch>
                      <a:fillRect/>
                    </a:stretch>
                  </pic:blipFill>
                  <pic:spPr>
                    <a:xfrm>
                      <a:off x="0" y="0"/>
                      <a:ext cx="5431155" cy="3723005"/>
                    </a:xfrm>
                    <a:prstGeom prst="rect">
                      <a:avLst/>
                    </a:prstGeom>
                  </pic:spPr>
                </pic:pic>
              </a:graphicData>
            </a:graphic>
          </wp:inline>
        </w:drawing>
      </w:r>
    </w:p>
    <w:p w14:paraId="1D052F2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数据库的所有内容中，本项目中标单位负责自然资源部门数据库的制作，《新疆维吾尔自治区农用地数据采集及上报指南》（2026修订版）文件要求的附件资料（发包合同、证书扫描件等）由自然资源部门提供。</w:t>
      </w:r>
      <w:r>
        <w:rPr>
          <w:rFonts w:hint="eastAsia" w:ascii="方正仿宋_GB2312" w:hAnsi="方正仿宋_GB2312" w:eastAsia="方正仿宋_GB2312" w:cs="方正仿宋_GB2312"/>
          <w:b w:val="0"/>
          <w:bCs w:val="0"/>
          <w:color w:val="000000"/>
          <w:kern w:val="0"/>
          <w:sz w:val="30"/>
          <w:szCs w:val="30"/>
          <w:highlight w:val="none"/>
          <w:lang w:val="en-US" w:eastAsia="zh-CN" w:bidi="ar"/>
        </w:rPr>
        <w:t>剩余林业和草原部门、农业农村部门数据与附件资料由各行业部门提供给中标单位</w:t>
      </w:r>
      <w:r>
        <w:rPr>
          <w:rFonts w:hint="eastAsia" w:ascii="方正仿宋_GB2312" w:hAnsi="方正仿宋_GB2312" w:eastAsia="方正仿宋_GB2312" w:cs="方正仿宋_GB2312"/>
          <w:b w:val="0"/>
          <w:bCs w:val="0"/>
          <w:color w:val="000000"/>
          <w:kern w:val="0"/>
          <w:sz w:val="28"/>
          <w:szCs w:val="28"/>
          <w:highlight w:val="none"/>
          <w:lang w:val="en-US" w:eastAsia="zh-CN" w:bidi="ar"/>
        </w:rPr>
        <w:t>，</w:t>
      </w:r>
      <w:r>
        <w:rPr>
          <w:rFonts w:hint="eastAsia" w:ascii="方正仿宋_GB2312" w:hAnsi="方正仿宋_GB2312" w:eastAsia="方正仿宋_GB2312" w:cs="方正仿宋_GB2312"/>
          <w:b w:val="0"/>
          <w:bCs w:val="0"/>
          <w:color w:val="000000"/>
          <w:kern w:val="0"/>
          <w:sz w:val="28"/>
          <w:szCs w:val="28"/>
          <w:lang w:val="en-US" w:eastAsia="zh-CN" w:bidi="ar"/>
        </w:rPr>
        <w:t>中标单位负责整理上交材料、进行数据库联合质检以及数据的最终上交，联合质检中反馈问题由各行业部门负责修改完善。</w:t>
      </w:r>
    </w:p>
    <w:p w14:paraId="5395AA70">
      <w:pPr>
        <w:pStyle w:val="4"/>
        <w:bidi w:val="0"/>
        <w:jc w:val="left"/>
        <w:rPr>
          <w:rFonts w:hint="eastAsia" w:hAnsi="Times New Roman" w:cs="Times New Roman"/>
          <w:lang w:val="en-US" w:eastAsia="zh-CN"/>
        </w:rPr>
      </w:pPr>
      <w:r>
        <w:rPr>
          <w:rFonts w:hint="eastAsia" w:hAnsi="Times New Roman" w:cs="Times New Roman"/>
          <w:lang w:val="en-US" w:eastAsia="zh-CN"/>
        </w:rPr>
        <w:t xml:space="preserve">二、数学基础 </w:t>
      </w:r>
    </w:p>
    <w:p w14:paraId="2A77E6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1.投影方式 </w:t>
      </w:r>
    </w:p>
    <w:p w14:paraId="473C72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地图投影：统一选择高斯-克吕格投影，采用标准的 3°分带平面直角坐标系统。 </w:t>
      </w:r>
    </w:p>
    <w:p w14:paraId="4C37F3B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2.坐标系统 </w:t>
      </w:r>
    </w:p>
    <w:p w14:paraId="4627CD9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采用“2000 国家大地坐标系”。 </w:t>
      </w:r>
    </w:p>
    <w:p w14:paraId="704C6F5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3.高程基准 </w:t>
      </w:r>
    </w:p>
    <w:p w14:paraId="665CD80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采用“1985 国家高程基准”。 </w:t>
      </w:r>
    </w:p>
    <w:p w14:paraId="346676E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 xml:space="preserve">4.数据精度及计量单位 </w:t>
      </w:r>
    </w:p>
    <w:p w14:paraId="2DEFBFE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内业勾绘图斑矢量数据，不低于 2023 年度国土变更调查精度要求。长度单位采用米（m）；面积计算单位采用平方米（㎡）；面积统计汇总单位采用公顷（h㎡）、亩。</w:t>
      </w:r>
    </w:p>
    <w:p w14:paraId="3608F9B9">
      <w:pPr>
        <w:pStyle w:val="4"/>
        <w:numPr>
          <w:ilvl w:val="0"/>
          <w:numId w:val="10"/>
        </w:numPr>
        <w:bidi w:val="0"/>
        <w:jc w:val="left"/>
        <w:rPr>
          <w:rFonts w:hint="eastAsia" w:hAnsi="Times New Roman" w:cs="Times New Roman"/>
          <w:lang w:val="en-US" w:eastAsia="zh-CN"/>
        </w:rPr>
      </w:pPr>
      <w:r>
        <w:rPr>
          <w:rFonts w:hint="eastAsia" w:hAnsi="Times New Roman" w:cs="Times New Roman"/>
          <w:lang w:val="en-US" w:eastAsia="zh-CN"/>
        </w:rPr>
        <w:t>数据成果</w:t>
      </w:r>
    </w:p>
    <w:p w14:paraId="255935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上交的数据成果包括：</w:t>
      </w:r>
    </w:p>
    <w:p w14:paraId="2B3F382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1.矢量空间数据；</w:t>
      </w:r>
    </w:p>
    <w:p w14:paraId="0A29044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2.非空间数据；</w:t>
      </w:r>
    </w:p>
    <w:p w14:paraId="0D27E9C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3.数字正射影像图（DOM）；</w:t>
      </w:r>
    </w:p>
    <w:p w14:paraId="4BCF58C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4.其他数据；</w:t>
      </w:r>
    </w:p>
    <w:p w14:paraId="06C0CDC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具体数据命名规则如下图所示</w:t>
      </w:r>
    </w:p>
    <w:p w14:paraId="6050A6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b w:val="0"/>
          <w:bCs w:val="0"/>
          <w:color w:val="000000"/>
          <w:kern w:val="0"/>
          <w:sz w:val="28"/>
          <w:szCs w:val="28"/>
          <w:lang w:val="en-US" w:eastAsia="zh-CN" w:bidi="ar"/>
        </w:rPr>
      </w:pPr>
      <w:r>
        <w:rPr>
          <w:rFonts w:hint="default" w:ascii="方正仿宋_GB2312" w:hAnsi="方正仿宋_GB2312" w:eastAsia="方正仿宋_GB2312" w:cs="方正仿宋_GB2312"/>
          <w:b w:val="0"/>
          <w:bCs w:val="0"/>
          <w:color w:val="000000"/>
          <w:kern w:val="0"/>
          <w:sz w:val="28"/>
          <w:szCs w:val="28"/>
          <w:lang w:val="en-US" w:eastAsia="zh-CN" w:bidi="ar"/>
        </w:rPr>
        <w:drawing>
          <wp:inline distT="0" distB="0" distL="114300" distR="114300">
            <wp:extent cx="5255260" cy="3285490"/>
            <wp:effectExtent l="0" t="0" r="2540" b="6350"/>
            <wp:docPr id="9" name="图片 9" descr="国有农用地及林草资源要素清单_She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有农用地及林草资源要素清单_Sheet2"/>
                    <pic:cNvPicPr>
                      <a:picLocks noChangeAspect="1"/>
                    </pic:cNvPicPr>
                  </pic:nvPicPr>
                  <pic:blipFill>
                    <a:blip r:embed="rId15"/>
                    <a:stretch>
                      <a:fillRect/>
                    </a:stretch>
                  </pic:blipFill>
                  <pic:spPr>
                    <a:xfrm>
                      <a:off x="0" y="0"/>
                      <a:ext cx="5255260" cy="3285490"/>
                    </a:xfrm>
                    <a:prstGeom prst="rect">
                      <a:avLst/>
                    </a:prstGeom>
                  </pic:spPr>
                </pic:pic>
              </a:graphicData>
            </a:graphic>
          </wp:inline>
        </w:drawing>
      </w:r>
    </w:p>
    <w:p w14:paraId="3053A6F0">
      <w:pPr>
        <w:pStyle w:val="27"/>
        <w:rPr>
          <w:rFonts w:hint="default"/>
          <w:lang w:val="en-US" w:eastAsia="zh-CN"/>
        </w:rPr>
      </w:pPr>
    </w:p>
    <w:p w14:paraId="659438E9">
      <w:pPr>
        <w:pStyle w:val="4"/>
        <w:numPr>
          <w:ilvl w:val="0"/>
          <w:numId w:val="10"/>
        </w:numPr>
        <w:bidi w:val="0"/>
        <w:jc w:val="left"/>
        <w:rPr>
          <w:rFonts w:hint="eastAsia" w:hAnsi="Times New Roman" w:cs="Times New Roman"/>
          <w:lang w:val="en-US" w:eastAsia="zh-CN"/>
        </w:rPr>
      </w:pPr>
      <w:r>
        <w:rPr>
          <w:rFonts w:hint="eastAsia" w:hAnsi="Times New Roman" w:cs="Times New Roman"/>
          <w:lang w:val="en-US" w:eastAsia="zh-CN"/>
        </w:rPr>
        <w:t>服务期限</w:t>
      </w:r>
    </w:p>
    <w:p w14:paraId="178F03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2026年12月31日之前完成（具体以自治区本项目工期要求及签订合同为主）</w:t>
      </w:r>
    </w:p>
    <w:p w14:paraId="3DB93379">
      <w:pPr>
        <w:pStyle w:val="4"/>
        <w:numPr>
          <w:ilvl w:val="0"/>
          <w:numId w:val="10"/>
        </w:numPr>
        <w:bidi w:val="0"/>
        <w:jc w:val="left"/>
        <w:rPr>
          <w:rFonts w:hint="eastAsia" w:hAnsi="Times New Roman" w:cs="Times New Roman"/>
          <w:lang w:val="en-US" w:eastAsia="zh-CN"/>
        </w:rPr>
      </w:pPr>
      <w:r>
        <w:rPr>
          <w:rFonts w:hint="eastAsia" w:hAnsi="Times New Roman" w:cs="Times New Roman"/>
          <w:lang w:val="en-US" w:eastAsia="zh-CN"/>
        </w:rPr>
        <w:t>售后服务</w:t>
      </w:r>
    </w:p>
    <w:p w14:paraId="0D1C97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对整个项目的合理化把控提出可行性建议，对项目中出现的各种问题和需要协助准备相关资料提供可供参考的解决方案，以保证项目顺利进行。</w:t>
      </w:r>
    </w:p>
    <w:p w14:paraId="7D6977B1">
      <w:pPr>
        <w:pStyle w:val="4"/>
        <w:numPr>
          <w:ilvl w:val="0"/>
          <w:numId w:val="10"/>
        </w:numPr>
        <w:bidi w:val="0"/>
        <w:jc w:val="left"/>
        <w:rPr>
          <w:rFonts w:hint="eastAsia" w:ascii="宋体" w:hAnsi="Times New Roman" w:eastAsia="宋体" w:cs="Times New Roman"/>
          <w:lang w:val="en-US" w:eastAsia="zh-CN"/>
        </w:rPr>
      </w:pPr>
      <w:bookmarkStart w:id="470" w:name="_Toc8070"/>
      <w:r>
        <w:rPr>
          <w:rFonts w:hint="eastAsia" w:ascii="宋体" w:hAnsi="Times New Roman" w:eastAsia="宋体" w:cs="Times New Roman"/>
          <w:lang w:val="en-US" w:eastAsia="zh-CN"/>
        </w:rPr>
        <w:t>付款条件、进度和方式</w:t>
      </w:r>
      <w:bookmarkEnd w:id="470"/>
    </w:p>
    <w:p w14:paraId="261D40A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合同签订后支付合同金额的50%，项目中期支付合同金额的40%；项目验收合格后支付合同金额的10%，成交供应商须提供合法的当届结算金额全额增值税发票并经采购人财务审核后方可付款。（最终付款方式以和采购单位签订合同为准）。</w:t>
      </w:r>
    </w:p>
    <w:p w14:paraId="16C1539F">
      <w:pPr>
        <w:pStyle w:val="4"/>
        <w:numPr>
          <w:ilvl w:val="0"/>
          <w:numId w:val="10"/>
        </w:numPr>
        <w:bidi w:val="0"/>
        <w:jc w:val="left"/>
        <w:rPr>
          <w:rFonts w:hint="eastAsia" w:hAnsi="Times New Roman" w:cs="Times New Roman"/>
          <w:lang w:val="en-US" w:eastAsia="zh-CN"/>
        </w:rPr>
      </w:pPr>
      <w:r>
        <w:rPr>
          <w:rFonts w:hint="eastAsia" w:hAnsi="Times New Roman" w:cs="Times New Roman"/>
          <w:lang w:val="en-US" w:eastAsia="zh-CN"/>
        </w:rPr>
        <w:t>采购标的的验收标准：</w:t>
      </w:r>
    </w:p>
    <w:p w14:paraId="4777129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通过检查软件及自治区的各类检查后，上交自治区项目主管部门，视为本项目数据成果通过最终验收。</w:t>
      </w:r>
    </w:p>
    <w:p w14:paraId="5D2A4556">
      <w:pPr>
        <w:pStyle w:val="4"/>
        <w:numPr>
          <w:ilvl w:val="0"/>
          <w:numId w:val="10"/>
        </w:numPr>
        <w:bidi w:val="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服务地点</w:t>
      </w:r>
    </w:p>
    <w:p w14:paraId="64EB566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方正仿宋_GB2312" w:hAnsi="方正仿宋_GB2312" w:eastAsia="方正仿宋_GB2312" w:cs="方正仿宋_GB2312"/>
          <w:b w:val="0"/>
          <w:bCs w:val="0"/>
          <w:color w:val="000000"/>
          <w:kern w:val="0"/>
          <w:sz w:val="28"/>
          <w:szCs w:val="28"/>
          <w:lang w:val="en-US" w:eastAsia="zh-CN" w:bidi="ar"/>
        </w:rPr>
      </w:pPr>
      <w:r>
        <w:rPr>
          <w:rFonts w:hint="eastAsia" w:ascii="方正仿宋_GB2312" w:hAnsi="方正仿宋_GB2312" w:eastAsia="方正仿宋_GB2312" w:cs="方正仿宋_GB2312"/>
          <w:b w:val="0"/>
          <w:bCs w:val="0"/>
          <w:color w:val="000000"/>
          <w:kern w:val="0"/>
          <w:sz w:val="28"/>
          <w:szCs w:val="28"/>
          <w:lang w:val="en-US" w:eastAsia="zh-CN" w:bidi="ar"/>
        </w:rPr>
        <w:t>采购人指定地点。</w:t>
      </w:r>
    </w:p>
    <w:p w14:paraId="5857F71A"/>
    <w:p w14:paraId="5821BB6F">
      <w:pPr>
        <w:rPr>
          <w:rFonts w:hint="eastAsia" w:ascii="仿宋" w:hAnsi="仿宋" w:eastAsia="仿宋" w:cs="仿宋"/>
          <w:sz w:val="20"/>
          <w:szCs w:val="22"/>
          <w:lang w:val="en-US" w:eastAsia="zh-CN"/>
        </w:rPr>
      </w:pPr>
    </w:p>
    <w:p w14:paraId="336C90E1">
      <w:pPr>
        <w:rPr>
          <w:rFonts w:hint="eastAsia" w:ascii="仿宋" w:hAnsi="仿宋" w:eastAsia="仿宋" w:cs="仿宋"/>
          <w:sz w:val="28"/>
          <w:szCs w:val="18"/>
          <w:lang w:val="en-US" w:eastAsia="zh-CN"/>
        </w:rPr>
      </w:pPr>
      <w:r>
        <w:rPr>
          <w:rFonts w:hint="eastAsia" w:ascii="仿宋" w:hAnsi="仿宋" w:eastAsia="仿宋" w:cs="仿宋"/>
          <w:sz w:val="28"/>
          <w:szCs w:val="18"/>
          <w:lang w:val="en-US" w:eastAsia="zh-CN"/>
        </w:rPr>
        <w:br w:type="page"/>
      </w:r>
    </w:p>
    <w:p w14:paraId="17298E5D">
      <w:pPr>
        <w:pStyle w:val="4"/>
        <w:bidi w:val="0"/>
        <w:rPr>
          <w:rFonts w:hint="eastAsia" w:ascii="仿宋" w:hAnsi="仿宋" w:eastAsia="仿宋" w:cs="仿宋"/>
          <w:sz w:val="28"/>
          <w:szCs w:val="18"/>
          <w:lang w:val="en-US" w:eastAsia="zh-CN"/>
        </w:rPr>
      </w:pPr>
      <w:bookmarkStart w:id="471" w:name="_Toc4530"/>
      <w:r>
        <w:rPr>
          <w:rFonts w:hint="eastAsia" w:ascii="仿宋" w:hAnsi="仿宋" w:eastAsia="仿宋" w:cs="仿宋"/>
          <w:sz w:val="28"/>
          <w:szCs w:val="18"/>
          <w:lang w:val="en-US" w:eastAsia="zh-CN"/>
        </w:rPr>
        <w:t xml:space="preserve">第6章  </w:t>
      </w:r>
      <w:bookmarkStart w:id="472" w:name="_Toc7971"/>
      <w:bookmarkStart w:id="473" w:name="_Toc507399907"/>
      <w:bookmarkStart w:id="474" w:name="_Toc32647"/>
      <w:bookmarkStart w:id="475" w:name="_Toc515647832"/>
      <w:r>
        <w:rPr>
          <w:rFonts w:hint="eastAsia" w:ascii="仿宋" w:hAnsi="仿宋" w:eastAsia="仿宋" w:cs="仿宋"/>
          <w:sz w:val="28"/>
          <w:szCs w:val="18"/>
          <w:lang w:val="en-US" w:eastAsia="zh-CN"/>
        </w:rPr>
        <w:t>评标方法和标准</w:t>
      </w:r>
      <w:bookmarkEnd w:id="471"/>
      <w:bookmarkEnd w:id="472"/>
      <w:bookmarkEnd w:id="473"/>
      <w:bookmarkEnd w:id="474"/>
      <w:bookmarkEnd w:id="475"/>
    </w:p>
    <w:p w14:paraId="7BAEB1AE">
      <w:pPr>
        <w:pStyle w:val="2"/>
        <w:tabs>
          <w:tab w:val="clear" w:pos="567"/>
        </w:tabs>
        <w:spacing w:before="0" w:line="240" w:lineRule="auto"/>
        <w:ind w:firstLine="540" w:firstLineChars="225"/>
        <w:rPr>
          <w:rFonts w:hint="eastAsia" w:ascii="仿宋" w:hAnsi="仿宋" w:eastAsia="仿宋" w:cs="仿宋"/>
          <w:color w:val="auto"/>
          <w:sz w:val="24"/>
          <w:szCs w:val="24"/>
          <w:highlight w:val="none"/>
        </w:rPr>
      </w:pPr>
    </w:p>
    <w:p w14:paraId="6BEC0188">
      <w:pPr>
        <w:pStyle w:val="2"/>
        <w:tabs>
          <w:tab w:val="clear" w:pos="567"/>
        </w:tabs>
        <w:spacing w:before="0" w:line="240" w:lineRule="auto"/>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本项目将按照招标文件第一章投标人须知中“五 开标及评标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六 确定中标”及本章的规定评标。</w:t>
      </w:r>
    </w:p>
    <w:p w14:paraId="63789D11">
      <w:pPr>
        <w:pStyle w:val="94"/>
        <w:numPr>
          <w:ilvl w:val="1"/>
          <w:numId w:val="11"/>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476" w:name="_Toc25486"/>
      <w:r>
        <w:rPr>
          <w:rFonts w:hint="eastAsia" w:ascii="仿宋" w:hAnsi="仿宋" w:eastAsia="仿宋" w:cs="仿宋"/>
          <w:color w:val="auto"/>
          <w:sz w:val="24"/>
          <w:szCs w:val="24"/>
          <w:highlight w:val="none"/>
        </w:rPr>
        <w:t>总则</w:t>
      </w:r>
      <w:bookmarkEnd w:id="476"/>
    </w:p>
    <w:p w14:paraId="39486F41">
      <w:pPr>
        <w:pStyle w:val="2"/>
        <w:spacing w:before="11" w:line="240" w:lineRule="auto"/>
        <w:rPr>
          <w:rFonts w:hint="eastAsia" w:ascii="仿宋" w:hAnsi="仿宋" w:eastAsia="仿宋" w:cs="仿宋"/>
          <w:b/>
          <w:color w:val="auto"/>
          <w:sz w:val="24"/>
          <w:szCs w:val="24"/>
          <w:highlight w:val="none"/>
        </w:rPr>
      </w:pPr>
    </w:p>
    <w:p w14:paraId="798E1C89">
      <w:pPr>
        <w:pStyle w:val="88"/>
        <w:numPr>
          <w:ilvl w:val="2"/>
          <w:numId w:val="11"/>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根据《中华人民共和国政府采购法》和《政府采购货物和服务招标投标管理办法》（财政部第 </w:t>
      </w:r>
      <w:r>
        <w:rPr>
          <w:rFonts w:hint="eastAsia" w:ascii="仿宋" w:hAnsi="仿宋" w:eastAsia="仿宋" w:cs="仿宋"/>
          <w:color w:val="auto"/>
          <w:sz w:val="24"/>
          <w:szCs w:val="24"/>
          <w:highlight w:val="none"/>
          <w:lang w:val="en-US" w:eastAsia="zh-CN"/>
        </w:rPr>
        <w:t>87</w:t>
      </w:r>
      <w:r>
        <w:rPr>
          <w:rFonts w:hint="eastAsia" w:ascii="仿宋" w:hAnsi="仿宋" w:eastAsia="仿宋" w:cs="仿宋"/>
          <w:color w:val="auto"/>
          <w:sz w:val="24"/>
          <w:szCs w:val="24"/>
          <w:highlight w:val="none"/>
        </w:rPr>
        <w:t xml:space="preserve"> 号令）等法律规章，结合采购项目特点制定本评标办法。</w:t>
      </w:r>
    </w:p>
    <w:p w14:paraId="321EE0C6">
      <w:pPr>
        <w:pStyle w:val="88"/>
        <w:numPr>
          <w:ilvl w:val="2"/>
          <w:numId w:val="11"/>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评标工作由招标代理机构负责组织，具体评标事务由招标代理机构依法组建的评标委员会负责。评标委员会由采购人代表和有关技术、经济等方面的专家组成；</w:t>
      </w:r>
    </w:p>
    <w:p w14:paraId="008D2A2B">
      <w:pPr>
        <w:pStyle w:val="88"/>
        <w:numPr>
          <w:ilvl w:val="2"/>
          <w:numId w:val="11"/>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评标工作应遵循公平、公正、科学及择优的原则，并以相同的评标程序和标准对待所有的投标人；</w:t>
      </w:r>
    </w:p>
    <w:p w14:paraId="33E447E4">
      <w:pPr>
        <w:pStyle w:val="88"/>
        <w:numPr>
          <w:ilvl w:val="2"/>
          <w:numId w:val="11"/>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评标委员会按照招标文件规定的评标方法和标准进行评标，并独立履行下列职责：</w:t>
      </w:r>
    </w:p>
    <w:p w14:paraId="7AACC231">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color w:val="auto"/>
          <w:sz w:val="24"/>
          <w:szCs w:val="24"/>
          <w:highlight w:val="none"/>
        </w:rPr>
        <w:t>审查投标文件是否符合招标文件要求，并</w:t>
      </w:r>
      <w:r>
        <w:rPr>
          <w:rFonts w:hint="eastAsia" w:ascii="仿宋" w:hAnsi="仿宋" w:eastAsia="仿宋" w:cs="仿宋"/>
          <w:color w:val="auto"/>
          <w:sz w:val="24"/>
          <w:szCs w:val="24"/>
          <w:highlight w:val="none"/>
          <w:lang w:eastAsia="zh-CN"/>
        </w:rPr>
        <w:t>作出评价</w:t>
      </w:r>
      <w:r>
        <w:rPr>
          <w:rFonts w:hint="eastAsia" w:ascii="仿宋" w:hAnsi="仿宋" w:eastAsia="仿宋" w:cs="仿宋"/>
          <w:color w:val="auto"/>
          <w:sz w:val="24"/>
          <w:szCs w:val="24"/>
          <w:highlight w:val="none"/>
        </w:rPr>
        <w:t>；</w:t>
      </w:r>
    </w:p>
    <w:p w14:paraId="567CBCFB">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要求投标供应商对投标文件有关事项</w:t>
      </w:r>
      <w:r>
        <w:rPr>
          <w:rFonts w:hint="eastAsia" w:ascii="仿宋" w:hAnsi="仿宋" w:eastAsia="仿宋" w:cs="仿宋"/>
          <w:color w:val="auto"/>
          <w:sz w:val="24"/>
          <w:szCs w:val="24"/>
          <w:highlight w:val="none"/>
          <w:lang w:eastAsia="zh-CN"/>
        </w:rPr>
        <w:t>作出解释</w:t>
      </w:r>
      <w:r>
        <w:rPr>
          <w:rFonts w:hint="eastAsia" w:ascii="仿宋" w:hAnsi="仿宋" w:eastAsia="仿宋" w:cs="仿宋"/>
          <w:color w:val="auto"/>
          <w:sz w:val="24"/>
          <w:szCs w:val="24"/>
          <w:highlight w:val="none"/>
        </w:rPr>
        <w:t>或者澄清；</w:t>
      </w:r>
    </w:p>
    <w:p w14:paraId="53680FDF">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1.4.3</w:t>
      </w:r>
      <w:r>
        <w:rPr>
          <w:rFonts w:hint="eastAsia" w:ascii="仿宋" w:hAnsi="仿宋" w:eastAsia="仿宋" w:cs="仿宋"/>
          <w:color w:val="auto"/>
          <w:sz w:val="24"/>
          <w:szCs w:val="24"/>
          <w:highlight w:val="none"/>
        </w:rPr>
        <w:t>推荐中标候选供应商名单，或者受采购人委托按照事先确定的办法直接确定中标供应商；</w:t>
      </w:r>
    </w:p>
    <w:p w14:paraId="31150684">
      <w:pPr>
        <w:pStyle w:val="88"/>
        <w:numPr>
          <w:ilvl w:val="2"/>
          <w:numId w:val="11"/>
        </w:numPr>
        <w:spacing w:line="240" w:lineRule="auto"/>
        <w:ind w:left="521"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向招标采购单位或者有关部门报告非法干预评标工作的行为。</w:t>
      </w:r>
    </w:p>
    <w:p w14:paraId="11460FD7">
      <w:pPr>
        <w:pStyle w:val="94"/>
        <w:numPr>
          <w:ilvl w:val="1"/>
          <w:numId w:val="11"/>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lang w:val="en-US" w:eastAsia="zh-CN"/>
        </w:rPr>
      </w:pPr>
      <w:bookmarkStart w:id="477" w:name="_Toc4163"/>
      <w:r>
        <w:rPr>
          <w:rFonts w:hint="eastAsia" w:ascii="仿宋" w:hAnsi="仿宋" w:eastAsia="仿宋" w:cs="仿宋"/>
          <w:color w:val="auto"/>
          <w:sz w:val="24"/>
          <w:szCs w:val="24"/>
          <w:highlight w:val="none"/>
          <w:lang w:val="en-US" w:eastAsia="zh-CN"/>
        </w:rPr>
        <w:t>开标程序</w:t>
      </w:r>
      <w:bookmarkEnd w:id="477"/>
    </w:p>
    <w:p w14:paraId="66255227">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采购人和采购代理机构将按</w:t>
      </w:r>
      <w:r>
        <w:rPr>
          <w:rFonts w:hint="eastAsia" w:ascii="仿宋" w:hAnsi="仿宋" w:eastAsia="仿宋" w:cs="仿宋"/>
          <w:color w:val="auto"/>
          <w:sz w:val="24"/>
          <w:szCs w:val="24"/>
          <w:highlight w:val="none"/>
          <w:u w:val="single"/>
        </w:rPr>
        <w:t>投标人须知资料表</w:t>
      </w:r>
      <w:r>
        <w:rPr>
          <w:rFonts w:hint="eastAsia" w:ascii="仿宋" w:hAnsi="仿宋" w:eastAsia="仿宋" w:cs="仿宋"/>
          <w:color w:val="auto"/>
          <w:sz w:val="24"/>
          <w:szCs w:val="24"/>
          <w:highlight w:val="none"/>
        </w:rPr>
        <w:t>中规定的开标时间和地点组织公开开标。</w:t>
      </w:r>
    </w:p>
    <w:p w14:paraId="373248A8">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在开标前，工作人员收取所有参会人员的手机，主持人宣读开标纪律。</w:t>
      </w:r>
    </w:p>
    <w:p w14:paraId="0A1E3B97">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在线签收投标文件，投标人不足3家的，不得开标。</w:t>
      </w:r>
    </w:p>
    <w:p w14:paraId="16F4503B">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投标人解密投标文件，解密时长为30分钟，供应商应使用与加密时使用的同一把CA锁进行解密操作，如出现非供应商自身原因造成的无法解密，</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采购代理机构使用备用投标文件进行解密操作。</w:t>
      </w:r>
    </w:p>
    <w:p w14:paraId="48535F20">
      <w:pPr>
        <w:pStyle w:val="88"/>
        <w:numPr>
          <w:ilvl w:val="0"/>
          <w:numId w:val="0"/>
        </w:numPr>
        <w:spacing w:line="24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组织评审委员会以不记名投票的形式选定评审委员会主任，并宣读评标会纪律，对评标委员会进行通讯工具管制及宣读相关法律法规。</w:t>
      </w:r>
    </w:p>
    <w:p w14:paraId="07502469">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）由代理公司工作人员开启报价文件并由供应商代表在线CA签字确认，报价确认时段限制为10分钟，由评审委员会进行报价评审及政策价格认定。</w:t>
      </w:r>
    </w:p>
    <w:p w14:paraId="6DE84759">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）采购人或采购代理机构将对开标过程进行记录，由参加开标的各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代表和相关工作人员签字确认，并存档备查。</w:t>
      </w:r>
    </w:p>
    <w:p w14:paraId="24C0CF01">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代表对开标过程和开标记录有疑义，以及认为采购人、采购代理机构相关工作人员有需要回避的情形的，应当场提出询问或者回避申请。投标人未参加开标的，视同认可开标结果。</w:t>
      </w:r>
    </w:p>
    <w:p w14:paraId="0054CE19">
      <w:pPr>
        <w:pStyle w:val="94"/>
        <w:numPr>
          <w:ilvl w:val="1"/>
          <w:numId w:val="11"/>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478" w:name="_Toc13883"/>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eastAsia="zh-CN"/>
        </w:rPr>
        <w:t>程序</w:t>
      </w:r>
      <w:bookmarkEnd w:id="478"/>
    </w:p>
    <w:p w14:paraId="556CA6A1">
      <w:pPr>
        <w:pStyle w:val="88"/>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（1）在政采云平台上随机抽取</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名评标委员会</w:t>
      </w:r>
      <w:r>
        <w:rPr>
          <w:rFonts w:hint="eastAsia" w:ascii="仿宋" w:hAnsi="仿宋" w:eastAsia="仿宋" w:cs="仿宋"/>
          <w:color w:val="auto"/>
          <w:sz w:val="24"/>
          <w:szCs w:val="24"/>
          <w:highlight w:val="none"/>
          <w:lang w:eastAsia="zh-CN"/>
        </w:rPr>
        <w:t>成员，</w:t>
      </w:r>
      <w:r>
        <w:rPr>
          <w:rFonts w:hint="eastAsia" w:ascii="仿宋" w:hAnsi="仿宋" w:eastAsia="仿宋" w:cs="仿宋"/>
          <w:color w:val="auto"/>
          <w:sz w:val="24"/>
          <w:szCs w:val="24"/>
          <w:highlight w:val="none"/>
        </w:rPr>
        <w:t>负责评标工作。</w:t>
      </w:r>
    </w:p>
    <w:p w14:paraId="5BCCC777">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（2）评标前，</w:t>
      </w:r>
      <w:r>
        <w:rPr>
          <w:rFonts w:hint="eastAsia" w:ascii="仿宋" w:hAnsi="仿宋" w:eastAsia="仿宋" w:cs="仿宋"/>
          <w:color w:val="auto"/>
          <w:sz w:val="24"/>
          <w:szCs w:val="24"/>
          <w:highlight w:val="none"/>
          <w:lang w:val="en-US" w:eastAsia="zh-CN"/>
        </w:rPr>
        <w:t>核对评审专家身份和采购人代表授权函，采购人和采购代理机构将对评审专家在政府采购活动中职责履行情况予以记录，并及时将有关违法违规行为向财政部门报告。</w:t>
      </w:r>
    </w:p>
    <w:p w14:paraId="0977D576">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（3）通讯工具管理：专家老师将通讯工具调制成静音状态，交予代理机构统一保管。</w:t>
      </w:r>
    </w:p>
    <w:p w14:paraId="6DE0EF7F">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（4）组织评标委员会推选评标组长，宣布评标委员会成员姓名、工作单位、职称，以举手表决的方式选取。</w:t>
      </w:r>
    </w:p>
    <w:p w14:paraId="773C6243">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（5）采购人和采购代理机构，评标委员会成员要严格遵守政府采购相关法律制度，依法履行各自职责，公正、客观、审慎地组织和参与评审工作；</w:t>
      </w:r>
    </w:p>
    <w:p w14:paraId="66653B6D">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（6）评审委员会成员要依法独立评审，并对评审意见承担个人责任；</w:t>
      </w:r>
    </w:p>
    <w:p w14:paraId="22835AA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14:paraId="58C3801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（8）采购人、采购代理机构和评审委员会在评审工作中，要依法相互监督和制约，并自觉接受各级财政部门的监督；</w:t>
      </w:r>
    </w:p>
    <w:p w14:paraId="53F2BED0">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（9）评审委员会要根据政府采购法律法规和采购文件所载明的评审方法、标准进行评审。</w:t>
      </w:r>
    </w:p>
    <w:p w14:paraId="63BE3C4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（10）评审专家如有以下情形，应当回避：</w:t>
      </w:r>
    </w:p>
    <w:p w14:paraId="233DF2A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1.参加采购活动前三年内，与供应商存在劳动关系，或者担任过供应商的董事、监事，或者是供应商的控股股东或者实际控制人；</w:t>
      </w:r>
    </w:p>
    <w:p w14:paraId="2F4B2BFA">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2.与供应商的法定代表人或者负责人有夫妻、直系血亲、三代以内旁系血亲或者近姻亲关系；</w:t>
      </w:r>
    </w:p>
    <w:p w14:paraId="5AF960C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3.与供应商有其他可能影响政府采购活动公平、公正进行的关系。</w:t>
      </w:r>
    </w:p>
    <w:p w14:paraId="3CF65DB2">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p>
    <w:p w14:paraId="4760F978">
      <w:pPr>
        <w:pStyle w:val="29"/>
        <w:bidi w:val="0"/>
        <w:ind w:left="0" w:lef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评标专家在政府采购活动中承担以下义务：</w:t>
      </w:r>
    </w:p>
    <w:p w14:paraId="148D1E43">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①遵纪守法，客观、公正、廉洁地履行职责；</w:t>
      </w:r>
    </w:p>
    <w:p w14:paraId="7FE763F8">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②按照政府采购法律法规和采购文件的规定要求对供应商的资格条件和供应商提供的产品价格、技术、服务等方面严格进行评判，提供科学合理、公平公正的评审意见，参与起草评审报告，并予签字确认；</w:t>
      </w:r>
    </w:p>
    <w:p w14:paraId="12977FA9">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③保守秘密。不得透露采购文件咨询情况，不得泄露供应商的投标文件及知悉的商业秘密，不得向供应商透露评审情况；</w:t>
      </w:r>
    </w:p>
    <w:p w14:paraId="455AB122">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④发现供应商在政府采购活动中有不正当竞争或恶意串通等违规行为，及时向政府采购评审工作的组织者或行政监管部门报告并加以制止；</w:t>
      </w:r>
    </w:p>
    <w:p w14:paraId="2A3A0DF3">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⑤发现采购人、招标代理机构及其工作人员在政府采购活动中有干预评审、发表倾向性和歧视性言论、受贿或者接受供应商的其他好处及其他违法违规行为，及时向行政监管部门报告；</w:t>
      </w:r>
    </w:p>
    <w:p w14:paraId="135DE291">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⑥解答有关方面对政府采购评审工作中有关问题的询问，配合采购人或者招标代理机构答复供应商质疑，配合行政监管部门的投诉处理工作等事宜；</w:t>
      </w:r>
    </w:p>
    <w:p w14:paraId="1852C5DB">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⑦法律、法规和规章规定的其他义务。</w:t>
      </w:r>
    </w:p>
    <w:p w14:paraId="1F2AB33F">
      <w:pPr>
        <w:pStyle w:val="14"/>
        <w:bidi w:val="0"/>
        <w:rPr>
          <w:rFonts w:hint="eastAsia" w:ascii="仿宋" w:hAnsi="仿宋" w:eastAsia="仿宋" w:cs="仿宋"/>
          <w:b/>
          <w:bCs/>
          <w:color w:val="auto"/>
          <w:highlight w:val="none"/>
        </w:rPr>
      </w:pPr>
      <w:r>
        <w:rPr>
          <w:rFonts w:hint="eastAsia" w:ascii="仿宋" w:hAnsi="仿宋" w:eastAsia="仿宋" w:cs="仿宋"/>
          <w:b/>
          <w:bCs/>
          <w:color w:val="auto"/>
          <w:highlight w:val="none"/>
        </w:rPr>
        <w:t>评审专家在政府采购活动中应当遵守以下工作纪律：</w:t>
      </w:r>
    </w:p>
    <w:p w14:paraId="6DBE9317">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①应邀按时参加评审和咨询活动。遇特殊情况不能出席或途中遇阻不能按时参加评审或咨询的，应及时告知采购人或者招标代理机构，不得私自转托他人；</w:t>
      </w:r>
    </w:p>
    <w:p w14:paraId="1B4B1139">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不得参加与自己有利害关系的政府采购项目的评审活动。对与自己有利害关系的评审项目，如受到邀请，应主动提出回避。行政监管部门、采购人或招标代理机构也可以要求该评审专家回避；有利害关系主要是指三年内曾在参加该采购项目的供应商中任职（包括一般工作） 或担任顾问，配偶或直系亲属在参加该采购项目的供应商中任职或担任顾问，与参加该采购项目的供应商发生过法律纠纷，以及其他可能影响公正评审的情况；</w:t>
      </w:r>
    </w:p>
    <w:p w14:paraId="75292CED">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③评审或咨询过程中关闭通讯设备，不得与外界联系。因发生不可预见情况，确实需要与外界联系的，应当有在场工作人员陪同；</w:t>
      </w:r>
    </w:p>
    <w:p w14:paraId="04AECC20">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40EC6B7E">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⑤在咨询工作中，严格执行国家产业政策和产品标准，认真听取咨询方的合理要求， 提出科学合理的、无倾向性和歧视性的咨询方案，并对所提出的意见和建议承担个人责任；</w:t>
      </w:r>
    </w:p>
    <w:p w14:paraId="72D0C3F8">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⑥法律、法规和规章规定的其他评审工作纪律。</w:t>
      </w:r>
    </w:p>
    <w:p w14:paraId="3A68A51C">
      <w:pPr>
        <w:pStyle w:val="88"/>
        <w:numPr>
          <w:ilvl w:val="0"/>
          <w:numId w:val="12"/>
        </w:numPr>
        <w:spacing w:line="240" w:lineRule="auto"/>
        <w:ind w:left="1080" w:leftChars="257" w:hanging="54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澄清和答疑：</w:t>
      </w:r>
    </w:p>
    <w:p w14:paraId="3A3D90AF">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及腾讯群在线，以便能及时地接受在线询标，询标时投标人代表应作书面记录，并对询问答疑的内容做出在线书面答复。</w:t>
      </w:r>
    </w:p>
    <w:p w14:paraId="32098932">
      <w:pPr>
        <w:pStyle w:val="88"/>
        <w:numPr>
          <w:ilvl w:val="0"/>
          <w:numId w:val="0"/>
        </w:numPr>
        <w:spacing w:line="240" w:lineRule="auto"/>
        <w:ind w:left="420" w:left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CN"/>
        </w:rPr>
        <w:t>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p>
    <w:p w14:paraId="62F9EF8A">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供应商代表对开标过程和开标记录有异议，以及认为采购人、采购代理机构相关工作人员有需要回避的情形的，应当场提出询问或者回避申请。采购人、采购代理机构对供应商代表提出的询问或者回避申请应当及时处理。</w:t>
      </w:r>
    </w:p>
    <w:p w14:paraId="3B23BCFC">
      <w:pPr>
        <w:pStyle w:val="88"/>
        <w:numPr>
          <w:ilvl w:val="0"/>
          <w:numId w:val="0"/>
        </w:numPr>
        <w:spacing w:line="240" w:lineRule="auto"/>
        <w:ind w:left="42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④供应商提出的询问或者质疑超出采购人对采购代理机构委托授权范围的，采购代理机构应当告知供应商向采购人提出。</w:t>
      </w:r>
    </w:p>
    <w:p w14:paraId="166CC16C">
      <w:pPr>
        <w:pStyle w:val="88"/>
        <w:numPr>
          <w:ilvl w:val="0"/>
          <w:numId w:val="0"/>
        </w:numPr>
        <w:spacing w:line="240" w:lineRule="auto"/>
        <w:ind w:left="420" w:left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计算错误的修改</w:t>
      </w:r>
    </w:p>
    <w:p w14:paraId="5F4B4A89">
      <w:pPr>
        <w:pStyle w:val="88"/>
        <w:numPr>
          <w:ilvl w:val="0"/>
          <w:numId w:val="0"/>
        </w:numPr>
        <w:tabs>
          <w:tab w:val="left" w:pos="1473"/>
        </w:tabs>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投标文件中如果出现计算上或累加上的算术错误，可按以下原则进行修改：</w:t>
      </w:r>
    </w:p>
    <w:p w14:paraId="5551BE65">
      <w:pPr>
        <w:pStyle w:val="88"/>
        <w:numPr>
          <w:ilvl w:val="0"/>
          <w:numId w:val="13"/>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用数字表示的金额和用文字表示的金额不一致，应以文字表示的金额为准；</w:t>
      </w:r>
    </w:p>
    <w:p w14:paraId="327BF6CE">
      <w:pPr>
        <w:pStyle w:val="88"/>
        <w:numPr>
          <w:ilvl w:val="0"/>
          <w:numId w:val="13"/>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单价和数量的乘积与总价不一致时，以单价为准，并修正总价；</w:t>
      </w:r>
    </w:p>
    <w:p w14:paraId="1308C21D">
      <w:pPr>
        <w:pStyle w:val="88"/>
        <w:numPr>
          <w:ilvl w:val="0"/>
          <w:numId w:val="13"/>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单价金额小数点有明显错误的，以总价为准，修正单价。</w:t>
      </w:r>
    </w:p>
    <w:p w14:paraId="381DD777">
      <w:pPr>
        <w:pStyle w:val="88"/>
        <w:numPr>
          <w:ilvl w:val="0"/>
          <w:numId w:val="0"/>
        </w:numPr>
        <w:tabs>
          <w:tab w:val="left" w:pos="1476"/>
        </w:tabs>
        <w:spacing w:line="240" w:lineRule="auto"/>
        <w:ind w:right="514"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按上述修正错误的方法调整的投标报价应对投标人具有约束力。如果投标人不接受修正后的价格，其投标将被拒绝。</w:t>
      </w:r>
    </w:p>
    <w:p w14:paraId="67BC3218">
      <w:pPr>
        <w:pStyle w:val="88"/>
        <w:numPr>
          <w:ilvl w:val="0"/>
          <w:numId w:val="0"/>
        </w:num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对资格审查合格的投标人，由评标委员会按以下程序进行。</w:t>
      </w:r>
    </w:p>
    <w:p w14:paraId="76A0A4B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（1）初步评审－符合性审查，符合性检查的内容及标准；</w:t>
      </w:r>
    </w:p>
    <w:p w14:paraId="7CBDFEF4">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商务符合性审查，符合性检查的内容及标准；</w:t>
      </w:r>
    </w:p>
    <w:p w14:paraId="40F36A35">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（2）澄清有关问题；</w:t>
      </w:r>
    </w:p>
    <w:p w14:paraId="3BB5F0CC">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（3）比较与评价；</w:t>
      </w:r>
    </w:p>
    <w:p w14:paraId="6AAE1A4B">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（4）推荐中标供应商名单；</w:t>
      </w:r>
    </w:p>
    <w:p w14:paraId="0EC6645D">
      <w:pPr>
        <w:pStyle w:val="88"/>
        <w:numPr>
          <w:ilvl w:val="0"/>
          <w:numId w:val="0"/>
        </w:numPr>
        <w:spacing w:line="24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（5）编写评标报告。</w:t>
      </w:r>
    </w:p>
    <w:p w14:paraId="2296CAB9">
      <w:pPr>
        <w:pStyle w:val="94"/>
        <w:numPr>
          <w:ilvl w:val="1"/>
          <w:numId w:val="11"/>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479" w:name="_Toc18234"/>
      <w:r>
        <w:rPr>
          <w:rFonts w:hint="eastAsia" w:ascii="仿宋" w:hAnsi="仿宋" w:eastAsia="仿宋" w:cs="仿宋"/>
          <w:color w:val="auto"/>
          <w:sz w:val="24"/>
          <w:szCs w:val="24"/>
          <w:highlight w:val="none"/>
        </w:rPr>
        <w:t>定标程序</w:t>
      </w:r>
      <w:bookmarkEnd w:id="479"/>
    </w:p>
    <w:p w14:paraId="16FFD52D">
      <w:pPr>
        <w:pStyle w:val="88"/>
        <w:keepNext w:val="0"/>
        <w:keepLines w:val="0"/>
        <w:pageBreakBefore w:val="0"/>
        <w:widowControl w:val="0"/>
        <w:numPr>
          <w:ilvl w:val="0"/>
          <w:numId w:val="0"/>
        </w:numPr>
        <w:tabs>
          <w:tab w:val="left" w:pos="1654"/>
        </w:tabs>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（1）采购代理机构应当在评标结束后2个工作日内将评标报告送采购人。</w:t>
      </w:r>
    </w:p>
    <w:p w14:paraId="7EE068F2">
      <w:pPr>
        <w:pStyle w:val="88"/>
        <w:keepNext w:val="0"/>
        <w:keepLines w:val="0"/>
        <w:pageBreakBefore w:val="0"/>
        <w:widowControl w:val="0"/>
        <w:numPr>
          <w:ilvl w:val="0"/>
          <w:numId w:val="0"/>
        </w:numPr>
        <w:tabs>
          <w:tab w:val="left" w:pos="1654"/>
        </w:tabs>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（2）采购人应当自收到评标报告之日起5个工作日内，在评标报告确定的中标候选人名单中按顺序确定中标人。中标候选人并列的，由采购人按照招标文件规定的方式确定中标人。</w:t>
      </w:r>
    </w:p>
    <w:p w14:paraId="344DED5D">
      <w:pPr>
        <w:pStyle w:val="88"/>
        <w:keepNext w:val="0"/>
        <w:keepLines w:val="0"/>
        <w:pageBreakBefore w:val="0"/>
        <w:widowControl w:val="0"/>
        <w:numPr>
          <w:ilvl w:val="0"/>
          <w:numId w:val="0"/>
        </w:numPr>
        <w:tabs>
          <w:tab w:val="left" w:pos="1654"/>
        </w:tabs>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65DE1082">
      <w:pPr>
        <w:pStyle w:val="2"/>
        <w:tabs>
          <w:tab w:val="clear" w:pos="567"/>
        </w:tabs>
        <w:spacing w:before="0" w:line="360" w:lineRule="auto"/>
        <w:ind w:left="-181" w:leftChars="-86" w:firstLine="180" w:firstLineChars="75"/>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（4）中标候选人并列式时的处理方式：</w:t>
      </w:r>
      <w:r>
        <w:rPr>
          <w:rFonts w:hint="eastAsia" w:ascii="仿宋" w:hAnsi="仿宋" w:eastAsia="仿宋" w:cs="仿宋"/>
          <w:color w:val="auto"/>
          <w:sz w:val="24"/>
          <w:szCs w:val="24"/>
          <w:highlight w:val="none"/>
          <w:u w:val="single"/>
          <w:lang w:val="en-US" w:eastAsia="zh-CN"/>
        </w:rPr>
        <w:t>报价最低者优先，如报价相同，则采用随机抽取的方式确定。</w:t>
      </w:r>
    </w:p>
    <w:p w14:paraId="2916EE3D">
      <w:pPr>
        <w:pStyle w:val="94"/>
        <w:numPr>
          <w:ilvl w:val="1"/>
          <w:numId w:val="11"/>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480" w:name="_Toc13815"/>
      <w:r>
        <w:rPr>
          <w:rFonts w:hint="eastAsia" w:ascii="仿宋" w:hAnsi="仿宋" w:eastAsia="仿宋" w:cs="仿宋"/>
          <w:color w:val="auto"/>
          <w:sz w:val="24"/>
          <w:szCs w:val="24"/>
          <w:highlight w:val="none"/>
        </w:rPr>
        <w:t>评标细则及标准（综合评分法）</w:t>
      </w:r>
      <w:bookmarkEnd w:id="480"/>
    </w:p>
    <w:p w14:paraId="3D59F7B2">
      <w:pPr>
        <w:pStyle w:val="88"/>
        <w:numPr>
          <w:ilvl w:val="0"/>
          <w:numId w:val="0"/>
        </w:numPr>
        <w:spacing w:line="240" w:lineRule="auto"/>
        <w:ind w:right="511" w:rightChars="0" w:firstLine="230"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5.1</w:t>
      </w:r>
      <w:r>
        <w:rPr>
          <w:rFonts w:hint="eastAsia" w:ascii="仿宋" w:hAnsi="仿宋" w:eastAsia="仿宋" w:cs="仿宋"/>
          <w:color w:val="auto"/>
          <w:spacing w:val="-5"/>
          <w:sz w:val="24"/>
          <w:szCs w:val="24"/>
          <w:highlight w:val="none"/>
        </w:rPr>
        <w:t>本次综合评分的主要因素是：</w:t>
      </w:r>
      <w:r>
        <w:rPr>
          <w:rFonts w:hint="eastAsia" w:ascii="仿宋" w:hAnsi="仿宋" w:eastAsia="仿宋" w:cs="仿宋"/>
          <w:color w:val="auto"/>
          <w:spacing w:val="-5"/>
          <w:sz w:val="24"/>
          <w:szCs w:val="24"/>
          <w:highlight w:val="none"/>
          <w:lang w:eastAsia="zh-CN"/>
        </w:rPr>
        <w:t>投标报价、技术或者服务水平、履约能力、售后服务、</w:t>
      </w:r>
      <w:r>
        <w:rPr>
          <w:rFonts w:hint="eastAsia" w:ascii="仿宋" w:hAnsi="仿宋" w:eastAsia="仿宋" w:cs="仿宋"/>
          <w:color w:val="auto"/>
          <w:spacing w:val="-5"/>
          <w:sz w:val="24"/>
          <w:szCs w:val="24"/>
          <w:highlight w:val="none"/>
        </w:rPr>
        <w:t>对招标</w:t>
      </w:r>
      <w:r>
        <w:rPr>
          <w:rFonts w:hint="eastAsia" w:ascii="仿宋" w:hAnsi="仿宋" w:eastAsia="仿宋" w:cs="仿宋"/>
          <w:color w:val="auto"/>
          <w:sz w:val="24"/>
          <w:szCs w:val="24"/>
          <w:highlight w:val="none"/>
        </w:rPr>
        <w:t>文件的响应程度等；</w:t>
      </w:r>
    </w:p>
    <w:p w14:paraId="6789BFE9">
      <w:pPr>
        <w:pStyle w:val="88"/>
        <w:numPr>
          <w:ilvl w:val="0"/>
          <w:numId w:val="0"/>
        </w:numPr>
        <w:tabs>
          <w:tab w:val="left" w:pos="1593"/>
        </w:tabs>
        <w:spacing w:line="240" w:lineRule="auto"/>
        <w:ind w:right="511" w:rightChars="0" w:firstLine="232"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5.2</w:t>
      </w:r>
      <w:r>
        <w:rPr>
          <w:rFonts w:hint="eastAsia" w:ascii="仿宋" w:hAnsi="仿宋" w:eastAsia="仿宋" w:cs="仿宋"/>
          <w:color w:val="auto"/>
          <w:spacing w:val="-4"/>
          <w:sz w:val="24"/>
          <w:szCs w:val="24"/>
          <w:highlight w:val="none"/>
        </w:rPr>
        <w:t>除价格因素外，评委会成员应依据投标文件规定的评分标准和方法独立对其他因素</w:t>
      </w:r>
      <w:r>
        <w:rPr>
          <w:rFonts w:hint="eastAsia" w:ascii="仿宋" w:hAnsi="仿宋" w:eastAsia="仿宋" w:cs="仿宋"/>
          <w:color w:val="auto"/>
          <w:sz w:val="24"/>
          <w:szCs w:val="24"/>
          <w:highlight w:val="none"/>
        </w:rPr>
        <w:t>进行比较打分；</w:t>
      </w:r>
    </w:p>
    <w:p w14:paraId="2DF2DF89">
      <w:pPr>
        <w:pStyle w:val="88"/>
        <w:numPr>
          <w:ilvl w:val="0"/>
          <w:numId w:val="0"/>
        </w:numPr>
        <w:tabs>
          <w:tab w:val="left" w:pos="1593"/>
        </w:tabs>
        <w:spacing w:before="38" w:line="240" w:lineRule="auto"/>
        <w:ind w:firstLine="234"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5.3</w:t>
      </w:r>
      <w:r>
        <w:rPr>
          <w:rFonts w:hint="eastAsia" w:ascii="仿宋" w:hAnsi="仿宋" w:eastAsia="仿宋" w:cs="仿宋"/>
          <w:color w:val="auto"/>
          <w:spacing w:val="-3"/>
          <w:sz w:val="24"/>
          <w:szCs w:val="24"/>
          <w:highlight w:val="none"/>
        </w:rPr>
        <w:t>在评标过程中，投标文件响应招标文件出现的偏离，分为实质性偏离和非实质性偏</w:t>
      </w:r>
      <w:r>
        <w:rPr>
          <w:rFonts w:hint="eastAsia" w:ascii="仿宋" w:hAnsi="仿宋" w:eastAsia="仿宋" w:cs="仿宋"/>
          <w:color w:val="auto"/>
          <w:sz w:val="24"/>
          <w:szCs w:val="24"/>
          <w:highlight w:val="none"/>
        </w:rPr>
        <w:t>离。</w:t>
      </w:r>
    </w:p>
    <w:p w14:paraId="33D2EB18">
      <w:pPr>
        <w:pStyle w:val="88"/>
        <w:numPr>
          <w:ilvl w:val="0"/>
          <w:numId w:val="0"/>
        </w:numPr>
        <w:tabs>
          <w:tab w:val="left" w:pos="1814"/>
        </w:tabs>
        <w:spacing w:before="67" w:line="240" w:lineRule="auto"/>
        <w:ind w:firstLine="234"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5.3.1</w:t>
      </w:r>
      <w:r>
        <w:rPr>
          <w:rFonts w:hint="eastAsia" w:ascii="仿宋" w:hAnsi="仿宋" w:eastAsia="仿宋" w:cs="仿宋"/>
          <w:color w:val="auto"/>
          <w:spacing w:val="-5"/>
          <w:sz w:val="24"/>
          <w:szCs w:val="24"/>
          <w:highlight w:val="none"/>
        </w:rPr>
        <w:t>实质性偏离是指投标文件未能实质响应招标文件的要求。以下情况属于重大偏离：</w:t>
      </w:r>
    </w:p>
    <w:p w14:paraId="375F44DE">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未按招标文件</w:t>
      </w:r>
      <w:r>
        <w:rPr>
          <w:rFonts w:hint="eastAsia" w:ascii="仿宋" w:hAnsi="仿宋" w:eastAsia="仿宋" w:cs="仿宋"/>
          <w:color w:val="auto"/>
          <w:sz w:val="24"/>
          <w:szCs w:val="24"/>
          <w:highlight w:val="none"/>
          <w:lang w:eastAsia="zh-CN"/>
        </w:rPr>
        <w:t>规定</w:t>
      </w:r>
      <w:r>
        <w:rPr>
          <w:rFonts w:hint="eastAsia" w:ascii="仿宋" w:hAnsi="仿宋" w:eastAsia="仿宋" w:cs="仿宋"/>
          <w:color w:val="auto"/>
          <w:sz w:val="24"/>
          <w:szCs w:val="24"/>
          <w:highlight w:val="none"/>
        </w:rPr>
        <w:t>提交投标保证金</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w:t>
      </w:r>
    </w:p>
    <w:p w14:paraId="681128D2">
      <w:pPr>
        <w:pStyle w:val="88"/>
        <w:numPr>
          <w:ilvl w:val="0"/>
          <w:numId w:val="0"/>
        </w:numPr>
        <w:tabs>
          <w:tab w:val="left" w:pos="1777"/>
        </w:tabs>
        <w:spacing w:line="240" w:lineRule="auto"/>
        <w:ind w:right="513"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1"/>
          <w:sz w:val="24"/>
          <w:szCs w:val="24"/>
          <w:highlight w:val="none"/>
        </w:rPr>
        <w:t>投标</w:t>
      </w:r>
      <w:r>
        <w:rPr>
          <w:rFonts w:hint="eastAsia" w:ascii="仿宋" w:hAnsi="仿宋" w:eastAsia="仿宋" w:cs="仿宋"/>
          <w:color w:val="auto"/>
          <w:spacing w:val="-1"/>
          <w:sz w:val="24"/>
          <w:szCs w:val="24"/>
          <w:highlight w:val="none"/>
          <w:lang w:eastAsia="zh-CN"/>
        </w:rPr>
        <w:t>文件</w:t>
      </w:r>
      <w:r>
        <w:rPr>
          <w:rFonts w:hint="eastAsia" w:ascii="仿宋" w:hAnsi="仿宋" w:eastAsia="仿宋" w:cs="仿宋"/>
          <w:color w:val="auto"/>
          <w:spacing w:val="-1"/>
          <w:sz w:val="24"/>
          <w:szCs w:val="24"/>
          <w:highlight w:val="none"/>
        </w:rPr>
        <w:t>、法定代表人授权委托书、开标一览表没有按招标文件的规定和要求</w:t>
      </w:r>
      <w:r>
        <w:rPr>
          <w:rFonts w:hint="eastAsia" w:ascii="仿宋" w:hAnsi="仿宋" w:eastAsia="仿宋" w:cs="仿宋"/>
          <w:color w:val="auto"/>
          <w:spacing w:val="-1"/>
          <w:sz w:val="24"/>
          <w:szCs w:val="24"/>
          <w:highlight w:val="none"/>
          <w:lang w:eastAsia="zh-CN"/>
        </w:rPr>
        <w:t>签署、</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w:t>
      </w:r>
    </w:p>
    <w:p w14:paraId="0A645B52">
      <w:pPr>
        <w:pStyle w:val="88"/>
        <w:numPr>
          <w:ilvl w:val="0"/>
          <w:numId w:val="0"/>
        </w:numPr>
        <w:tabs>
          <w:tab w:val="left" w:pos="1777"/>
        </w:tabs>
        <w:spacing w:line="240" w:lineRule="auto"/>
        <w:ind w:right="513"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）不具备招标文件中规定的资格要求的；</w:t>
      </w:r>
    </w:p>
    <w:p w14:paraId="615A83B5">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投标人的投标报价超过了</w:t>
      </w:r>
      <w:r>
        <w:rPr>
          <w:rFonts w:hint="eastAsia" w:ascii="仿宋" w:hAnsi="仿宋" w:eastAsia="仿宋" w:cs="仿宋"/>
          <w:color w:val="auto"/>
          <w:sz w:val="24"/>
          <w:szCs w:val="24"/>
          <w:highlight w:val="none"/>
          <w:lang w:eastAsia="zh-CN"/>
        </w:rPr>
        <w:t>招标文件中规定的</w:t>
      </w:r>
      <w:r>
        <w:rPr>
          <w:rFonts w:hint="eastAsia" w:ascii="仿宋" w:hAnsi="仿宋" w:eastAsia="仿宋" w:cs="仿宋"/>
          <w:color w:val="auto"/>
          <w:sz w:val="24"/>
          <w:szCs w:val="24"/>
          <w:highlight w:val="none"/>
        </w:rPr>
        <w:t>预算</w:t>
      </w:r>
      <w:r>
        <w:rPr>
          <w:rFonts w:hint="eastAsia" w:ascii="仿宋" w:hAnsi="仿宋" w:eastAsia="仿宋" w:cs="仿宋"/>
          <w:color w:val="auto"/>
          <w:sz w:val="24"/>
          <w:szCs w:val="24"/>
          <w:highlight w:val="none"/>
          <w:lang w:eastAsia="zh-CN"/>
        </w:rPr>
        <w:t>金额最高限价的</w:t>
      </w:r>
      <w:r>
        <w:rPr>
          <w:rFonts w:hint="eastAsia" w:ascii="仿宋" w:hAnsi="仿宋" w:eastAsia="仿宋" w:cs="仿宋"/>
          <w:color w:val="auto"/>
          <w:sz w:val="24"/>
          <w:szCs w:val="24"/>
          <w:highlight w:val="none"/>
        </w:rPr>
        <w:t>；</w:t>
      </w:r>
    </w:p>
    <w:p w14:paraId="291B4C0D">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投标文件中附有采购人不能接受的</w:t>
      </w:r>
      <w:r>
        <w:rPr>
          <w:rFonts w:hint="eastAsia" w:ascii="仿宋" w:hAnsi="仿宋" w:eastAsia="仿宋" w:cs="仿宋"/>
          <w:color w:val="auto"/>
          <w:sz w:val="24"/>
          <w:szCs w:val="24"/>
          <w:highlight w:val="none"/>
          <w:lang w:eastAsia="zh-CN"/>
        </w:rPr>
        <w:t>附加</w:t>
      </w:r>
      <w:r>
        <w:rPr>
          <w:rFonts w:hint="eastAsia" w:ascii="仿宋" w:hAnsi="仿宋" w:eastAsia="仿宋" w:cs="仿宋"/>
          <w:color w:val="auto"/>
          <w:sz w:val="24"/>
          <w:szCs w:val="24"/>
          <w:highlight w:val="none"/>
        </w:rPr>
        <w:t>条件；</w:t>
      </w:r>
    </w:p>
    <w:p w14:paraId="12CA461B">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投标产品的技术规格、技术标准明显不符合招标项目的要求</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w:t>
      </w:r>
    </w:p>
    <w:p w14:paraId="14F359AA">
      <w:pPr>
        <w:pStyle w:val="88"/>
        <w:numPr>
          <w:ilvl w:val="0"/>
          <w:numId w:val="0"/>
        </w:numPr>
        <w:tabs>
          <w:tab w:val="left" w:pos="177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评标委员会认为投标人的报价明显低于其他通过复核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 w:hAnsi="仿宋" w:eastAsia="仿宋" w:cs="仿宋"/>
          <w:b/>
          <w:bCs/>
          <w:color w:val="auto"/>
          <w:sz w:val="24"/>
          <w:szCs w:val="24"/>
          <w:highlight w:val="none"/>
          <w:lang w:eastAsia="zh-CN"/>
        </w:rPr>
        <w:t>无效投标</w:t>
      </w:r>
      <w:r>
        <w:rPr>
          <w:rFonts w:hint="eastAsia" w:ascii="仿宋" w:hAnsi="仿宋" w:eastAsia="仿宋" w:cs="仿宋"/>
          <w:color w:val="auto"/>
          <w:sz w:val="24"/>
          <w:szCs w:val="24"/>
          <w:highlight w:val="none"/>
          <w:lang w:eastAsia="zh-CN"/>
        </w:rPr>
        <w:t>处理；</w:t>
      </w:r>
    </w:p>
    <w:p w14:paraId="400A178A">
      <w:pPr>
        <w:pStyle w:val="88"/>
        <w:numPr>
          <w:ilvl w:val="0"/>
          <w:numId w:val="0"/>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）法律、法规和招标文件规定的其他无效情形。</w:t>
      </w:r>
    </w:p>
    <w:p w14:paraId="2CC99DAA">
      <w:pPr>
        <w:pStyle w:val="88"/>
        <w:numPr>
          <w:ilvl w:val="0"/>
          <w:numId w:val="0"/>
        </w:numPr>
        <w:tabs>
          <w:tab w:val="left" w:pos="1774"/>
        </w:tabs>
        <w:spacing w:line="240" w:lineRule="auto"/>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投标文件有上述情形之一的，作</w:t>
      </w:r>
      <w:r>
        <w:rPr>
          <w:rFonts w:hint="eastAsia" w:ascii="仿宋" w:hAnsi="仿宋" w:eastAsia="仿宋" w:cs="仿宋"/>
          <w:b/>
          <w:bCs/>
          <w:color w:val="auto"/>
          <w:spacing w:val="-1"/>
          <w:sz w:val="24"/>
          <w:szCs w:val="24"/>
          <w:highlight w:val="none"/>
        </w:rPr>
        <w:t>无效投标</w:t>
      </w:r>
      <w:r>
        <w:rPr>
          <w:rFonts w:hint="eastAsia" w:ascii="仿宋" w:hAnsi="仿宋" w:eastAsia="仿宋" w:cs="仿宋"/>
          <w:color w:val="auto"/>
          <w:spacing w:val="-1"/>
          <w:sz w:val="24"/>
          <w:szCs w:val="24"/>
          <w:highlight w:val="none"/>
        </w:rPr>
        <w:t>处理。</w:t>
      </w:r>
    </w:p>
    <w:p w14:paraId="46CCEAA1">
      <w:pPr>
        <w:pStyle w:val="88"/>
        <w:numPr>
          <w:ilvl w:val="0"/>
          <w:numId w:val="0"/>
        </w:numPr>
        <w:tabs>
          <w:tab w:val="left" w:pos="1833"/>
        </w:tabs>
        <w:spacing w:before="2" w:line="240" w:lineRule="auto"/>
        <w:ind w:right="511" w:right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5.4</w:t>
      </w:r>
      <w:r>
        <w:rPr>
          <w:rFonts w:hint="eastAsia" w:ascii="仿宋" w:hAnsi="仿宋" w:eastAsia="仿宋" w:cs="仿宋"/>
          <w:color w:val="auto"/>
          <w:spacing w:val="-2"/>
          <w:sz w:val="24"/>
          <w:szCs w:val="24"/>
          <w:highlight w:val="none"/>
        </w:rPr>
        <w:t>非实质性偏离是指投标文件在实质上响应招标文件的要求，但在个别地方存在一</w:t>
      </w:r>
      <w:r>
        <w:rPr>
          <w:rFonts w:hint="eastAsia" w:ascii="仿宋" w:hAnsi="仿宋" w:eastAsia="仿宋" w:cs="仿宋"/>
          <w:color w:val="auto"/>
          <w:sz w:val="24"/>
          <w:szCs w:val="24"/>
          <w:highlight w:val="none"/>
        </w:rPr>
        <w:t>些不规则、不一致、不完整的内容，并且澄清、说明或者补正这些内容不会改变投标文件的实质性内容。以下情况属于非实质性偏离：</w:t>
      </w:r>
    </w:p>
    <w:p w14:paraId="5C8877DE">
      <w:pPr>
        <w:pStyle w:val="88"/>
        <w:numPr>
          <w:ilvl w:val="0"/>
          <w:numId w:val="0"/>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文字表述的内容含义不明确；</w:t>
      </w:r>
    </w:p>
    <w:p w14:paraId="1BA032F3">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同类问题表述不一致；</w:t>
      </w:r>
    </w:p>
    <w:p w14:paraId="4F456189">
      <w:pPr>
        <w:pStyle w:val="88"/>
        <w:numPr>
          <w:ilvl w:val="0"/>
          <w:numId w:val="0"/>
        </w:numPr>
        <w:tabs>
          <w:tab w:val="left" w:pos="1654"/>
        </w:tabs>
        <w:spacing w:before="1"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有明显文字和计算错误；</w:t>
      </w:r>
    </w:p>
    <w:p w14:paraId="73005EDF">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提供的技术信息和数据资料不完整；</w:t>
      </w:r>
    </w:p>
    <w:p w14:paraId="0A31B4DA">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投标文件未按招标文件要求进行装订或未编制目录、页码；</w:t>
      </w:r>
    </w:p>
    <w:p w14:paraId="71CC6DAE">
      <w:pPr>
        <w:pStyle w:val="88"/>
        <w:numPr>
          <w:ilvl w:val="0"/>
          <w:numId w:val="0"/>
        </w:numPr>
        <w:tabs>
          <w:tab w:val="left" w:pos="165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评标委员会认定的其他非实质性偏离。</w:t>
      </w:r>
    </w:p>
    <w:p w14:paraId="2D9978F1">
      <w:pPr>
        <w:pStyle w:val="2"/>
        <w:spacing w:line="240" w:lineRule="auto"/>
        <w:ind w:right="51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投标文件有上述</w:t>
      </w: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4"/>
          <w:sz w:val="24"/>
          <w:szCs w:val="24"/>
          <w:highlight w:val="none"/>
        </w:rPr>
        <w:t>情形之一的，视为投标文件制作不规范，按每一项非实质</w:t>
      </w:r>
      <w:r>
        <w:rPr>
          <w:rFonts w:hint="eastAsia" w:ascii="仿宋" w:hAnsi="仿宋" w:eastAsia="仿宋" w:cs="仿宋"/>
          <w:color w:val="auto"/>
          <w:sz w:val="24"/>
          <w:szCs w:val="24"/>
          <w:highlight w:val="none"/>
        </w:rPr>
        <w:t>性偏离进行扣分处理，直至该项分值扣完为止。评标委员会不接受投标人主动提出的澄清、说明或补正。</w:t>
      </w:r>
    </w:p>
    <w:p w14:paraId="435ECF6D">
      <w:pPr>
        <w:spacing w:line="240" w:lineRule="auto"/>
        <w:jc w:val="both"/>
        <w:rPr>
          <w:rFonts w:hint="eastAsia" w:ascii="仿宋" w:hAnsi="仿宋" w:eastAsia="仿宋" w:cs="仿宋"/>
          <w:color w:val="auto"/>
          <w:sz w:val="24"/>
          <w:szCs w:val="24"/>
          <w:highlight w:val="none"/>
        </w:rPr>
      </w:pPr>
    </w:p>
    <w:p w14:paraId="6D6DBE51">
      <w:pPr>
        <w:pStyle w:val="88"/>
        <w:numPr>
          <w:ilvl w:val="0"/>
          <w:numId w:val="0"/>
        </w:numPr>
        <w:tabs>
          <w:tab w:val="left" w:pos="1653"/>
        </w:tabs>
        <w:spacing w:before="38" w:line="240" w:lineRule="auto"/>
        <w:ind w:right="511" w:right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5.5</w:t>
      </w:r>
      <w:r>
        <w:rPr>
          <w:rFonts w:hint="eastAsia" w:ascii="仿宋" w:hAnsi="仿宋" w:eastAsia="仿宋" w:cs="仿宋"/>
          <w:color w:val="auto"/>
          <w:spacing w:val="-7"/>
          <w:sz w:val="24"/>
          <w:szCs w:val="24"/>
          <w:highlight w:val="none"/>
        </w:rPr>
        <w:t>在投标文件初审过程中，如果出现评标委员会成员意见不一致的情况，按照少数服</w:t>
      </w:r>
      <w:r>
        <w:rPr>
          <w:rFonts w:hint="eastAsia" w:ascii="仿宋" w:hAnsi="仿宋" w:eastAsia="仿宋" w:cs="仿宋"/>
          <w:color w:val="auto"/>
          <w:sz w:val="24"/>
          <w:szCs w:val="24"/>
          <w:highlight w:val="none"/>
        </w:rPr>
        <w:t>从多数的原则确定。</w:t>
      </w:r>
    </w:p>
    <w:p w14:paraId="62A0D019">
      <w:pPr>
        <w:pStyle w:val="88"/>
        <w:numPr>
          <w:ilvl w:val="0"/>
          <w:numId w:val="0"/>
        </w:numPr>
        <w:tabs>
          <w:tab w:val="left" w:pos="1653"/>
        </w:tabs>
        <w:spacing w:before="38" w:line="240" w:lineRule="auto"/>
        <w:ind w:left="1172" w:leftChars="0" w:right="511" w:rightChars="0"/>
        <w:rPr>
          <w:rFonts w:hint="eastAsia" w:ascii="仿宋" w:hAnsi="仿宋" w:eastAsia="仿宋" w:cs="仿宋"/>
          <w:b/>
          <w:color w:val="auto"/>
          <w:sz w:val="24"/>
          <w:szCs w:val="24"/>
          <w:highlight w:val="none"/>
          <w:vertAlign w:val="baseline"/>
        </w:rPr>
      </w:pPr>
    </w:p>
    <w:tbl>
      <w:tblPr>
        <w:tblStyle w:val="41"/>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14:paraId="34D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83" w:type="dxa"/>
            <w:noWrap w:val="0"/>
            <w:vAlign w:val="top"/>
          </w:tcPr>
          <w:p w14:paraId="24510DC9">
            <w:pPr>
              <w:pStyle w:val="11"/>
              <w:keepNext w:val="0"/>
              <w:keepLines w:val="0"/>
              <w:suppressLineNumbers w:val="0"/>
              <w:spacing w:before="0" w:beforeAutospacing="0" w:after="0" w:afterAutospacing="0"/>
              <w:ind w:left="0" w:right="0"/>
              <w:rPr>
                <w:rFonts w:hint="eastAsia" w:ascii="仿宋" w:hAnsi="仿宋" w:eastAsia="仿宋" w:cs="仿宋"/>
                <w:color w:val="auto"/>
                <w:highlight w:val="none"/>
                <w:vertAlign w:val="baseline"/>
                <w:lang w:val="en-US" w:eastAsia="zh-CN"/>
              </w:rPr>
            </w:pPr>
          </w:p>
        </w:tc>
      </w:tr>
    </w:tbl>
    <w:p w14:paraId="34BBF4A6">
      <w:pPr>
        <w:pStyle w:val="94"/>
        <w:numPr>
          <w:ilvl w:val="0"/>
          <w:numId w:val="0"/>
        </w:numPr>
        <w:tabs>
          <w:tab w:val="left" w:pos="1297"/>
        </w:tabs>
        <w:spacing w:before="38" w:line="240" w:lineRule="auto"/>
        <w:outlineLvl w:val="1"/>
        <w:rPr>
          <w:rFonts w:hint="eastAsia" w:ascii="仿宋" w:hAnsi="仿宋" w:eastAsia="仿宋" w:cs="仿宋"/>
          <w:color w:val="auto"/>
          <w:sz w:val="24"/>
          <w:szCs w:val="24"/>
          <w:highlight w:val="none"/>
        </w:rPr>
      </w:pPr>
      <w:bookmarkStart w:id="481" w:name="_Toc17734"/>
      <w:r>
        <w:rPr>
          <w:rFonts w:hint="eastAsia" w:ascii="仿宋" w:hAnsi="仿宋" w:eastAsia="仿宋" w:cs="仿宋"/>
          <w:color w:val="auto"/>
          <w:sz w:val="24"/>
          <w:szCs w:val="24"/>
          <w:highlight w:val="none"/>
          <w:lang w:val="en-US" w:eastAsia="zh-CN"/>
        </w:rPr>
        <w:t>6.投标无效的情形：</w:t>
      </w:r>
      <w:bookmarkEnd w:id="481"/>
    </w:p>
    <w:p w14:paraId="1E0EF7A2">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（1）单位负责人为同一人或者存在直接控股、管理关系的不同供应商，其相关投标将被认定为投标无效。</w:t>
      </w:r>
    </w:p>
    <w:p w14:paraId="39E4A658">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（2）供应商报价超过招标文件规定的预算金额或者分项、分包最高限价的，其投标将被认定为投标无效。</w:t>
      </w:r>
    </w:p>
    <w:p w14:paraId="69612270">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0781AF9E">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 xml:space="preserve"> （4）供应商应当对所投分包投标文件中“服务内容”所列的所有内容进行投标，如仅响应某一包中的部分内容，其该包投标将被认定为投标无效。</w:t>
      </w:r>
    </w:p>
    <w:p w14:paraId="2178343D">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（5）供应商未按本须知第12.1和12.3条规定提交投标保证金的，其投标资格将被认定为无效。</w:t>
      </w:r>
    </w:p>
    <w:p w14:paraId="3AFB444B">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6）所有投标均以人民币报价。供应商的投标报价应遵守《中华人民共和国价格法》。同时，根据《中华人民共和国政府采购法》第二条的规定，为保证公平竞争，如有服务主体部分的赠与行为，其投标将被认定为投标无效。</w:t>
      </w:r>
    </w:p>
    <w:p w14:paraId="266CADDB">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（7）供应商所报的各分项投标单价在合同履行过程中是固定不变的，不得以任何理由予以变更。任何包含价格调整要求的投标，其投标将被认定为投标无效。</w:t>
      </w:r>
    </w:p>
    <w:p w14:paraId="21CC1CB1">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（8）投标应在供应商须知资料表中规定时间内保持有效。投标有效期不满足要求的投标，其投标将被认定为投标无效。</w:t>
      </w:r>
    </w:p>
    <w:p w14:paraId="3CF08682">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（9）所有投标文件采用不可拆装的胶订方式装订，否则其投标将被认定为投标无效。</w:t>
      </w:r>
    </w:p>
    <w:p w14:paraId="59F5E8F6">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（10）采购人或采购代理机构将在开标前1个工作日至投标截止后1小时的期间内查询供应商的信用记录。供应商存在不良信用记录的，其投标将被认定为投标无效。</w:t>
      </w:r>
    </w:p>
    <w:p w14:paraId="6266F8E3">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11）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353AB52D">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12）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561554EC">
      <w:pPr>
        <w:widowControl/>
        <w:spacing w:line="400" w:lineRule="exact"/>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pacing w:val="-1"/>
          <w:kern w:val="2"/>
          <w:sz w:val="24"/>
          <w:szCs w:val="24"/>
          <w:highlight w:val="none"/>
          <w:lang w:val="en-US" w:eastAsia="zh-CN" w:bidi="ar-SA"/>
        </w:rPr>
        <w:t>（13）如发现下列情况之一的，其投标将被认定为投标无效：未按照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4D0BE881">
      <w:pPr>
        <w:pStyle w:val="88"/>
        <w:numPr>
          <w:ilvl w:val="0"/>
          <w:numId w:val="0"/>
        </w:numPr>
        <w:tabs>
          <w:tab w:val="left" w:pos="1476"/>
        </w:tabs>
        <w:spacing w:line="360" w:lineRule="auto"/>
        <w:ind w:right="-84" w:rightChars="0"/>
        <w:jc w:val="both"/>
        <w:rPr>
          <w:rFonts w:hint="eastAsia" w:ascii="仿宋" w:hAnsi="仿宋" w:eastAsia="仿宋" w:cs="仿宋"/>
          <w:color w:val="auto"/>
          <w:kern w:val="2"/>
          <w:sz w:val="24"/>
          <w:szCs w:val="24"/>
          <w:highlight w:val="none"/>
          <w:lang w:val="en-US" w:eastAsia="zh-CN" w:bidi="ar-SA"/>
        </w:rPr>
      </w:pPr>
    </w:p>
    <w:p w14:paraId="58CD243D">
      <w:pPr>
        <w:pStyle w:val="88"/>
        <w:numPr>
          <w:ilvl w:val="0"/>
          <w:numId w:val="0"/>
        </w:numPr>
        <w:tabs>
          <w:tab w:val="left" w:pos="1476"/>
        </w:tabs>
        <w:spacing w:line="360" w:lineRule="auto"/>
        <w:ind w:right="-84"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w:t>
      </w:r>
      <w:r>
        <w:rPr>
          <w:rFonts w:hint="eastAsia" w:ascii="仿宋" w:hAnsi="仿宋" w:eastAsia="仿宋" w:cs="仿宋"/>
          <w:b/>
          <w:bCs/>
          <w:color w:val="auto"/>
          <w:kern w:val="2"/>
          <w:sz w:val="24"/>
          <w:szCs w:val="24"/>
          <w:highlight w:val="none"/>
          <w:lang w:val="en-US" w:eastAsia="zh-CN" w:bidi="ar-SA"/>
        </w:rPr>
        <w:t>（本项目适用）</w:t>
      </w:r>
      <w:r>
        <w:rPr>
          <w:rFonts w:hint="eastAsia" w:ascii="仿宋" w:hAnsi="仿宋" w:eastAsia="仿宋" w:cs="仿宋"/>
          <w:color w:val="auto"/>
          <w:kern w:val="2"/>
          <w:sz w:val="24"/>
          <w:szCs w:val="24"/>
          <w:highlight w:val="none"/>
          <w:lang w:val="en-US" w:eastAsia="zh-CN" w:bidi="ar-SA"/>
        </w:rPr>
        <w:t>《政府采购促进中小企业发展管理办法》（财库〔2020〕46号）、《关于进一步加大政府采购支持中小企业力度的通知》（财库〔2022〕19号）、《财政部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小微企业报价给予</w:t>
      </w:r>
      <w:r>
        <w:rPr>
          <w:rFonts w:hint="eastAsia" w:ascii="仿宋" w:hAnsi="仿宋" w:eastAsia="仿宋" w:cs="仿宋"/>
          <w:color w:val="auto"/>
          <w:kern w:val="2"/>
          <w:sz w:val="24"/>
          <w:szCs w:val="24"/>
          <w:highlight w:val="none"/>
          <w:u w:val="single"/>
          <w:lang w:val="en-US" w:eastAsia="zh-CN" w:bidi="ar-SA"/>
        </w:rPr>
        <w:t>10%</w:t>
      </w:r>
      <w:r>
        <w:rPr>
          <w:rFonts w:hint="eastAsia" w:ascii="仿宋" w:hAnsi="仿宋" w:eastAsia="仿宋" w:cs="仿宋"/>
          <w:color w:val="auto"/>
          <w:kern w:val="2"/>
          <w:sz w:val="24"/>
          <w:szCs w:val="24"/>
          <w:highlight w:val="none"/>
          <w:lang w:val="en-US" w:eastAsia="zh-CN" w:bidi="ar-SA"/>
        </w:rPr>
        <w:t>的扣除，用扣除后的价格参加评审。对于同时属于小微企业、监狱企业或残疾人福利性单位的，不重复进行投标报价扣除。</w:t>
      </w:r>
    </w:p>
    <w:p w14:paraId="4296CC2E">
      <w:pPr>
        <w:widowControl/>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b/>
          <w:bCs/>
          <w:color w:val="auto"/>
          <w:sz w:val="24"/>
          <w:highlight w:val="none"/>
          <w:lang w:eastAsia="zh-CN"/>
        </w:rPr>
        <w:t>（本项目</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lang w:eastAsia="zh-CN"/>
        </w:rPr>
        <w:t>接受联合体投标）</w:t>
      </w:r>
      <w:r>
        <w:rPr>
          <w:rFonts w:hint="eastAsia" w:ascii="仿宋" w:hAnsi="仿宋" w:eastAsia="仿宋" w:cs="仿宋"/>
          <w:color w:val="auto"/>
          <w:sz w:val="24"/>
          <w:highlight w:val="none"/>
        </w:rPr>
        <w:t>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%的价格扣除。联合体各方均为小型、微型企业和监狱企业的，联合体视同为小型、微型企业和监狱企业。</w:t>
      </w:r>
    </w:p>
    <w:p w14:paraId="79D5B8AC">
      <w:pPr>
        <w:pStyle w:val="2"/>
        <w:tabs>
          <w:tab w:val="clear" w:pos="567"/>
        </w:tabs>
        <w:spacing w:before="0"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详见评标办法</w:t>
      </w:r>
      <w:r>
        <w:rPr>
          <w:rFonts w:hint="eastAsia" w:ascii="仿宋" w:hAnsi="仿宋" w:eastAsia="仿宋" w:cs="仿宋"/>
          <w:color w:val="auto"/>
          <w:highlight w:val="none"/>
          <w:u w:val="single"/>
        </w:rPr>
        <w:t xml:space="preserve">     </w:t>
      </w:r>
    </w:p>
    <w:p w14:paraId="2BCCFD18">
      <w:pPr>
        <w:pStyle w:val="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highlight w:val="none"/>
        </w:rPr>
        <w:t>投标无效</w:t>
      </w:r>
      <w:r>
        <w:rPr>
          <w:rFonts w:hint="eastAsia" w:ascii="仿宋" w:hAnsi="仿宋" w:eastAsia="仿宋" w:cs="仿宋"/>
          <w:color w:val="auto"/>
          <w:highlight w:val="none"/>
        </w:rPr>
        <w:t>。</w:t>
      </w:r>
    </w:p>
    <w:p w14:paraId="7939CD43">
      <w:pPr>
        <w:pStyle w:val="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.对创新产品或</w:t>
      </w:r>
      <w:r>
        <w:rPr>
          <w:rFonts w:hint="eastAsia" w:ascii="仿宋" w:hAnsi="仿宋" w:eastAsia="仿宋" w:cs="仿宋"/>
          <w:color w:val="auto"/>
          <w:highlight w:val="none"/>
          <w:lang w:eastAsia="zh-CN"/>
        </w:rPr>
        <w:t>创新型</w:t>
      </w:r>
      <w:r>
        <w:rPr>
          <w:rFonts w:hint="eastAsia" w:ascii="仿宋" w:hAnsi="仿宋" w:eastAsia="仿宋" w:cs="仿宋"/>
          <w:color w:val="auto"/>
          <w:highlight w:val="none"/>
        </w:rPr>
        <w:t>企业的优惠措施为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无</w:t>
      </w:r>
      <w:r>
        <w:rPr>
          <w:rFonts w:hint="eastAsia" w:ascii="仿宋" w:hAnsi="仿宋" w:eastAsia="仿宋" w:cs="仿宋"/>
          <w:color w:val="auto"/>
          <w:highlight w:val="none"/>
          <w:u w:val="single"/>
        </w:rPr>
        <w:t xml:space="preserve">      </w:t>
      </w:r>
    </w:p>
    <w:p w14:paraId="5A67EB01">
      <w:pPr>
        <w:pStyle w:val="2"/>
        <w:tabs>
          <w:tab w:val="clear" w:pos="567"/>
        </w:tabs>
        <w:spacing w:before="0"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r>
        <w:rPr>
          <w:rFonts w:hint="eastAsia" w:ascii="仿宋" w:hAnsi="仿宋" w:eastAsia="仿宋" w:cs="仿宋"/>
          <w:b/>
          <w:bCs/>
          <w:color w:val="auto"/>
          <w:highlight w:val="none"/>
          <w:lang w:val="en-US" w:eastAsia="zh-CN"/>
        </w:rPr>
        <w:t>本项目不适用</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相同品牌产品</w:t>
      </w:r>
      <w:r>
        <w:rPr>
          <w:rFonts w:hint="eastAsia" w:ascii="仿宋" w:hAnsi="仿宋" w:eastAsia="仿宋" w:cs="仿宋"/>
          <w:color w:val="auto"/>
          <w:highlight w:val="none"/>
        </w:rPr>
        <w:t>处理办法</w:t>
      </w:r>
      <w:r>
        <w:rPr>
          <w:rFonts w:hint="eastAsia" w:ascii="仿宋" w:hAnsi="仿宋" w:eastAsia="仿宋" w:cs="仿宋"/>
          <w:color w:val="auto"/>
          <w:highlight w:val="none"/>
          <w:lang w:eastAsia="zh-CN"/>
        </w:rPr>
        <w:t>：非单一产品采购项目，采购人应当根据采购项目的技术构成、产品价格比重等合理确定核心产品，并在招标文件中载明。多家投标人提供的核心产品品牌相同的，按以下规定处理</w:t>
      </w:r>
      <w:r>
        <w:rPr>
          <w:rFonts w:hint="eastAsia" w:ascii="仿宋" w:hAnsi="仿宋" w:eastAsia="仿宋" w:cs="仿宋"/>
          <w:color w:val="auto"/>
          <w:highlight w:val="none"/>
          <w:lang w:val="en-US" w:eastAsia="zh-CN"/>
        </w:rPr>
        <w:t>。</w:t>
      </w:r>
    </w:p>
    <w:p w14:paraId="2FC44894">
      <w:pPr>
        <w:pStyle w:val="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如采用最低评标</w:t>
      </w:r>
      <w:r>
        <w:rPr>
          <w:rFonts w:hint="eastAsia" w:ascii="仿宋" w:hAnsi="仿宋" w:eastAsia="仿宋" w:cs="仿宋"/>
          <w:color w:val="auto"/>
          <w:highlight w:val="none"/>
          <w:lang w:eastAsia="zh-CN"/>
        </w:rPr>
        <w:t>价</w:t>
      </w:r>
      <w:r>
        <w:rPr>
          <w:rFonts w:hint="eastAsia" w:ascii="仿宋" w:hAnsi="仿宋" w:eastAsia="仿宋" w:cs="仿宋"/>
          <w:color w:val="auto"/>
          <w:highlight w:val="none"/>
        </w:rPr>
        <w:t>法，则：</w:t>
      </w:r>
      <w:r>
        <w:rPr>
          <w:rFonts w:hint="eastAsia" w:ascii="仿宋" w:hAnsi="仿宋" w:eastAsia="仿宋" w:cs="仿宋"/>
          <w:color w:val="auto"/>
          <w:highlight w:val="none"/>
          <w:u w:val="single"/>
          <w:lang w:eastAsia="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Pr>
          <w:rFonts w:hint="eastAsia" w:ascii="仿宋" w:hAnsi="仿宋" w:eastAsia="仿宋" w:cs="仿宋"/>
          <w:b/>
          <w:bCs/>
          <w:color w:val="auto"/>
          <w:highlight w:val="none"/>
          <w:u w:val="single"/>
          <w:lang w:eastAsia="zh-CN"/>
        </w:rPr>
        <w:t>规定：报价相同的，采用随机抽取方式确定</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DB7C40C">
      <w:pPr>
        <w:pStyle w:val="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如采用综合评标法，则：</w:t>
      </w:r>
      <w:r>
        <w:rPr>
          <w:rFonts w:hint="eastAsia" w:ascii="仿宋" w:hAnsi="仿宋" w:eastAsia="仿宋" w:cs="仿宋"/>
          <w:color w:val="auto"/>
          <w:highlight w:val="none"/>
          <w:u w:val="singl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仿宋" w:hAnsi="仿宋" w:eastAsia="仿宋" w:cs="仿宋"/>
          <w:b/>
          <w:bCs/>
          <w:color w:val="auto"/>
          <w:highlight w:val="none"/>
          <w:u w:val="single"/>
          <w:lang w:eastAsia="zh-CN"/>
        </w:rPr>
        <w:t>规定：评审得分相同的，报价低的获得中标人推荐资格，报价分也相同的，采用随机抽取方式确定推荐资格</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998E84A">
      <w:pPr>
        <w:pStyle w:val="2"/>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 xml:space="preserve">.中标候选人并列时的处理方式：   </w:t>
      </w:r>
    </w:p>
    <w:p w14:paraId="4B768B1B">
      <w:pPr>
        <w:pStyle w:val="2"/>
        <w:tabs>
          <w:tab w:val="clear" w:pos="567"/>
        </w:tabs>
        <w:spacing w:before="0" w:line="360" w:lineRule="auto"/>
        <w:ind w:left="-181" w:leftChars="-86" w:firstLine="180" w:firstLineChars="75"/>
        <w:rPr>
          <w:rFonts w:hint="eastAsia" w:ascii="仿宋" w:hAnsi="仿宋" w:eastAsia="仿宋" w:cs="仿宋"/>
          <w:color w:val="auto"/>
          <w:highlight w:val="none"/>
        </w:rPr>
      </w:pPr>
      <w:r>
        <w:rPr>
          <w:rFonts w:hint="eastAsia" w:ascii="仿宋" w:hAnsi="仿宋" w:eastAsia="仿宋" w:cs="仿宋"/>
          <w:color w:val="auto"/>
          <w:highlight w:val="none"/>
        </w:rPr>
        <w:t>如采用最低评标办法，则：</w:t>
      </w:r>
      <w:r>
        <w:rPr>
          <w:rFonts w:hint="eastAsia" w:ascii="仿宋" w:hAnsi="仿宋" w:eastAsia="仿宋" w:cs="仿宋"/>
          <w:color w:val="auto"/>
          <w:highlight w:val="none"/>
          <w:u w:val="single"/>
          <w:lang w:eastAsia="zh-CN"/>
        </w:rPr>
        <w:t>采用随机抽取的方式确定</w:t>
      </w:r>
      <w:r>
        <w:rPr>
          <w:rFonts w:hint="eastAsia" w:ascii="仿宋" w:hAnsi="仿宋" w:eastAsia="仿宋" w:cs="仿宋"/>
          <w:color w:val="auto"/>
          <w:highlight w:val="none"/>
        </w:rPr>
        <w:t>；</w:t>
      </w:r>
    </w:p>
    <w:p w14:paraId="30770F00">
      <w:pPr>
        <w:pStyle w:val="2"/>
        <w:tabs>
          <w:tab w:val="clear" w:pos="567"/>
        </w:tabs>
        <w:spacing w:before="0" w:line="360" w:lineRule="auto"/>
        <w:ind w:left="119" w:leftChars="28" w:hanging="60" w:hangingChars="25"/>
        <w:rPr>
          <w:rFonts w:hint="eastAsia" w:ascii="仿宋" w:hAnsi="仿宋" w:eastAsia="仿宋" w:cs="仿宋"/>
          <w:color w:val="auto"/>
          <w:highlight w:val="none"/>
        </w:rPr>
      </w:pPr>
      <w:r>
        <w:rPr>
          <w:rFonts w:hint="eastAsia" w:ascii="仿宋" w:hAnsi="仿宋" w:eastAsia="仿宋" w:cs="仿宋"/>
          <w:color w:val="auto"/>
          <w:highlight w:val="none"/>
        </w:rPr>
        <w:t>如采用综合评标法，则：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报价最低者优先，如报价相同，则采用随机抽取的方式确定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123D3F5">
      <w:pPr>
        <w:pStyle w:val="2"/>
        <w:tabs>
          <w:tab w:val="clear" w:pos="567"/>
        </w:tabs>
        <w:spacing w:before="0" w:line="360" w:lineRule="auto"/>
        <w:ind w:left="-181" w:leftChars="-86" w:firstLine="660" w:firstLineChars="275"/>
        <w:rPr>
          <w:rFonts w:hint="eastAsia" w:ascii="仿宋" w:hAnsi="仿宋" w:eastAsia="仿宋" w:cs="仿宋"/>
        </w:rPr>
      </w:pPr>
      <w:r>
        <w:rPr>
          <w:rFonts w:hint="eastAsia" w:ascii="仿宋" w:hAnsi="仿宋" w:eastAsia="仿宋" w:cs="仿宋"/>
          <w:color w:val="auto"/>
          <w:highlight w:val="none"/>
        </w:rPr>
        <w:br w:type="page"/>
      </w:r>
    </w:p>
    <w:tbl>
      <w:tblPr>
        <w:tblStyle w:val="40"/>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587"/>
        <w:gridCol w:w="625"/>
        <w:gridCol w:w="643"/>
        <w:gridCol w:w="534"/>
        <w:gridCol w:w="670"/>
      </w:tblGrid>
      <w:tr w14:paraId="1B533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572" w:type="dxa"/>
            <w:gridSpan w:val="6"/>
            <w:tcBorders>
              <w:top w:val="single" w:color="auto" w:sz="12" w:space="0"/>
              <w:left w:val="single" w:color="auto" w:sz="12" w:space="0"/>
              <w:bottom w:val="single" w:color="auto" w:sz="6" w:space="0"/>
              <w:right w:val="single" w:color="auto" w:sz="12" w:space="0"/>
            </w:tcBorders>
            <w:noWrap w:val="0"/>
            <w:vAlign w:val="center"/>
          </w:tcPr>
          <w:p w14:paraId="634E063B">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bCs/>
                <w:color w:val="auto"/>
                <w:kern w:val="0"/>
                <w:sz w:val="32"/>
                <w:szCs w:val="32"/>
                <w:highlight w:val="none"/>
                <w:lang w:val="en-US" w:eastAsia="zh-CN"/>
              </w:rPr>
              <w:t>初步符合性审查</w:t>
            </w:r>
          </w:p>
        </w:tc>
      </w:tr>
      <w:tr w14:paraId="0FF6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100" w:type="dxa"/>
            <w:gridSpan w:val="2"/>
            <w:vMerge w:val="restart"/>
            <w:tcBorders>
              <w:top w:val="single" w:color="auto" w:sz="12" w:space="0"/>
              <w:left w:val="single" w:color="auto" w:sz="12" w:space="0"/>
              <w:bottom w:val="single" w:color="auto" w:sz="6" w:space="0"/>
              <w:right w:val="single" w:color="auto" w:sz="4" w:space="0"/>
            </w:tcBorders>
            <w:noWrap w:val="0"/>
            <w:vAlign w:val="center"/>
          </w:tcPr>
          <w:p w14:paraId="60D3AAB4">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2472" w:type="dxa"/>
            <w:gridSpan w:val="4"/>
            <w:tcBorders>
              <w:top w:val="single" w:color="auto" w:sz="12" w:space="0"/>
              <w:left w:val="single" w:color="auto" w:sz="4" w:space="0"/>
              <w:bottom w:val="single" w:color="auto" w:sz="4" w:space="0"/>
              <w:right w:val="single" w:color="auto" w:sz="12" w:space="0"/>
            </w:tcBorders>
            <w:noWrap w:val="0"/>
            <w:vAlign w:val="center"/>
          </w:tcPr>
          <w:p w14:paraId="15310231">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投标企业名称</w:t>
            </w:r>
          </w:p>
        </w:tc>
      </w:tr>
      <w:tr w14:paraId="39F0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7100"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14:paraId="4E428DF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p>
        </w:tc>
        <w:tc>
          <w:tcPr>
            <w:tcW w:w="625" w:type="dxa"/>
            <w:tcBorders>
              <w:top w:val="single" w:color="auto" w:sz="4" w:space="0"/>
              <w:left w:val="single" w:color="auto" w:sz="4" w:space="0"/>
              <w:bottom w:val="single" w:color="auto" w:sz="6" w:space="0"/>
              <w:right w:val="single" w:color="auto" w:sz="4" w:space="0"/>
            </w:tcBorders>
            <w:noWrap w:val="0"/>
            <w:vAlign w:val="top"/>
          </w:tcPr>
          <w:p w14:paraId="680C70DB">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p>
        </w:tc>
        <w:tc>
          <w:tcPr>
            <w:tcW w:w="643" w:type="dxa"/>
            <w:tcBorders>
              <w:top w:val="single" w:color="auto" w:sz="4" w:space="0"/>
              <w:left w:val="single" w:color="auto" w:sz="4" w:space="0"/>
              <w:bottom w:val="single" w:color="auto" w:sz="6" w:space="0"/>
              <w:right w:val="single" w:color="auto" w:sz="6" w:space="0"/>
            </w:tcBorders>
            <w:noWrap w:val="0"/>
            <w:vAlign w:val="top"/>
          </w:tcPr>
          <w:p w14:paraId="4DBC95A4">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p>
        </w:tc>
        <w:tc>
          <w:tcPr>
            <w:tcW w:w="534" w:type="dxa"/>
            <w:tcBorders>
              <w:top w:val="single" w:color="auto" w:sz="6" w:space="0"/>
              <w:left w:val="single" w:color="auto" w:sz="6" w:space="0"/>
              <w:bottom w:val="single" w:color="auto" w:sz="6" w:space="0"/>
              <w:right w:val="single" w:color="auto" w:sz="6" w:space="0"/>
            </w:tcBorders>
            <w:noWrap w:val="0"/>
            <w:vAlign w:val="center"/>
          </w:tcPr>
          <w:p w14:paraId="4E37240D">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p>
        </w:tc>
        <w:tc>
          <w:tcPr>
            <w:tcW w:w="670" w:type="dxa"/>
            <w:tcBorders>
              <w:top w:val="single" w:color="auto" w:sz="6" w:space="0"/>
              <w:left w:val="single" w:color="auto" w:sz="6" w:space="0"/>
              <w:bottom w:val="single" w:color="auto" w:sz="6" w:space="0"/>
              <w:right w:val="single" w:color="auto" w:sz="12" w:space="0"/>
            </w:tcBorders>
            <w:noWrap w:val="0"/>
            <w:vAlign w:val="center"/>
          </w:tcPr>
          <w:p w14:paraId="7E050992">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tc>
      </w:tr>
      <w:tr w14:paraId="335D0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78F95C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E91A62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由政府立项核准、审批的采购项目，投标报价高于设定的采购预算价的；</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557BF68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6AB03CA4">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3F805CA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0250BA5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5936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DE128D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3D690C1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供应商名称或组织机构与</w:t>
            </w:r>
            <w:r>
              <w:rPr>
                <w:rFonts w:hint="eastAsia" w:ascii="仿宋" w:hAnsi="仿宋" w:eastAsia="仿宋" w:cs="仿宋"/>
                <w:color w:val="auto"/>
                <w:kern w:val="0"/>
                <w:sz w:val="21"/>
                <w:szCs w:val="21"/>
                <w:highlight w:val="none"/>
                <w:lang w:eastAsia="zh-CN"/>
              </w:rPr>
              <w:t>获取</w:t>
            </w:r>
            <w:r>
              <w:rPr>
                <w:rFonts w:hint="eastAsia" w:ascii="仿宋" w:hAnsi="仿宋" w:eastAsia="仿宋" w:cs="仿宋"/>
                <w:color w:val="auto"/>
                <w:kern w:val="0"/>
                <w:sz w:val="21"/>
                <w:szCs w:val="21"/>
                <w:highlight w:val="none"/>
              </w:rPr>
              <w:t>招标文件时不一致，未提供有效证明文件；</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2C9EF0A5">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6901D60F">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1B05082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63879691">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3BFDE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46A8FD1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0F95CC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对招标文件主要条款和承诺存在重大出入或保留；</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6BC4287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237B2A0C">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4498C761">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26FAD00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27581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F21EE3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4</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0A6D00C7">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投标文件未按照招标文件要求编写、印鉴及签字；</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4581DF3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4D1BFFE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126A52D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6B83722F">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13EA5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3DD47C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5</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C20FCDF">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供应商未按招标文件要求的格式填写，内容不全或关键字迹模糊、无法辨认的情况；</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5149E4F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52D310AC">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3C6C130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184FF069">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6F11F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21752BA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6</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2BFE5E2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供应商有违反招标投标纪律的情况；</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569D117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345CDADE">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4A5B857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1F5020B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50E74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513" w:type="dxa"/>
            <w:tcBorders>
              <w:top w:val="single" w:color="auto" w:sz="6" w:space="0"/>
              <w:left w:val="single" w:color="auto" w:sz="12" w:space="0"/>
              <w:bottom w:val="single" w:color="auto" w:sz="6" w:space="0"/>
              <w:right w:val="single" w:color="auto" w:sz="6" w:space="0"/>
            </w:tcBorders>
            <w:noWrap w:val="0"/>
            <w:vAlign w:val="center"/>
          </w:tcPr>
          <w:p w14:paraId="66DE3A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6587" w:type="dxa"/>
            <w:tcBorders>
              <w:top w:val="single" w:color="auto" w:sz="6" w:space="0"/>
              <w:left w:val="single" w:color="auto" w:sz="6" w:space="0"/>
              <w:bottom w:val="single" w:color="auto" w:sz="6" w:space="0"/>
              <w:right w:val="single" w:color="auto" w:sz="4" w:space="0"/>
            </w:tcBorders>
            <w:noWrap w:val="0"/>
            <w:vAlign w:val="bottom"/>
          </w:tcPr>
          <w:p w14:paraId="5EA025D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未提供招标文件</w:t>
            </w:r>
            <w:r>
              <w:rPr>
                <w:rFonts w:hint="eastAsia" w:ascii="仿宋" w:hAnsi="仿宋" w:eastAsia="仿宋" w:cs="仿宋"/>
                <w:bCs/>
                <w:color w:val="auto"/>
                <w:kern w:val="0"/>
                <w:sz w:val="21"/>
                <w:szCs w:val="21"/>
                <w:highlight w:val="none"/>
              </w:rPr>
              <w:t>中规定的其他实质性要求；</w:t>
            </w:r>
          </w:p>
        </w:tc>
        <w:tc>
          <w:tcPr>
            <w:tcW w:w="625" w:type="dxa"/>
            <w:tcBorders>
              <w:top w:val="single" w:color="auto" w:sz="6" w:space="0"/>
              <w:left w:val="single" w:color="auto" w:sz="4" w:space="0"/>
              <w:bottom w:val="single" w:color="auto" w:sz="6" w:space="0"/>
              <w:right w:val="single" w:color="auto" w:sz="4" w:space="0"/>
            </w:tcBorders>
            <w:noWrap w:val="0"/>
            <w:vAlign w:val="center"/>
          </w:tcPr>
          <w:p w14:paraId="0C2305BD">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6" w:space="0"/>
              <w:right w:val="single" w:color="auto" w:sz="6" w:space="0"/>
            </w:tcBorders>
            <w:noWrap w:val="0"/>
            <w:vAlign w:val="center"/>
          </w:tcPr>
          <w:p w14:paraId="288536E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6" w:space="0"/>
              <w:right w:val="single" w:color="auto" w:sz="4" w:space="0"/>
            </w:tcBorders>
            <w:noWrap w:val="0"/>
            <w:vAlign w:val="top"/>
          </w:tcPr>
          <w:p w14:paraId="618560D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4" w:space="0"/>
              <w:bottom w:val="single" w:color="auto" w:sz="6" w:space="0"/>
              <w:right w:val="single" w:color="auto" w:sz="12" w:space="0"/>
            </w:tcBorders>
            <w:noWrap w:val="0"/>
            <w:vAlign w:val="top"/>
          </w:tcPr>
          <w:p w14:paraId="30590DD4">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r w14:paraId="231E3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100" w:type="dxa"/>
            <w:gridSpan w:val="2"/>
            <w:tcBorders>
              <w:top w:val="single" w:color="auto" w:sz="6" w:space="0"/>
              <w:left w:val="single" w:color="auto" w:sz="12" w:space="0"/>
              <w:bottom w:val="single" w:color="auto" w:sz="12" w:space="0"/>
              <w:right w:val="single" w:color="auto" w:sz="4" w:space="0"/>
            </w:tcBorders>
            <w:noWrap w:val="0"/>
            <w:vAlign w:val="top"/>
          </w:tcPr>
          <w:p w14:paraId="2C34027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结论：是否通过评审</w:t>
            </w:r>
          </w:p>
          <w:p w14:paraId="2633AF2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未通过初步评审的，为无效投标。</w:t>
            </w:r>
          </w:p>
        </w:tc>
        <w:tc>
          <w:tcPr>
            <w:tcW w:w="625" w:type="dxa"/>
            <w:tcBorders>
              <w:top w:val="single" w:color="auto" w:sz="6" w:space="0"/>
              <w:left w:val="single" w:color="auto" w:sz="4" w:space="0"/>
              <w:bottom w:val="single" w:color="auto" w:sz="12" w:space="0"/>
              <w:right w:val="single" w:color="auto" w:sz="4" w:space="0"/>
            </w:tcBorders>
            <w:noWrap w:val="0"/>
            <w:vAlign w:val="top"/>
          </w:tcPr>
          <w:p w14:paraId="0009CA6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43" w:type="dxa"/>
            <w:tcBorders>
              <w:top w:val="single" w:color="auto" w:sz="6" w:space="0"/>
              <w:left w:val="single" w:color="auto" w:sz="4" w:space="0"/>
              <w:bottom w:val="single" w:color="auto" w:sz="12" w:space="0"/>
              <w:right w:val="single" w:color="auto" w:sz="6" w:space="0"/>
            </w:tcBorders>
            <w:noWrap w:val="0"/>
            <w:vAlign w:val="top"/>
          </w:tcPr>
          <w:p w14:paraId="77B89A19">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534" w:type="dxa"/>
            <w:tcBorders>
              <w:top w:val="single" w:color="auto" w:sz="6" w:space="0"/>
              <w:left w:val="single" w:color="auto" w:sz="6" w:space="0"/>
              <w:bottom w:val="single" w:color="auto" w:sz="12" w:space="0"/>
              <w:right w:val="single" w:color="auto" w:sz="6" w:space="0"/>
            </w:tcBorders>
            <w:noWrap w:val="0"/>
            <w:vAlign w:val="top"/>
          </w:tcPr>
          <w:p w14:paraId="78A3A64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c>
          <w:tcPr>
            <w:tcW w:w="670" w:type="dxa"/>
            <w:tcBorders>
              <w:top w:val="single" w:color="auto" w:sz="6" w:space="0"/>
              <w:left w:val="single" w:color="auto" w:sz="6" w:space="0"/>
              <w:bottom w:val="single" w:color="auto" w:sz="12" w:space="0"/>
              <w:right w:val="single" w:color="auto" w:sz="12" w:space="0"/>
            </w:tcBorders>
            <w:noWrap w:val="0"/>
            <w:vAlign w:val="top"/>
          </w:tcPr>
          <w:p w14:paraId="7592E4D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1"/>
                <w:szCs w:val="21"/>
                <w:highlight w:val="none"/>
              </w:rPr>
            </w:pPr>
          </w:p>
        </w:tc>
      </w:tr>
    </w:tbl>
    <w:p w14:paraId="1E980947">
      <w:pPr>
        <w:pStyle w:val="2"/>
        <w:spacing w:before="12" w:line="240" w:lineRule="auto"/>
        <w:rPr>
          <w:rFonts w:hint="eastAsia" w:ascii="仿宋" w:hAnsi="仿宋" w:eastAsia="仿宋" w:cs="仿宋"/>
          <w:color w:val="auto"/>
          <w:sz w:val="24"/>
          <w:szCs w:val="24"/>
          <w:highlight w:val="none"/>
        </w:rPr>
      </w:pPr>
    </w:p>
    <w:p w14:paraId="4E4673F1">
      <w:pPr>
        <w:pStyle w:val="2"/>
        <w:spacing w:before="12" w:line="240" w:lineRule="auto"/>
        <w:rPr>
          <w:rFonts w:hint="eastAsia" w:ascii="仿宋" w:hAnsi="仿宋" w:eastAsia="仿宋" w:cs="仿宋"/>
          <w:color w:val="auto"/>
          <w:sz w:val="24"/>
          <w:szCs w:val="24"/>
          <w:highlight w:val="none"/>
        </w:rPr>
      </w:pPr>
    </w:p>
    <w:p w14:paraId="11D55BA9">
      <w:pPr>
        <w:pStyle w:val="2"/>
        <w:spacing w:before="12" w:line="240" w:lineRule="auto"/>
        <w:rPr>
          <w:rFonts w:hint="eastAsia" w:ascii="仿宋" w:hAnsi="仿宋" w:eastAsia="仿宋" w:cs="仿宋"/>
          <w:color w:val="auto"/>
          <w:sz w:val="24"/>
          <w:szCs w:val="24"/>
          <w:highlight w:val="none"/>
        </w:rPr>
      </w:pPr>
    </w:p>
    <w:p w14:paraId="21D91CB5">
      <w:pPr>
        <w:rPr>
          <w:rFonts w:hint="eastAsia" w:ascii="仿宋" w:hAnsi="仿宋" w:eastAsia="仿宋" w:cs="仿宋"/>
          <w:color w:val="auto"/>
          <w:sz w:val="24"/>
          <w:szCs w:val="24"/>
          <w:highlight w:val="none"/>
        </w:rPr>
      </w:pPr>
    </w:p>
    <w:p w14:paraId="4A508421">
      <w:pPr>
        <w:pStyle w:val="27"/>
        <w:rPr>
          <w:rFonts w:hint="eastAsia" w:ascii="仿宋" w:hAnsi="仿宋" w:eastAsia="仿宋" w:cs="仿宋"/>
          <w:color w:val="auto"/>
          <w:sz w:val="24"/>
          <w:szCs w:val="24"/>
          <w:highlight w:val="none"/>
        </w:rPr>
      </w:pPr>
    </w:p>
    <w:p w14:paraId="3AE207D0">
      <w:pPr>
        <w:pStyle w:val="27"/>
        <w:rPr>
          <w:rFonts w:hint="eastAsia" w:ascii="仿宋" w:hAnsi="仿宋" w:eastAsia="仿宋" w:cs="仿宋"/>
          <w:color w:val="auto"/>
          <w:sz w:val="24"/>
          <w:szCs w:val="24"/>
          <w:highlight w:val="none"/>
        </w:rPr>
      </w:pPr>
    </w:p>
    <w:p w14:paraId="125E83FE">
      <w:pPr>
        <w:pStyle w:val="27"/>
        <w:rPr>
          <w:rFonts w:hint="eastAsia" w:ascii="仿宋" w:hAnsi="仿宋" w:eastAsia="仿宋" w:cs="仿宋"/>
          <w:color w:val="auto"/>
          <w:sz w:val="24"/>
          <w:szCs w:val="24"/>
          <w:highlight w:val="none"/>
        </w:rPr>
      </w:pPr>
    </w:p>
    <w:p w14:paraId="0CF02CD4">
      <w:pPr>
        <w:pStyle w:val="27"/>
        <w:rPr>
          <w:rFonts w:hint="eastAsia" w:ascii="仿宋" w:hAnsi="仿宋" w:eastAsia="仿宋" w:cs="仿宋"/>
          <w:color w:val="auto"/>
          <w:sz w:val="24"/>
          <w:szCs w:val="24"/>
          <w:highlight w:val="none"/>
        </w:rPr>
      </w:pPr>
    </w:p>
    <w:p w14:paraId="5AF0A9E4">
      <w:pPr>
        <w:pStyle w:val="27"/>
        <w:rPr>
          <w:rFonts w:hint="eastAsia" w:ascii="仿宋" w:hAnsi="仿宋" w:eastAsia="仿宋" w:cs="仿宋"/>
          <w:color w:val="auto"/>
          <w:sz w:val="24"/>
          <w:szCs w:val="24"/>
          <w:highlight w:val="none"/>
        </w:rPr>
      </w:pPr>
    </w:p>
    <w:p w14:paraId="6254582B">
      <w:pPr>
        <w:pStyle w:val="2"/>
        <w:spacing w:before="12" w:line="240" w:lineRule="auto"/>
        <w:rPr>
          <w:rFonts w:hint="eastAsia" w:ascii="仿宋" w:hAnsi="仿宋" w:eastAsia="仿宋" w:cs="仿宋"/>
          <w:color w:val="auto"/>
          <w:sz w:val="24"/>
          <w:szCs w:val="24"/>
          <w:highlight w:val="none"/>
        </w:rPr>
      </w:pPr>
    </w:p>
    <w:p w14:paraId="6F8262DE">
      <w:pPr>
        <w:pStyle w:val="2"/>
        <w:spacing w:before="12" w:line="240" w:lineRule="auto"/>
        <w:rPr>
          <w:rFonts w:hint="eastAsia" w:ascii="仿宋" w:hAnsi="仿宋" w:eastAsia="仿宋" w:cs="仿宋"/>
          <w:color w:val="auto"/>
          <w:sz w:val="24"/>
          <w:szCs w:val="24"/>
          <w:highlight w:val="none"/>
        </w:rPr>
      </w:pPr>
    </w:p>
    <w:p w14:paraId="205C1015">
      <w:pPr>
        <w:pStyle w:val="2"/>
        <w:spacing w:before="12"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tbl>
      <w:tblPr>
        <w:tblStyle w:val="40"/>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14:paraId="46EED44C">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14:paraId="66C97756">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商务符合性审查表</w:t>
            </w:r>
          </w:p>
        </w:tc>
      </w:tr>
      <w:tr w14:paraId="52D239C6">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465D740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14:paraId="277F2A7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投标人名称及审查情况</w:t>
            </w:r>
          </w:p>
        </w:tc>
      </w:tr>
      <w:tr w14:paraId="3B405BF8">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823678F">
            <w:pPr>
              <w:keepNext w:val="0"/>
              <w:keepLines w:val="0"/>
              <w:widowControl/>
              <w:suppressLineNumbers w:val="0"/>
              <w:spacing w:before="0" w:beforeAutospacing="0" w:after="0" w:afterAutospacing="0"/>
              <w:ind w:left="0" w:right="0"/>
              <w:jc w:val="left"/>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11097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74CD32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08FEF2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188FBDB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45EDB393">
        <w:tblPrEx>
          <w:tblCellMar>
            <w:top w:w="0" w:type="dxa"/>
            <w:left w:w="108" w:type="dxa"/>
            <w:bottom w:w="0" w:type="dxa"/>
            <w:right w:w="108" w:type="dxa"/>
          </w:tblCellMar>
        </w:tblPrEx>
        <w:trPr>
          <w:trHeight w:val="9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BA59B9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中小企业投标要求（1.3.6）</w:t>
            </w:r>
          </w:p>
        </w:tc>
        <w:tc>
          <w:tcPr>
            <w:tcW w:w="2127" w:type="dxa"/>
            <w:tcBorders>
              <w:top w:val="single" w:color="auto" w:sz="4" w:space="0"/>
              <w:left w:val="nil"/>
              <w:bottom w:val="single" w:color="auto" w:sz="4" w:space="0"/>
              <w:right w:val="single" w:color="auto" w:sz="4" w:space="0"/>
            </w:tcBorders>
            <w:noWrap w:val="0"/>
            <w:vAlign w:val="center"/>
          </w:tcPr>
          <w:p w14:paraId="3848E6C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本项目</w:t>
            </w:r>
            <w:r>
              <w:rPr>
                <w:rFonts w:hint="eastAsia" w:ascii="仿宋" w:hAnsi="仿宋" w:eastAsia="仿宋" w:cs="仿宋"/>
                <w:color w:val="auto"/>
                <w:kern w:val="0"/>
                <w:szCs w:val="21"/>
                <w:highlight w:val="none"/>
                <w:u w:val="single"/>
                <w:lang w:val="en-US" w:eastAsia="zh-CN"/>
              </w:rPr>
              <w:t xml:space="preserve"> 不</w:t>
            </w:r>
            <w:r>
              <w:rPr>
                <w:rFonts w:hint="eastAsia" w:ascii="仿宋" w:hAnsi="仿宋" w:eastAsia="仿宋" w:cs="仿宋"/>
                <w:i/>
                <w:iCs/>
                <w:color w:val="auto"/>
                <w:kern w:val="0"/>
                <w:szCs w:val="21"/>
                <w:highlight w:val="none"/>
                <w:u w:val="single"/>
              </w:rPr>
              <w:t>适用</w:t>
            </w:r>
            <w:r>
              <w:rPr>
                <w:rFonts w:hint="eastAsia" w:ascii="仿宋" w:hAnsi="仿宋" w:eastAsia="仿宋" w:cs="仿宋"/>
                <w:i/>
                <w:iCs/>
                <w:color w:val="auto"/>
                <w:kern w:val="0"/>
                <w:szCs w:val="21"/>
                <w:highlight w:val="none"/>
                <w:u w:val="single"/>
                <w:lang w:val="en-US" w:eastAsia="zh-CN"/>
              </w:rPr>
              <w:t xml:space="preserve"> </w:t>
            </w:r>
          </w:p>
        </w:tc>
        <w:tc>
          <w:tcPr>
            <w:tcW w:w="1417" w:type="dxa"/>
            <w:tcBorders>
              <w:top w:val="single" w:color="auto" w:sz="4" w:space="0"/>
              <w:left w:val="nil"/>
              <w:bottom w:val="single" w:color="auto" w:sz="4" w:space="0"/>
              <w:right w:val="single" w:color="auto" w:sz="4" w:space="0"/>
            </w:tcBorders>
            <w:noWrap w:val="0"/>
            <w:vAlign w:val="center"/>
          </w:tcPr>
          <w:p w14:paraId="57C8681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6043D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508160C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058CD4F9">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AC6449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联合体投标规定</w:t>
            </w:r>
          </w:p>
          <w:p w14:paraId="2BD01EE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1.4</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57AE8E4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color w:val="auto"/>
                <w:kern w:val="0"/>
                <w:szCs w:val="21"/>
                <w:highlight w:val="none"/>
                <w:u w:val="single"/>
                <w:lang w:val="en-US" w:eastAsia="zh-CN"/>
              </w:rPr>
              <w:t>不</w:t>
            </w:r>
            <w:r>
              <w:rPr>
                <w:rFonts w:hint="eastAsia" w:ascii="仿宋" w:hAnsi="仿宋" w:eastAsia="仿宋" w:cs="仿宋"/>
                <w:i/>
                <w:iCs/>
                <w:color w:val="auto"/>
                <w:kern w:val="0"/>
                <w:szCs w:val="21"/>
                <w:highlight w:val="none"/>
                <w:u w:val="single"/>
              </w:rPr>
              <w:t>接受</w:t>
            </w:r>
            <w:r>
              <w:rPr>
                <w:rFonts w:hint="eastAsia" w:ascii="仿宋" w:hAnsi="仿宋" w:eastAsia="仿宋" w:cs="仿宋"/>
                <w:color w:val="auto"/>
                <w:kern w:val="0"/>
                <w:szCs w:val="21"/>
                <w:highlight w:val="none"/>
              </w:rPr>
              <w:t>联合体投标</w:t>
            </w:r>
          </w:p>
        </w:tc>
        <w:tc>
          <w:tcPr>
            <w:tcW w:w="1417" w:type="dxa"/>
            <w:tcBorders>
              <w:top w:val="single" w:color="auto" w:sz="4" w:space="0"/>
              <w:left w:val="nil"/>
              <w:bottom w:val="single" w:color="auto" w:sz="4" w:space="0"/>
              <w:right w:val="single" w:color="auto" w:sz="4" w:space="0"/>
            </w:tcBorders>
            <w:noWrap w:val="0"/>
            <w:vAlign w:val="center"/>
          </w:tcPr>
          <w:p w14:paraId="51C2501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688F12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5C404BE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7CAB495C">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163C1A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投标人的关联性</w:t>
            </w:r>
          </w:p>
          <w:p w14:paraId="46480CF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1.5</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4685092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在同一标包内，单位负责人为非同一人或者不存在直接控股、管理关系的不同供应商。</w:t>
            </w:r>
          </w:p>
        </w:tc>
        <w:tc>
          <w:tcPr>
            <w:tcW w:w="1417" w:type="dxa"/>
            <w:tcBorders>
              <w:top w:val="single" w:color="auto" w:sz="4" w:space="0"/>
              <w:left w:val="nil"/>
              <w:bottom w:val="single" w:color="auto" w:sz="4" w:space="0"/>
              <w:right w:val="single" w:color="auto" w:sz="4" w:space="0"/>
            </w:tcBorders>
            <w:noWrap w:val="0"/>
            <w:vAlign w:val="center"/>
          </w:tcPr>
          <w:p w14:paraId="4495335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48B3618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6F0ABCE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410EA0C0">
        <w:tblPrEx>
          <w:tblCellMar>
            <w:top w:w="0" w:type="dxa"/>
            <w:left w:w="108" w:type="dxa"/>
            <w:bottom w:w="0" w:type="dxa"/>
            <w:right w:w="108" w:type="dxa"/>
          </w:tblCellMar>
        </w:tblPrEx>
        <w:trPr>
          <w:trHeight w:val="1331"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6B70CCB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未发现影响采购人决策行为（1.5）</w:t>
            </w:r>
          </w:p>
        </w:tc>
        <w:tc>
          <w:tcPr>
            <w:tcW w:w="2127" w:type="dxa"/>
            <w:tcBorders>
              <w:top w:val="single" w:color="auto" w:sz="4" w:space="0"/>
              <w:left w:val="nil"/>
              <w:bottom w:val="single" w:color="auto" w:sz="4" w:space="0"/>
              <w:right w:val="single" w:color="auto" w:sz="4" w:space="0"/>
            </w:tcBorders>
            <w:noWrap w:val="0"/>
            <w:vAlign w:val="center"/>
          </w:tcPr>
          <w:p w14:paraId="1A527E5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14:paraId="3CF87D3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725E1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5DB0547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17F97E68">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C99989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满足投标范围的完整性要求</w:t>
            </w:r>
          </w:p>
          <w:p w14:paraId="55DB31B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8.1</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7F78FEF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投标人对所投分包招标文件中所列的所有内容进行投标。</w:t>
            </w:r>
          </w:p>
        </w:tc>
        <w:tc>
          <w:tcPr>
            <w:tcW w:w="1417" w:type="dxa"/>
            <w:tcBorders>
              <w:top w:val="single" w:color="auto" w:sz="4" w:space="0"/>
              <w:left w:val="nil"/>
              <w:bottom w:val="single" w:color="auto" w:sz="4" w:space="0"/>
              <w:right w:val="single" w:color="auto" w:sz="4" w:space="0"/>
            </w:tcBorders>
            <w:noWrap w:val="0"/>
            <w:vAlign w:val="center"/>
          </w:tcPr>
          <w:p w14:paraId="0E104E5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248620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3973389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59AF147B">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9467DC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未包含价格调整要求</w:t>
            </w:r>
          </w:p>
          <w:p w14:paraId="048541D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11.4</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6CA4A14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14:paraId="2CA8358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32D827F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76A2EDA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09FCEC5D">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786631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投标保证金（12.1）</w:t>
            </w:r>
          </w:p>
        </w:tc>
        <w:tc>
          <w:tcPr>
            <w:tcW w:w="2127" w:type="dxa"/>
            <w:tcBorders>
              <w:top w:val="single" w:color="auto" w:sz="4" w:space="0"/>
              <w:left w:val="nil"/>
              <w:bottom w:val="single" w:color="auto" w:sz="4" w:space="0"/>
              <w:right w:val="single" w:color="auto" w:sz="4" w:space="0"/>
            </w:tcBorders>
            <w:noWrap w:val="0"/>
            <w:vAlign w:val="center"/>
          </w:tcPr>
          <w:p w14:paraId="3CE298D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符合招标文件要求</w:t>
            </w:r>
          </w:p>
        </w:tc>
        <w:tc>
          <w:tcPr>
            <w:tcW w:w="1417" w:type="dxa"/>
            <w:tcBorders>
              <w:top w:val="single" w:color="auto" w:sz="4" w:space="0"/>
              <w:left w:val="nil"/>
              <w:bottom w:val="single" w:color="auto" w:sz="4" w:space="0"/>
              <w:right w:val="single" w:color="auto" w:sz="4" w:space="0"/>
            </w:tcBorders>
            <w:noWrap w:val="0"/>
            <w:vAlign w:val="center"/>
          </w:tcPr>
          <w:p w14:paraId="38C9604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6515C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419CD08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40B644EF">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B2EB24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投标有效期满足要求</w:t>
            </w:r>
          </w:p>
          <w:p w14:paraId="4E78CE6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13.1</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369F7BF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自提交投标文件截止之日起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90</w:t>
            </w:r>
            <w:r>
              <w:rPr>
                <w:rFonts w:hint="eastAsia" w:ascii="仿宋" w:hAnsi="仿宋" w:eastAsia="仿宋" w:cs="仿宋"/>
                <w:color w:val="auto"/>
                <w:szCs w:val="21"/>
                <w:highlight w:val="none"/>
                <w:u w:val="single"/>
              </w:rPr>
              <w:t xml:space="preserve"> 日</w:t>
            </w:r>
            <w:r>
              <w:rPr>
                <w:rFonts w:hint="eastAsia" w:ascii="仿宋" w:hAnsi="仿宋" w:eastAsia="仿宋" w:cs="仿宋"/>
                <w:color w:val="auto"/>
                <w:szCs w:val="21"/>
                <w:highlight w:val="none"/>
              </w:rPr>
              <w:t>历日内</w:t>
            </w:r>
          </w:p>
        </w:tc>
        <w:tc>
          <w:tcPr>
            <w:tcW w:w="1417" w:type="dxa"/>
            <w:tcBorders>
              <w:top w:val="single" w:color="auto" w:sz="4" w:space="0"/>
              <w:left w:val="nil"/>
              <w:bottom w:val="single" w:color="auto" w:sz="4" w:space="0"/>
              <w:right w:val="single" w:color="auto" w:sz="4" w:space="0"/>
            </w:tcBorders>
            <w:noWrap w:val="0"/>
            <w:vAlign w:val="center"/>
          </w:tcPr>
          <w:p w14:paraId="0664E2F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15DECE8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309D68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3F848AED">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053A22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投标文件的签署和盖章符合要求</w:t>
            </w:r>
          </w:p>
          <w:p w14:paraId="0F56656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14.2</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4AB4266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14:paraId="70D32C1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6AB9B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34325B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5BD97C87">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F6012A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接受价格的算术修正</w:t>
            </w:r>
          </w:p>
          <w:p w14:paraId="0DA498E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20.3</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1FB6524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投标文件报价出现前后不一致的，应按照招标文件规定的顺序修正。修正后的报价经投标人确认后产生约束力。</w:t>
            </w:r>
          </w:p>
        </w:tc>
        <w:tc>
          <w:tcPr>
            <w:tcW w:w="1417" w:type="dxa"/>
            <w:tcBorders>
              <w:top w:val="single" w:color="auto" w:sz="4" w:space="0"/>
              <w:left w:val="nil"/>
              <w:bottom w:val="single" w:color="auto" w:sz="4" w:space="0"/>
              <w:right w:val="single" w:color="auto" w:sz="4" w:space="0"/>
            </w:tcBorders>
            <w:noWrap w:val="0"/>
            <w:vAlign w:val="center"/>
          </w:tcPr>
          <w:p w14:paraId="3161FBF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DC747D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60D7B4E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120076BB">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495830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符合强制采购节能产品要求</w:t>
            </w:r>
          </w:p>
          <w:p w14:paraId="63EC23A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20.6</w:t>
            </w:r>
            <w:r>
              <w:rPr>
                <w:rFonts w:hint="eastAsia" w:ascii="仿宋" w:hAnsi="仿宋" w:eastAsia="仿宋" w:cs="仿宋"/>
                <w:color w:val="auto"/>
                <w:kern w:val="0"/>
                <w:sz w:val="22"/>
                <w:szCs w:val="22"/>
                <w:highlight w:val="none"/>
                <w:lang w:eastAsia="zh-CN"/>
              </w:rPr>
              <w:t>)</w:t>
            </w:r>
          </w:p>
        </w:tc>
        <w:tc>
          <w:tcPr>
            <w:tcW w:w="2127" w:type="dxa"/>
            <w:tcBorders>
              <w:top w:val="single" w:color="auto" w:sz="4" w:space="0"/>
              <w:left w:val="nil"/>
              <w:bottom w:val="single" w:color="auto" w:sz="4" w:space="0"/>
              <w:right w:val="single" w:color="auto" w:sz="4" w:space="0"/>
            </w:tcBorders>
            <w:noWrap w:val="0"/>
            <w:vAlign w:val="center"/>
          </w:tcPr>
          <w:p w14:paraId="0BEA38F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本项目</w:t>
            </w:r>
            <w:r>
              <w:rPr>
                <w:rFonts w:hint="default" w:ascii="仿宋" w:hAnsi="仿宋" w:eastAsia="仿宋" w:cs="仿宋"/>
                <w:color w:val="auto"/>
                <w:kern w:val="0"/>
                <w:szCs w:val="21"/>
                <w:highlight w:val="none"/>
                <w:u w:val="single"/>
                <w:lang w:eastAsia="zh-CN"/>
              </w:rPr>
              <w:t>不</w:t>
            </w:r>
            <w:r>
              <w:rPr>
                <w:rFonts w:hint="eastAsia" w:ascii="仿宋" w:hAnsi="仿宋" w:eastAsia="仿宋" w:cs="仿宋"/>
                <w:i/>
                <w:iCs/>
                <w:color w:val="auto"/>
                <w:kern w:val="0"/>
                <w:szCs w:val="21"/>
                <w:highlight w:val="none"/>
                <w:u w:val="single"/>
                <w:lang w:eastAsia="zh-CN"/>
              </w:rPr>
              <w:t>适用</w:t>
            </w:r>
          </w:p>
        </w:tc>
        <w:tc>
          <w:tcPr>
            <w:tcW w:w="1417" w:type="dxa"/>
            <w:tcBorders>
              <w:top w:val="single" w:color="auto" w:sz="4" w:space="0"/>
              <w:left w:val="nil"/>
              <w:bottom w:val="single" w:color="auto" w:sz="4" w:space="0"/>
              <w:right w:val="single" w:color="auto" w:sz="4" w:space="0"/>
            </w:tcBorders>
            <w:noWrap w:val="0"/>
            <w:vAlign w:val="center"/>
          </w:tcPr>
          <w:p w14:paraId="2CBB995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3D92950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07B22DF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473B77BA">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942BF0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14:paraId="56FF220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未与其他投标人串通投标，或者与招标人串通投标。</w:t>
            </w:r>
          </w:p>
        </w:tc>
        <w:tc>
          <w:tcPr>
            <w:tcW w:w="1417" w:type="dxa"/>
            <w:tcBorders>
              <w:top w:val="single" w:color="auto" w:sz="4" w:space="0"/>
              <w:left w:val="nil"/>
              <w:bottom w:val="single" w:color="auto" w:sz="4" w:space="0"/>
              <w:right w:val="single" w:color="auto" w:sz="4" w:space="0"/>
            </w:tcBorders>
            <w:noWrap w:val="0"/>
            <w:vAlign w:val="center"/>
          </w:tcPr>
          <w:p w14:paraId="772D565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701066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3C0823E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71A64A3C">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87DC86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14:paraId="703E824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投标人的报价明显低于其他通过符合性检查投标人的报价，有可能影响履约的，投标人能按照规定证明其报价合理性。</w:t>
            </w:r>
          </w:p>
        </w:tc>
        <w:tc>
          <w:tcPr>
            <w:tcW w:w="1417" w:type="dxa"/>
            <w:tcBorders>
              <w:top w:val="single" w:color="auto" w:sz="4" w:space="0"/>
              <w:left w:val="nil"/>
              <w:bottom w:val="single" w:color="auto" w:sz="4" w:space="0"/>
              <w:right w:val="single" w:color="auto" w:sz="4" w:space="0"/>
            </w:tcBorders>
            <w:noWrap w:val="0"/>
            <w:vAlign w:val="center"/>
          </w:tcPr>
          <w:p w14:paraId="0CCAF76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1B75D3D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14:paraId="1A09B6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14:paraId="0EF8D2EB">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E2A5FC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14:paraId="0F08A90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投标文件未含有采购人不能接受的附加条件。</w:t>
            </w:r>
          </w:p>
        </w:tc>
        <w:tc>
          <w:tcPr>
            <w:tcW w:w="1417" w:type="dxa"/>
            <w:tcBorders>
              <w:top w:val="single" w:color="auto" w:sz="4" w:space="0"/>
              <w:left w:val="nil"/>
              <w:bottom w:val="single" w:color="auto" w:sz="4" w:space="0"/>
              <w:right w:val="single" w:color="auto" w:sz="4" w:space="0"/>
            </w:tcBorders>
            <w:noWrap w:val="0"/>
            <w:vAlign w:val="center"/>
          </w:tcPr>
          <w:p w14:paraId="0F8CCA2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B3002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7A00089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2"/>
                <w:szCs w:val="22"/>
                <w:highlight w:val="none"/>
              </w:rPr>
            </w:pPr>
          </w:p>
        </w:tc>
      </w:tr>
      <w:tr w14:paraId="42357380">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5AF4BB5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Cs w:val="21"/>
                <w:highlight w:val="none"/>
              </w:rPr>
            </w:pPr>
            <w:r>
              <w:rPr>
                <w:rFonts w:hint="eastAsia" w:ascii="仿宋" w:hAnsi="仿宋" w:eastAsia="仿宋" w:cs="仿宋"/>
                <w:b/>
                <w:color w:val="auto"/>
                <w:kern w:val="0"/>
                <w:sz w:val="22"/>
                <w:szCs w:val="22"/>
                <w:highlight w:val="none"/>
              </w:rPr>
              <w:t>结论</w:t>
            </w:r>
          </w:p>
        </w:tc>
        <w:tc>
          <w:tcPr>
            <w:tcW w:w="1417" w:type="dxa"/>
            <w:tcBorders>
              <w:top w:val="single" w:color="auto" w:sz="4" w:space="0"/>
              <w:left w:val="nil"/>
              <w:bottom w:val="single" w:color="auto" w:sz="4" w:space="0"/>
              <w:right w:val="single" w:color="auto" w:sz="4" w:space="0"/>
            </w:tcBorders>
            <w:noWrap w:val="0"/>
            <w:vAlign w:val="center"/>
          </w:tcPr>
          <w:p w14:paraId="361EBDA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098032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14:paraId="56762A3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2"/>
                <w:szCs w:val="22"/>
                <w:highlight w:val="none"/>
              </w:rPr>
            </w:pPr>
          </w:p>
        </w:tc>
      </w:tr>
    </w:tbl>
    <w:p w14:paraId="1128F148">
      <w:pPr>
        <w:spacing w:line="240" w:lineRule="atLeast"/>
        <w:jc w:val="center"/>
        <w:outlineLvl w:val="1"/>
        <w:rPr>
          <w:rFonts w:ascii="仿宋" w:hAnsi="仿宋" w:eastAsia="仿宋" w:cs="仿宋"/>
          <w:b/>
          <w:szCs w:val="21"/>
        </w:rPr>
      </w:pPr>
      <w:r>
        <w:rPr>
          <w:rFonts w:hint="eastAsia" w:ascii="仿宋" w:hAnsi="仿宋" w:eastAsia="仿宋" w:cs="仿宋"/>
        </w:rPr>
        <w:br w:type="page"/>
      </w:r>
      <w:bookmarkStart w:id="482" w:name="_Toc693"/>
      <w:bookmarkStart w:id="483" w:name="_Toc507399904"/>
      <w:r>
        <w:rPr>
          <w:rFonts w:hint="eastAsia" w:ascii="仿宋" w:hAnsi="仿宋" w:eastAsia="仿宋" w:cs="仿宋"/>
          <w:b/>
          <w:sz w:val="28"/>
          <w:szCs w:val="28"/>
        </w:rPr>
        <w:t>综合评分表</w:t>
      </w:r>
      <w:bookmarkEnd w:id="482"/>
    </w:p>
    <w:tbl>
      <w:tblPr>
        <w:tblStyle w:val="40"/>
        <w:tblW w:w="8592" w:type="dxa"/>
        <w:tblInd w:w="-34" w:type="dxa"/>
        <w:tblLayout w:type="fixed"/>
        <w:tblCellMar>
          <w:top w:w="0" w:type="dxa"/>
          <w:left w:w="108" w:type="dxa"/>
          <w:bottom w:w="0" w:type="dxa"/>
          <w:right w:w="108" w:type="dxa"/>
        </w:tblCellMar>
      </w:tblPr>
      <w:tblGrid>
        <w:gridCol w:w="774"/>
        <w:gridCol w:w="1128"/>
        <w:gridCol w:w="765"/>
        <w:gridCol w:w="5925"/>
      </w:tblGrid>
      <w:tr w14:paraId="3826325E">
        <w:tblPrEx>
          <w:tblCellMar>
            <w:top w:w="0" w:type="dxa"/>
            <w:left w:w="108" w:type="dxa"/>
            <w:bottom w:w="0" w:type="dxa"/>
            <w:right w:w="108" w:type="dxa"/>
          </w:tblCellMar>
        </w:tblPrEx>
        <w:trPr>
          <w:trHeight w:val="895" w:hRule="atLeast"/>
        </w:trPr>
        <w:tc>
          <w:tcPr>
            <w:tcW w:w="1902" w:type="dxa"/>
            <w:gridSpan w:val="2"/>
            <w:tcBorders>
              <w:top w:val="single" w:color="auto" w:sz="6" w:space="0"/>
              <w:left w:val="single" w:color="auto" w:sz="6" w:space="0"/>
              <w:bottom w:val="single" w:color="auto" w:sz="6" w:space="0"/>
              <w:right w:val="single" w:color="auto" w:sz="6" w:space="0"/>
            </w:tcBorders>
            <w:vAlign w:val="center"/>
          </w:tcPr>
          <w:p w14:paraId="53A8FDC2">
            <w:pPr>
              <w:keepNext w:val="0"/>
              <w:keepLines w:val="0"/>
              <w:suppressLineNumbers w:val="0"/>
              <w:autoSpaceDE w:val="0"/>
              <w:autoSpaceDN w:val="0"/>
              <w:snapToGrid w:val="0"/>
              <w:spacing w:before="0" w:beforeAutospacing="0" w:after="0" w:afterAutospacing="0"/>
              <w:ind w:left="0" w:right="0"/>
              <w:jc w:val="center"/>
              <w:rPr>
                <w:rFonts w:ascii="仿宋" w:hAnsi="仿宋" w:eastAsia="仿宋" w:cs="仿宋"/>
                <w:b/>
                <w:sz w:val="24"/>
                <w:lang w:val="zh-CN"/>
              </w:rPr>
            </w:pPr>
            <w:r>
              <w:rPr>
                <w:rFonts w:hint="eastAsia" w:ascii="仿宋" w:hAnsi="仿宋" w:eastAsia="仿宋" w:cs="仿宋"/>
                <w:b/>
                <w:sz w:val="24"/>
                <w:lang w:val="zh-CN"/>
              </w:rPr>
              <w:t>评审项目</w:t>
            </w:r>
          </w:p>
        </w:tc>
        <w:tc>
          <w:tcPr>
            <w:tcW w:w="765" w:type="dxa"/>
            <w:tcBorders>
              <w:top w:val="single" w:color="auto" w:sz="6" w:space="0"/>
              <w:left w:val="single" w:color="auto" w:sz="6" w:space="0"/>
              <w:bottom w:val="single" w:color="auto" w:sz="6" w:space="0"/>
              <w:right w:val="single" w:color="auto" w:sz="6" w:space="0"/>
            </w:tcBorders>
            <w:vAlign w:val="center"/>
          </w:tcPr>
          <w:p w14:paraId="131B44AA">
            <w:pPr>
              <w:keepNext w:val="0"/>
              <w:keepLines w:val="0"/>
              <w:suppressLineNumbers w:val="0"/>
              <w:autoSpaceDE w:val="0"/>
              <w:autoSpaceDN w:val="0"/>
              <w:snapToGrid w:val="0"/>
              <w:spacing w:before="0" w:beforeAutospacing="0" w:after="0" w:afterAutospacing="0"/>
              <w:ind w:left="0" w:right="0"/>
              <w:jc w:val="center"/>
              <w:rPr>
                <w:rFonts w:ascii="仿宋" w:hAnsi="仿宋" w:eastAsia="仿宋" w:cs="仿宋"/>
                <w:b/>
                <w:sz w:val="24"/>
                <w:lang w:val="zh-CN"/>
              </w:rPr>
            </w:pPr>
            <w:r>
              <w:rPr>
                <w:rFonts w:hint="eastAsia" w:ascii="仿宋" w:hAnsi="仿宋" w:eastAsia="仿宋" w:cs="仿宋"/>
                <w:b/>
                <w:sz w:val="24"/>
                <w:lang w:val="zh-CN"/>
              </w:rPr>
              <w:t>分值</w:t>
            </w:r>
          </w:p>
        </w:tc>
        <w:tc>
          <w:tcPr>
            <w:tcW w:w="5925" w:type="dxa"/>
            <w:tcBorders>
              <w:top w:val="single" w:color="auto" w:sz="6" w:space="0"/>
              <w:left w:val="single" w:color="auto" w:sz="6" w:space="0"/>
              <w:bottom w:val="single" w:color="auto" w:sz="6" w:space="0"/>
              <w:right w:val="single" w:color="auto" w:sz="6" w:space="0"/>
            </w:tcBorders>
            <w:vAlign w:val="center"/>
          </w:tcPr>
          <w:p w14:paraId="547F0324">
            <w:pPr>
              <w:keepNext w:val="0"/>
              <w:keepLines w:val="0"/>
              <w:suppressLineNumbers w:val="0"/>
              <w:autoSpaceDE w:val="0"/>
              <w:autoSpaceDN w:val="0"/>
              <w:snapToGrid w:val="0"/>
              <w:spacing w:before="0" w:beforeAutospacing="0" w:after="0" w:afterAutospacing="0"/>
              <w:ind w:left="0" w:right="0"/>
              <w:jc w:val="center"/>
              <w:rPr>
                <w:rFonts w:ascii="仿宋" w:hAnsi="仿宋" w:eastAsia="仿宋" w:cs="仿宋"/>
                <w:b/>
                <w:sz w:val="24"/>
                <w:lang w:val="zh-CN"/>
              </w:rPr>
            </w:pPr>
            <w:r>
              <w:rPr>
                <w:rFonts w:hint="eastAsia" w:ascii="仿宋" w:hAnsi="仿宋" w:eastAsia="仿宋" w:cs="仿宋"/>
                <w:b/>
                <w:sz w:val="24"/>
                <w:lang w:val="zh-CN"/>
              </w:rPr>
              <w:t>评分标准</w:t>
            </w:r>
          </w:p>
        </w:tc>
      </w:tr>
      <w:tr w14:paraId="3CA04ABB">
        <w:tblPrEx>
          <w:tblCellMar>
            <w:top w:w="0" w:type="dxa"/>
            <w:left w:w="108" w:type="dxa"/>
            <w:bottom w:w="0" w:type="dxa"/>
            <w:right w:w="108" w:type="dxa"/>
          </w:tblCellMar>
        </w:tblPrEx>
        <w:trPr>
          <w:trHeight w:val="1739" w:hRule="atLeast"/>
        </w:trPr>
        <w:tc>
          <w:tcPr>
            <w:tcW w:w="1902" w:type="dxa"/>
            <w:gridSpan w:val="2"/>
            <w:tcBorders>
              <w:top w:val="single" w:color="auto" w:sz="6" w:space="0"/>
              <w:left w:val="single" w:color="auto" w:sz="6" w:space="0"/>
              <w:bottom w:val="single" w:color="auto" w:sz="4" w:space="0"/>
              <w:right w:val="single" w:color="auto" w:sz="6" w:space="0"/>
            </w:tcBorders>
            <w:vAlign w:val="center"/>
          </w:tcPr>
          <w:p w14:paraId="3156AFB4">
            <w:pPr>
              <w:keepNext w:val="0"/>
              <w:keepLines w:val="0"/>
              <w:suppressLineNumbers w:val="0"/>
              <w:autoSpaceDE w:val="0"/>
              <w:autoSpaceDN w:val="0"/>
              <w:snapToGrid w:val="0"/>
              <w:spacing w:before="0" w:beforeAutospacing="0" w:after="0" w:afterAutospacing="0"/>
              <w:ind w:left="0" w:right="0"/>
              <w:jc w:val="center"/>
              <w:rPr>
                <w:rFonts w:ascii="仿宋" w:hAnsi="仿宋" w:eastAsia="仿宋" w:cs="仿宋"/>
                <w:sz w:val="24"/>
                <w:lang w:val="zh-CN"/>
              </w:rPr>
            </w:pPr>
            <w:r>
              <w:rPr>
                <w:rFonts w:hint="eastAsia" w:ascii="仿宋" w:hAnsi="仿宋" w:eastAsia="仿宋" w:cs="仿宋"/>
                <w:sz w:val="24"/>
                <w:lang w:val="zh-CN"/>
              </w:rPr>
              <w:t>投标报价</w:t>
            </w:r>
          </w:p>
        </w:tc>
        <w:tc>
          <w:tcPr>
            <w:tcW w:w="765" w:type="dxa"/>
            <w:tcBorders>
              <w:top w:val="single" w:color="auto" w:sz="6" w:space="0"/>
              <w:left w:val="single" w:color="auto" w:sz="6" w:space="0"/>
              <w:bottom w:val="single" w:color="auto" w:sz="6" w:space="0"/>
              <w:right w:val="single" w:color="auto" w:sz="6" w:space="0"/>
            </w:tcBorders>
            <w:vAlign w:val="center"/>
          </w:tcPr>
          <w:p w14:paraId="0006DF78">
            <w:pPr>
              <w:keepNext w:val="0"/>
              <w:keepLines w:val="0"/>
              <w:suppressLineNumbers w:val="0"/>
              <w:autoSpaceDE w:val="0"/>
              <w:autoSpaceDN w:val="0"/>
              <w:snapToGrid w:val="0"/>
              <w:spacing w:before="0" w:beforeAutospacing="0" w:after="0" w:afterAutospacing="0"/>
              <w:ind w:left="0" w:right="0"/>
              <w:jc w:val="center"/>
              <w:rPr>
                <w:rFonts w:hint="default" w:ascii="仿宋" w:hAnsi="仿宋" w:eastAsia="仿宋" w:cs="仿宋"/>
                <w:sz w:val="24"/>
                <w:lang w:val="en-US"/>
              </w:rPr>
            </w:pPr>
            <w:r>
              <w:rPr>
                <w:rFonts w:hint="eastAsia" w:ascii="仿宋" w:hAnsi="仿宋" w:eastAsia="仿宋" w:cs="仿宋"/>
                <w:sz w:val="24"/>
                <w:lang w:val="en-US" w:eastAsia="zh-CN"/>
              </w:rPr>
              <w:t>10分</w:t>
            </w:r>
          </w:p>
        </w:tc>
        <w:tc>
          <w:tcPr>
            <w:tcW w:w="5925" w:type="dxa"/>
            <w:tcBorders>
              <w:top w:val="single" w:color="auto" w:sz="6" w:space="0"/>
              <w:left w:val="single" w:color="auto" w:sz="6" w:space="0"/>
              <w:bottom w:val="single" w:color="auto" w:sz="6" w:space="0"/>
              <w:right w:val="single" w:color="auto" w:sz="6" w:space="0"/>
            </w:tcBorders>
            <w:vAlign w:val="center"/>
          </w:tcPr>
          <w:p w14:paraId="7C3D6F0D">
            <w:pPr>
              <w:pStyle w:val="95"/>
              <w:keepNext w:val="0"/>
              <w:keepLines w:val="0"/>
              <w:suppressLineNumbers w:val="0"/>
              <w:spacing w:before="0" w:beforeLines="0" w:beforeAutospacing="0" w:after="0" w:afterLines="0" w:afterAutospacing="0" w:line="240" w:lineRule="auto"/>
              <w:ind w:left="0" w:leftChars="0" w:right="0" w:rightChars="0"/>
              <w:rPr>
                <w:rFonts w:hint="default" w:ascii="仿宋" w:hAnsi="仿宋" w:eastAsia="仿宋" w:cs="仿宋"/>
                <w:color w:val="auto"/>
                <w:kern w:val="2"/>
                <w:sz w:val="24"/>
                <w:szCs w:val="24"/>
                <w:highlight w:val="none"/>
                <w:lang w:eastAsia="zh-CN" w:bidi="zh-CN"/>
              </w:rPr>
            </w:pPr>
            <w:r>
              <w:rPr>
                <w:rFonts w:hint="default" w:ascii="仿宋" w:hAnsi="仿宋" w:eastAsia="仿宋" w:cs="仿宋"/>
                <w:color w:val="auto"/>
                <w:kern w:val="2"/>
                <w:sz w:val="24"/>
                <w:szCs w:val="24"/>
                <w:highlight w:val="none"/>
                <w:lang w:eastAsia="zh-CN" w:bidi="zh-CN"/>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color w:val="auto"/>
                <w:kern w:val="2"/>
                <w:sz w:val="24"/>
                <w:szCs w:val="24"/>
                <w:highlight w:val="none"/>
                <w:lang w:val="en-US" w:eastAsia="zh-CN" w:bidi="zh-CN"/>
              </w:rPr>
              <w:t>10</w:t>
            </w:r>
            <w:r>
              <w:rPr>
                <w:rFonts w:hint="default" w:ascii="仿宋" w:hAnsi="仿宋" w:eastAsia="仿宋" w:cs="仿宋"/>
                <w:color w:val="auto"/>
                <w:kern w:val="2"/>
                <w:sz w:val="24"/>
                <w:szCs w:val="24"/>
                <w:highlight w:val="none"/>
                <w:lang w:eastAsia="zh-CN" w:bidi="zh-CN"/>
              </w:rPr>
              <w:t>%×100（计算分值时，百分比按四舍五入原则，保留小数点后</w:t>
            </w:r>
            <w:r>
              <w:rPr>
                <w:rFonts w:hint="eastAsia" w:ascii="仿宋" w:hAnsi="仿宋" w:eastAsia="仿宋" w:cs="仿宋"/>
                <w:color w:val="auto"/>
                <w:kern w:val="2"/>
                <w:sz w:val="24"/>
                <w:szCs w:val="24"/>
                <w:highlight w:val="none"/>
                <w:lang w:eastAsia="zh-CN" w:bidi="zh-CN"/>
              </w:rPr>
              <w:t>两位数</w:t>
            </w:r>
            <w:r>
              <w:rPr>
                <w:rFonts w:hint="default" w:ascii="仿宋" w:hAnsi="仿宋" w:eastAsia="仿宋" w:cs="仿宋"/>
                <w:color w:val="auto"/>
                <w:kern w:val="2"/>
                <w:sz w:val="24"/>
                <w:szCs w:val="24"/>
                <w:highlight w:val="none"/>
                <w:lang w:eastAsia="zh-CN" w:bidi="zh-CN"/>
              </w:rPr>
              <w:t>）</w:t>
            </w:r>
          </w:p>
          <w:p w14:paraId="1D274592">
            <w:pPr>
              <w:pStyle w:val="95"/>
              <w:keepNext w:val="0"/>
              <w:keepLines w:val="0"/>
              <w:suppressLineNumbers w:val="0"/>
              <w:spacing w:before="0" w:beforeLines="0" w:beforeAutospacing="0" w:after="0" w:afterLines="0" w:afterAutospacing="0" w:line="240" w:lineRule="auto"/>
              <w:ind w:left="0" w:leftChars="0" w:right="0" w:rightChars="0"/>
              <w:rPr>
                <w:rFonts w:hint="default" w:ascii="仿宋" w:hAnsi="仿宋" w:eastAsia="仿宋" w:cs="仿宋"/>
                <w:color w:val="auto"/>
                <w:kern w:val="2"/>
                <w:sz w:val="24"/>
                <w:szCs w:val="24"/>
                <w:highlight w:val="none"/>
                <w:lang w:eastAsia="zh-CN" w:bidi="zh-CN"/>
              </w:rPr>
            </w:pPr>
            <w:r>
              <w:rPr>
                <w:rFonts w:hint="default" w:ascii="仿宋" w:hAnsi="仿宋" w:eastAsia="仿宋" w:cs="仿宋"/>
                <w:color w:val="auto"/>
                <w:kern w:val="2"/>
                <w:sz w:val="24"/>
                <w:szCs w:val="24"/>
                <w:highlight w:val="none"/>
                <w:lang w:eastAsia="zh-CN" w:bidi="zh-CN"/>
              </w:rPr>
              <w:t>2.（因落实政府采购政策进行价格扣除的，以扣除后的价格计算评标基准价和投标报价）</w:t>
            </w:r>
          </w:p>
          <w:p w14:paraId="01EC819F">
            <w:pPr>
              <w:pStyle w:val="95"/>
              <w:keepNext w:val="0"/>
              <w:keepLines w:val="0"/>
              <w:suppressLineNumbers w:val="0"/>
              <w:spacing w:before="0" w:beforeLines="0" w:beforeAutospacing="0" w:after="0" w:afterLines="0" w:afterAutospacing="0" w:line="240" w:lineRule="auto"/>
              <w:ind w:left="0" w:leftChars="0" w:right="0" w:rightChars="0"/>
              <w:rPr>
                <w:rFonts w:hint="default" w:ascii="仿宋" w:hAnsi="仿宋" w:eastAsia="仿宋" w:cs="仿宋"/>
                <w:color w:val="auto"/>
                <w:kern w:val="2"/>
                <w:sz w:val="24"/>
                <w:szCs w:val="24"/>
                <w:highlight w:val="none"/>
                <w:lang w:eastAsia="zh-CN" w:bidi="zh-CN"/>
              </w:rPr>
            </w:pPr>
            <w:r>
              <w:rPr>
                <w:rFonts w:hint="default" w:ascii="仿宋" w:hAnsi="仿宋" w:eastAsia="仿宋" w:cs="仿宋"/>
                <w:color w:val="auto"/>
                <w:kern w:val="2"/>
                <w:sz w:val="24"/>
                <w:szCs w:val="24"/>
                <w:highlight w:val="none"/>
                <w:lang w:eastAsia="zh-CN" w:bidi="zh-CN"/>
              </w:rPr>
              <w:t>注：评标委员会认为投标人的报价明显低于其他通过符合性审</w:t>
            </w:r>
            <w:r>
              <w:rPr>
                <w:rFonts w:hint="eastAsia" w:ascii="仿宋" w:hAnsi="仿宋" w:eastAsia="仿宋" w:cs="仿宋"/>
                <w:color w:val="auto"/>
                <w:kern w:val="2"/>
                <w:sz w:val="24"/>
                <w:szCs w:val="24"/>
                <w:highlight w:val="none"/>
                <w:lang w:eastAsia="zh-CN" w:bidi="zh-CN"/>
              </w:rPr>
              <w:t>查的</w:t>
            </w:r>
            <w:r>
              <w:rPr>
                <w:rFonts w:hint="default" w:ascii="仿宋" w:hAnsi="仿宋" w:eastAsia="仿宋" w:cs="仿宋"/>
                <w:color w:val="auto"/>
                <w:kern w:val="2"/>
                <w:sz w:val="24"/>
                <w:szCs w:val="24"/>
                <w:highlight w:val="none"/>
                <w:lang w:eastAsia="zh-CN" w:bidi="zh-CN"/>
              </w:rPr>
              <w:t>投标人的报价，有可能影响产品质量或者不能诚信履约的，应当要求其在评标现场合理的时间内提供书面说明，必要时提交相关证明材料</w:t>
            </w:r>
            <w:r>
              <w:rPr>
                <w:rFonts w:hint="eastAsia" w:ascii="仿宋" w:hAnsi="仿宋" w:eastAsia="仿宋" w:cs="仿宋"/>
                <w:color w:val="auto"/>
                <w:kern w:val="2"/>
                <w:sz w:val="24"/>
                <w:szCs w:val="24"/>
                <w:highlight w:val="none"/>
                <w:lang w:eastAsia="zh-CN" w:bidi="zh-CN"/>
              </w:rPr>
              <w:t>；</w:t>
            </w:r>
            <w:r>
              <w:rPr>
                <w:rFonts w:hint="default" w:ascii="仿宋" w:hAnsi="仿宋" w:eastAsia="仿宋" w:cs="仿宋"/>
                <w:color w:val="auto"/>
                <w:kern w:val="2"/>
                <w:sz w:val="24"/>
                <w:szCs w:val="24"/>
                <w:highlight w:val="none"/>
                <w:lang w:eastAsia="zh-CN" w:bidi="zh-CN"/>
              </w:rPr>
              <w:t>投标人不能证明其报价合理性的，评标委员会应当将其作为无效投标处理。</w:t>
            </w:r>
          </w:p>
          <w:p w14:paraId="779366FC">
            <w:pPr>
              <w:keepNext w:val="0"/>
              <w:keepLines w:val="0"/>
              <w:suppressLineNumbers w:val="0"/>
              <w:autoSpaceDE w:val="0"/>
              <w:autoSpaceDN w:val="0"/>
              <w:snapToGrid w:val="0"/>
              <w:spacing w:before="0" w:beforeAutospacing="0" w:after="0" w:afterAutospacing="0"/>
              <w:ind w:left="0" w:right="0"/>
              <w:jc w:val="both"/>
              <w:rPr>
                <w:rFonts w:ascii="仿宋" w:hAnsi="仿宋" w:eastAsia="仿宋" w:cs="仿宋"/>
                <w:sz w:val="24"/>
                <w:lang w:val="zh-CN"/>
              </w:rPr>
            </w:pPr>
            <w:r>
              <w:rPr>
                <w:rFonts w:hint="eastAsia" w:ascii="仿宋" w:hAnsi="仿宋" w:eastAsia="仿宋" w:cs="仿宋"/>
                <w:color w:val="auto"/>
                <w:kern w:val="2"/>
                <w:sz w:val="24"/>
                <w:szCs w:val="24"/>
                <w:highlight w:val="none"/>
                <w:lang w:val="en-US" w:eastAsia="zh-CN" w:bidi="zh-CN"/>
              </w:rPr>
              <w:t>注：投标报价超过采购预算价的按废标处理。</w:t>
            </w:r>
          </w:p>
        </w:tc>
      </w:tr>
      <w:tr w14:paraId="0486C180">
        <w:tblPrEx>
          <w:tblCellMar>
            <w:top w:w="0" w:type="dxa"/>
            <w:left w:w="108" w:type="dxa"/>
            <w:bottom w:w="0" w:type="dxa"/>
            <w:right w:w="108" w:type="dxa"/>
          </w:tblCellMar>
        </w:tblPrEx>
        <w:trPr>
          <w:trHeight w:val="90" w:hRule="atLeast"/>
        </w:trPr>
        <w:tc>
          <w:tcPr>
            <w:tcW w:w="774" w:type="dxa"/>
            <w:vMerge w:val="restart"/>
            <w:tcBorders>
              <w:top w:val="single" w:color="auto" w:sz="4" w:space="0"/>
              <w:left w:val="single" w:color="auto" w:sz="4" w:space="0"/>
              <w:right w:val="single" w:color="auto" w:sz="4" w:space="0"/>
            </w:tcBorders>
            <w:shd w:val="clear" w:color="auto" w:fill="auto"/>
            <w:vAlign w:val="center"/>
          </w:tcPr>
          <w:p w14:paraId="1F038F7F">
            <w:pPr>
              <w:keepNext w:val="0"/>
              <w:keepLines w:val="0"/>
              <w:suppressLineNumbers w:val="0"/>
              <w:autoSpaceDE w:val="0"/>
              <w:autoSpaceDN w:val="0"/>
              <w:snapToGrid w:val="0"/>
              <w:spacing w:before="0" w:beforeAutospacing="0" w:after="0" w:afterAutospacing="0"/>
              <w:ind w:left="0" w:right="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商务部分</w:t>
            </w:r>
            <w:r>
              <w:rPr>
                <w:rFonts w:hint="eastAsia" w:ascii="仿宋" w:hAnsi="仿宋" w:eastAsia="仿宋" w:cs="仿宋"/>
                <w:sz w:val="24"/>
                <w:highlight w:val="none"/>
                <w:lang w:val="en-US" w:eastAsia="zh-CN"/>
              </w:rPr>
              <w:t>26分</w:t>
            </w:r>
          </w:p>
          <w:p w14:paraId="1D86A164">
            <w:pPr>
              <w:keepNext w:val="0"/>
              <w:keepLines w:val="0"/>
              <w:suppressLineNumbers w:val="0"/>
              <w:autoSpaceDE w:val="0"/>
              <w:autoSpaceDN w:val="0"/>
              <w:snapToGrid w:val="0"/>
              <w:spacing w:before="0" w:beforeAutospacing="0" w:after="0" w:afterAutospacing="0"/>
              <w:ind w:left="0" w:right="0"/>
              <w:jc w:val="center"/>
              <w:rPr>
                <w:rFonts w:hint="default" w:ascii="仿宋" w:hAnsi="仿宋" w:eastAsia="仿宋" w:cs="仿宋"/>
                <w:highlight w:val="none"/>
                <w:lang w:val="en-US" w:eastAsia="zh-CN"/>
              </w:rPr>
            </w:pPr>
          </w:p>
        </w:tc>
        <w:tc>
          <w:tcPr>
            <w:tcW w:w="1128" w:type="dxa"/>
            <w:tcBorders>
              <w:top w:val="single" w:color="auto" w:sz="4" w:space="0"/>
              <w:left w:val="single" w:color="auto" w:sz="4" w:space="0"/>
              <w:right w:val="single" w:color="auto" w:sz="4" w:space="0"/>
            </w:tcBorders>
            <w:shd w:val="clear" w:color="auto" w:fill="auto"/>
            <w:vAlign w:val="center"/>
          </w:tcPr>
          <w:p w14:paraId="32A2290E">
            <w:pPr>
              <w:pStyle w:val="107"/>
              <w:keepNext w:val="0"/>
              <w:keepLines w:val="0"/>
              <w:numPr>
                <w:ilvl w:val="0"/>
                <w:numId w:val="0"/>
              </w:numPr>
              <w:suppressLineNumbers w:val="0"/>
              <w:spacing w:before="0" w:beforeAutospacing="0" w:after="0" w:afterAutospacing="0" w:line="240" w:lineRule="auto"/>
              <w:ind w:left="0" w:leftChars="0" w:right="0" w:firstLine="0" w:firstLineChars="0"/>
              <w:jc w:val="both"/>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项目负责人</w:t>
            </w:r>
          </w:p>
        </w:tc>
        <w:tc>
          <w:tcPr>
            <w:tcW w:w="765" w:type="dxa"/>
            <w:tcBorders>
              <w:top w:val="single" w:color="auto" w:sz="6" w:space="0"/>
              <w:left w:val="single" w:color="auto" w:sz="4" w:space="0"/>
              <w:bottom w:val="single" w:color="auto" w:sz="6" w:space="0"/>
              <w:right w:val="single" w:color="auto" w:sz="6" w:space="0"/>
            </w:tcBorders>
            <w:shd w:val="clear" w:color="auto" w:fill="auto"/>
            <w:vAlign w:val="center"/>
          </w:tcPr>
          <w:p w14:paraId="320B414F">
            <w:pPr>
              <w:pStyle w:val="107"/>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1"/>
                <w:szCs w:val="21"/>
                <w:highlight w:val="none"/>
                <w:lang w:val="en-US" w:eastAsia="zh-CN"/>
              </w:rPr>
              <w:t>7分</w:t>
            </w:r>
          </w:p>
        </w:tc>
        <w:tc>
          <w:tcPr>
            <w:tcW w:w="5925" w:type="dxa"/>
            <w:tcBorders>
              <w:top w:val="single" w:color="auto" w:sz="6" w:space="0"/>
              <w:left w:val="single" w:color="auto" w:sz="6" w:space="0"/>
              <w:bottom w:val="single" w:color="auto" w:sz="6" w:space="0"/>
              <w:right w:val="single" w:color="auto" w:sz="6" w:space="0"/>
            </w:tcBorders>
            <w:shd w:val="clear" w:color="auto" w:fill="auto"/>
            <w:vAlign w:val="center"/>
          </w:tcPr>
          <w:p w14:paraId="7D7A9E69">
            <w:pPr>
              <w:pStyle w:val="10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一、项目负责人：</w:t>
            </w:r>
          </w:p>
          <w:p w14:paraId="04B9BE98">
            <w:pPr>
              <w:pStyle w:val="10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项目负责人：须具备测绘地理信息类正高级技术职称，得4分；未提供不得分</w:t>
            </w:r>
            <w:r>
              <w:rPr>
                <w:rFonts w:hint="eastAsia" w:ascii="仿宋" w:hAnsi="仿宋" w:eastAsia="仿宋" w:cs="仿宋"/>
                <w:color w:val="auto"/>
                <w:kern w:val="2"/>
                <w:sz w:val="24"/>
                <w:szCs w:val="24"/>
                <w:highlight w:val="none"/>
                <w:lang w:val="en-US" w:eastAsia="zh-CN" w:bidi="zh-CN"/>
              </w:rPr>
              <w:br w:type="textWrapping"/>
            </w:r>
            <w:r>
              <w:rPr>
                <w:rFonts w:hint="eastAsia" w:ascii="仿宋" w:hAnsi="仿宋" w:eastAsia="仿宋" w:cs="仿宋"/>
                <w:color w:val="auto"/>
                <w:kern w:val="2"/>
                <w:sz w:val="24"/>
                <w:szCs w:val="24"/>
                <w:highlight w:val="none"/>
                <w:lang w:val="en-US" w:eastAsia="zh-CN" w:bidi="zh-CN"/>
              </w:rPr>
              <w:t>二、技术负责人：</w:t>
            </w:r>
          </w:p>
          <w:p w14:paraId="4DD56778">
            <w:pPr>
              <w:pStyle w:val="107"/>
              <w:keepNext w:val="0"/>
              <w:keepLines w:val="0"/>
              <w:numPr>
                <w:ilvl w:val="0"/>
                <w:numId w:val="0"/>
              </w:numPr>
              <w:suppressLineNumbers w:val="0"/>
              <w:spacing w:before="0" w:beforeAutospacing="0" w:after="0" w:afterAutospacing="0" w:line="240" w:lineRule="auto"/>
              <w:ind w:left="0" w:leftChars="0" w:right="0"/>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color w:val="auto"/>
                <w:kern w:val="2"/>
                <w:sz w:val="24"/>
                <w:szCs w:val="24"/>
                <w:highlight w:val="none"/>
                <w:lang w:val="en-US" w:eastAsia="zh-CN" w:bidi="zh-CN"/>
              </w:rPr>
              <w:t>技术负责人：具备测绘地理信息类副高级技术职称，得3分；未提供不得分。</w:t>
            </w:r>
            <w:r>
              <w:rPr>
                <w:rFonts w:hint="eastAsia" w:ascii="仿宋" w:hAnsi="仿宋" w:eastAsia="仿宋" w:cs="仿宋"/>
                <w:color w:val="auto"/>
                <w:kern w:val="2"/>
                <w:sz w:val="24"/>
                <w:szCs w:val="24"/>
                <w:highlight w:val="none"/>
                <w:lang w:val="en-US" w:eastAsia="zh-CN" w:bidi="zh-CN"/>
              </w:rPr>
              <w:br w:type="textWrapping"/>
            </w:r>
            <w:r>
              <w:rPr>
                <w:rFonts w:hint="eastAsia" w:ascii="仿宋" w:hAnsi="仿宋" w:eastAsia="仿宋" w:cs="仿宋"/>
                <w:color w:val="auto"/>
                <w:kern w:val="2"/>
                <w:sz w:val="24"/>
                <w:szCs w:val="24"/>
                <w:highlight w:val="none"/>
                <w:lang w:val="en-US" w:eastAsia="zh-CN" w:bidi="zh-CN"/>
              </w:rPr>
              <w:t>注：人员证明材料复印件加盖公章，包括身份证、毕业证、人员职称证书、劳务合同以上资料齐全得分，否则不得分。</w:t>
            </w:r>
          </w:p>
        </w:tc>
      </w:tr>
      <w:tr w14:paraId="4457A0DA">
        <w:tblPrEx>
          <w:tblCellMar>
            <w:top w:w="0" w:type="dxa"/>
            <w:left w:w="108" w:type="dxa"/>
            <w:bottom w:w="0" w:type="dxa"/>
            <w:right w:w="108" w:type="dxa"/>
          </w:tblCellMar>
        </w:tblPrEx>
        <w:trPr>
          <w:trHeight w:val="448" w:hRule="atLeast"/>
        </w:trPr>
        <w:tc>
          <w:tcPr>
            <w:tcW w:w="774" w:type="dxa"/>
            <w:vMerge w:val="continue"/>
            <w:tcBorders>
              <w:left w:val="single" w:color="auto" w:sz="4" w:space="0"/>
              <w:right w:val="single" w:color="auto" w:sz="4" w:space="0"/>
            </w:tcBorders>
            <w:shd w:val="clear" w:color="auto" w:fill="auto"/>
            <w:vAlign w:val="center"/>
          </w:tcPr>
          <w:p w14:paraId="3832CBF8">
            <w:pPr>
              <w:keepNext w:val="0"/>
              <w:keepLines w:val="0"/>
              <w:suppressLineNumbers w:val="0"/>
              <w:autoSpaceDE w:val="0"/>
              <w:autoSpaceDN w:val="0"/>
              <w:snapToGrid w:val="0"/>
              <w:spacing w:before="0" w:beforeAutospacing="0" w:after="0" w:afterAutospacing="0"/>
              <w:ind w:left="0" w:right="0"/>
              <w:jc w:val="center"/>
              <w:rPr>
                <w:rFonts w:hint="default" w:ascii="仿宋" w:hAnsi="仿宋" w:eastAsia="仿宋" w:cs="仿宋"/>
                <w:highlight w:val="none"/>
                <w:lang w:val="en-US" w:eastAsia="zh-CN"/>
              </w:rPr>
            </w:pPr>
          </w:p>
        </w:tc>
        <w:tc>
          <w:tcPr>
            <w:tcW w:w="1128" w:type="dxa"/>
            <w:tcBorders>
              <w:top w:val="single" w:color="auto" w:sz="4" w:space="0"/>
              <w:left w:val="single" w:color="auto" w:sz="4" w:space="0"/>
              <w:right w:val="single" w:color="auto" w:sz="4" w:space="0"/>
            </w:tcBorders>
            <w:shd w:val="clear" w:color="auto" w:fill="auto"/>
            <w:vAlign w:val="center"/>
          </w:tcPr>
          <w:p w14:paraId="3EE120FC">
            <w:pPr>
              <w:pStyle w:val="107"/>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项目组成人员</w:t>
            </w:r>
          </w:p>
        </w:tc>
        <w:tc>
          <w:tcPr>
            <w:tcW w:w="765" w:type="dxa"/>
            <w:tcBorders>
              <w:top w:val="single" w:color="auto" w:sz="6" w:space="0"/>
              <w:left w:val="single" w:color="auto" w:sz="4" w:space="0"/>
              <w:bottom w:val="single" w:color="auto" w:sz="6" w:space="0"/>
              <w:right w:val="single" w:color="auto" w:sz="6" w:space="0"/>
            </w:tcBorders>
            <w:shd w:val="clear" w:color="auto" w:fill="auto"/>
            <w:vAlign w:val="center"/>
          </w:tcPr>
          <w:p w14:paraId="79EC2994">
            <w:pPr>
              <w:pStyle w:val="107"/>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5925" w:type="dxa"/>
            <w:tcBorders>
              <w:top w:val="single" w:color="auto" w:sz="6" w:space="0"/>
              <w:left w:val="single" w:color="auto" w:sz="6" w:space="0"/>
              <w:bottom w:val="single" w:color="auto" w:sz="6" w:space="0"/>
              <w:right w:val="single" w:color="auto" w:sz="6" w:space="0"/>
            </w:tcBorders>
            <w:shd w:val="clear" w:color="auto" w:fill="auto"/>
            <w:vAlign w:val="center"/>
          </w:tcPr>
          <w:p w14:paraId="21055711">
            <w:pPr>
              <w:pStyle w:val="10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拟投入项目成员（不包括项目负责人、技术负责人）：</w:t>
            </w:r>
          </w:p>
          <w:p w14:paraId="4BCDA861">
            <w:pPr>
              <w:pStyle w:val="10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4"/>
                <w:szCs w:val="24"/>
                <w:highlight w:val="none"/>
                <w:lang w:val="en-US" w:eastAsia="zh-CN" w:bidi="zh-CN"/>
              </w:rPr>
              <w:t>1.项目成员中，具备测绘地理信息类相关专业副高级职称，每提供一人得3分，最高得15分；中级职称每提供一人得2分，最高得10分；初级职称每提供一人得1分；最高得5分；本项满分15分。</w:t>
            </w:r>
            <w:r>
              <w:rPr>
                <w:rFonts w:hint="eastAsia" w:ascii="仿宋" w:hAnsi="仿宋" w:eastAsia="仿宋" w:cs="仿宋"/>
                <w:color w:val="auto"/>
                <w:kern w:val="2"/>
                <w:sz w:val="24"/>
                <w:szCs w:val="24"/>
                <w:highlight w:val="none"/>
                <w:lang w:val="en-US" w:eastAsia="zh-CN" w:bidi="zh-CN"/>
              </w:rPr>
              <w:br w:type="textWrapping"/>
            </w:r>
            <w:r>
              <w:rPr>
                <w:rFonts w:hint="eastAsia" w:ascii="仿宋" w:hAnsi="仿宋" w:eastAsia="仿宋" w:cs="仿宋"/>
                <w:color w:val="auto"/>
                <w:kern w:val="2"/>
                <w:sz w:val="24"/>
                <w:szCs w:val="24"/>
                <w:highlight w:val="none"/>
                <w:lang w:val="en-US" w:eastAsia="zh-CN" w:bidi="zh-CN"/>
              </w:rPr>
              <w:t>注：以上人员不重复计分，人员证明材料复印件加盖公章，包括身份证、毕业证、人员职称证书、劳务合同以上资料齐全得分，否则不得分。</w:t>
            </w:r>
          </w:p>
        </w:tc>
      </w:tr>
      <w:tr w14:paraId="189B5A86">
        <w:tblPrEx>
          <w:tblCellMar>
            <w:top w:w="0" w:type="dxa"/>
            <w:left w:w="108" w:type="dxa"/>
            <w:bottom w:w="0" w:type="dxa"/>
            <w:right w:w="108" w:type="dxa"/>
          </w:tblCellMar>
        </w:tblPrEx>
        <w:trPr>
          <w:trHeight w:val="965" w:hRule="atLeast"/>
        </w:trPr>
        <w:tc>
          <w:tcPr>
            <w:tcW w:w="774" w:type="dxa"/>
            <w:vMerge w:val="continue"/>
            <w:tcBorders>
              <w:left w:val="single" w:color="auto" w:sz="4" w:space="0"/>
              <w:bottom w:val="single" w:color="auto" w:sz="4" w:space="0"/>
              <w:right w:val="single" w:color="auto" w:sz="4" w:space="0"/>
            </w:tcBorders>
            <w:vAlign w:val="center"/>
          </w:tcPr>
          <w:p w14:paraId="22C416FC">
            <w:pPr>
              <w:keepNext w:val="0"/>
              <w:keepLines w:val="0"/>
              <w:suppressLineNumbers w:val="0"/>
              <w:autoSpaceDE w:val="0"/>
              <w:autoSpaceDN w:val="0"/>
              <w:snapToGrid w:val="0"/>
              <w:spacing w:before="0" w:beforeAutospacing="0" w:after="0" w:afterAutospacing="0"/>
              <w:ind w:left="0" w:right="0"/>
              <w:jc w:val="center"/>
              <w:rPr>
                <w:rFonts w:ascii="仿宋" w:hAnsi="仿宋" w:eastAsia="仿宋" w:cs="仿宋"/>
                <w:sz w:val="24"/>
                <w:highlight w:val="none"/>
                <w:lang w:val="zh-CN"/>
              </w:rPr>
            </w:pPr>
          </w:p>
        </w:tc>
        <w:tc>
          <w:tcPr>
            <w:tcW w:w="1128" w:type="dxa"/>
            <w:tcBorders>
              <w:top w:val="single" w:color="auto" w:sz="6" w:space="0"/>
              <w:left w:val="single" w:color="auto" w:sz="4" w:space="0"/>
              <w:bottom w:val="single" w:color="auto" w:sz="4" w:space="0"/>
              <w:right w:val="single" w:color="auto" w:sz="4" w:space="0"/>
            </w:tcBorders>
            <w:vAlign w:val="center"/>
          </w:tcPr>
          <w:p w14:paraId="48A356DF">
            <w:pPr>
              <w:pStyle w:val="107"/>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类似项目业绩</w:t>
            </w:r>
          </w:p>
        </w:tc>
        <w:tc>
          <w:tcPr>
            <w:tcW w:w="765" w:type="dxa"/>
            <w:tcBorders>
              <w:top w:val="single" w:color="auto" w:sz="6" w:space="0"/>
              <w:left w:val="single" w:color="auto" w:sz="4" w:space="0"/>
              <w:bottom w:val="single" w:color="auto" w:sz="6" w:space="0"/>
              <w:right w:val="single" w:color="auto" w:sz="6" w:space="0"/>
            </w:tcBorders>
            <w:vAlign w:val="center"/>
          </w:tcPr>
          <w:p w14:paraId="570F174A">
            <w:pPr>
              <w:pStyle w:val="107"/>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4分</w:t>
            </w:r>
          </w:p>
        </w:tc>
        <w:tc>
          <w:tcPr>
            <w:tcW w:w="5925" w:type="dxa"/>
            <w:tcBorders>
              <w:top w:val="single" w:color="auto" w:sz="6" w:space="0"/>
              <w:left w:val="single" w:color="auto" w:sz="6" w:space="0"/>
              <w:bottom w:val="single" w:color="auto" w:sz="6" w:space="0"/>
              <w:right w:val="single" w:color="auto" w:sz="6" w:space="0"/>
            </w:tcBorders>
            <w:vAlign w:val="center"/>
          </w:tcPr>
          <w:p w14:paraId="58D5CC1D">
            <w:pPr>
              <w:pStyle w:val="107"/>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供应商提供自2023年1月1日至投标截止日止的类似项目业绩，每提供一个类似项目业绩得2分，本项最高得4分。</w:t>
            </w:r>
          </w:p>
          <w:p w14:paraId="104D280B">
            <w:pPr>
              <w:pStyle w:val="107"/>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注：1.须提供中标（成交）通知书或业绩合同关键页(含：首页、服务内容信息页、合同金额页、签字盖章页)复印件加盖公章，时间以中标（成交）通知书或合同签订日期为准。</w:t>
            </w:r>
          </w:p>
          <w:p w14:paraId="2E3EC3D3">
            <w:pPr>
              <w:pStyle w:val="107"/>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2.不符合上述要求或未按要求提供有效证明文件的业绩在评审时将不予承认。供应商提供虚假合同的，按虚假投标处理。</w:t>
            </w:r>
          </w:p>
        </w:tc>
      </w:tr>
      <w:tr w14:paraId="47A3F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5" w:hRule="atLeast"/>
        </w:trPr>
        <w:tc>
          <w:tcPr>
            <w:tcW w:w="774" w:type="dxa"/>
            <w:vMerge w:val="restart"/>
            <w:tcBorders>
              <w:top w:val="single" w:color="auto" w:sz="4" w:space="0"/>
            </w:tcBorders>
            <w:vAlign w:val="center"/>
          </w:tcPr>
          <w:p w14:paraId="6C515298">
            <w:pPr>
              <w:pStyle w:val="39"/>
              <w:keepNext w:val="0"/>
              <w:keepLines w:val="0"/>
              <w:suppressLineNumbers w:val="0"/>
              <w:spacing w:before="0" w:beforeAutospacing="0" w:after="0" w:afterAutospacing="0"/>
              <w:ind w:left="0" w:leftChars="0" w:right="0" w:firstLine="0" w:firstLineChars="0"/>
              <w:rPr>
                <w:rFonts w:hint="eastAsia"/>
                <w:lang w:val="zh-CN" w:eastAsia="zh-CN"/>
              </w:rPr>
            </w:pPr>
          </w:p>
          <w:p w14:paraId="156FC626">
            <w:pPr>
              <w:pStyle w:val="39"/>
              <w:keepNext w:val="0"/>
              <w:keepLines w:val="0"/>
              <w:suppressLineNumbers w:val="0"/>
              <w:spacing w:before="0" w:beforeAutospacing="0" w:after="0" w:afterAutospacing="0"/>
              <w:ind w:left="0" w:right="0"/>
              <w:rPr>
                <w:rFonts w:hint="eastAsia"/>
                <w:lang w:val="zh-CN" w:eastAsia="zh-CN"/>
              </w:rPr>
            </w:pPr>
          </w:p>
          <w:p w14:paraId="11064CE6">
            <w:pPr>
              <w:keepNext w:val="0"/>
              <w:keepLines w:val="0"/>
              <w:suppressLineNumbers w:val="0"/>
              <w:autoSpaceDE w:val="0"/>
              <w:autoSpaceDN w:val="0"/>
              <w:snapToGrid w:val="0"/>
              <w:spacing w:before="0" w:beforeAutospacing="0" w:after="0" w:afterAutospacing="0"/>
              <w:ind w:left="0" w:right="0"/>
              <w:jc w:val="center"/>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技</w:t>
            </w:r>
          </w:p>
          <w:p w14:paraId="2FDDDC20">
            <w:pPr>
              <w:keepNext w:val="0"/>
              <w:keepLines w:val="0"/>
              <w:suppressLineNumbers w:val="0"/>
              <w:autoSpaceDE w:val="0"/>
              <w:autoSpaceDN w:val="0"/>
              <w:snapToGrid w:val="0"/>
              <w:spacing w:before="0" w:beforeAutospacing="0" w:after="0" w:afterAutospacing="0"/>
              <w:ind w:left="0" w:right="0"/>
              <w:jc w:val="center"/>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术</w:t>
            </w:r>
          </w:p>
          <w:p w14:paraId="031D9CDB">
            <w:pPr>
              <w:keepNext w:val="0"/>
              <w:keepLines w:val="0"/>
              <w:suppressLineNumbers w:val="0"/>
              <w:autoSpaceDE w:val="0"/>
              <w:autoSpaceDN w:val="0"/>
              <w:snapToGrid w:val="0"/>
              <w:spacing w:before="0" w:beforeAutospacing="0" w:after="0" w:afterAutospacing="0"/>
              <w:ind w:left="0" w:right="0"/>
              <w:jc w:val="center"/>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部</w:t>
            </w:r>
          </w:p>
          <w:p w14:paraId="315A1857">
            <w:pPr>
              <w:keepNext w:val="0"/>
              <w:keepLines w:val="0"/>
              <w:suppressLineNumbers w:val="0"/>
              <w:autoSpaceDE w:val="0"/>
              <w:autoSpaceDN w:val="0"/>
              <w:snapToGrid w:val="0"/>
              <w:spacing w:before="0" w:beforeAutospacing="0" w:after="0" w:afterAutospacing="0"/>
              <w:ind w:left="0" w:right="0"/>
              <w:jc w:val="center"/>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分</w:t>
            </w:r>
          </w:p>
          <w:p w14:paraId="4F921D1B">
            <w:pPr>
              <w:keepNext w:val="0"/>
              <w:keepLines w:val="0"/>
              <w:suppressLineNumbers w:val="0"/>
              <w:autoSpaceDE w:val="0"/>
              <w:autoSpaceDN w:val="0"/>
              <w:snapToGrid w:val="0"/>
              <w:spacing w:before="0" w:beforeAutospacing="0" w:after="0" w:afterAutospacing="0"/>
              <w:ind w:left="0" w:right="0"/>
              <w:jc w:val="center"/>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64分</w:t>
            </w:r>
          </w:p>
        </w:tc>
        <w:tc>
          <w:tcPr>
            <w:tcW w:w="1128" w:type="dxa"/>
            <w:tcBorders>
              <w:top w:val="single" w:color="auto" w:sz="4" w:space="0"/>
            </w:tcBorders>
            <w:shd w:val="clear" w:color="auto" w:fill="auto"/>
            <w:vAlign w:val="center"/>
          </w:tcPr>
          <w:p w14:paraId="439FB41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项目背景分析</w:t>
            </w:r>
          </w:p>
        </w:tc>
        <w:tc>
          <w:tcPr>
            <w:tcW w:w="765" w:type="dxa"/>
            <w:shd w:val="clear" w:color="auto" w:fill="auto"/>
            <w:vAlign w:val="center"/>
          </w:tcPr>
          <w:p w14:paraId="7047A12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12分</w:t>
            </w:r>
          </w:p>
        </w:tc>
        <w:tc>
          <w:tcPr>
            <w:tcW w:w="5925" w:type="dxa"/>
            <w:shd w:val="clear" w:color="auto" w:fill="auto"/>
            <w:vAlign w:val="center"/>
          </w:tcPr>
          <w:p w14:paraId="5A3171C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color w:val="auto"/>
                <w:kern w:val="2"/>
                <w:sz w:val="24"/>
                <w:szCs w:val="24"/>
                <w:highlight w:val="none"/>
                <w:lang w:val="en-US" w:eastAsia="en-US" w:bidi="zh-CN"/>
              </w:rPr>
            </w:pPr>
            <w:r>
              <w:rPr>
                <w:rFonts w:hint="eastAsia" w:ascii="仿宋" w:hAnsi="仿宋" w:eastAsia="仿宋" w:cs="仿宋"/>
                <w:color w:val="auto"/>
                <w:kern w:val="2"/>
                <w:sz w:val="24"/>
                <w:szCs w:val="24"/>
                <w:highlight w:val="none"/>
                <w:lang w:val="en-US" w:eastAsia="zh-CN" w:bidi="zh-CN"/>
              </w:rPr>
              <w:t>供应商</w:t>
            </w:r>
            <w:r>
              <w:rPr>
                <w:rFonts w:hint="eastAsia" w:ascii="仿宋" w:hAnsi="仿宋" w:eastAsia="仿宋" w:cs="仿宋"/>
                <w:color w:val="auto"/>
                <w:kern w:val="2"/>
                <w:sz w:val="24"/>
                <w:szCs w:val="24"/>
                <w:highlight w:val="none"/>
                <w:lang w:val="en-US" w:eastAsia="en-US" w:bidi="zh-CN"/>
              </w:rPr>
              <w:t>针对本项目的背景理解和分析进行评比。包括但不限于①项目背景；②编制目标；③编制依据；④工作区概况等</w:t>
            </w:r>
            <w:r>
              <w:rPr>
                <w:rFonts w:hint="eastAsia" w:ascii="仿宋" w:hAnsi="仿宋" w:eastAsia="仿宋" w:cs="仿宋"/>
                <w:color w:val="auto"/>
                <w:kern w:val="2"/>
                <w:sz w:val="24"/>
                <w:szCs w:val="24"/>
                <w:highlight w:val="none"/>
                <w:lang w:val="en-US" w:eastAsia="zh-CN" w:bidi="zh-CN"/>
              </w:rPr>
              <w:t>。</w:t>
            </w:r>
            <w:r>
              <w:rPr>
                <w:rFonts w:hint="eastAsia" w:ascii="仿宋" w:hAnsi="仿宋" w:eastAsia="仿宋" w:cs="仿宋"/>
                <w:color w:val="auto"/>
                <w:kern w:val="2"/>
                <w:sz w:val="24"/>
                <w:szCs w:val="24"/>
                <w:highlight w:val="none"/>
                <w:lang w:val="en-US" w:eastAsia="en-US" w:bidi="zh-CN"/>
              </w:rPr>
              <w:t>内容完整、详细、思路清晰、层次结构细化且符合本项目实际需求</w:t>
            </w:r>
            <w:r>
              <w:rPr>
                <w:rFonts w:hint="eastAsia" w:ascii="仿宋" w:hAnsi="仿宋" w:eastAsia="仿宋" w:cs="仿宋"/>
                <w:color w:val="auto"/>
                <w:kern w:val="2"/>
                <w:sz w:val="24"/>
                <w:szCs w:val="24"/>
                <w:highlight w:val="none"/>
                <w:lang w:val="en-US" w:eastAsia="zh-CN" w:bidi="zh-CN"/>
              </w:rPr>
              <w:t>，得</w:t>
            </w:r>
            <w:r>
              <w:rPr>
                <w:rFonts w:hint="eastAsia" w:ascii="仿宋" w:hAnsi="仿宋" w:eastAsia="仿宋" w:cs="仿宋"/>
                <w:color w:val="auto"/>
                <w:kern w:val="2"/>
                <w:sz w:val="24"/>
                <w:szCs w:val="24"/>
                <w:highlight w:val="none"/>
                <w:lang w:val="en-US" w:eastAsia="en-US" w:bidi="zh-CN"/>
              </w:rPr>
              <w:t>满分</w:t>
            </w:r>
            <w:r>
              <w:rPr>
                <w:rFonts w:hint="eastAsia" w:ascii="仿宋" w:hAnsi="仿宋" w:eastAsia="仿宋" w:cs="仿宋"/>
                <w:color w:val="auto"/>
                <w:kern w:val="2"/>
                <w:sz w:val="24"/>
                <w:szCs w:val="24"/>
                <w:highlight w:val="none"/>
                <w:lang w:val="en-US" w:eastAsia="zh-CN" w:bidi="zh-CN"/>
              </w:rPr>
              <w:t>12</w:t>
            </w:r>
            <w:r>
              <w:rPr>
                <w:rFonts w:hint="eastAsia" w:ascii="仿宋" w:hAnsi="仿宋" w:eastAsia="仿宋" w:cs="仿宋"/>
                <w:color w:val="auto"/>
                <w:kern w:val="2"/>
                <w:sz w:val="24"/>
                <w:szCs w:val="24"/>
                <w:highlight w:val="none"/>
                <w:lang w:val="en-US" w:eastAsia="en-US" w:bidi="zh-CN"/>
              </w:rPr>
              <w:t>分</w:t>
            </w:r>
            <w:r>
              <w:rPr>
                <w:rFonts w:hint="eastAsia" w:ascii="仿宋" w:hAnsi="仿宋" w:eastAsia="仿宋" w:cs="仿宋"/>
                <w:color w:val="auto"/>
                <w:kern w:val="2"/>
                <w:sz w:val="24"/>
                <w:szCs w:val="24"/>
                <w:highlight w:val="none"/>
                <w:lang w:val="en-US" w:eastAsia="zh-CN" w:bidi="zh-CN"/>
              </w:rPr>
              <w:t>。</w:t>
            </w:r>
            <w:r>
              <w:rPr>
                <w:rFonts w:hint="eastAsia" w:ascii="仿宋" w:hAnsi="仿宋" w:eastAsia="仿宋" w:cs="仿宋"/>
                <w:color w:val="auto"/>
                <w:kern w:val="2"/>
                <w:sz w:val="24"/>
                <w:szCs w:val="24"/>
                <w:highlight w:val="none"/>
                <w:lang w:val="en-US" w:eastAsia="en-US" w:bidi="zh-CN"/>
              </w:rPr>
              <w:t>每缺少一项内容扣</w:t>
            </w:r>
            <w:r>
              <w:rPr>
                <w:rFonts w:hint="eastAsia" w:ascii="仿宋" w:hAnsi="仿宋" w:eastAsia="仿宋" w:cs="仿宋"/>
                <w:color w:val="auto"/>
                <w:kern w:val="2"/>
                <w:sz w:val="24"/>
                <w:szCs w:val="24"/>
                <w:highlight w:val="none"/>
                <w:lang w:val="en-US" w:eastAsia="zh-CN" w:bidi="zh-CN"/>
              </w:rPr>
              <w:t>3</w:t>
            </w:r>
            <w:r>
              <w:rPr>
                <w:rFonts w:hint="eastAsia" w:ascii="仿宋" w:hAnsi="仿宋" w:eastAsia="仿宋" w:cs="仿宋"/>
                <w:color w:val="auto"/>
                <w:kern w:val="2"/>
                <w:sz w:val="24"/>
                <w:szCs w:val="24"/>
                <w:highlight w:val="none"/>
                <w:lang w:val="en-US" w:eastAsia="en-US" w:bidi="zh-CN"/>
              </w:rPr>
              <w:t>分，每项内容中每有一处缺陷扣1.5分</w:t>
            </w:r>
            <w:r>
              <w:rPr>
                <w:rFonts w:hint="eastAsia" w:ascii="仿宋" w:hAnsi="仿宋" w:eastAsia="仿宋" w:cs="仿宋"/>
                <w:color w:val="auto"/>
                <w:kern w:val="2"/>
                <w:sz w:val="24"/>
                <w:szCs w:val="24"/>
                <w:highlight w:val="none"/>
                <w:lang w:val="en-US" w:eastAsia="zh-CN" w:bidi="zh-CN"/>
              </w:rPr>
              <w:t>，</w:t>
            </w:r>
            <w:r>
              <w:rPr>
                <w:rFonts w:hint="eastAsia" w:ascii="仿宋" w:hAnsi="仿宋" w:eastAsia="仿宋" w:cs="仿宋"/>
                <w:color w:val="auto"/>
                <w:kern w:val="2"/>
                <w:sz w:val="24"/>
                <w:szCs w:val="24"/>
                <w:highlight w:val="none"/>
                <w:lang w:val="en-US" w:eastAsia="en-US" w:bidi="zh-CN"/>
              </w:rPr>
              <w:t>扣完为止。</w:t>
            </w:r>
          </w:p>
          <w:p w14:paraId="60A11721">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en-US" w:bidi="zh-CN"/>
              </w:rPr>
              <w:t>（缺陷是指：存在不适用该项目实际情况的情形、凭空编造、内容前后不一致、前后逻辑错误、涉及的规范及标准错误、地点区域错误、内容缺失、无针对性等任意一项等内容</w:t>
            </w:r>
            <w:r>
              <w:rPr>
                <w:rFonts w:hint="eastAsia" w:ascii="仿宋" w:hAnsi="仿宋" w:eastAsia="仿宋" w:cs="仿宋"/>
                <w:color w:val="auto"/>
                <w:kern w:val="2"/>
                <w:sz w:val="24"/>
                <w:szCs w:val="24"/>
                <w:highlight w:val="none"/>
                <w:lang w:val="en-US" w:eastAsia="zh-CN" w:bidi="zh-CN"/>
              </w:rPr>
              <w:t>。</w:t>
            </w:r>
            <w:r>
              <w:rPr>
                <w:rFonts w:hint="eastAsia" w:ascii="仿宋" w:hAnsi="仿宋" w:eastAsia="仿宋" w:cs="仿宋"/>
                <w:color w:val="auto"/>
                <w:kern w:val="2"/>
                <w:sz w:val="24"/>
                <w:szCs w:val="24"/>
                <w:highlight w:val="none"/>
                <w:lang w:val="en-US" w:eastAsia="en-US" w:bidi="zh-CN"/>
              </w:rPr>
              <w:t>）</w:t>
            </w:r>
          </w:p>
        </w:tc>
      </w:tr>
      <w:tr w14:paraId="4B79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trPr>
        <w:tc>
          <w:tcPr>
            <w:tcW w:w="774" w:type="dxa"/>
            <w:vMerge w:val="continue"/>
            <w:vAlign w:val="center"/>
          </w:tcPr>
          <w:p w14:paraId="63EEFD06">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168A5DE8">
            <w:pPr>
              <w:keepNext w:val="0"/>
              <w:keepLines w:val="0"/>
              <w:suppressLineNumbers w:val="0"/>
              <w:autoSpaceDE w:val="0"/>
              <w:autoSpaceDN w:val="0"/>
              <w:adjustRightInd w:val="0"/>
              <w:spacing w:before="65" w:beforeAutospacing="0" w:after="0" w:afterAutospacing="0"/>
              <w:ind w:left="0" w:right="120" w:rightChars="0"/>
              <w:jc w:val="center"/>
              <w:rPr>
                <w:rFonts w:hint="eastAsia" w:ascii="仿宋" w:hAnsi="仿宋" w:eastAsia="仿宋" w:cs="Times New Roman"/>
                <w:color w:val="auto"/>
                <w:sz w:val="24"/>
                <w:szCs w:val="24"/>
                <w:highlight w:val="none"/>
                <w:lang w:val="zh-CN" w:eastAsia="zh-CN"/>
              </w:rPr>
            </w:pPr>
            <w:r>
              <w:rPr>
                <w:rFonts w:hint="eastAsia" w:ascii="仿宋" w:hAnsi="仿宋" w:eastAsia="仿宋" w:cs="仿宋"/>
                <w:snapToGrid w:val="0"/>
                <w:color w:val="auto"/>
                <w:kern w:val="0"/>
                <w:sz w:val="24"/>
                <w:szCs w:val="24"/>
                <w:highlight w:val="none"/>
                <w:lang w:val="en-US" w:eastAsia="zh-CN" w:bidi="ar-SA"/>
              </w:rPr>
              <w:t>总体技术方案</w:t>
            </w:r>
          </w:p>
        </w:tc>
        <w:tc>
          <w:tcPr>
            <w:tcW w:w="765" w:type="dxa"/>
            <w:shd w:val="clear" w:color="auto" w:fill="auto"/>
            <w:vAlign w:val="center"/>
          </w:tcPr>
          <w:p w14:paraId="1B92DC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10</w:t>
            </w:r>
            <w:r>
              <w:rPr>
                <w:rFonts w:hint="eastAsia" w:ascii="仿宋" w:hAnsi="仿宋" w:eastAsia="仿宋" w:cs="仿宋"/>
                <w:color w:val="auto"/>
                <w:sz w:val="24"/>
                <w:szCs w:val="24"/>
                <w:highlight w:val="none"/>
                <w:lang w:val="en-US" w:eastAsia="zh-CN"/>
              </w:rPr>
              <w:t>分</w:t>
            </w:r>
          </w:p>
        </w:tc>
        <w:tc>
          <w:tcPr>
            <w:tcW w:w="5925" w:type="dxa"/>
            <w:shd w:val="clear" w:color="auto" w:fill="auto"/>
            <w:vAlign w:val="center"/>
          </w:tcPr>
          <w:p w14:paraId="75FEBB5C">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供应商</w:t>
            </w:r>
            <w:r>
              <w:rPr>
                <w:rFonts w:hint="eastAsia" w:ascii="仿宋" w:hAnsi="仿宋" w:eastAsia="仿宋" w:cs="仿宋"/>
                <w:snapToGrid w:val="0"/>
                <w:color w:val="auto"/>
                <w:kern w:val="0"/>
                <w:sz w:val="24"/>
                <w:szCs w:val="24"/>
                <w:highlight w:val="none"/>
                <w:lang w:val="en-US" w:eastAsia="en-US" w:bidi="ar-SA"/>
              </w:rPr>
              <w:t>针对本项目制定的总体技术方案进行评比，包含但不限于①工作方案制定原则与依据；②技术路线与方法；③实施方案内容完整性、针对性、可操作性；④</w:t>
            </w:r>
            <w:r>
              <w:rPr>
                <w:rFonts w:hint="eastAsia" w:ascii="仿宋" w:hAnsi="仿宋" w:eastAsia="仿宋" w:cs="仿宋"/>
                <w:snapToGrid w:val="0"/>
                <w:color w:val="auto"/>
                <w:kern w:val="0"/>
                <w:sz w:val="24"/>
                <w:szCs w:val="24"/>
                <w:highlight w:val="none"/>
                <w:lang w:val="en-US" w:eastAsia="zh-CN" w:bidi="ar-SA"/>
              </w:rPr>
              <w:t>项目进度安排；⑤</w:t>
            </w:r>
            <w:r>
              <w:rPr>
                <w:rFonts w:hint="eastAsia" w:ascii="仿宋" w:hAnsi="仿宋" w:eastAsia="仿宋" w:cs="仿宋"/>
                <w:snapToGrid w:val="0"/>
                <w:color w:val="auto"/>
                <w:kern w:val="0"/>
                <w:sz w:val="24"/>
                <w:szCs w:val="24"/>
                <w:highlight w:val="none"/>
                <w:lang w:val="en-US" w:eastAsia="en-US" w:bidi="ar-SA"/>
              </w:rPr>
              <w:t>主要成果等。方案完整、详细、思路清晰、全面、科学合理、层次结构细化且符合本项目实际需求。本项满分</w:t>
            </w:r>
            <w:r>
              <w:rPr>
                <w:rFonts w:hint="eastAsia" w:ascii="仿宋" w:hAnsi="仿宋" w:eastAsia="仿宋" w:cs="仿宋"/>
                <w:snapToGrid w:val="0"/>
                <w:color w:val="auto"/>
                <w:kern w:val="0"/>
                <w:sz w:val="24"/>
                <w:szCs w:val="24"/>
                <w:highlight w:val="none"/>
                <w:lang w:val="en-US" w:eastAsia="zh-CN" w:bidi="ar-SA"/>
              </w:rPr>
              <w:t>10</w:t>
            </w:r>
            <w:r>
              <w:rPr>
                <w:rFonts w:hint="eastAsia" w:ascii="仿宋" w:hAnsi="仿宋" w:eastAsia="仿宋" w:cs="仿宋"/>
                <w:snapToGrid w:val="0"/>
                <w:color w:val="auto"/>
                <w:kern w:val="0"/>
                <w:sz w:val="24"/>
                <w:szCs w:val="24"/>
                <w:highlight w:val="none"/>
                <w:lang w:val="en-US" w:eastAsia="en-US" w:bidi="ar-SA"/>
              </w:rPr>
              <w:t>分，每缺少一项内容扣</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p>
          <w:p w14:paraId="65FADF2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7E4B6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trPr>
        <w:tc>
          <w:tcPr>
            <w:tcW w:w="774" w:type="dxa"/>
            <w:vMerge w:val="continue"/>
            <w:vAlign w:val="center"/>
          </w:tcPr>
          <w:p w14:paraId="2527BC0C">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3F4C47DE">
            <w:pPr>
              <w:keepNext w:val="0"/>
              <w:keepLines w:val="0"/>
              <w:suppressLineNumbers w:val="0"/>
              <w:autoSpaceDE w:val="0"/>
              <w:autoSpaceDN w:val="0"/>
              <w:adjustRightInd w:val="0"/>
              <w:spacing w:before="65" w:beforeAutospacing="0" w:after="0" w:afterAutospacing="0"/>
              <w:ind w:left="0" w:right="120" w:rightChars="0"/>
              <w:jc w:val="center"/>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质量保障</w:t>
            </w:r>
          </w:p>
        </w:tc>
        <w:tc>
          <w:tcPr>
            <w:tcW w:w="765" w:type="dxa"/>
            <w:shd w:val="clear" w:color="auto" w:fill="auto"/>
            <w:vAlign w:val="center"/>
          </w:tcPr>
          <w:p w14:paraId="3D945AD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8</w:t>
            </w:r>
            <w:r>
              <w:rPr>
                <w:rFonts w:hint="eastAsia" w:ascii="仿宋" w:hAnsi="仿宋" w:eastAsia="仿宋" w:cs="仿宋"/>
                <w:color w:val="auto"/>
                <w:sz w:val="24"/>
                <w:szCs w:val="24"/>
                <w:highlight w:val="none"/>
                <w:lang w:val="en-US" w:eastAsia="zh-CN"/>
              </w:rPr>
              <w:t>分</w:t>
            </w:r>
          </w:p>
        </w:tc>
        <w:tc>
          <w:tcPr>
            <w:tcW w:w="5925" w:type="dxa"/>
            <w:shd w:val="clear" w:color="auto" w:fill="auto"/>
            <w:vAlign w:val="center"/>
          </w:tcPr>
          <w:p w14:paraId="6E15DB90">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供应商</w:t>
            </w:r>
            <w:r>
              <w:rPr>
                <w:rFonts w:hint="eastAsia" w:ascii="仿宋" w:hAnsi="仿宋" w:eastAsia="仿宋" w:cs="仿宋"/>
                <w:snapToGrid w:val="0"/>
                <w:color w:val="auto"/>
                <w:kern w:val="0"/>
                <w:sz w:val="24"/>
                <w:szCs w:val="24"/>
                <w:highlight w:val="none"/>
                <w:lang w:val="en-US" w:eastAsia="en-US" w:bidi="ar-SA"/>
              </w:rPr>
              <w:t>针对此项目制定的质量保障方案进行评比，包含但不限于①质量保证计划；②质量保证标准；③质量保证目标；④质量保证措施等。方案完整、详细、思路清晰、保障计划完善，标准严格，程序规范，质检措施详尽有效，具有针对性，质量保障措施满足且符合本项目实际需求。本项满分</w:t>
            </w:r>
            <w:r>
              <w:rPr>
                <w:rFonts w:hint="eastAsia" w:ascii="仿宋" w:hAnsi="仿宋" w:eastAsia="仿宋" w:cs="仿宋"/>
                <w:snapToGrid w:val="0"/>
                <w:color w:val="auto"/>
                <w:kern w:val="0"/>
                <w:sz w:val="24"/>
                <w:szCs w:val="24"/>
                <w:highlight w:val="none"/>
                <w:lang w:val="en-US" w:eastAsia="zh-CN" w:bidi="ar-SA"/>
              </w:rPr>
              <w:t>8</w:t>
            </w:r>
            <w:r>
              <w:rPr>
                <w:rFonts w:hint="eastAsia" w:ascii="仿宋" w:hAnsi="仿宋" w:eastAsia="仿宋" w:cs="仿宋"/>
                <w:snapToGrid w:val="0"/>
                <w:color w:val="auto"/>
                <w:kern w:val="0"/>
                <w:sz w:val="24"/>
                <w:szCs w:val="24"/>
                <w:highlight w:val="none"/>
                <w:lang w:val="en-US" w:eastAsia="en-US" w:bidi="ar-SA"/>
              </w:rPr>
              <w:t>分，每缺少一项内容扣</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p>
          <w:p w14:paraId="702D136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0F159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trPr>
        <w:tc>
          <w:tcPr>
            <w:tcW w:w="774" w:type="dxa"/>
            <w:vMerge w:val="continue"/>
            <w:vAlign w:val="center"/>
          </w:tcPr>
          <w:p w14:paraId="57258142">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362DD7AD">
            <w:pPr>
              <w:keepNext w:val="0"/>
              <w:keepLines w:val="0"/>
              <w:suppressLineNumbers w:val="0"/>
              <w:autoSpaceDE w:val="0"/>
              <w:autoSpaceDN w:val="0"/>
              <w:adjustRightInd w:val="0"/>
              <w:spacing w:before="65" w:beforeAutospacing="0" w:after="0" w:afterAutospacing="0"/>
              <w:ind w:left="0" w:right="120" w:rightChars="0"/>
              <w:jc w:val="center"/>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项目管理团队服务方案</w:t>
            </w:r>
          </w:p>
        </w:tc>
        <w:tc>
          <w:tcPr>
            <w:tcW w:w="765" w:type="dxa"/>
            <w:shd w:val="clear" w:color="auto" w:fill="auto"/>
            <w:vAlign w:val="center"/>
          </w:tcPr>
          <w:p w14:paraId="469D8B1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8</w:t>
            </w:r>
            <w:r>
              <w:rPr>
                <w:rFonts w:hint="eastAsia" w:ascii="仿宋" w:hAnsi="仿宋" w:eastAsia="仿宋" w:cs="仿宋"/>
                <w:color w:val="auto"/>
                <w:sz w:val="24"/>
                <w:szCs w:val="24"/>
                <w:highlight w:val="none"/>
                <w:lang w:val="en-US" w:eastAsia="zh-CN"/>
              </w:rPr>
              <w:t>分</w:t>
            </w:r>
          </w:p>
        </w:tc>
        <w:tc>
          <w:tcPr>
            <w:tcW w:w="5925" w:type="dxa"/>
            <w:shd w:val="clear" w:color="auto" w:fill="auto"/>
            <w:vAlign w:val="center"/>
          </w:tcPr>
          <w:p w14:paraId="5FF8011F">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供应商</w:t>
            </w:r>
            <w:r>
              <w:rPr>
                <w:rFonts w:hint="eastAsia" w:ascii="仿宋" w:hAnsi="仿宋" w:eastAsia="仿宋" w:cs="仿宋"/>
                <w:snapToGrid w:val="0"/>
                <w:color w:val="auto"/>
                <w:kern w:val="0"/>
                <w:sz w:val="24"/>
                <w:szCs w:val="24"/>
                <w:highlight w:val="none"/>
                <w:lang w:val="en-US" w:eastAsia="en-US" w:bidi="ar-SA"/>
              </w:rPr>
              <w:t>针对此项目制定的管理团队服务方案，包含但不限于 ①管理团队机构的设置；②人员管理制度；③人员配备及管理；④职责分工等。团队成员类似项目经验丰富，人员管理制度全面可行，岗位安排科学合理，岗位责任清晰明确且符合本项目实际需求。本项满分</w:t>
            </w:r>
            <w:r>
              <w:rPr>
                <w:rFonts w:hint="eastAsia" w:ascii="仿宋" w:hAnsi="仿宋" w:eastAsia="仿宋" w:cs="仿宋"/>
                <w:snapToGrid w:val="0"/>
                <w:color w:val="auto"/>
                <w:kern w:val="0"/>
                <w:sz w:val="24"/>
                <w:szCs w:val="24"/>
                <w:highlight w:val="none"/>
                <w:lang w:val="en-US" w:eastAsia="zh-CN" w:bidi="ar-SA"/>
              </w:rPr>
              <w:t>8</w:t>
            </w:r>
            <w:r>
              <w:rPr>
                <w:rFonts w:hint="eastAsia" w:ascii="仿宋" w:hAnsi="仿宋" w:eastAsia="仿宋" w:cs="仿宋"/>
                <w:snapToGrid w:val="0"/>
                <w:color w:val="auto"/>
                <w:kern w:val="0"/>
                <w:sz w:val="24"/>
                <w:szCs w:val="24"/>
                <w:highlight w:val="none"/>
                <w:lang w:val="en-US" w:eastAsia="en-US" w:bidi="ar-SA"/>
              </w:rPr>
              <w:t>分，每缺少一项内容扣</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p>
          <w:p w14:paraId="1BEEE766">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Times New Roman"/>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en-US" w:bidi="ar-SA"/>
              </w:rPr>
              <w:t>（缺陷是指：存在不适用该项目实际情况的情形、凭空编造、内容前后不一致、岗位安排不科学，岗位责任不清晰，地点区域错误、内容缺失、无针对性等任意一项等内容）</w:t>
            </w:r>
          </w:p>
        </w:tc>
      </w:tr>
      <w:tr w14:paraId="24465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774" w:type="dxa"/>
            <w:vMerge w:val="continue"/>
            <w:vAlign w:val="center"/>
          </w:tcPr>
          <w:p w14:paraId="543BD0D7">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3D09C6F1">
            <w:pPr>
              <w:keepNext w:val="0"/>
              <w:keepLines w:val="0"/>
              <w:suppressLineNumbers w:val="0"/>
              <w:autoSpaceDE w:val="0"/>
              <w:autoSpaceDN w:val="0"/>
              <w:adjustRightInd w:val="0"/>
              <w:spacing w:before="0" w:beforeAutospacing="0" w:after="0" w:afterAutospacing="0"/>
              <w:ind w:left="0" w:right="-20" w:right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管理制度</w:t>
            </w:r>
          </w:p>
        </w:tc>
        <w:tc>
          <w:tcPr>
            <w:tcW w:w="765" w:type="dxa"/>
            <w:shd w:val="clear" w:color="auto" w:fill="auto"/>
            <w:vAlign w:val="center"/>
          </w:tcPr>
          <w:p w14:paraId="4EC8AF7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6</w:t>
            </w:r>
            <w:r>
              <w:rPr>
                <w:rFonts w:hint="eastAsia" w:ascii="仿宋" w:hAnsi="仿宋" w:eastAsia="仿宋" w:cs="仿宋"/>
                <w:color w:val="auto"/>
                <w:sz w:val="24"/>
                <w:szCs w:val="24"/>
                <w:highlight w:val="none"/>
                <w:lang w:val="en-US" w:eastAsia="zh-CN"/>
              </w:rPr>
              <w:t>分</w:t>
            </w:r>
          </w:p>
        </w:tc>
        <w:tc>
          <w:tcPr>
            <w:tcW w:w="5925" w:type="dxa"/>
            <w:shd w:val="clear" w:color="auto" w:fill="auto"/>
            <w:vAlign w:val="center"/>
          </w:tcPr>
          <w:p w14:paraId="30814D7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供应商</w:t>
            </w:r>
            <w:r>
              <w:rPr>
                <w:rFonts w:hint="eastAsia" w:ascii="仿宋" w:hAnsi="仿宋" w:eastAsia="仿宋" w:cs="仿宋"/>
                <w:snapToGrid w:val="0"/>
                <w:color w:val="auto"/>
                <w:kern w:val="0"/>
                <w:sz w:val="24"/>
                <w:szCs w:val="24"/>
                <w:highlight w:val="none"/>
                <w:lang w:val="en-US" w:eastAsia="en-US" w:bidi="ar-SA"/>
              </w:rPr>
              <w:t>针对此项目制定的管理制度进行评比，包含但不限于①项目管理制度；②风险管理制度；③</w:t>
            </w:r>
            <w:bookmarkStart w:id="979" w:name="_GoBack"/>
            <w:bookmarkEnd w:id="979"/>
            <w:r>
              <w:rPr>
                <w:rFonts w:hint="eastAsia" w:ascii="仿宋" w:hAnsi="仿宋" w:eastAsia="仿宋" w:cs="仿宋"/>
                <w:snapToGrid w:val="0"/>
                <w:color w:val="auto"/>
                <w:kern w:val="0"/>
                <w:sz w:val="24"/>
                <w:szCs w:val="24"/>
                <w:highlight w:val="none"/>
                <w:lang w:val="en-US" w:eastAsia="en-US" w:bidi="ar-SA"/>
              </w:rPr>
              <w:t>管理制度等。制度完整、详细、思路清晰、层次结构细化且符合本项目实际需求</w:t>
            </w:r>
            <w:r>
              <w:rPr>
                <w:rFonts w:hint="eastAsia" w:ascii="仿宋" w:hAnsi="仿宋" w:eastAsia="仿宋" w:cs="仿宋"/>
                <w:snapToGrid w:val="0"/>
                <w:color w:val="auto"/>
                <w:kern w:val="0"/>
                <w:sz w:val="24"/>
                <w:szCs w:val="24"/>
                <w:highlight w:val="none"/>
                <w:lang w:val="en-US" w:eastAsia="zh-CN" w:bidi="ar-SA"/>
              </w:rPr>
              <w:t>，得</w:t>
            </w:r>
            <w:r>
              <w:rPr>
                <w:rFonts w:hint="eastAsia" w:ascii="仿宋" w:hAnsi="仿宋" w:eastAsia="仿宋" w:cs="仿宋"/>
                <w:snapToGrid w:val="0"/>
                <w:color w:val="auto"/>
                <w:kern w:val="0"/>
                <w:sz w:val="24"/>
                <w:szCs w:val="24"/>
                <w:highlight w:val="none"/>
                <w:lang w:val="en-US" w:eastAsia="en-US" w:bidi="ar-SA"/>
              </w:rPr>
              <w:t>满分6分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每缺少一项内容扣2分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p>
          <w:p w14:paraId="572F66D6">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（缺陷是指：存在不适用该项目实际情况的情形、凭空编造、内容前后不一致、前后逻辑错误、地点区域错误、内容缺失、无针对性等任意一项等内容。）</w:t>
            </w:r>
          </w:p>
        </w:tc>
      </w:tr>
      <w:tr w14:paraId="43E12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74" w:type="dxa"/>
            <w:vMerge w:val="continue"/>
            <w:vAlign w:val="center"/>
          </w:tcPr>
          <w:p w14:paraId="5FAEC4A1">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3DCBCAA0">
            <w:pPr>
              <w:keepNext w:val="0"/>
              <w:keepLines w:val="0"/>
              <w:suppressLineNumbers w:val="0"/>
              <w:autoSpaceDE w:val="0"/>
              <w:autoSpaceDN w:val="0"/>
              <w:snapToGrid w:val="0"/>
              <w:spacing w:before="0" w:beforeAutospacing="0" w:after="0" w:afterAutospacing="0"/>
              <w:ind w:left="0" w:leftChars="0" w:right="0" w:right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Times New Roman"/>
                <w:color w:val="auto"/>
                <w:sz w:val="24"/>
                <w:highlight w:val="none"/>
                <w:lang w:val="en-US" w:eastAsia="zh-CN"/>
              </w:rPr>
              <w:t>项目理解与实施方案</w:t>
            </w:r>
          </w:p>
        </w:tc>
        <w:tc>
          <w:tcPr>
            <w:tcW w:w="765" w:type="dxa"/>
            <w:shd w:val="clear" w:color="auto" w:fill="auto"/>
            <w:vAlign w:val="center"/>
          </w:tcPr>
          <w:p w14:paraId="20D1FBA4">
            <w:pPr>
              <w:keepNext w:val="0"/>
              <w:keepLines w:val="0"/>
              <w:suppressLineNumbers w:val="0"/>
              <w:autoSpaceDE w:val="0"/>
              <w:autoSpaceDN w:val="0"/>
              <w:snapToGrid w:val="0"/>
              <w:spacing w:before="0" w:beforeAutospacing="0" w:after="0" w:afterAutospacing="0"/>
              <w:ind w:left="0" w:leftChars="0" w:right="0" w:right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Times New Roman"/>
                <w:color w:val="auto"/>
                <w:sz w:val="24"/>
                <w:highlight w:val="none"/>
                <w:lang w:val="en-US" w:eastAsia="zh-CN"/>
              </w:rPr>
              <w:t>12分</w:t>
            </w:r>
          </w:p>
        </w:tc>
        <w:tc>
          <w:tcPr>
            <w:tcW w:w="5925" w:type="dxa"/>
            <w:shd w:val="clear" w:color="auto" w:fill="auto"/>
            <w:vAlign w:val="center"/>
          </w:tcPr>
          <w:p w14:paraId="6E006E1C">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 对自治区、地区、县农用地管理政策，新党农领办〔2024〕35 号、2026上报指南理解完整准确，满分4分。</w:t>
            </w:r>
            <w:r>
              <w:rPr>
                <w:rFonts w:hint="eastAsia" w:ascii="仿宋" w:hAnsi="仿宋" w:eastAsia="仿宋" w:cs="仿宋"/>
                <w:snapToGrid w:val="0"/>
                <w:color w:val="auto"/>
                <w:kern w:val="0"/>
                <w:sz w:val="24"/>
                <w:szCs w:val="24"/>
                <w:highlight w:val="none"/>
                <w:lang w:val="en-US" w:eastAsia="en-US" w:bidi="ar-SA"/>
              </w:rPr>
              <w:t>每缺少一项内容扣</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r>
              <w:rPr>
                <w:rFonts w:hint="eastAsia" w:ascii="仿宋" w:hAnsi="仿宋" w:eastAsia="仿宋" w:cs="仿宋"/>
                <w:snapToGrid w:val="0"/>
                <w:color w:val="auto"/>
                <w:kern w:val="0"/>
                <w:sz w:val="24"/>
                <w:szCs w:val="24"/>
                <w:highlight w:val="none"/>
                <w:lang w:val="en-US" w:eastAsia="zh-CN" w:bidi="ar-SA"/>
              </w:rPr>
              <w:t>。</w:t>
            </w:r>
          </w:p>
          <w:p w14:paraId="774846FD">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 数据整理—建库—质检—汇交全流程方案清晰可行，满分4分。</w:t>
            </w:r>
            <w:r>
              <w:rPr>
                <w:rFonts w:hint="eastAsia" w:ascii="仿宋" w:hAnsi="仿宋" w:eastAsia="仿宋" w:cs="仿宋"/>
                <w:snapToGrid w:val="0"/>
                <w:color w:val="auto"/>
                <w:kern w:val="0"/>
                <w:sz w:val="24"/>
                <w:szCs w:val="24"/>
                <w:highlight w:val="none"/>
                <w:lang w:val="en-US" w:eastAsia="en-US" w:bidi="ar-SA"/>
              </w:rPr>
              <w:t>每缺少一项内容扣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0.5</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r>
              <w:rPr>
                <w:rFonts w:hint="eastAsia" w:ascii="仿宋" w:hAnsi="仿宋" w:eastAsia="仿宋" w:cs="仿宋"/>
                <w:snapToGrid w:val="0"/>
                <w:color w:val="auto"/>
                <w:kern w:val="0"/>
                <w:sz w:val="24"/>
                <w:szCs w:val="24"/>
                <w:highlight w:val="none"/>
                <w:lang w:val="en-US" w:eastAsia="zh-CN" w:bidi="ar-SA"/>
              </w:rPr>
              <w:t>。</w:t>
            </w:r>
          </w:p>
          <w:p w14:paraId="078BC1C8">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3. 自然资源、农业农村数据联合质检方案合理，满分4分。</w:t>
            </w:r>
            <w:r>
              <w:rPr>
                <w:rFonts w:hint="eastAsia" w:ascii="仿宋" w:hAnsi="仿宋" w:eastAsia="仿宋" w:cs="仿宋"/>
                <w:snapToGrid w:val="0"/>
                <w:color w:val="auto"/>
                <w:kern w:val="0"/>
                <w:sz w:val="24"/>
                <w:szCs w:val="24"/>
                <w:highlight w:val="none"/>
                <w:lang w:val="en-US" w:eastAsia="en-US" w:bidi="ar-SA"/>
              </w:rPr>
              <w:t>每缺少一项内容扣</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br w:type="textWrapping"/>
            </w:r>
            <w:r>
              <w:rPr>
                <w:rFonts w:hint="eastAsia" w:ascii="仿宋" w:hAnsi="仿宋" w:eastAsia="仿宋" w:cs="仿宋"/>
                <w:snapToGrid w:val="0"/>
                <w:color w:val="auto"/>
                <w:kern w:val="0"/>
                <w:sz w:val="24"/>
                <w:szCs w:val="24"/>
                <w:highlight w:val="none"/>
                <w:lang w:val="en-US" w:eastAsia="en-US" w:bidi="ar-SA"/>
              </w:rPr>
              <w:t>（缺陷是指：存在不适用该项目实际情况的情形、凭空编造、内容前后不一致、前后逻辑错误、地点区域错误、内容缺失、无针对性等任意一项等内容。）</w:t>
            </w:r>
          </w:p>
        </w:tc>
      </w:tr>
      <w:tr w14:paraId="6B88C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trPr>
        <w:tc>
          <w:tcPr>
            <w:tcW w:w="774" w:type="dxa"/>
            <w:vAlign w:val="center"/>
          </w:tcPr>
          <w:p w14:paraId="70DD4A9B">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22267A49">
            <w:pPr>
              <w:keepNext w:val="0"/>
              <w:keepLines w:val="0"/>
              <w:suppressLineNumbers w:val="0"/>
              <w:autoSpaceDE w:val="0"/>
              <w:autoSpaceDN w:val="0"/>
              <w:adjustRightInd w:val="0"/>
              <w:spacing w:before="0" w:beforeAutospacing="0" w:after="0" w:afterAutospacing="0"/>
              <w:ind w:left="0" w:right="-20" w:rightChars="0"/>
              <w:jc w:val="center"/>
              <w:rPr>
                <w:rFonts w:hint="eastAsia" w:ascii="仿宋" w:hAnsi="仿宋" w:eastAsia="仿宋" w:cs="Times New Roman"/>
                <w:color w:val="auto"/>
                <w:sz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售后服务承诺</w:t>
            </w:r>
          </w:p>
        </w:tc>
        <w:tc>
          <w:tcPr>
            <w:tcW w:w="765" w:type="dxa"/>
            <w:shd w:val="clear" w:color="auto" w:fill="auto"/>
            <w:vAlign w:val="center"/>
          </w:tcPr>
          <w:p w14:paraId="2455E5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eastAsia" w:ascii="仿宋" w:hAnsi="仿宋" w:eastAsia="仿宋" w:cs="Times New Roman"/>
                <w:color w:val="auto"/>
                <w:sz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4</w:t>
            </w:r>
            <w:r>
              <w:rPr>
                <w:rFonts w:hint="eastAsia" w:ascii="仿宋" w:hAnsi="仿宋" w:eastAsia="仿宋" w:cs="仿宋"/>
                <w:color w:val="auto"/>
                <w:sz w:val="24"/>
                <w:szCs w:val="24"/>
                <w:highlight w:val="none"/>
                <w:lang w:val="en-US" w:eastAsia="zh-CN"/>
              </w:rPr>
              <w:t>分</w:t>
            </w:r>
          </w:p>
        </w:tc>
        <w:tc>
          <w:tcPr>
            <w:tcW w:w="5925" w:type="dxa"/>
            <w:shd w:val="clear" w:color="auto" w:fill="auto"/>
            <w:vAlign w:val="center"/>
          </w:tcPr>
          <w:p w14:paraId="28789A61">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供应商</w:t>
            </w:r>
            <w:r>
              <w:rPr>
                <w:rFonts w:hint="eastAsia" w:ascii="仿宋" w:hAnsi="仿宋" w:eastAsia="仿宋" w:cs="仿宋"/>
                <w:snapToGrid w:val="0"/>
                <w:color w:val="auto"/>
                <w:kern w:val="0"/>
                <w:sz w:val="24"/>
                <w:szCs w:val="24"/>
                <w:highlight w:val="none"/>
                <w:lang w:val="en-US" w:eastAsia="en-US" w:bidi="ar-SA"/>
              </w:rPr>
              <w:t>针对此项目制定的售后服务承诺进行评比包含但不限于①售后服务方案、响应时间；②服务保障措施等。售后服务承诺完整、详细、可行性高且符合本项目售后实际需求</w:t>
            </w:r>
            <w:r>
              <w:rPr>
                <w:rFonts w:hint="eastAsia" w:ascii="仿宋" w:hAnsi="仿宋" w:eastAsia="仿宋" w:cs="仿宋"/>
                <w:snapToGrid w:val="0"/>
                <w:color w:val="auto"/>
                <w:kern w:val="0"/>
                <w:sz w:val="24"/>
                <w:szCs w:val="24"/>
                <w:highlight w:val="none"/>
                <w:lang w:val="en-US" w:eastAsia="zh-CN" w:bidi="ar-SA"/>
              </w:rPr>
              <w:t>，得</w:t>
            </w:r>
            <w:r>
              <w:rPr>
                <w:rFonts w:hint="eastAsia" w:ascii="仿宋" w:hAnsi="仿宋" w:eastAsia="仿宋" w:cs="仿宋"/>
                <w:snapToGrid w:val="0"/>
                <w:color w:val="auto"/>
                <w:kern w:val="0"/>
                <w:sz w:val="24"/>
                <w:szCs w:val="24"/>
                <w:highlight w:val="none"/>
                <w:lang w:val="en-US" w:eastAsia="en-US" w:bidi="ar-SA"/>
              </w:rPr>
              <w:t>满分</w:t>
            </w:r>
            <w:r>
              <w:rPr>
                <w:rFonts w:hint="eastAsia" w:ascii="仿宋" w:hAnsi="仿宋" w:eastAsia="仿宋" w:cs="仿宋"/>
                <w:snapToGrid w:val="0"/>
                <w:color w:val="auto"/>
                <w:kern w:val="0"/>
                <w:sz w:val="24"/>
                <w:szCs w:val="24"/>
                <w:highlight w:val="none"/>
                <w:lang w:val="en-US" w:eastAsia="zh-CN" w:bidi="ar-SA"/>
              </w:rPr>
              <w:t>4</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每缺少一项内容扣</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en-US" w:bidi="ar-SA"/>
              </w:rPr>
              <w:t>分，每项内容中每有一处缺陷扣</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en-US" w:bidi="ar-SA"/>
              </w:rPr>
              <w:t>分</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扣完为止。</w:t>
            </w:r>
          </w:p>
          <w:p w14:paraId="61260CEA">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Times New Roman"/>
                <w:color w:val="auto"/>
                <w:sz w:val="24"/>
                <w:highlight w:val="none"/>
                <w:lang w:val="en-US" w:eastAsia="zh-CN"/>
              </w:rPr>
            </w:pPr>
            <w:r>
              <w:rPr>
                <w:rFonts w:hint="eastAsia" w:ascii="仿宋" w:hAnsi="仿宋" w:eastAsia="仿宋" w:cs="仿宋"/>
                <w:snapToGrid w:val="0"/>
                <w:color w:val="auto"/>
                <w:kern w:val="0"/>
                <w:sz w:val="24"/>
                <w:szCs w:val="24"/>
                <w:highlight w:val="none"/>
                <w:lang w:val="en-US" w:eastAsia="en-US" w:bidi="ar-SA"/>
              </w:rPr>
              <w:t>（缺陷是指：存在不适用该项目实际情况的情形、凭空编造、内容前后不一致、前后逻辑错误、地点区域错误、内容缺失、无针对性等任意一项等内容</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w:t>
            </w:r>
          </w:p>
        </w:tc>
      </w:tr>
      <w:tr w14:paraId="63D0C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trPr>
        <w:tc>
          <w:tcPr>
            <w:tcW w:w="774" w:type="dxa"/>
            <w:vAlign w:val="center"/>
          </w:tcPr>
          <w:p w14:paraId="35F7E780">
            <w:pPr>
              <w:keepNext w:val="0"/>
              <w:keepLines w:val="0"/>
              <w:suppressLineNumbers w:val="0"/>
              <w:autoSpaceDE w:val="0"/>
              <w:autoSpaceDN w:val="0"/>
              <w:snapToGrid w:val="0"/>
              <w:spacing w:before="0" w:beforeAutospacing="0" w:after="0" w:afterAutospacing="0"/>
              <w:ind w:left="0" w:right="0"/>
              <w:rPr>
                <w:rFonts w:hint="eastAsia" w:ascii="仿宋" w:hAnsi="仿宋" w:eastAsia="仿宋" w:cs="Times New Roman"/>
                <w:color w:val="auto"/>
                <w:sz w:val="24"/>
                <w:highlight w:val="none"/>
                <w:lang w:val="en-US" w:eastAsia="zh-CN"/>
              </w:rPr>
            </w:pPr>
          </w:p>
        </w:tc>
        <w:tc>
          <w:tcPr>
            <w:tcW w:w="1128" w:type="dxa"/>
            <w:shd w:val="clear" w:color="auto" w:fill="auto"/>
            <w:vAlign w:val="center"/>
          </w:tcPr>
          <w:p w14:paraId="174BBA01">
            <w:pPr>
              <w:keepNext w:val="0"/>
              <w:keepLines w:val="0"/>
              <w:suppressLineNumbers w:val="0"/>
              <w:autoSpaceDE w:val="0"/>
              <w:autoSpaceDN w:val="0"/>
              <w:adjustRightInd w:val="0"/>
              <w:spacing w:before="0" w:beforeAutospacing="0" w:after="0" w:afterAutospacing="0"/>
              <w:ind w:left="0" w:right="-20" w:rightChars="0"/>
              <w:jc w:val="center"/>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合理化建议</w:t>
            </w:r>
          </w:p>
        </w:tc>
        <w:tc>
          <w:tcPr>
            <w:tcW w:w="765" w:type="dxa"/>
            <w:shd w:val="clear" w:color="auto" w:fill="auto"/>
            <w:vAlign w:val="center"/>
          </w:tcPr>
          <w:p w14:paraId="2A99256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ind w:left="0" w:right="0" w:rightChars="0"/>
              <w:jc w:val="center"/>
              <w:textAlignment w:val="baseline"/>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4分</w:t>
            </w:r>
          </w:p>
        </w:tc>
        <w:tc>
          <w:tcPr>
            <w:tcW w:w="5925" w:type="dxa"/>
            <w:shd w:val="clear" w:color="auto" w:fill="auto"/>
            <w:vAlign w:val="center"/>
          </w:tcPr>
          <w:p w14:paraId="746277D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en-US" w:bidi="ar-SA"/>
              </w:rPr>
              <w:t>投标人针对本项目实施、管理、质量控制、进度保障、成本节约、后期运维、风险防控等方面提出合理可行的优化改进建议</w:t>
            </w:r>
            <w:r>
              <w:rPr>
                <w:rFonts w:hint="eastAsia" w:ascii="仿宋" w:hAnsi="仿宋" w:eastAsia="仿宋" w:cs="仿宋"/>
                <w:snapToGrid w:val="0"/>
                <w:color w:val="auto"/>
                <w:kern w:val="0"/>
                <w:sz w:val="24"/>
                <w:szCs w:val="24"/>
                <w:highlight w:val="none"/>
                <w:lang w:val="en-US" w:eastAsia="zh-CN" w:bidi="ar-SA"/>
              </w:rPr>
              <w:t>；针对性强、贴合项目实际、可落地、有实质性优化价值的合理化建议，思路清晰、措施具体提出一条得2分，满分4分，不提供不得分。</w:t>
            </w:r>
          </w:p>
        </w:tc>
      </w:tr>
    </w:tbl>
    <w:p w14:paraId="691CFABE">
      <w:pPr>
        <w:pStyle w:val="39"/>
        <w:ind w:left="0" w:leftChars="0" w:firstLine="0" w:firstLineChars="0"/>
        <w:jc w:val="center"/>
        <w:rPr>
          <w:rFonts w:hint="eastAsia" w:ascii="仿宋" w:hAnsi="仿宋" w:eastAsia="仿宋" w:cs="仿宋"/>
          <w:b/>
          <w:kern w:val="2"/>
          <w:sz w:val="28"/>
          <w:szCs w:val="28"/>
          <w:lang w:val="en-US" w:eastAsia="zh-CN" w:bidi="ar-SA"/>
        </w:rPr>
      </w:pPr>
    </w:p>
    <w:p w14:paraId="4A5CC62B">
      <w:pPr>
        <w:rPr>
          <w:rFonts w:hint="eastAsia"/>
          <w:lang w:eastAsia="zh-CN"/>
        </w:rPr>
        <w:sectPr>
          <w:footerReference r:id="rId12" w:type="default"/>
          <w:pgSz w:w="11910" w:h="16840"/>
          <w:pgMar w:top="1440" w:right="1797" w:bottom="1440" w:left="1797" w:header="0" w:footer="913" w:gutter="0"/>
          <w:pgBorders>
            <w:top w:val="none" w:sz="0" w:space="0"/>
            <w:left w:val="none" w:sz="0" w:space="0"/>
            <w:bottom w:val="none" w:sz="0" w:space="0"/>
            <w:right w:val="none" w:sz="0" w:space="0"/>
          </w:pgBorders>
          <w:pgNumType w:fmt="decimal"/>
          <w:cols w:space="720" w:num="1"/>
        </w:sectPr>
      </w:pPr>
    </w:p>
    <w:p w14:paraId="1CAF5321">
      <w:pPr>
        <w:pStyle w:val="12"/>
        <w:rPr>
          <w:rFonts w:hint="eastAsia"/>
          <w:lang w:eastAsia="zh-CN"/>
        </w:rPr>
      </w:pPr>
    </w:p>
    <w:p w14:paraId="165E8AEA">
      <w:pPr>
        <w:pStyle w:val="11"/>
        <w:rPr>
          <w:rFonts w:hint="eastAsia"/>
          <w:lang w:eastAsia="zh-CN"/>
        </w:rPr>
      </w:pPr>
    </w:p>
    <w:p w14:paraId="7958F147">
      <w:pPr>
        <w:pStyle w:val="12"/>
        <w:rPr>
          <w:rFonts w:hint="eastAsia"/>
          <w:lang w:eastAsia="zh-CN"/>
        </w:rPr>
      </w:pPr>
    </w:p>
    <w:p w14:paraId="31F587BF">
      <w:pPr>
        <w:rPr>
          <w:rFonts w:hint="eastAsia" w:ascii="仿宋" w:hAnsi="仿宋" w:eastAsia="仿宋" w:cs="仿宋"/>
          <w:b/>
          <w:bCs/>
          <w:color w:val="auto"/>
          <w:kern w:val="0"/>
          <w:sz w:val="52"/>
          <w:szCs w:val="52"/>
          <w:highlight w:val="none"/>
          <w:lang w:eastAsia="zh-CN"/>
        </w:rPr>
      </w:pPr>
    </w:p>
    <w:p w14:paraId="30F88E22">
      <w:pPr>
        <w:pStyle w:val="27"/>
        <w:jc w:val="center"/>
        <w:rPr>
          <w:rFonts w:hint="eastAsia" w:ascii="仿宋" w:hAnsi="仿宋" w:eastAsia="仿宋" w:cs="仿宋"/>
          <w:b/>
          <w:bCs/>
          <w:color w:val="auto"/>
          <w:kern w:val="0"/>
          <w:sz w:val="44"/>
          <w:szCs w:val="44"/>
          <w:highlight w:val="none"/>
        </w:rPr>
      </w:pPr>
      <w:r>
        <w:rPr>
          <w:rFonts w:hint="eastAsia" w:ascii="仿宋" w:hAnsi="仿宋" w:eastAsia="仿宋" w:cs="仿宋"/>
          <w:b/>
          <w:bCs/>
          <w:color w:val="auto"/>
          <w:kern w:val="0"/>
          <w:sz w:val="44"/>
          <w:szCs w:val="44"/>
          <w:highlight w:val="none"/>
        </w:rPr>
        <w:t>莎车县国有农用地管理及农村集体土地清理数据库建立项目</w:t>
      </w:r>
    </w:p>
    <w:p w14:paraId="15BBC5A4">
      <w:pPr>
        <w:pStyle w:val="27"/>
        <w:rPr>
          <w:rFonts w:hint="eastAsia" w:ascii="仿宋" w:hAnsi="仿宋" w:eastAsia="仿宋" w:cs="仿宋"/>
          <w:b/>
          <w:bCs/>
          <w:color w:val="auto"/>
          <w:kern w:val="0"/>
          <w:sz w:val="44"/>
          <w:szCs w:val="44"/>
          <w:highlight w:val="none"/>
        </w:rPr>
      </w:pPr>
    </w:p>
    <w:p w14:paraId="77C296D9">
      <w:pPr>
        <w:pStyle w:val="2"/>
        <w:rPr>
          <w:rFonts w:hint="eastAsia" w:ascii="仿宋" w:hAnsi="仿宋" w:eastAsia="仿宋" w:cs="仿宋"/>
          <w:b/>
          <w:bCs/>
          <w:color w:val="auto"/>
          <w:kern w:val="0"/>
          <w:sz w:val="44"/>
          <w:szCs w:val="44"/>
          <w:highlight w:val="none"/>
        </w:rPr>
      </w:pPr>
    </w:p>
    <w:p w14:paraId="055CB837">
      <w:pPr>
        <w:pStyle w:val="38"/>
        <w:rPr>
          <w:rFonts w:hint="eastAsia" w:ascii="仿宋" w:hAnsi="仿宋" w:eastAsia="仿宋" w:cs="仿宋"/>
          <w:b/>
          <w:bCs/>
          <w:color w:val="auto"/>
          <w:kern w:val="0"/>
          <w:sz w:val="44"/>
          <w:szCs w:val="44"/>
          <w:highlight w:val="none"/>
        </w:rPr>
      </w:pPr>
    </w:p>
    <w:p w14:paraId="4C16F707">
      <w:pPr>
        <w:rPr>
          <w:rFonts w:hint="eastAsia"/>
        </w:rPr>
      </w:pPr>
    </w:p>
    <w:p w14:paraId="44A9F338">
      <w:pPr>
        <w:spacing w:line="240" w:lineRule="atLeast"/>
        <w:ind w:left="1080" w:leftChars="257" w:hanging="540"/>
        <w:jc w:val="center"/>
        <w:rPr>
          <w:rFonts w:hint="eastAsia" w:ascii="仿宋" w:hAnsi="仿宋" w:eastAsia="仿宋" w:cs="仿宋"/>
          <w:b/>
          <w:bCs/>
          <w:color w:val="auto"/>
          <w:kern w:val="0"/>
          <w:sz w:val="48"/>
          <w:szCs w:val="48"/>
          <w:highlight w:val="none"/>
        </w:rPr>
      </w:pPr>
      <w:r>
        <w:rPr>
          <w:rFonts w:hint="eastAsia" w:ascii="仿宋" w:hAnsi="仿宋" w:eastAsia="仿宋" w:cs="仿宋"/>
          <w:b/>
          <w:bCs/>
          <w:color w:val="auto"/>
          <w:kern w:val="0"/>
          <w:sz w:val="48"/>
          <w:szCs w:val="48"/>
          <w:highlight w:val="none"/>
        </w:rPr>
        <w:t>招标文件（</w:t>
      </w: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eastAsia="zh-CN"/>
        </w:rPr>
        <w:t>三</w:t>
      </w:r>
      <w:r>
        <w:rPr>
          <w:rFonts w:hint="eastAsia" w:ascii="仿宋" w:hAnsi="仿宋" w:eastAsia="仿宋" w:cs="仿宋"/>
          <w:b/>
          <w:color w:val="auto"/>
          <w:sz w:val="48"/>
          <w:szCs w:val="48"/>
          <w:highlight w:val="none"/>
        </w:rPr>
        <w:t>册</w:t>
      </w:r>
      <w:r>
        <w:rPr>
          <w:rFonts w:hint="eastAsia" w:ascii="仿宋" w:hAnsi="仿宋" w:eastAsia="仿宋" w:cs="仿宋"/>
          <w:b/>
          <w:bCs/>
          <w:color w:val="auto"/>
          <w:kern w:val="0"/>
          <w:sz w:val="48"/>
          <w:szCs w:val="48"/>
          <w:highlight w:val="none"/>
        </w:rPr>
        <w:t>）</w:t>
      </w:r>
    </w:p>
    <w:p w14:paraId="0168E93F">
      <w:pPr>
        <w:pStyle w:val="39"/>
        <w:rPr>
          <w:rFonts w:hint="eastAsia" w:ascii="仿宋" w:hAnsi="仿宋" w:eastAsia="仿宋" w:cs="仿宋"/>
          <w:color w:val="auto"/>
          <w:highlight w:val="none"/>
        </w:rPr>
      </w:pPr>
    </w:p>
    <w:p w14:paraId="4483A5BF">
      <w:pPr>
        <w:rPr>
          <w:rFonts w:hint="eastAsia" w:ascii="仿宋" w:hAnsi="仿宋" w:eastAsia="仿宋" w:cs="仿宋"/>
          <w:color w:val="auto"/>
          <w:highlight w:val="none"/>
        </w:rPr>
      </w:pPr>
    </w:p>
    <w:p w14:paraId="22D0B425">
      <w:pPr>
        <w:pStyle w:val="39"/>
        <w:rPr>
          <w:rFonts w:hint="eastAsia" w:ascii="仿宋" w:hAnsi="仿宋" w:eastAsia="仿宋" w:cs="仿宋"/>
          <w:color w:val="auto"/>
          <w:highlight w:val="none"/>
        </w:rPr>
      </w:pPr>
    </w:p>
    <w:p w14:paraId="06E39018">
      <w:pPr>
        <w:pStyle w:val="39"/>
        <w:rPr>
          <w:rFonts w:hint="eastAsia" w:ascii="仿宋" w:hAnsi="仿宋" w:eastAsia="仿宋" w:cs="仿宋"/>
          <w:color w:val="auto"/>
          <w:highlight w:val="none"/>
        </w:rPr>
      </w:pPr>
    </w:p>
    <w:p w14:paraId="54437E7E">
      <w:pPr>
        <w:pStyle w:val="39"/>
        <w:spacing w:line="240" w:lineRule="auto"/>
        <w:ind w:firstLine="0" w:firstLineChars="0"/>
        <w:rPr>
          <w:rFonts w:hint="eastAsia" w:ascii="仿宋" w:hAnsi="仿宋" w:eastAsia="仿宋" w:cs="仿宋"/>
          <w:color w:val="auto"/>
          <w:highlight w:val="none"/>
        </w:rPr>
      </w:pPr>
    </w:p>
    <w:p w14:paraId="19762F3F">
      <w:pPr>
        <w:pStyle w:val="39"/>
        <w:ind w:left="0" w:leftChars="0" w:firstLine="0" w:firstLineChars="0"/>
        <w:rPr>
          <w:rFonts w:hint="eastAsia" w:ascii="仿宋" w:hAnsi="仿宋" w:eastAsia="仿宋" w:cs="仿宋"/>
          <w:color w:val="auto"/>
          <w:highlight w:val="none"/>
        </w:rPr>
      </w:pPr>
    </w:p>
    <w:p w14:paraId="1707D2AC">
      <w:pPr>
        <w:pStyle w:val="39"/>
        <w:rPr>
          <w:rFonts w:hint="eastAsia" w:ascii="仿宋" w:hAnsi="仿宋" w:eastAsia="仿宋" w:cs="仿宋"/>
          <w:color w:val="auto"/>
          <w:highlight w:val="none"/>
        </w:rPr>
      </w:pPr>
    </w:p>
    <w:p w14:paraId="686B6E0B">
      <w:pPr>
        <w:pStyle w:val="39"/>
        <w:rPr>
          <w:rFonts w:hint="eastAsia" w:ascii="仿宋" w:hAnsi="仿宋" w:eastAsia="仿宋" w:cs="仿宋"/>
          <w:color w:val="auto"/>
          <w:highlight w:val="none"/>
        </w:rPr>
      </w:pPr>
    </w:p>
    <w:p w14:paraId="595E23B8">
      <w:pPr>
        <w:pStyle w:val="39"/>
        <w:rPr>
          <w:rFonts w:hint="eastAsia" w:ascii="仿宋" w:hAnsi="仿宋" w:eastAsia="仿宋" w:cs="仿宋"/>
          <w:color w:val="auto"/>
          <w:highlight w:val="none"/>
        </w:rPr>
      </w:pPr>
    </w:p>
    <w:p w14:paraId="0932A777">
      <w:pPr>
        <w:pStyle w:val="39"/>
        <w:rPr>
          <w:rFonts w:hint="eastAsia" w:ascii="仿宋" w:hAnsi="仿宋" w:eastAsia="仿宋" w:cs="仿宋"/>
          <w:color w:val="auto"/>
          <w:highlight w:val="none"/>
        </w:rPr>
      </w:pPr>
    </w:p>
    <w:p w14:paraId="184BF46F">
      <w:pPr>
        <w:pStyle w:val="39"/>
        <w:rPr>
          <w:rFonts w:hint="eastAsia" w:ascii="仿宋" w:hAnsi="仿宋" w:eastAsia="仿宋" w:cs="仿宋"/>
          <w:color w:val="auto"/>
          <w:highlight w:val="none"/>
        </w:rPr>
      </w:pPr>
    </w:p>
    <w:p w14:paraId="0B16237E">
      <w:pPr>
        <w:pStyle w:val="39"/>
        <w:rPr>
          <w:rFonts w:hint="eastAsia" w:ascii="仿宋" w:hAnsi="仿宋" w:eastAsia="仿宋" w:cs="仿宋"/>
          <w:color w:val="auto"/>
          <w:highlight w:val="none"/>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6"/>
        <w:gridCol w:w="6449"/>
      </w:tblGrid>
      <w:tr w14:paraId="4275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76AAAAE4">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采购代理机构：</w:t>
            </w:r>
          </w:p>
        </w:tc>
        <w:tc>
          <w:tcPr>
            <w:tcW w:w="6476" w:type="dxa"/>
            <w:noWrap w:val="0"/>
            <w:vAlign w:val="top"/>
          </w:tcPr>
          <w:p w14:paraId="1116147A">
            <w:pPr>
              <w:pStyle w:val="39"/>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新疆盛世乾元工程项目管理咨询有限公司</w:t>
            </w:r>
          </w:p>
        </w:tc>
      </w:tr>
      <w:tr w14:paraId="6A00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14:paraId="7762EAB1">
            <w:pPr>
              <w:pStyle w:val="39"/>
              <w:keepNext w:val="0"/>
              <w:keepLines w:val="0"/>
              <w:suppressLineNumbers w:val="0"/>
              <w:spacing w:before="0" w:beforeAutospacing="0" w:after="0" w:afterAutospacing="0"/>
              <w:ind w:left="0" w:leftChars="0" w:right="0" w:firstLine="0" w:firstLineChars="0"/>
              <w:jc w:val="distribute"/>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发出日期：</w:t>
            </w:r>
          </w:p>
        </w:tc>
        <w:tc>
          <w:tcPr>
            <w:tcW w:w="6476" w:type="dxa"/>
            <w:noWrap w:val="0"/>
            <w:vAlign w:val="top"/>
          </w:tcPr>
          <w:p w14:paraId="6C85FFE5">
            <w:pPr>
              <w:keepNext w:val="0"/>
              <w:keepLines w:val="0"/>
              <w:suppressLineNumbers w:val="0"/>
              <w:bidi w:val="0"/>
              <w:spacing w:before="0" w:beforeAutospacing="0" w:after="0" w:afterAutospacing="0"/>
              <w:ind w:left="0" w:right="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二〇二六年六月</w:t>
            </w:r>
          </w:p>
        </w:tc>
      </w:tr>
    </w:tbl>
    <w:p w14:paraId="7765B258">
      <w:pPr>
        <w:pStyle w:val="39"/>
        <w:ind w:left="0" w:leftChars="0" w:firstLine="0" w:firstLineChars="0"/>
        <w:rPr>
          <w:rFonts w:hint="eastAsia" w:ascii="仿宋" w:hAnsi="仿宋" w:eastAsia="仿宋" w:cs="仿宋"/>
          <w:color w:val="auto"/>
          <w:highlight w:val="none"/>
        </w:rPr>
      </w:pPr>
    </w:p>
    <w:p w14:paraId="2B11CA7F">
      <w:pPr>
        <w:rPr>
          <w:rFonts w:hint="eastAsia"/>
          <w:lang w:val="en-US" w:eastAsia="zh-CN"/>
        </w:rPr>
      </w:pPr>
      <w:bookmarkStart w:id="484" w:name="_Toc4796"/>
      <w:bookmarkStart w:id="485" w:name="_Toc6865"/>
      <w:bookmarkStart w:id="486" w:name="_Toc515647833"/>
    </w:p>
    <w:p w14:paraId="391AA1EA">
      <w:pPr>
        <w:pStyle w:val="12"/>
        <w:rPr>
          <w:rFonts w:hint="eastAsia"/>
          <w:lang w:val="en-US" w:eastAsia="zh-CN"/>
        </w:rPr>
      </w:pPr>
    </w:p>
    <w:bookmarkEnd w:id="483"/>
    <w:bookmarkEnd w:id="484"/>
    <w:bookmarkEnd w:id="485"/>
    <w:bookmarkEnd w:id="486"/>
    <w:p w14:paraId="101A7909">
      <w:pPr>
        <w:ind w:firstLine="2209" w:firstLineChars="500"/>
        <w:rPr>
          <w:rFonts w:hint="eastAsia" w:ascii="仿宋" w:hAnsi="仿宋" w:eastAsia="仿宋" w:cs="仿宋"/>
          <w:b/>
          <w:color w:val="000000"/>
          <w:sz w:val="44"/>
          <w:szCs w:val="44"/>
        </w:rPr>
      </w:pPr>
    </w:p>
    <w:p w14:paraId="3A528C51">
      <w:pPr>
        <w:ind w:firstLine="2209" w:firstLineChars="500"/>
        <w:rPr>
          <w:rFonts w:hint="eastAsia" w:ascii="仿宋" w:hAnsi="仿宋" w:eastAsia="仿宋" w:cs="仿宋"/>
          <w:b/>
          <w:color w:val="000000"/>
          <w:sz w:val="44"/>
          <w:szCs w:val="44"/>
        </w:rPr>
      </w:pPr>
      <w:r>
        <w:rPr>
          <w:rFonts w:hint="eastAsia" w:ascii="仿宋" w:hAnsi="仿宋" w:eastAsia="仿宋" w:cs="仿宋"/>
          <w:b/>
          <w:color w:val="000000"/>
          <w:sz w:val="44"/>
          <w:szCs w:val="44"/>
        </w:rPr>
        <w:t>政府采购合同参考范本</w:t>
      </w:r>
    </w:p>
    <w:p w14:paraId="66235D7D">
      <w:pPr>
        <w:rPr>
          <w:rFonts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32D9A6D4">
      <w:pPr>
        <w:jc w:val="center"/>
        <w:rPr>
          <w:rFonts w:ascii="仿宋" w:hAnsi="仿宋" w:eastAsia="仿宋" w:cs="仿宋"/>
          <w:b/>
          <w:sz w:val="28"/>
          <w:szCs w:val="28"/>
        </w:rPr>
      </w:pPr>
    </w:p>
    <w:p w14:paraId="60B13296">
      <w:pPr>
        <w:jc w:val="center"/>
        <w:rPr>
          <w:rFonts w:ascii="仿宋" w:hAnsi="仿宋" w:eastAsia="仿宋" w:cs="仿宋"/>
          <w:b/>
          <w:sz w:val="28"/>
          <w:szCs w:val="28"/>
        </w:rPr>
      </w:pPr>
    </w:p>
    <w:p w14:paraId="0706DFCB">
      <w:pPr>
        <w:jc w:val="center"/>
        <w:rPr>
          <w:rFonts w:ascii="仿宋" w:hAnsi="仿宋" w:eastAsia="仿宋" w:cs="仿宋"/>
          <w:b/>
          <w:sz w:val="28"/>
          <w:szCs w:val="28"/>
        </w:rPr>
      </w:pPr>
    </w:p>
    <w:p w14:paraId="5407F35A">
      <w:pPr>
        <w:jc w:val="center"/>
        <w:outlineLvl w:val="0"/>
        <w:rPr>
          <w:rFonts w:ascii="仿宋" w:hAnsi="仿宋" w:eastAsia="仿宋" w:cs="仿宋"/>
          <w:b/>
          <w:sz w:val="44"/>
          <w:szCs w:val="44"/>
        </w:rPr>
      </w:pPr>
      <w:bookmarkStart w:id="487" w:name="_Toc20116"/>
      <w:bookmarkStart w:id="488" w:name="_Toc19964"/>
      <w:bookmarkStart w:id="489" w:name="_Toc20099"/>
      <w:r>
        <w:rPr>
          <w:rFonts w:hint="eastAsia" w:ascii="仿宋" w:hAnsi="仿宋" w:eastAsia="仿宋" w:cs="仿宋"/>
          <w:b/>
          <w:sz w:val="44"/>
          <w:szCs w:val="44"/>
        </w:rPr>
        <w:t>政府采购合同参考范本</w:t>
      </w:r>
      <w:bookmarkEnd w:id="487"/>
      <w:bookmarkEnd w:id="488"/>
      <w:bookmarkEnd w:id="489"/>
    </w:p>
    <w:p w14:paraId="2D4FD791">
      <w:pPr>
        <w:jc w:val="center"/>
        <w:rPr>
          <w:rFonts w:ascii="仿宋" w:hAnsi="仿宋" w:eastAsia="仿宋" w:cs="仿宋"/>
          <w:b/>
          <w:sz w:val="24"/>
        </w:rPr>
      </w:pPr>
      <w:r>
        <w:rPr>
          <w:rFonts w:hint="eastAsia" w:ascii="仿宋" w:hAnsi="仿宋" w:eastAsia="仿宋" w:cs="仿宋"/>
          <w:b/>
          <w:sz w:val="24"/>
        </w:rPr>
        <w:t>（服务类）</w:t>
      </w:r>
    </w:p>
    <w:p w14:paraId="6FE99B72">
      <w:pPr>
        <w:pStyle w:val="70"/>
        <w:spacing w:line="400" w:lineRule="exact"/>
        <w:ind w:firstLine="0"/>
        <w:rPr>
          <w:rFonts w:ascii="仿宋" w:hAnsi="仿宋" w:eastAsia="仿宋" w:cs="仿宋"/>
          <w:szCs w:val="24"/>
        </w:rPr>
      </w:pPr>
    </w:p>
    <w:p w14:paraId="04BB80D1">
      <w:pPr>
        <w:pStyle w:val="70"/>
        <w:spacing w:line="400" w:lineRule="exact"/>
        <w:ind w:firstLine="0"/>
        <w:rPr>
          <w:rFonts w:ascii="仿宋" w:hAnsi="仿宋" w:eastAsia="仿宋" w:cs="仿宋"/>
          <w:szCs w:val="24"/>
        </w:rPr>
      </w:pPr>
    </w:p>
    <w:p w14:paraId="7E45B438">
      <w:pPr>
        <w:pStyle w:val="70"/>
        <w:spacing w:line="400" w:lineRule="exact"/>
        <w:ind w:firstLine="0"/>
        <w:rPr>
          <w:rFonts w:ascii="仿宋" w:hAnsi="仿宋" w:eastAsia="仿宋" w:cs="仿宋"/>
          <w:szCs w:val="24"/>
        </w:rPr>
      </w:pPr>
    </w:p>
    <w:p w14:paraId="3F7614EF">
      <w:pPr>
        <w:pStyle w:val="70"/>
        <w:spacing w:line="400" w:lineRule="exact"/>
        <w:ind w:firstLine="0"/>
        <w:jc w:val="center"/>
        <w:outlineLvl w:val="0"/>
        <w:rPr>
          <w:rFonts w:ascii="仿宋" w:hAnsi="仿宋" w:eastAsia="仿宋" w:cs="仿宋"/>
          <w:b/>
          <w:szCs w:val="24"/>
        </w:rPr>
      </w:pPr>
      <w:bookmarkStart w:id="490" w:name="_Toc23301"/>
      <w:bookmarkStart w:id="491" w:name="_Toc565"/>
      <w:bookmarkStart w:id="492" w:name="_Toc19509"/>
      <w:r>
        <w:rPr>
          <w:rFonts w:hint="eastAsia" w:ascii="仿宋" w:hAnsi="仿宋" w:eastAsia="仿宋" w:cs="仿宋"/>
          <w:b/>
          <w:szCs w:val="24"/>
        </w:rPr>
        <w:t>第一部分 合同书</w:t>
      </w:r>
      <w:bookmarkEnd w:id="490"/>
      <w:bookmarkEnd w:id="491"/>
      <w:bookmarkEnd w:id="492"/>
    </w:p>
    <w:p w14:paraId="7FEE6AC2">
      <w:pPr>
        <w:pStyle w:val="70"/>
        <w:spacing w:line="400" w:lineRule="exact"/>
        <w:ind w:firstLine="0"/>
        <w:rPr>
          <w:rFonts w:ascii="仿宋" w:hAnsi="仿宋" w:eastAsia="仿宋" w:cs="仿宋"/>
          <w:szCs w:val="24"/>
        </w:rPr>
      </w:pPr>
    </w:p>
    <w:p w14:paraId="7BBBA41E">
      <w:pPr>
        <w:pStyle w:val="70"/>
        <w:spacing w:line="400" w:lineRule="exact"/>
        <w:ind w:firstLine="0"/>
        <w:rPr>
          <w:rFonts w:ascii="仿宋" w:hAnsi="仿宋" w:eastAsia="仿宋" w:cs="仿宋"/>
          <w:szCs w:val="24"/>
        </w:rPr>
      </w:pPr>
    </w:p>
    <w:p w14:paraId="39E0D27F">
      <w:pPr>
        <w:spacing w:before="120" w:line="400" w:lineRule="exact"/>
        <w:rPr>
          <w:rFonts w:ascii="仿宋" w:hAnsi="仿宋" w:eastAsia="仿宋" w:cs="仿宋"/>
          <w:sz w:val="24"/>
        </w:rPr>
      </w:pPr>
    </w:p>
    <w:p w14:paraId="5FEDF50F">
      <w:pPr>
        <w:spacing w:before="120" w:line="400" w:lineRule="exac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0C738D4">
      <w:pPr>
        <w:pStyle w:val="87"/>
        <w:spacing w:before="120" w:line="400" w:lineRule="exact"/>
        <w:rPr>
          <w:rFonts w:ascii="仿宋" w:hAnsi="仿宋" w:eastAsia="仿宋" w:cs="仿宋"/>
          <w:szCs w:val="24"/>
        </w:rPr>
      </w:pPr>
    </w:p>
    <w:p w14:paraId="0295963F">
      <w:pPr>
        <w:spacing w:line="400" w:lineRule="exact"/>
        <w:rPr>
          <w:rFonts w:ascii="仿宋" w:hAnsi="仿宋" w:eastAsia="仿宋" w:cs="仿宋"/>
        </w:rPr>
      </w:pPr>
    </w:p>
    <w:p w14:paraId="147E4923">
      <w:pPr>
        <w:spacing w:before="120" w:line="400" w:lineRule="exac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3C934DFD">
      <w:pPr>
        <w:spacing w:before="120" w:line="400" w:lineRule="exact"/>
        <w:rPr>
          <w:rFonts w:ascii="仿宋" w:hAnsi="仿宋" w:eastAsia="仿宋" w:cs="仿宋"/>
          <w:sz w:val="24"/>
        </w:rPr>
      </w:pPr>
    </w:p>
    <w:p w14:paraId="559C5683">
      <w:pPr>
        <w:spacing w:before="120" w:line="400" w:lineRule="exac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1C070476">
      <w:pPr>
        <w:spacing w:before="120" w:line="400" w:lineRule="exact"/>
        <w:rPr>
          <w:rFonts w:ascii="仿宋" w:hAnsi="仿宋" w:eastAsia="仿宋" w:cs="仿宋"/>
          <w:sz w:val="24"/>
        </w:rPr>
      </w:pPr>
    </w:p>
    <w:p w14:paraId="759EC856">
      <w:pPr>
        <w:spacing w:before="120" w:line="400" w:lineRule="exac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73C40E4E">
      <w:pPr>
        <w:spacing w:before="120" w:line="400" w:lineRule="exact"/>
        <w:rPr>
          <w:rFonts w:ascii="仿宋" w:hAnsi="仿宋" w:eastAsia="仿宋" w:cs="仿宋"/>
          <w:sz w:val="24"/>
        </w:rPr>
      </w:pPr>
    </w:p>
    <w:p w14:paraId="0D76F564">
      <w:pPr>
        <w:spacing w:before="120" w:line="400" w:lineRule="exac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8B4966B">
      <w:pPr>
        <w:autoSpaceDE w:val="0"/>
        <w:autoSpaceDN w:val="0"/>
        <w:adjustRightInd w:val="0"/>
        <w:spacing w:line="400" w:lineRule="exact"/>
        <w:ind w:firstLine="640"/>
        <w:jc w:val="center"/>
        <w:rPr>
          <w:rFonts w:ascii="仿宋" w:hAnsi="仿宋" w:eastAsia="仿宋" w:cs="仿宋"/>
          <w:sz w:val="24"/>
        </w:rPr>
        <w:sectPr>
          <w:pgSz w:w="11907" w:h="16840"/>
          <w:pgMar w:top="1474" w:right="1814" w:bottom="1474" w:left="1814" w:header="851" w:footer="851" w:gutter="0"/>
          <w:pgNumType w:fmt="decimal"/>
          <w:cols w:space="720" w:num="1"/>
          <w:docGrid w:linePitch="462" w:charSpace="0"/>
        </w:sectPr>
      </w:pPr>
    </w:p>
    <w:p w14:paraId="08F52E82">
      <w:pPr>
        <w:spacing w:line="40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（成交供应商名称） </w:t>
      </w:r>
      <w:r>
        <w:rPr>
          <w:rFonts w:hint="eastAsia" w:ascii="仿宋" w:hAnsi="仿宋" w:eastAsia="仿宋" w:cs="仿宋"/>
          <w:sz w:val="24"/>
        </w:rPr>
        <w:t>为该项目成交供应商。现于成交通知书发出之日起三十日内，按照采购文件确定的事项签订本合同。</w:t>
      </w:r>
    </w:p>
    <w:p w14:paraId="10EE7233">
      <w:pPr>
        <w:spacing w:line="40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u w:val="single"/>
          <w:lang w:eastAsia="zh-CN"/>
        </w:rPr>
        <w:t>（</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（成交供应商名称）   </w:t>
      </w:r>
      <w:r>
        <w:rPr>
          <w:rFonts w:hint="eastAsia" w:ascii="仿宋" w:hAnsi="仿宋" w:eastAsia="仿宋" w:cs="仿宋"/>
          <w:sz w:val="24"/>
          <w:u w:val="single"/>
          <w:lang w:eastAsia="zh-CN"/>
        </w:rPr>
        <w:t>（</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39C3B8BB">
      <w:pPr>
        <w:spacing w:line="400" w:lineRule="exact"/>
        <w:ind w:firstLine="482" w:firstLineChars="200"/>
        <w:outlineLvl w:val="1"/>
        <w:rPr>
          <w:rFonts w:ascii="仿宋" w:hAnsi="仿宋" w:eastAsia="仿宋" w:cs="仿宋"/>
          <w:sz w:val="24"/>
        </w:rPr>
      </w:pPr>
      <w:bookmarkStart w:id="493" w:name="_Toc1256"/>
      <w:bookmarkStart w:id="494" w:name="_Toc20421"/>
      <w:bookmarkStart w:id="495" w:name="_Toc4675"/>
      <w:bookmarkStart w:id="496" w:name="_Toc20566"/>
      <w:bookmarkStart w:id="497" w:name="_Toc20041"/>
      <w:bookmarkStart w:id="498" w:name="_Toc19273"/>
      <w:bookmarkStart w:id="499" w:name="_Toc13594"/>
      <w:bookmarkStart w:id="500" w:name="_Toc8106"/>
      <w:bookmarkStart w:id="501" w:name="_Toc15367"/>
      <w:bookmarkStart w:id="502" w:name="_Toc32571"/>
      <w:bookmarkStart w:id="503" w:name="_Toc10112"/>
      <w:bookmarkStart w:id="504" w:name="_Toc5753"/>
      <w:bookmarkStart w:id="505" w:name="_Toc23100"/>
      <w:bookmarkStart w:id="506" w:name="_Toc3665"/>
      <w:bookmarkStart w:id="507" w:name="_Toc18383"/>
      <w:bookmarkStart w:id="508" w:name="_Toc28855"/>
      <w:r>
        <w:rPr>
          <w:rFonts w:hint="eastAsia" w:ascii="仿宋" w:hAnsi="仿宋" w:eastAsia="仿宋" w:cs="仿宋"/>
          <w:b/>
          <w:sz w:val="24"/>
        </w:rPr>
        <w:t>1.1 合同组成部分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D2390B3">
      <w:pPr>
        <w:spacing w:line="40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w:t>
      </w:r>
      <w:r>
        <w:rPr>
          <w:rFonts w:hint="eastAsia" w:ascii="仿宋" w:hAnsi="仿宋" w:eastAsia="仿宋" w:cs="仿宋"/>
          <w:sz w:val="24"/>
          <w:lang w:eastAsia="zh-CN"/>
        </w:rPr>
        <w:t>份文件</w:t>
      </w:r>
      <w:r>
        <w:rPr>
          <w:rFonts w:hint="eastAsia" w:ascii="仿宋" w:hAnsi="仿宋" w:eastAsia="仿宋" w:cs="仿宋"/>
          <w:sz w:val="24"/>
        </w:rPr>
        <w:t>的优先</w:t>
      </w:r>
      <w:r>
        <w:rPr>
          <w:rFonts w:hint="eastAsia" w:ascii="仿宋" w:hAnsi="仿宋" w:eastAsia="仿宋" w:cs="仿宋"/>
          <w:sz w:val="24"/>
          <w:lang w:eastAsia="zh-CN"/>
        </w:rPr>
        <w:t>使用</w:t>
      </w:r>
      <w:r>
        <w:rPr>
          <w:rFonts w:hint="eastAsia" w:ascii="仿宋" w:hAnsi="仿宋" w:eastAsia="仿宋" w:cs="仿宋"/>
          <w:sz w:val="24"/>
        </w:rPr>
        <w:t>顺序如下：</w:t>
      </w:r>
    </w:p>
    <w:p w14:paraId="64395694">
      <w:pPr>
        <w:spacing w:line="40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14:paraId="5DE6C6E6">
      <w:pPr>
        <w:spacing w:line="400" w:lineRule="exact"/>
        <w:ind w:firstLine="480" w:firstLineChars="200"/>
        <w:rPr>
          <w:rFonts w:ascii="仿宋" w:hAnsi="仿宋" w:eastAsia="仿宋" w:cs="仿宋"/>
          <w:sz w:val="24"/>
        </w:rPr>
      </w:pPr>
      <w:r>
        <w:rPr>
          <w:rFonts w:hint="eastAsia" w:ascii="仿宋" w:hAnsi="仿宋" w:eastAsia="仿宋" w:cs="仿宋"/>
          <w:sz w:val="24"/>
        </w:rPr>
        <w:t>1.1.2 成交通知书；</w:t>
      </w:r>
    </w:p>
    <w:p w14:paraId="3CB55421">
      <w:pPr>
        <w:spacing w:line="400" w:lineRule="exact"/>
        <w:ind w:firstLine="480" w:firstLineChars="200"/>
        <w:rPr>
          <w:rFonts w:ascii="仿宋" w:hAnsi="仿宋" w:eastAsia="仿宋" w:cs="仿宋"/>
          <w:sz w:val="24"/>
        </w:rPr>
      </w:pPr>
      <w:r>
        <w:rPr>
          <w:rFonts w:hint="eastAsia" w:ascii="仿宋" w:hAnsi="仿宋" w:eastAsia="仿宋" w:cs="仿宋"/>
          <w:sz w:val="24"/>
        </w:rPr>
        <w:t>1.1.3 磋商文件（含澄清或者说明文件）；</w:t>
      </w:r>
    </w:p>
    <w:p w14:paraId="190246B4">
      <w:pPr>
        <w:spacing w:line="400" w:lineRule="exact"/>
        <w:ind w:firstLine="480" w:firstLineChars="200"/>
        <w:rPr>
          <w:rFonts w:ascii="仿宋" w:hAnsi="仿宋" w:eastAsia="仿宋" w:cs="仿宋"/>
          <w:sz w:val="24"/>
        </w:rPr>
      </w:pPr>
      <w:r>
        <w:rPr>
          <w:rFonts w:hint="eastAsia" w:ascii="仿宋" w:hAnsi="仿宋" w:eastAsia="仿宋" w:cs="仿宋"/>
          <w:sz w:val="24"/>
        </w:rPr>
        <w:t>1.1.4 磋商文件（含澄清或者修改文件）；</w:t>
      </w:r>
    </w:p>
    <w:p w14:paraId="2347D0DE">
      <w:pPr>
        <w:spacing w:line="40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14:paraId="63446973">
      <w:pPr>
        <w:spacing w:line="400" w:lineRule="exact"/>
        <w:ind w:firstLine="482" w:firstLineChars="200"/>
        <w:outlineLvl w:val="1"/>
        <w:rPr>
          <w:rFonts w:ascii="仿宋" w:hAnsi="仿宋" w:eastAsia="仿宋" w:cs="仿宋"/>
          <w:b/>
          <w:sz w:val="24"/>
        </w:rPr>
      </w:pPr>
      <w:bookmarkStart w:id="509" w:name="_Toc1090"/>
      <w:bookmarkStart w:id="510" w:name="_Toc15104"/>
      <w:bookmarkStart w:id="511" w:name="_Toc22185"/>
      <w:bookmarkStart w:id="512" w:name="_Toc24493"/>
      <w:bookmarkStart w:id="513" w:name="_Toc6313"/>
      <w:bookmarkStart w:id="514" w:name="_Toc6311"/>
      <w:bookmarkStart w:id="515" w:name="_Toc23275"/>
      <w:bookmarkStart w:id="516" w:name="_Toc6773"/>
      <w:bookmarkStart w:id="517" w:name="_Toc7878"/>
      <w:bookmarkStart w:id="518" w:name="_Toc538"/>
      <w:bookmarkStart w:id="519" w:name="_Toc27911"/>
      <w:bookmarkStart w:id="520" w:name="_Toc29036"/>
      <w:bookmarkStart w:id="521" w:name="_Toc2918"/>
      <w:bookmarkStart w:id="522" w:name="_Toc18571"/>
      <w:bookmarkStart w:id="523" w:name="_Toc31498"/>
      <w:bookmarkStart w:id="524" w:name="_Toc15369"/>
      <w:bookmarkStart w:id="525" w:name="_Toc18585"/>
      <w:r>
        <w:rPr>
          <w:rFonts w:hint="eastAsia" w:ascii="仿宋" w:hAnsi="仿宋" w:eastAsia="仿宋" w:cs="仿宋"/>
          <w:b/>
          <w:sz w:val="24"/>
        </w:rPr>
        <w:t>1.2 标的</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7E9DE293">
      <w:pPr>
        <w:spacing w:line="400" w:lineRule="exact"/>
        <w:ind w:firstLine="480" w:firstLineChars="200"/>
        <w:rPr>
          <w:rFonts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w:t>
      </w:r>
      <w:r>
        <w:rPr>
          <w:rFonts w:hint="eastAsia" w:ascii="仿宋" w:hAnsi="仿宋" w:eastAsia="仿宋" w:cs="仿宋"/>
          <w:sz w:val="24"/>
        </w:rPr>
        <w:t>；</w:t>
      </w:r>
    </w:p>
    <w:p w14:paraId="36612902">
      <w:pPr>
        <w:spacing w:line="400" w:lineRule="exact"/>
        <w:ind w:firstLine="480" w:firstLineChars="200"/>
        <w:rPr>
          <w:rFonts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 xml:space="preserve">                                                </w:t>
      </w:r>
      <w:r>
        <w:rPr>
          <w:rFonts w:hint="eastAsia" w:ascii="仿宋" w:hAnsi="仿宋" w:eastAsia="仿宋" w:cs="仿宋"/>
          <w:sz w:val="24"/>
        </w:rPr>
        <w:t>；</w:t>
      </w:r>
    </w:p>
    <w:p w14:paraId="2A9E9BE0">
      <w:pPr>
        <w:spacing w:line="400" w:lineRule="exact"/>
        <w:ind w:firstLine="480" w:firstLineChars="200"/>
        <w:rPr>
          <w:rFonts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 xml:space="preserve">　　　　　　　　　                      　      </w:t>
      </w:r>
      <w:r>
        <w:rPr>
          <w:rFonts w:hint="eastAsia" w:ascii="仿宋" w:hAnsi="仿宋" w:eastAsia="仿宋" w:cs="仿宋"/>
          <w:sz w:val="24"/>
        </w:rPr>
        <w:t>。</w:t>
      </w:r>
    </w:p>
    <w:p w14:paraId="521CB46C">
      <w:pPr>
        <w:spacing w:line="400" w:lineRule="exact"/>
        <w:ind w:firstLine="482" w:firstLineChars="200"/>
        <w:outlineLvl w:val="1"/>
        <w:rPr>
          <w:rFonts w:ascii="仿宋" w:hAnsi="仿宋" w:eastAsia="仿宋" w:cs="仿宋"/>
          <w:b/>
          <w:sz w:val="24"/>
        </w:rPr>
      </w:pPr>
      <w:bookmarkStart w:id="526" w:name="_Toc19129"/>
      <w:bookmarkStart w:id="527" w:name="_Toc13685"/>
      <w:bookmarkStart w:id="528" w:name="_Toc13512"/>
      <w:bookmarkStart w:id="529" w:name="_Toc23906"/>
      <w:bookmarkStart w:id="530" w:name="_Toc32314"/>
      <w:bookmarkStart w:id="531" w:name="_Toc4932"/>
      <w:bookmarkStart w:id="532" w:name="_Toc4929"/>
      <w:bookmarkStart w:id="533" w:name="_Toc13554"/>
      <w:bookmarkStart w:id="534" w:name="_Toc5635"/>
      <w:bookmarkStart w:id="535" w:name="_Toc23026"/>
      <w:bookmarkStart w:id="536" w:name="_Toc10671"/>
      <w:bookmarkStart w:id="537" w:name="_Toc2888"/>
      <w:bookmarkStart w:id="538" w:name="_Toc27077"/>
      <w:bookmarkStart w:id="539" w:name="_Toc1386"/>
      <w:bookmarkStart w:id="540" w:name="_Toc21124"/>
      <w:bookmarkStart w:id="541" w:name="_Toc17541"/>
      <w:bookmarkStart w:id="542" w:name="_Toc13918"/>
      <w:r>
        <w:rPr>
          <w:rFonts w:hint="eastAsia" w:ascii="仿宋" w:hAnsi="仿宋" w:eastAsia="仿宋" w:cs="仿宋"/>
          <w:b/>
          <w:sz w:val="24"/>
        </w:rPr>
        <w:t>1.3 价款</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2C06822">
      <w:pPr>
        <w:spacing w:line="40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267624B4">
      <w:pPr>
        <w:spacing w:line="400" w:lineRule="exact"/>
        <w:ind w:firstLine="480" w:firstLineChars="200"/>
        <w:rPr>
          <w:rFonts w:ascii="仿宋" w:hAnsi="仿宋" w:eastAsia="仿宋" w:cs="仿宋"/>
          <w:sz w:val="24"/>
          <w:u w:val="single"/>
        </w:rPr>
      </w:pPr>
      <w:r>
        <w:rPr>
          <w:rFonts w:hint="eastAsia" w:ascii="仿宋" w:hAnsi="仿宋" w:eastAsia="仿宋" w:cs="仿宋"/>
          <w:sz w:val="24"/>
        </w:rPr>
        <w:t>分项价格：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80A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A17CE9B">
            <w:pPr>
              <w:pStyle w:val="73"/>
              <w:keepNext w:val="0"/>
              <w:keepLines w:val="0"/>
              <w:suppressLineNumbers w:val="0"/>
              <w:spacing w:before="0" w:beforeAutospacing="0" w:after="0" w:afterAutospacing="0" w:line="4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3402" w:type="dxa"/>
            <w:vAlign w:val="center"/>
          </w:tcPr>
          <w:p w14:paraId="7EBA5A22">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r>
              <w:rPr>
                <w:rFonts w:hint="eastAsia" w:ascii="仿宋" w:hAnsi="仿宋" w:eastAsia="仿宋" w:cs="仿宋"/>
                <w:kern w:val="2"/>
                <w:sz w:val="24"/>
                <w:szCs w:val="24"/>
              </w:rPr>
              <w:t>分项名称</w:t>
            </w:r>
          </w:p>
        </w:tc>
        <w:tc>
          <w:tcPr>
            <w:tcW w:w="2552" w:type="dxa"/>
            <w:vAlign w:val="center"/>
          </w:tcPr>
          <w:p w14:paraId="1C6A3CDA">
            <w:pPr>
              <w:pStyle w:val="73"/>
              <w:keepNext w:val="0"/>
              <w:keepLines w:val="0"/>
              <w:suppressLineNumbers w:val="0"/>
              <w:spacing w:before="0" w:beforeAutospacing="0" w:after="0" w:afterAutospacing="0" w:line="4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rPr>
              <w:t>分项价格</w:t>
            </w:r>
          </w:p>
        </w:tc>
      </w:tr>
      <w:tr w14:paraId="6400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4CDA285">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3402" w:type="dxa"/>
            <w:vAlign w:val="center"/>
          </w:tcPr>
          <w:p w14:paraId="0C6C9AA1">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2552" w:type="dxa"/>
            <w:vAlign w:val="center"/>
          </w:tcPr>
          <w:p w14:paraId="652F3FAC">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r>
      <w:tr w14:paraId="4774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13EB8B">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3402" w:type="dxa"/>
            <w:vAlign w:val="center"/>
          </w:tcPr>
          <w:p w14:paraId="7BE4CA0F">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2552" w:type="dxa"/>
            <w:vAlign w:val="center"/>
          </w:tcPr>
          <w:p w14:paraId="4BD61E7A">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r>
      <w:tr w14:paraId="3ED1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1E280A4">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3402" w:type="dxa"/>
            <w:vAlign w:val="center"/>
          </w:tcPr>
          <w:p w14:paraId="6D8BF807">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2552" w:type="dxa"/>
            <w:vAlign w:val="center"/>
          </w:tcPr>
          <w:p w14:paraId="30592A59">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r>
      <w:tr w14:paraId="1299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12F2C11">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3402" w:type="dxa"/>
            <w:vAlign w:val="center"/>
          </w:tcPr>
          <w:p w14:paraId="424BEDCB">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c>
          <w:tcPr>
            <w:tcW w:w="2552" w:type="dxa"/>
            <w:vAlign w:val="center"/>
          </w:tcPr>
          <w:p w14:paraId="4A9DC5D2">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r>
      <w:tr w14:paraId="3F50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879B506">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r>
              <w:rPr>
                <w:rFonts w:hint="eastAsia" w:ascii="仿宋" w:hAnsi="仿宋" w:eastAsia="仿宋" w:cs="仿宋"/>
                <w:kern w:val="2"/>
                <w:sz w:val="24"/>
                <w:szCs w:val="24"/>
              </w:rPr>
              <w:t>总价</w:t>
            </w:r>
          </w:p>
        </w:tc>
        <w:tc>
          <w:tcPr>
            <w:tcW w:w="2552" w:type="dxa"/>
            <w:vAlign w:val="center"/>
          </w:tcPr>
          <w:p w14:paraId="796F58E5">
            <w:pPr>
              <w:pStyle w:val="73"/>
              <w:keepNext w:val="0"/>
              <w:keepLines w:val="0"/>
              <w:suppressLineNumbers w:val="0"/>
              <w:spacing w:before="0" w:beforeAutospacing="0" w:after="0" w:afterAutospacing="0" w:line="400" w:lineRule="exact"/>
              <w:ind w:left="0" w:right="0" w:firstLine="200"/>
              <w:jc w:val="center"/>
              <w:rPr>
                <w:rFonts w:ascii="仿宋" w:hAnsi="仿宋" w:eastAsia="仿宋" w:cs="仿宋"/>
                <w:kern w:val="2"/>
                <w:sz w:val="24"/>
                <w:szCs w:val="24"/>
              </w:rPr>
            </w:pPr>
          </w:p>
        </w:tc>
      </w:tr>
    </w:tbl>
    <w:p w14:paraId="085F1680">
      <w:pPr>
        <w:spacing w:line="400" w:lineRule="exact"/>
        <w:ind w:firstLine="482" w:firstLineChars="200"/>
        <w:outlineLvl w:val="1"/>
        <w:rPr>
          <w:rFonts w:ascii="仿宋" w:hAnsi="仿宋" w:eastAsia="仿宋" w:cs="仿宋"/>
          <w:b/>
          <w:sz w:val="24"/>
        </w:rPr>
      </w:pPr>
      <w:bookmarkStart w:id="543" w:name="_Toc7832"/>
      <w:bookmarkStart w:id="544" w:name="_Toc26916"/>
      <w:bookmarkStart w:id="545" w:name="_Toc32305"/>
      <w:bookmarkStart w:id="546" w:name="_Toc21059"/>
      <w:bookmarkStart w:id="547" w:name="_Toc23005"/>
      <w:bookmarkStart w:id="548" w:name="_Toc19221"/>
      <w:bookmarkStart w:id="549" w:name="_Toc30506"/>
      <w:bookmarkStart w:id="550" w:name="_Toc23173"/>
      <w:bookmarkStart w:id="551" w:name="_Toc30158"/>
      <w:bookmarkStart w:id="552" w:name="_Toc25910"/>
      <w:bookmarkStart w:id="553" w:name="_Toc8041"/>
      <w:bookmarkStart w:id="554" w:name="_Toc17855"/>
      <w:bookmarkStart w:id="555" w:name="_Toc6998"/>
      <w:bookmarkStart w:id="556" w:name="_Toc19143"/>
      <w:bookmarkStart w:id="557" w:name="_Toc3654"/>
      <w:bookmarkStart w:id="558" w:name="_Toc14993"/>
      <w:bookmarkStart w:id="559" w:name="_Toc9313"/>
      <w:r>
        <w:rPr>
          <w:rFonts w:hint="eastAsia" w:ascii="仿宋" w:hAnsi="仿宋" w:eastAsia="仿宋" w:cs="仿宋"/>
          <w:b/>
          <w:sz w:val="24"/>
        </w:rPr>
        <w:t>1.4 付款方式和发票开具方式</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40349A4">
      <w:pPr>
        <w:spacing w:line="400" w:lineRule="exact"/>
        <w:ind w:firstLine="480" w:firstLineChars="200"/>
        <w:rPr>
          <w:rFonts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 xml:space="preserve">                                                </w:t>
      </w:r>
      <w:r>
        <w:rPr>
          <w:rFonts w:hint="eastAsia" w:ascii="仿宋" w:hAnsi="仿宋" w:eastAsia="仿宋" w:cs="仿宋"/>
          <w:sz w:val="24"/>
        </w:rPr>
        <w:t>；</w:t>
      </w:r>
    </w:p>
    <w:p w14:paraId="660591D7">
      <w:pPr>
        <w:spacing w:line="400" w:lineRule="exact"/>
        <w:ind w:firstLine="480" w:firstLineChars="200"/>
        <w:rPr>
          <w:rFonts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14:paraId="0CD3E89E">
      <w:pPr>
        <w:spacing w:line="400" w:lineRule="exact"/>
        <w:ind w:firstLine="482" w:firstLineChars="200"/>
        <w:outlineLvl w:val="1"/>
        <w:rPr>
          <w:rFonts w:ascii="仿宋" w:hAnsi="仿宋" w:eastAsia="仿宋" w:cs="仿宋"/>
          <w:b/>
          <w:sz w:val="24"/>
        </w:rPr>
      </w:pPr>
      <w:bookmarkStart w:id="560" w:name="_Toc3625"/>
      <w:bookmarkStart w:id="561" w:name="_Toc23903"/>
      <w:bookmarkStart w:id="562" w:name="_Toc28212"/>
      <w:bookmarkStart w:id="563" w:name="_Toc21606"/>
      <w:bookmarkStart w:id="564" w:name="_Toc7461"/>
      <w:bookmarkStart w:id="565" w:name="_Toc32135"/>
      <w:bookmarkStart w:id="566" w:name="_Toc11108"/>
      <w:bookmarkStart w:id="567" w:name="_Toc31421"/>
      <w:bookmarkStart w:id="568" w:name="_Toc17889"/>
      <w:bookmarkStart w:id="569" w:name="_Toc8772"/>
      <w:bookmarkStart w:id="570" w:name="_Toc4301"/>
      <w:bookmarkStart w:id="571" w:name="_Toc3251"/>
      <w:bookmarkStart w:id="572" w:name="_Toc4760"/>
      <w:bookmarkStart w:id="573" w:name="_Toc1334"/>
      <w:bookmarkStart w:id="574" w:name="_Toc3007"/>
      <w:bookmarkStart w:id="575" w:name="_Toc24233"/>
      <w:bookmarkStart w:id="576" w:name="_Toc12261"/>
      <w:r>
        <w:rPr>
          <w:rFonts w:hint="eastAsia" w:ascii="仿宋" w:hAnsi="仿宋" w:eastAsia="仿宋" w:cs="仿宋"/>
          <w:b/>
          <w:sz w:val="24"/>
        </w:rPr>
        <w:t>1.5 履行期限、地点和方式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D14AC45">
      <w:pPr>
        <w:spacing w:line="400" w:lineRule="exact"/>
        <w:ind w:firstLine="480" w:firstLineChars="200"/>
        <w:rPr>
          <w:rFonts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w:t>
      </w:r>
      <w:r>
        <w:rPr>
          <w:rFonts w:hint="eastAsia" w:ascii="仿宋" w:hAnsi="仿宋" w:eastAsia="仿宋" w:cs="仿宋"/>
          <w:sz w:val="24"/>
        </w:rPr>
        <w:t>；</w:t>
      </w:r>
    </w:p>
    <w:p w14:paraId="58B1AA8A">
      <w:pPr>
        <w:spacing w:line="400" w:lineRule="exact"/>
        <w:ind w:firstLine="480" w:firstLineChars="200"/>
        <w:rPr>
          <w:rFonts w:ascii="仿宋" w:hAnsi="仿宋" w:eastAsia="仿宋" w:cs="仿宋"/>
          <w:sz w:val="24"/>
        </w:rPr>
      </w:pPr>
      <w:r>
        <w:rPr>
          <w:rFonts w:hint="eastAsia" w:ascii="仿宋" w:hAnsi="仿宋" w:eastAsia="仿宋" w:cs="仿宋"/>
          <w:sz w:val="24"/>
        </w:rPr>
        <w:t>1.5.2 履行地点：</w:t>
      </w:r>
      <w:r>
        <w:rPr>
          <w:rFonts w:hint="eastAsia" w:ascii="仿宋" w:hAnsi="仿宋" w:eastAsia="仿宋" w:cs="仿宋"/>
          <w:sz w:val="24"/>
          <w:u w:val="single"/>
        </w:rPr>
        <w:t xml:space="preserve">                                                </w:t>
      </w:r>
      <w:r>
        <w:rPr>
          <w:rFonts w:hint="eastAsia" w:ascii="仿宋" w:hAnsi="仿宋" w:eastAsia="仿宋" w:cs="仿宋"/>
          <w:sz w:val="24"/>
        </w:rPr>
        <w:t>；</w:t>
      </w:r>
    </w:p>
    <w:p w14:paraId="52D182A8">
      <w:pPr>
        <w:spacing w:line="400" w:lineRule="exact"/>
        <w:ind w:firstLine="480" w:firstLineChars="200"/>
        <w:rPr>
          <w:rFonts w:ascii="仿宋" w:hAnsi="仿宋" w:eastAsia="仿宋" w:cs="仿宋"/>
          <w:sz w:val="24"/>
        </w:rPr>
      </w:pPr>
      <w:r>
        <w:rPr>
          <w:rFonts w:hint="eastAsia" w:ascii="仿宋" w:hAnsi="仿宋" w:eastAsia="仿宋" w:cs="仿宋"/>
          <w:sz w:val="24"/>
        </w:rPr>
        <w:t>1.5.3 履行方式：</w:t>
      </w:r>
      <w:r>
        <w:rPr>
          <w:rFonts w:hint="eastAsia" w:ascii="仿宋" w:hAnsi="仿宋" w:eastAsia="仿宋" w:cs="仿宋"/>
          <w:sz w:val="24"/>
          <w:u w:val="single"/>
        </w:rPr>
        <w:t xml:space="preserve">　　　　　　　　　                      　      </w:t>
      </w:r>
      <w:r>
        <w:rPr>
          <w:rFonts w:hint="eastAsia" w:ascii="仿宋" w:hAnsi="仿宋" w:eastAsia="仿宋" w:cs="仿宋"/>
          <w:sz w:val="24"/>
        </w:rPr>
        <w:t>。</w:t>
      </w:r>
    </w:p>
    <w:p w14:paraId="0A8E9398">
      <w:pPr>
        <w:spacing w:line="400" w:lineRule="exact"/>
        <w:ind w:firstLine="482" w:firstLineChars="200"/>
        <w:outlineLvl w:val="1"/>
        <w:rPr>
          <w:rFonts w:ascii="仿宋" w:hAnsi="仿宋" w:eastAsia="仿宋" w:cs="仿宋"/>
          <w:sz w:val="24"/>
          <w:u w:val="single"/>
        </w:rPr>
      </w:pPr>
      <w:bookmarkStart w:id="577" w:name="_Toc8586"/>
      <w:bookmarkStart w:id="578" w:name="_Toc3079"/>
      <w:bookmarkStart w:id="579" w:name="_Toc5863"/>
      <w:bookmarkStart w:id="580" w:name="_Toc16708"/>
      <w:bookmarkStart w:id="581" w:name="_Toc27990"/>
      <w:bookmarkStart w:id="582" w:name="_Toc10490"/>
      <w:bookmarkStart w:id="583" w:name="_Toc5418"/>
      <w:bookmarkStart w:id="584" w:name="_Toc12514"/>
      <w:bookmarkStart w:id="585" w:name="_Toc18474"/>
      <w:bookmarkStart w:id="586" w:name="_Toc17443"/>
      <w:bookmarkStart w:id="587" w:name="_Toc2375"/>
      <w:bookmarkStart w:id="588" w:name="_Toc5698"/>
      <w:bookmarkStart w:id="589" w:name="_Toc32222"/>
      <w:bookmarkStart w:id="590" w:name="_Toc3290"/>
      <w:bookmarkStart w:id="591" w:name="_Toc18326"/>
      <w:bookmarkStart w:id="592" w:name="_Toc24662"/>
      <w:r>
        <w:rPr>
          <w:rFonts w:hint="eastAsia" w:ascii="仿宋" w:hAnsi="仿宋" w:eastAsia="仿宋" w:cs="仿宋"/>
          <w:b/>
          <w:sz w:val="24"/>
        </w:rPr>
        <w:t>1.6 违约责任</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7A4AB55">
      <w:pPr>
        <w:spacing w:line="40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14:paraId="5DD3F55F">
      <w:pPr>
        <w:spacing w:line="40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14:paraId="6D078AF7">
      <w:pPr>
        <w:spacing w:line="40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967FE90">
      <w:pPr>
        <w:spacing w:line="40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9A55271">
      <w:pPr>
        <w:spacing w:line="40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EF5D64E">
      <w:pPr>
        <w:spacing w:line="40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如果出现政府采购监督管理部门在处理投诉事项期间，书面通知甲方暂停采购活动的情形，或者询问或质疑事项可能影响成交结果的，导致甲方中止履行合同的情形，均不视为甲方违约。</w:t>
      </w:r>
    </w:p>
    <w:p w14:paraId="2ABB17FE">
      <w:pPr>
        <w:spacing w:line="400" w:lineRule="exact"/>
        <w:ind w:firstLine="482" w:firstLineChars="200"/>
        <w:outlineLvl w:val="1"/>
        <w:rPr>
          <w:rFonts w:ascii="仿宋" w:hAnsi="仿宋" w:eastAsia="仿宋" w:cs="仿宋"/>
          <w:b/>
          <w:sz w:val="24"/>
        </w:rPr>
      </w:pPr>
      <w:bookmarkStart w:id="593" w:name="_Toc32454"/>
      <w:bookmarkStart w:id="594" w:name="_Toc18683"/>
      <w:bookmarkStart w:id="595" w:name="_Toc9497"/>
      <w:bookmarkStart w:id="596" w:name="_Toc14940"/>
      <w:bookmarkStart w:id="597" w:name="_Toc4563"/>
      <w:bookmarkStart w:id="598" w:name="_Toc13358"/>
      <w:bookmarkStart w:id="599" w:name="_Toc26807"/>
      <w:bookmarkStart w:id="600" w:name="_Toc30329"/>
      <w:bookmarkStart w:id="601" w:name="_Toc3964"/>
      <w:bookmarkStart w:id="602" w:name="_Toc5792"/>
      <w:bookmarkStart w:id="603" w:name="_Toc21818"/>
      <w:bookmarkStart w:id="604" w:name="_Toc4448"/>
      <w:bookmarkStart w:id="605" w:name="_Toc13634"/>
      <w:bookmarkStart w:id="606" w:name="_Toc12954"/>
      <w:bookmarkStart w:id="607" w:name="_Toc9782"/>
      <w:bookmarkStart w:id="608" w:name="_Toc29659"/>
      <w:bookmarkStart w:id="609" w:name="_Toc23069"/>
      <w:r>
        <w:rPr>
          <w:rFonts w:hint="eastAsia" w:ascii="仿宋" w:hAnsi="仿宋" w:eastAsia="仿宋" w:cs="仿宋"/>
          <w:b/>
          <w:sz w:val="24"/>
        </w:rPr>
        <w:t>1.7 合同争议的解决</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142F6D38">
      <w:pPr>
        <w:spacing w:line="40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14:paraId="45B66253">
      <w:pPr>
        <w:spacing w:line="40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14:paraId="2F61722C">
      <w:pPr>
        <w:spacing w:line="40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14:paraId="69579B8E">
      <w:pPr>
        <w:spacing w:line="400" w:lineRule="exact"/>
        <w:ind w:firstLine="482" w:firstLineChars="200"/>
        <w:outlineLvl w:val="1"/>
        <w:rPr>
          <w:rFonts w:ascii="仿宋" w:hAnsi="仿宋" w:eastAsia="仿宋" w:cs="仿宋"/>
          <w:b/>
          <w:sz w:val="24"/>
        </w:rPr>
      </w:pPr>
      <w:bookmarkStart w:id="610" w:name="_Toc15827"/>
      <w:bookmarkStart w:id="611" w:name="_Toc13173"/>
      <w:bookmarkStart w:id="612" w:name="_Toc26227"/>
      <w:bookmarkStart w:id="613" w:name="_Toc1048"/>
      <w:bookmarkStart w:id="614" w:name="_Toc32664"/>
      <w:bookmarkStart w:id="615" w:name="_Toc20743"/>
      <w:bookmarkStart w:id="616" w:name="_Toc16417"/>
      <w:bookmarkStart w:id="617" w:name="_Toc17508"/>
      <w:bookmarkStart w:id="618" w:name="_Toc20156"/>
      <w:bookmarkStart w:id="619" w:name="_Toc12273"/>
      <w:bookmarkStart w:id="620" w:name="_Toc23784"/>
      <w:bookmarkStart w:id="621" w:name="_Toc13186"/>
      <w:bookmarkStart w:id="622" w:name="_Toc6048"/>
      <w:bookmarkStart w:id="623" w:name="_Toc1472"/>
      <w:bookmarkStart w:id="624" w:name="_Toc6707"/>
      <w:bookmarkStart w:id="625" w:name="_Toc1946"/>
      <w:bookmarkStart w:id="626" w:name="_Toc18071"/>
      <w:r>
        <w:rPr>
          <w:rFonts w:hint="eastAsia" w:ascii="仿宋" w:hAnsi="仿宋" w:eastAsia="仿宋" w:cs="仿宋"/>
          <w:b/>
          <w:sz w:val="24"/>
        </w:rPr>
        <w:t>1.8 合同生效</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B7AA15D">
      <w:pPr>
        <w:spacing w:line="400" w:lineRule="exact"/>
        <w:ind w:firstLine="480" w:firstLineChars="200"/>
        <w:rPr>
          <w:rFonts w:ascii="仿宋" w:hAnsi="仿宋" w:eastAsia="仿宋" w:cs="仿宋"/>
          <w:b/>
          <w:sz w:val="24"/>
        </w:rPr>
      </w:pPr>
      <w:r>
        <w:rPr>
          <w:rFonts w:hint="eastAsia" w:ascii="仿宋" w:hAnsi="仿宋" w:eastAsia="仿宋" w:cs="仿宋"/>
          <w:sz w:val="24"/>
        </w:rPr>
        <w:t>本合同自双方当事人盖章或者签字时生效。</w:t>
      </w:r>
    </w:p>
    <w:p w14:paraId="3FA30D25">
      <w:pPr>
        <w:autoSpaceDE w:val="0"/>
        <w:autoSpaceDN w:val="0"/>
        <w:adjustRightInd w:val="0"/>
        <w:spacing w:line="400" w:lineRule="exact"/>
        <w:rPr>
          <w:rFonts w:ascii="仿宋" w:hAnsi="仿宋" w:eastAsia="仿宋" w:cs="仿宋"/>
          <w:sz w:val="24"/>
          <w:lang w:val="zh-CN"/>
        </w:rPr>
      </w:pPr>
    </w:p>
    <w:p w14:paraId="23ED3BF0">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14:paraId="74DC70D6">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14:paraId="76A556A2">
      <w:pPr>
        <w:autoSpaceDE w:val="0"/>
        <w:autoSpaceDN w:val="0"/>
        <w:adjustRightInd w:val="0"/>
        <w:spacing w:line="400" w:lineRule="exact"/>
        <w:rPr>
          <w:rFonts w:ascii="仿宋" w:hAnsi="仿宋" w:eastAsia="仿宋" w:cs="仿宋"/>
          <w:sz w:val="24"/>
          <w:lang w:val="zh-CN"/>
        </w:rPr>
      </w:pPr>
    </w:p>
    <w:p w14:paraId="6B7C94E5">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住所：                                   住所：</w:t>
      </w:r>
    </w:p>
    <w:p w14:paraId="11C3FBCF">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法定代表人或                             法定代表人</w:t>
      </w:r>
    </w:p>
    <w:p w14:paraId="20781D33">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 xml:space="preserve">授权代表（签字）：                        或授权代表（签字）： </w:t>
      </w:r>
    </w:p>
    <w:p w14:paraId="208FC432">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联系人：                                 联系人：</w:t>
      </w:r>
    </w:p>
    <w:p w14:paraId="68A45F90">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14:paraId="3F3B10ED">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邮政编码：                               邮政编码：</w:t>
      </w:r>
    </w:p>
    <w:p w14:paraId="434FEB15">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 xml:space="preserve">电话：                                    电话： </w:t>
      </w:r>
    </w:p>
    <w:p w14:paraId="05F9C17F">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传真：                                    传真：</w:t>
      </w:r>
    </w:p>
    <w:p w14:paraId="722B3033">
      <w:pPr>
        <w:autoSpaceDE w:val="0"/>
        <w:autoSpaceDN w:val="0"/>
        <w:adjustRightInd w:val="0"/>
        <w:spacing w:line="400" w:lineRule="exact"/>
        <w:rPr>
          <w:rFonts w:ascii="仿宋" w:hAnsi="仿宋" w:eastAsia="仿宋" w:cs="仿宋"/>
          <w:sz w:val="24"/>
        </w:rPr>
      </w:pPr>
      <w:r>
        <w:rPr>
          <w:rFonts w:hint="eastAsia" w:ascii="仿宋" w:hAnsi="仿宋" w:eastAsia="仿宋" w:cs="仿宋"/>
          <w:sz w:val="24"/>
          <w:lang w:val="zh-CN"/>
        </w:rPr>
        <w:t>电子邮箱：                               电子邮箱：</w:t>
      </w:r>
    </w:p>
    <w:p w14:paraId="5271CD91">
      <w:pPr>
        <w:autoSpaceDE w:val="0"/>
        <w:autoSpaceDN w:val="0"/>
        <w:adjustRightInd w:val="0"/>
        <w:spacing w:line="400" w:lineRule="exact"/>
        <w:rPr>
          <w:rFonts w:ascii="仿宋" w:hAnsi="仿宋" w:eastAsia="仿宋" w:cs="仿宋"/>
          <w:sz w:val="24"/>
        </w:rPr>
      </w:pPr>
      <w:r>
        <w:rPr>
          <w:rFonts w:hint="eastAsia" w:ascii="仿宋" w:hAnsi="仿宋" w:eastAsia="仿宋" w:cs="仿宋"/>
          <w:sz w:val="24"/>
        </w:rPr>
        <w:t xml:space="preserve">开户银行：                               开户银行： </w:t>
      </w:r>
    </w:p>
    <w:p w14:paraId="29A4BD15">
      <w:pPr>
        <w:autoSpaceDE w:val="0"/>
        <w:autoSpaceDN w:val="0"/>
        <w:adjustRightInd w:val="0"/>
        <w:spacing w:line="400" w:lineRule="exact"/>
        <w:rPr>
          <w:rFonts w:ascii="仿宋" w:hAnsi="仿宋" w:eastAsia="仿宋" w:cs="仿宋"/>
          <w:sz w:val="24"/>
        </w:rPr>
      </w:pPr>
      <w:r>
        <w:rPr>
          <w:rFonts w:hint="eastAsia" w:ascii="仿宋" w:hAnsi="仿宋" w:eastAsia="仿宋" w:cs="仿宋"/>
          <w:sz w:val="24"/>
        </w:rPr>
        <w:t xml:space="preserve">开户名称：                               开户名称： </w:t>
      </w:r>
    </w:p>
    <w:p w14:paraId="3C842966">
      <w:pPr>
        <w:autoSpaceDE w:val="0"/>
        <w:autoSpaceDN w:val="0"/>
        <w:adjustRightInd w:val="0"/>
        <w:spacing w:line="40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14:paraId="484B4BFF">
      <w:pPr>
        <w:rPr>
          <w:rFonts w:ascii="仿宋" w:hAnsi="仿宋" w:eastAsia="仿宋" w:cs="仿宋"/>
          <w:sz w:val="24"/>
        </w:rPr>
      </w:pPr>
      <w:r>
        <w:rPr>
          <w:rFonts w:hint="eastAsia" w:ascii="仿宋" w:hAnsi="仿宋" w:eastAsia="仿宋" w:cs="仿宋"/>
          <w:sz w:val="24"/>
        </w:rPr>
        <w:br w:type="page"/>
      </w:r>
    </w:p>
    <w:p w14:paraId="151B4CCD">
      <w:pPr>
        <w:pStyle w:val="11"/>
      </w:pPr>
    </w:p>
    <w:p w14:paraId="407E006B">
      <w:pPr>
        <w:pStyle w:val="70"/>
        <w:spacing w:line="400" w:lineRule="exact"/>
        <w:ind w:firstLine="0"/>
        <w:jc w:val="center"/>
        <w:outlineLvl w:val="0"/>
        <w:rPr>
          <w:rFonts w:ascii="仿宋" w:hAnsi="仿宋" w:eastAsia="仿宋" w:cs="仿宋"/>
          <w:b/>
          <w:szCs w:val="24"/>
        </w:rPr>
      </w:pPr>
      <w:bookmarkStart w:id="627" w:name="_Toc331685783"/>
      <w:bookmarkStart w:id="628" w:name="_Toc24240"/>
      <w:bookmarkStart w:id="629" w:name="_Toc9527"/>
      <w:bookmarkStart w:id="630" w:name="_Toc30872"/>
      <w:r>
        <w:rPr>
          <w:rFonts w:hint="eastAsia" w:ascii="仿宋" w:hAnsi="仿宋" w:eastAsia="仿宋" w:cs="仿宋"/>
          <w:b/>
          <w:szCs w:val="24"/>
        </w:rPr>
        <w:t>第二部分 合同一般条款</w:t>
      </w:r>
      <w:bookmarkEnd w:id="627"/>
      <w:bookmarkEnd w:id="628"/>
      <w:bookmarkEnd w:id="629"/>
      <w:bookmarkEnd w:id="630"/>
    </w:p>
    <w:p w14:paraId="60DE69EA">
      <w:pPr>
        <w:spacing w:line="400" w:lineRule="exact"/>
        <w:ind w:firstLine="482" w:firstLineChars="200"/>
        <w:outlineLvl w:val="1"/>
        <w:rPr>
          <w:rFonts w:ascii="仿宋" w:hAnsi="仿宋" w:eastAsia="仿宋" w:cs="仿宋"/>
          <w:b/>
          <w:sz w:val="24"/>
        </w:rPr>
      </w:pPr>
      <w:bookmarkStart w:id="631" w:name="_Ref467379225"/>
      <w:bookmarkStart w:id="632" w:name="_Toc29024"/>
      <w:bookmarkStart w:id="633" w:name="_Ref467379094"/>
      <w:bookmarkStart w:id="634" w:name="_Toc19680"/>
      <w:bookmarkStart w:id="635" w:name="_Ref467379109"/>
      <w:bookmarkStart w:id="636" w:name="_Toc29074"/>
      <w:bookmarkStart w:id="637" w:name="_Toc14021"/>
      <w:bookmarkStart w:id="638" w:name="_Toc5228"/>
      <w:bookmarkStart w:id="639" w:name="_Toc13941"/>
      <w:bookmarkStart w:id="640" w:name="_Toc25079"/>
      <w:bookmarkStart w:id="641" w:name="_Toc4990"/>
      <w:bookmarkStart w:id="642" w:name="_Toc17704"/>
      <w:bookmarkStart w:id="643" w:name="_Toc487900349"/>
      <w:bookmarkStart w:id="644" w:name="_Toc16934"/>
      <w:bookmarkStart w:id="645" w:name="_Ref467379195"/>
      <w:bookmarkStart w:id="646" w:name="_Toc14541"/>
      <w:bookmarkStart w:id="647" w:name="_Ref467378404"/>
      <w:bookmarkStart w:id="648" w:name="_Toc10827"/>
      <w:bookmarkStart w:id="649" w:name="_Toc28701"/>
      <w:bookmarkStart w:id="650" w:name="_Toc5117"/>
      <w:bookmarkStart w:id="651" w:name="_Ref467379101"/>
      <w:bookmarkStart w:id="652" w:name="_Toc279701240"/>
      <w:bookmarkStart w:id="653" w:name="_Ref467379214"/>
      <w:bookmarkStart w:id="654" w:name="_Ref467378463"/>
      <w:bookmarkStart w:id="655" w:name="_Ref467378499"/>
      <w:bookmarkStart w:id="656" w:name="_Toc9585"/>
      <w:bookmarkStart w:id="657" w:name="_Toc31297"/>
      <w:bookmarkStart w:id="658" w:name="_Toc21058"/>
      <w:bookmarkStart w:id="659" w:name="_Toc259093669"/>
      <w:bookmarkStart w:id="660" w:name="_Ref467379205"/>
      <w:r>
        <w:rPr>
          <w:rFonts w:hint="eastAsia" w:ascii="仿宋" w:hAnsi="仿宋" w:eastAsia="仿宋" w:cs="仿宋"/>
          <w:b/>
          <w:sz w:val="24"/>
        </w:rPr>
        <w:t>2.1 定义</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1EEFA7C2">
      <w:pPr>
        <w:spacing w:line="40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14:paraId="1282B915">
      <w:pPr>
        <w:spacing w:line="400" w:lineRule="exact"/>
        <w:ind w:firstLine="480" w:firstLineChars="200"/>
        <w:rPr>
          <w:rFonts w:ascii="仿宋" w:hAnsi="仿宋" w:eastAsia="仿宋" w:cs="仿宋"/>
          <w:sz w:val="24"/>
        </w:rPr>
      </w:pPr>
      <w:r>
        <w:rPr>
          <w:rFonts w:hint="eastAsia" w:ascii="仿宋" w:hAnsi="仿宋" w:eastAsia="仿宋" w:cs="仿宋"/>
          <w:sz w:val="24"/>
        </w:rPr>
        <w:t>2.1.1 “合同”系指采购人和成交供应商签订的载明双方当事人所达成的协议，并包括所有的附件、附录和构成合同的其他文件。</w:t>
      </w:r>
    </w:p>
    <w:p w14:paraId="31A4BF75">
      <w:pPr>
        <w:spacing w:line="400" w:lineRule="exact"/>
        <w:ind w:firstLine="480" w:firstLineChars="200"/>
        <w:rPr>
          <w:rFonts w:ascii="仿宋" w:hAnsi="仿宋" w:eastAsia="仿宋" w:cs="仿宋"/>
          <w:sz w:val="24"/>
        </w:rPr>
      </w:pPr>
      <w:r>
        <w:rPr>
          <w:rFonts w:hint="eastAsia" w:ascii="仿宋" w:hAnsi="仿宋" w:eastAsia="仿宋" w:cs="仿宋"/>
          <w:sz w:val="24"/>
        </w:rPr>
        <w:t>2.1.2 “合同价”系指根据合同约定，成交供应商在完全履行合同义务后，采购人应支付给成交供应商的价格。</w:t>
      </w:r>
    </w:p>
    <w:p w14:paraId="4048166C">
      <w:pPr>
        <w:spacing w:line="400" w:lineRule="exact"/>
        <w:ind w:firstLine="480" w:firstLineChars="200"/>
        <w:rPr>
          <w:rFonts w:ascii="仿宋" w:hAnsi="仿宋" w:eastAsia="仿宋" w:cs="仿宋"/>
          <w:sz w:val="24"/>
        </w:rPr>
      </w:pPr>
      <w:r>
        <w:rPr>
          <w:rFonts w:hint="eastAsia" w:ascii="仿宋" w:hAnsi="仿宋" w:eastAsia="仿宋" w:cs="仿宋"/>
          <w:sz w:val="24"/>
        </w:rPr>
        <w:t>2.1.3 “服务”系指成交供应商根据合同约定应向采购人履行的除货物和工程以外的其他政府采购对象，包括采购人自身需要的服务和向社会公众提供的公共服务。</w:t>
      </w:r>
    </w:p>
    <w:p w14:paraId="627C683E">
      <w:pPr>
        <w:spacing w:line="400" w:lineRule="exact"/>
        <w:ind w:firstLine="480" w:firstLineChars="200"/>
        <w:rPr>
          <w:rFonts w:ascii="仿宋" w:hAnsi="仿宋" w:eastAsia="仿宋" w:cs="仿宋"/>
          <w:sz w:val="24"/>
        </w:rPr>
      </w:pPr>
      <w:bookmarkStart w:id="661" w:name="_Ref467378840"/>
      <w:r>
        <w:rPr>
          <w:rFonts w:hint="eastAsia" w:ascii="仿宋" w:hAnsi="仿宋" w:eastAsia="仿宋" w:cs="仿宋"/>
          <w:sz w:val="24"/>
        </w:rPr>
        <w:t>2.1.4 “甲方”系指与成交供应商签署合同的采购人</w:t>
      </w:r>
      <w:bookmarkEnd w:id="661"/>
      <w:r>
        <w:rPr>
          <w:rFonts w:hint="eastAsia" w:ascii="仿宋" w:hAnsi="仿宋" w:eastAsia="仿宋" w:cs="仿宋"/>
          <w:sz w:val="24"/>
        </w:rPr>
        <w:t>；采购人委托采购代理机构代表其与乙方签订合同的，采购人的授权委托书作为合同附件。</w:t>
      </w:r>
    </w:p>
    <w:p w14:paraId="6280A227">
      <w:pPr>
        <w:spacing w:line="400" w:lineRule="exact"/>
        <w:ind w:firstLine="480" w:firstLineChars="200"/>
        <w:rPr>
          <w:rFonts w:ascii="仿宋" w:hAnsi="仿宋" w:eastAsia="仿宋" w:cs="仿宋"/>
          <w:sz w:val="24"/>
        </w:rPr>
      </w:pPr>
      <w:bookmarkStart w:id="662" w:name="_Ref467379400"/>
      <w:r>
        <w:rPr>
          <w:rFonts w:hint="eastAsia" w:ascii="仿宋" w:hAnsi="仿宋" w:eastAsia="仿宋" w:cs="仿宋"/>
          <w:sz w:val="24"/>
        </w:rPr>
        <w:t>2.1.5 “乙方”系指根据合同约定提供服务的成交供应商</w:t>
      </w:r>
      <w:bookmarkEnd w:id="662"/>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B0314">
      <w:pPr>
        <w:spacing w:line="400" w:lineRule="exact"/>
        <w:ind w:firstLine="480" w:firstLineChars="200"/>
        <w:rPr>
          <w:rFonts w:ascii="仿宋" w:hAnsi="仿宋" w:eastAsia="仿宋" w:cs="仿宋"/>
          <w:sz w:val="24"/>
        </w:rPr>
      </w:pPr>
      <w:bookmarkStart w:id="663" w:name="_Ref467379436"/>
      <w:r>
        <w:rPr>
          <w:rFonts w:hint="eastAsia" w:ascii="仿宋" w:hAnsi="仿宋" w:eastAsia="仿宋" w:cs="仿宋"/>
          <w:sz w:val="24"/>
        </w:rPr>
        <w:t>2.1.6 “现场”系指合同约定提供服务的地点。</w:t>
      </w:r>
      <w:bookmarkEnd w:id="663"/>
    </w:p>
    <w:p w14:paraId="5E54FAA3">
      <w:pPr>
        <w:spacing w:line="400" w:lineRule="exact"/>
        <w:ind w:firstLine="482" w:firstLineChars="200"/>
        <w:outlineLvl w:val="1"/>
        <w:rPr>
          <w:rFonts w:ascii="仿宋" w:hAnsi="仿宋" w:eastAsia="仿宋" w:cs="仿宋"/>
          <w:b/>
          <w:sz w:val="24"/>
        </w:rPr>
      </w:pPr>
      <w:bookmarkStart w:id="664" w:name="_Toc3769"/>
      <w:bookmarkStart w:id="665" w:name="_Toc23289"/>
      <w:bookmarkStart w:id="666" w:name="_Toc487900350"/>
      <w:bookmarkStart w:id="667" w:name="_Toc25041"/>
      <w:bookmarkStart w:id="668" w:name="_Toc15686"/>
      <w:bookmarkStart w:id="669" w:name="_Toc28811"/>
      <w:bookmarkStart w:id="670" w:name="_Toc19539"/>
      <w:bookmarkStart w:id="671" w:name="_Toc24501"/>
      <w:bookmarkStart w:id="672" w:name="_Toc31402"/>
      <w:bookmarkStart w:id="673" w:name="_Toc21068"/>
      <w:bookmarkStart w:id="674" w:name="_Toc259093670"/>
      <w:bookmarkStart w:id="675" w:name="_Toc25980"/>
      <w:bookmarkStart w:id="676" w:name="_Toc6001"/>
      <w:bookmarkStart w:id="677" w:name="_Toc7411"/>
      <w:bookmarkStart w:id="678" w:name="_Toc10249"/>
      <w:bookmarkStart w:id="679" w:name="_Toc8861"/>
      <w:bookmarkStart w:id="680" w:name="_Toc15954"/>
      <w:bookmarkStart w:id="681" w:name="_Toc22493"/>
      <w:bookmarkStart w:id="682" w:name="_Toc16752"/>
      <w:bookmarkStart w:id="683" w:name="_Toc279701241"/>
      <w:r>
        <w:rPr>
          <w:rFonts w:hint="eastAsia" w:ascii="仿宋" w:hAnsi="仿宋" w:eastAsia="仿宋" w:cs="仿宋"/>
          <w:b/>
          <w:sz w:val="24"/>
        </w:rPr>
        <w:t>2.2 技术规范</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CE32F61">
      <w:pPr>
        <w:spacing w:line="40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w:t>
      </w:r>
      <w:r>
        <w:rPr>
          <w:rFonts w:hint="eastAsia" w:ascii="仿宋" w:hAnsi="仿宋" w:eastAsia="仿宋" w:cs="仿宋"/>
          <w:sz w:val="24"/>
          <w:lang w:eastAsia="zh-CN"/>
        </w:rPr>
        <w:t>（</w:t>
      </w:r>
      <w:r>
        <w:rPr>
          <w:rFonts w:hint="eastAsia" w:ascii="仿宋" w:hAnsi="仿宋" w:eastAsia="仿宋" w:cs="仿宋"/>
          <w:sz w:val="24"/>
        </w:rPr>
        <w:t>如果有的话</w:t>
      </w:r>
      <w:r>
        <w:rPr>
          <w:rFonts w:hint="eastAsia" w:ascii="仿宋" w:hAnsi="仿宋" w:eastAsia="仿宋" w:cs="仿宋"/>
          <w:sz w:val="24"/>
          <w:lang w:eastAsia="zh-CN"/>
        </w:rPr>
        <w:t>）</w:t>
      </w:r>
      <w:r>
        <w:rPr>
          <w:rFonts w:hint="eastAsia" w:ascii="仿宋" w:hAnsi="仿宋" w:eastAsia="仿宋" w:cs="仿宋"/>
          <w:sz w:val="24"/>
        </w:rPr>
        <w:t>及其技术规范偏差表</w:t>
      </w:r>
      <w:r>
        <w:rPr>
          <w:rFonts w:hint="eastAsia" w:ascii="仿宋" w:hAnsi="仿宋" w:eastAsia="仿宋" w:cs="仿宋"/>
          <w:sz w:val="24"/>
          <w:lang w:eastAsia="zh-CN"/>
        </w:rPr>
        <w:t>（</w:t>
      </w:r>
      <w:r>
        <w:rPr>
          <w:rFonts w:hint="eastAsia" w:ascii="仿宋" w:hAnsi="仿宋" w:eastAsia="仿宋" w:cs="仿宋"/>
          <w:sz w:val="24"/>
        </w:rPr>
        <w:t>如果被甲方接受的话</w:t>
      </w:r>
      <w:r>
        <w:rPr>
          <w:rFonts w:hint="eastAsia" w:ascii="仿宋" w:hAnsi="仿宋" w:eastAsia="仿宋" w:cs="仿宋"/>
          <w:sz w:val="24"/>
          <w:lang w:eastAsia="zh-CN"/>
        </w:rPr>
        <w:t>）</w:t>
      </w:r>
      <w:r>
        <w:rPr>
          <w:rFonts w:hint="eastAsia" w:ascii="仿宋" w:hAnsi="仿宋" w:eastAsia="仿宋" w:cs="仿宋"/>
          <w:sz w:val="24"/>
        </w:rPr>
        <w:t>相一致；如果采购文件中没有技术规范的相应说明，那么应以国家有关部门最新颁布的相应标准和规范为准。</w:t>
      </w:r>
    </w:p>
    <w:p w14:paraId="08D8832D">
      <w:pPr>
        <w:spacing w:line="400" w:lineRule="exact"/>
        <w:ind w:firstLine="482" w:firstLineChars="200"/>
        <w:outlineLvl w:val="1"/>
        <w:rPr>
          <w:rFonts w:ascii="仿宋" w:hAnsi="仿宋" w:eastAsia="仿宋" w:cs="仿宋"/>
          <w:b/>
          <w:sz w:val="24"/>
        </w:rPr>
      </w:pPr>
      <w:bookmarkStart w:id="684" w:name="_Toc30138"/>
      <w:bookmarkStart w:id="685" w:name="_Toc279701242"/>
      <w:bookmarkStart w:id="686" w:name="_Toc9578"/>
      <w:bookmarkStart w:id="687" w:name="_Toc1059"/>
      <w:bookmarkStart w:id="688" w:name="_Toc31307"/>
      <w:bookmarkStart w:id="689" w:name="_Toc9161"/>
      <w:bookmarkStart w:id="690" w:name="_Toc13673"/>
      <w:bookmarkStart w:id="691" w:name="_Toc7280"/>
      <w:bookmarkStart w:id="692" w:name="_Toc487900351"/>
      <w:bookmarkStart w:id="693" w:name="_Toc76"/>
      <w:bookmarkStart w:id="694" w:name="_Toc12412"/>
      <w:bookmarkStart w:id="695" w:name="_Toc8378"/>
      <w:bookmarkStart w:id="696" w:name="_Toc4133"/>
      <w:bookmarkStart w:id="697" w:name="_Toc32402"/>
      <w:bookmarkStart w:id="698" w:name="_Toc259093671"/>
      <w:bookmarkStart w:id="699" w:name="_Toc12727"/>
      <w:bookmarkStart w:id="700" w:name="_Toc12881"/>
      <w:bookmarkStart w:id="701" w:name="_Toc24660"/>
      <w:bookmarkStart w:id="702" w:name="_Toc27945"/>
      <w:bookmarkStart w:id="703" w:name="_Toc22416"/>
      <w:r>
        <w:rPr>
          <w:rFonts w:hint="eastAsia" w:ascii="仿宋" w:hAnsi="仿宋" w:eastAsia="仿宋" w:cs="仿宋"/>
          <w:b/>
          <w:sz w:val="24"/>
        </w:rPr>
        <w:t>2.3 知识产权</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3B97405A">
      <w:pPr>
        <w:spacing w:line="40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A90D668">
      <w:pPr>
        <w:spacing w:line="400" w:lineRule="exact"/>
        <w:ind w:firstLine="480" w:firstLineChars="200"/>
        <w:rPr>
          <w:rFonts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14:paraId="7A3199A0">
      <w:pPr>
        <w:spacing w:line="400" w:lineRule="exact"/>
        <w:ind w:firstLine="482" w:firstLineChars="200"/>
        <w:outlineLvl w:val="1"/>
        <w:rPr>
          <w:rFonts w:ascii="仿宋" w:hAnsi="仿宋" w:eastAsia="仿宋" w:cs="仿宋"/>
          <w:b/>
          <w:sz w:val="24"/>
        </w:rPr>
      </w:pPr>
      <w:bookmarkStart w:id="704" w:name="_Toc30894"/>
      <w:bookmarkStart w:id="705" w:name="_Toc5364"/>
      <w:r>
        <w:rPr>
          <w:rFonts w:hint="eastAsia" w:ascii="仿宋" w:hAnsi="仿宋" w:eastAsia="仿宋" w:cs="仿宋"/>
          <w:b/>
          <w:sz w:val="24"/>
        </w:rPr>
        <w:t>2.4 履约检查和问题反馈</w:t>
      </w:r>
      <w:bookmarkEnd w:id="704"/>
      <w:bookmarkEnd w:id="705"/>
    </w:p>
    <w:p w14:paraId="320DC74B">
      <w:pPr>
        <w:spacing w:line="400" w:lineRule="exact"/>
        <w:ind w:firstLine="480" w:firstLineChars="200"/>
        <w:rPr>
          <w:rFonts w:ascii="仿宋" w:hAnsi="仿宋" w:eastAsia="仿宋" w:cs="仿宋"/>
          <w:sz w:val="24"/>
        </w:rPr>
      </w:pPr>
      <w:bookmarkStart w:id="706" w:name="_Ref467379657"/>
      <w:r>
        <w:rPr>
          <w:rFonts w:hint="eastAsia" w:ascii="仿宋" w:hAnsi="仿宋" w:eastAsia="仿宋" w:cs="仿宋"/>
          <w:sz w:val="24"/>
        </w:rPr>
        <w:t>2.4.1</w:t>
      </w:r>
      <w:bookmarkEnd w:id="706"/>
      <w:bookmarkStart w:id="707" w:name="_Toc186431854"/>
      <w:bookmarkStart w:id="708" w:name="_Ref467379793"/>
      <w:bookmarkStart w:id="709" w:name="_Toc259093676"/>
      <w:bookmarkStart w:id="710" w:name="_Ref467379807"/>
      <w:bookmarkStart w:id="711" w:name="_Toc487900357"/>
      <w:bookmarkStart w:id="712" w:name="_Toc279701247"/>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87D55FB">
      <w:pPr>
        <w:spacing w:line="40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bookmarkEnd w:id="707"/>
      <w:bookmarkStart w:id="713" w:name="_Toc186431855"/>
      <w:r>
        <w:rPr>
          <w:rFonts w:hint="eastAsia" w:ascii="仿宋" w:hAnsi="仿宋" w:eastAsia="仿宋" w:cs="仿宋"/>
          <w:sz w:val="24"/>
        </w:rPr>
        <w:t>。</w:t>
      </w:r>
    </w:p>
    <w:bookmarkEnd w:id="713"/>
    <w:p w14:paraId="330148E6">
      <w:pPr>
        <w:spacing w:line="400" w:lineRule="exact"/>
        <w:ind w:firstLine="482" w:firstLineChars="200"/>
        <w:outlineLvl w:val="1"/>
        <w:rPr>
          <w:rFonts w:ascii="仿宋" w:hAnsi="仿宋" w:eastAsia="仿宋" w:cs="仿宋"/>
          <w:b/>
          <w:sz w:val="24"/>
        </w:rPr>
      </w:pPr>
      <w:bookmarkStart w:id="714" w:name="_Toc15567"/>
      <w:bookmarkStart w:id="715" w:name="_Toc4237"/>
      <w:bookmarkStart w:id="716" w:name="_Toc4256"/>
      <w:bookmarkStart w:id="717" w:name="_Toc21474"/>
      <w:bookmarkStart w:id="718" w:name="_Toc32043"/>
      <w:bookmarkStart w:id="719" w:name="_Toc28557"/>
      <w:bookmarkStart w:id="720" w:name="_Toc16045"/>
      <w:bookmarkStart w:id="721" w:name="_Toc26555"/>
      <w:bookmarkStart w:id="722" w:name="_Toc15447"/>
      <w:bookmarkStart w:id="723" w:name="_Toc6504"/>
      <w:bookmarkStart w:id="724" w:name="_Toc22011"/>
      <w:bookmarkStart w:id="725" w:name="_Toc31494"/>
      <w:bookmarkStart w:id="726" w:name="_Toc12450"/>
      <w:bookmarkStart w:id="727" w:name="_Toc31233"/>
      <w:bookmarkStart w:id="728" w:name="_Toc20061"/>
      <w:bookmarkStart w:id="729" w:name="_Toc28361"/>
      <w:r>
        <w:rPr>
          <w:rFonts w:hint="eastAsia" w:ascii="仿宋" w:hAnsi="仿宋" w:eastAsia="仿宋" w:cs="仿宋"/>
          <w:b/>
          <w:sz w:val="24"/>
        </w:rPr>
        <w:t>2.5 结算方式和付款条件</w:t>
      </w:r>
      <w:bookmarkEnd w:id="708"/>
      <w:bookmarkEnd w:id="709"/>
      <w:bookmarkEnd w:id="710"/>
      <w:bookmarkEnd w:id="711"/>
      <w:bookmarkEnd w:id="712"/>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6A5171A7">
      <w:pPr>
        <w:spacing w:line="400" w:lineRule="exact"/>
        <w:ind w:firstLine="480" w:firstLineChars="200"/>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2DCC2F52">
      <w:pPr>
        <w:spacing w:line="400" w:lineRule="exact"/>
        <w:ind w:firstLine="482" w:firstLineChars="200"/>
        <w:outlineLvl w:val="1"/>
        <w:rPr>
          <w:rFonts w:ascii="仿宋" w:hAnsi="仿宋" w:eastAsia="仿宋" w:cs="仿宋"/>
          <w:b/>
          <w:sz w:val="24"/>
        </w:rPr>
      </w:pPr>
      <w:bookmarkStart w:id="730" w:name="_Ref467379863"/>
      <w:bookmarkStart w:id="731" w:name="_Toc279701248"/>
      <w:bookmarkStart w:id="732" w:name="_Toc259093677"/>
      <w:bookmarkStart w:id="733" w:name="_Ref467379923"/>
      <w:bookmarkStart w:id="734" w:name="_Toc487900358"/>
      <w:bookmarkStart w:id="735" w:name="_Ref467379852"/>
      <w:bookmarkStart w:id="736" w:name="_Toc23122"/>
      <w:bookmarkStart w:id="737" w:name="_Toc9514"/>
      <w:bookmarkStart w:id="738" w:name="_Toc16163"/>
      <w:bookmarkStart w:id="739" w:name="_Toc23050"/>
      <w:bookmarkStart w:id="740" w:name="_Toc20627"/>
      <w:bookmarkStart w:id="741" w:name="_Toc13154"/>
      <w:bookmarkStart w:id="742" w:name="_Toc30507"/>
      <w:bookmarkStart w:id="743" w:name="_Toc31145"/>
      <w:bookmarkStart w:id="744" w:name="_Toc19435"/>
      <w:bookmarkStart w:id="745" w:name="_Toc18186"/>
      <w:bookmarkStart w:id="746" w:name="_Toc29402"/>
      <w:bookmarkStart w:id="747" w:name="_Toc23530"/>
      <w:bookmarkStart w:id="748" w:name="_Toc18990"/>
      <w:bookmarkStart w:id="749" w:name="_Toc13467"/>
      <w:bookmarkStart w:id="750" w:name="_Toc4835"/>
      <w:bookmarkStart w:id="751" w:name="_Toc3982"/>
      <w:bookmarkStart w:id="752" w:name="_Toc25982"/>
      <w:r>
        <w:rPr>
          <w:rFonts w:hint="eastAsia" w:ascii="仿宋" w:hAnsi="仿宋" w:eastAsia="仿宋" w:cs="仿宋"/>
          <w:b/>
          <w:sz w:val="24"/>
        </w:rPr>
        <w:t>2.6 技术资料</w:t>
      </w:r>
      <w:bookmarkEnd w:id="730"/>
      <w:bookmarkEnd w:id="731"/>
      <w:bookmarkEnd w:id="732"/>
      <w:bookmarkEnd w:id="733"/>
      <w:bookmarkEnd w:id="734"/>
      <w:bookmarkEnd w:id="735"/>
      <w:r>
        <w:rPr>
          <w:rFonts w:hint="eastAsia" w:ascii="仿宋" w:hAnsi="仿宋" w:eastAsia="仿宋" w:cs="仿宋"/>
          <w:b/>
          <w:sz w:val="24"/>
        </w:rPr>
        <w:t>和保密义务</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0B053F73">
      <w:pPr>
        <w:spacing w:line="400" w:lineRule="exact"/>
        <w:ind w:firstLine="480" w:firstLineChars="200"/>
        <w:rPr>
          <w:rFonts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14:paraId="62374F94">
      <w:pPr>
        <w:spacing w:line="400" w:lineRule="exact"/>
        <w:ind w:firstLine="480" w:firstLineChars="200"/>
        <w:rPr>
          <w:rFonts w:ascii="仿宋" w:hAnsi="仿宋" w:eastAsia="仿宋" w:cs="仿宋"/>
          <w:sz w:val="24"/>
        </w:rPr>
      </w:pPr>
      <w:r>
        <w:rPr>
          <w:rFonts w:hint="eastAsia" w:ascii="仿宋" w:hAnsi="仿宋" w:eastAsia="仿宋" w:cs="仿宋"/>
          <w:sz w:val="24"/>
        </w:rPr>
        <w:t>2.6.2 乙方有义务妥善保管和保护由甲方提供的前款信息和资料等；</w:t>
      </w:r>
    </w:p>
    <w:p w14:paraId="7C114442">
      <w:pPr>
        <w:spacing w:line="400" w:lineRule="exact"/>
        <w:ind w:firstLine="480" w:firstLineChars="200"/>
        <w:rPr>
          <w:rFonts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493612E">
      <w:pPr>
        <w:spacing w:line="400" w:lineRule="exact"/>
        <w:ind w:firstLine="482" w:firstLineChars="200"/>
        <w:outlineLvl w:val="1"/>
        <w:rPr>
          <w:rFonts w:ascii="仿宋" w:hAnsi="仿宋" w:eastAsia="仿宋" w:cs="仿宋"/>
          <w:b/>
          <w:sz w:val="24"/>
        </w:rPr>
      </w:pPr>
      <w:bookmarkStart w:id="753" w:name="_Toc20114"/>
      <w:bookmarkStart w:id="754" w:name="_Toc1948"/>
      <w:bookmarkStart w:id="755" w:name="_Toc1458"/>
      <w:bookmarkStart w:id="756" w:name="_Toc13112"/>
      <w:bookmarkStart w:id="757" w:name="_Toc18372"/>
      <w:bookmarkStart w:id="758" w:name="_Toc15010"/>
      <w:bookmarkStart w:id="759" w:name="_Toc24552"/>
      <w:bookmarkStart w:id="760" w:name="_Toc22614"/>
      <w:bookmarkStart w:id="761" w:name="_Toc1851"/>
      <w:bookmarkStart w:id="762" w:name="_Toc19069"/>
      <w:bookmarkStart w:id="763" w:name="_Toc32183"/>
      <w:bookmarkStart w:id="764" w:name="_Toc30162"/>
      <w:bookmarkStart w:id="765" w:name="_Toc339"/>
      <w:bookmarkStart w:id="766" w:name="_Toc279701252"/>
      <w:bookmarkStart w:id="767" w:name="_Toc487900362"/>
      <w:bookmarkStart w:id="768" w:name="_Toc259093681"/>
      <w:r>
        <w:rPr>
          <w:rFonts w:hint="eastAsia" w:ascii="仿宋" w:hAnsi="仿宋" w:eastAsia="仿宋" w:cs="仿宋"/>
          <w:b/>
          <w:sz w:val="24"/>
        </w:rPr>
        <w:t>2.7 质量保证</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63E1BE48">
      <w:pPr>
        <w:spacing w:line="400" w:lineRule="exact"/>
        <w:ind w:firstLine="480" w:firstLineChars="200"/>
        <w:rPr>
          <w:rFonts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14:paraId="26F7F453">
      <w:pPr>
        <w:spacing w:line="400" w:lineRule="exact"/>
        <w:ind w:firstLine="480" w:firstLineChars="200"/>
        <w:rPr>
          <w:rFonts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14:paraId="0F5B10A4">
      <w:pPr>
        <w:spacing w:line="400" w:lineRule="exact"/>
        <w:ind w:firstLine="482" w:firstLineChars="200"/>
        <w:outlineLvl w:val="1"/>
        <w:rPr>
          <w:rFonts w:ascii="仿宋" w:hAnsi="仿宋" w:eastAsia="仿宋" w:cs="仿宋"/>
          <w:b/>
          <w:sz w:val="24"/>
        </w:rPr>
      </w:pPr>
      <w:bookmarkStart w:id="769" w:name="_Toc11034"/>
      <w:bookmarkStart w:id="770" w:name="_Toc11272"/>
      <w:bookmarkStart w:id="771" w:name="_Toc10063"/>
      <w:bookmarkStart w:id="772" w:name="_Toc32424"/>
      <w:bookmarkStart w:id="773" w:name="_Toc10485"/>
      <w:bookmarkStart w:id="774" w:name="_Toc1263"/>
      <w:bookmarkStart w:id="775" w:name="_Toc8481"/>
      <w:bookmarkStart w:id="776" w:name="_Toc29738"/>
      <w:bookmarkStart w:id="777" w:name="_Toc14323"/>
      <w:bookmarkStart w:id="778" w:name="_Toc28170"/>
      <w:bookmarkStart w:id="779" w:name="_Toc7710"/>
      <w:bookmarkStart w:id="780" w:name="_Toc22267"/>
      <w:bookmarkStart w:id="781" w:name="_Toc22198"/>
      <w:r>
        <w:rPr>
          <w:rFonts w:hint="eastAsia" w:ascii="仿宋" w:hAnsi="仿宋" w:eastAsia="仿宋" w:cs="仿宋"/>
          <w:b/>
          <w:sz w:val="24"/>
        </w:rPr>
        <w:t>2.8 延迟</w:t>
      </w:r>
      <w:bookmarkEnd w:id="766"/>
      <w:bookmarkEnd w:id="767"/>
      <w:bookmarkEnd w:id="768"/>
      <w:r>
        <w:rPr>
          <w:rFonts w:hint="eastAsia" w:ascii="仿宋" w:hAnsi="仿宋" w:eastAsia="仿宋" w:cs="仿宋"/>
          <w:b/>
          <w:sz w:val="24"/>
        </w:rPr>
        <w:t>履行</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4607F515">
      <w:pPr>
        <w:spacing w:line="40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FA3934C">
      <w:pPr>
        <w:spacing w:line="400" w:lineRule="exact"/>
        <w:ind w:firstLine="482" w:firstLineChars="200"/>
        <w:outlineLvl w:val="1"/>
        <w:rPr>
          <w:rFonts w:ascii="仿宋" w:hAnsi="仿宋" w:eastAsia="仿宋" w:cs="仿宋"/>
          <w:b/>
          <w:sz w:val="24"/>
        </w:rPr>
      </w:pPr>
      <w:bookmarkStart w:id="782" w:name="_Toc10750"/>
      <w:bookmarkStart w:id="783" w:name="_Toc27101"/>
      <w:bookmarkStart w:id="784" w:name="_Toc25613"/>
      <w:bookmarkStart w:id="785" w:name="_Toc28004"/>
      <w:bookmarkStart w:id="786" w:name="_Toc3758"/>
      <w:bookmarkStart w:id="787" w:name="_Toc12112"/>
      <w:bookmarkStart w:id="788" w:name="_Toc12190"/>
      <w:bookmarkStart w:id="789" w:name="_Toc10611"/>
      <w:bookmarkStart w:id="790" w:name="_Toc30983"/>
      <w:bookmarkStart w:id="791" w:name="_Toc20254"/>
      <w:bookmarkStart w:id="792" w:name="_Toc3810"/>
      <w:bookmarkStart w:id="793" w:name="_Toc13769"/>
      <w:bookmarkStart w:id="794" w:name="_Toc28758"/>
      <w:bookmarkStart w:id="795" w:name="_Toc259093683"/>
      <w:bookmarkStart w:id="796" w:name="_Ref467378121"/>
      <w:bookmarkStart w:id="797" w:name="_Toc487900364"/>
      <w:bookmarkStart w:id="798" w:name="_Toc279701254"/>
      <w:r>
        <w:rPr>
          <w:rFonts w:hint="eastAsia" w:ascii="仿宋" w:hAnsi="仿宋" w:eastAsia="仿宋" w:cs="仿宋"/>
          <w:b/>
          <w:sz w:val="24"/>
        </w:rPr>
        <w:t>2.9 合同变更</w:t>
      </w:r>
      <w:bookmarkEnd w:id="782"/>
      <w:bookmarkEnd w:id="783"/>
      <w:bookmarkEnd w:id="784"/>
      <w:bookmarkEnd w:id="785"/>
      <w:bookmarkEnd w:id="786"/>
      <w:bookmarkEnd w:id="787"/>
      <w:bookmarkEnd w:id="788"/>
      <w:bookmarkEnd w:id="789"/>
      <w:bookmarkEnd w:id="790"/>
      <w:bookmarkEnd w:id="791"/>
      <w:bookmarkEnd w:id="792"/>
      <w:bookmarkEnd w:id="793"/>
      <w:bookmarkEnd w:id="794"/>
    </w:p>
    <w:p w14:paraId="4C049785">
      <w:pPr>
        <w:spacing w:line="400" w:lineRule="exact"/>
        <w:ind w:firstLine="480" w:firstLineChars="200"/>
        <w:rPr>
          <w:rFonts w:ascii="仿宋" w:hAnsi="仿宋" w:eastAsia="仿宋" w:cs="仿宋"/>
          <w:sz w:val="24"/>
        </w:rPr>
      </w:pPr>
      <w:r>
        <w:rPr>
          <w:rFonts w:hint="eastAsia" w:ascii="仿宋" w:hAnsi="仿宋" w:eastAsia="仿宋" w:cs="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42BED423">
      <w:pPr>
        <w:spacing w:line="400" w:lineRule="exact"/>
        <w:ind w:firstLine="480" w:firstLineChars="200"/>
        <w:rPr>
          <w:rFonts w:ascii="仿宋" w:hAnsi="仿宋" w:eastAsia="仿宋" w:cs="仿宋"/>
          <w:sz w:val="24"/>
        </w:rPr>
      </w:pPr>
      <w:r>
        <w:rPr>
          <w:rFonts w:hint="eastAsia" w:ascii="仿宋" w:hAnsi="仿宋" w:eastAsia="仿宋" w:cs="仿宋"/>
          <w:sz w:val="24"/>
        </w:rPr>
        <w:t>2.9.2 合同继续履行将损害国家利益和社会公共利益的，双方当事人应当以书面形式变更合同。有过错的一方应当承担赔偿责任，双方当事人都有过错的，各自承担相应的责任。</w:t>
      </w:r>
      <w:bookmarkStart w:id="799" w:name="_Toc279701259"/>
      <w:bookmarkStart w:id="800" w:name="_Toc487900369"/>
      <w:bookmarkStart w:id="801" w:name="_Toc259093688"/>
    </w:p>
    <w:p w14:paraId="1A0615D4">
      <w:pPr>
        <w:spacing w:line="400" w:lineRule="exact"/>
        <w:ind w:firstLine="482" w:firstLineChars="200"/>
        <w:outlineLvl w:val="1"/>
        <w:rPr>
          <w:rFonts w:ascii="仿宋" w:hAnsi="仿宋" w:eastAsia="仿宋" w:cs="仿宋"/>
          <w:b/>
          <w:sz w:val="24"/>
        </w:rPr>
      </w:pPr>
      <w:bookmarkStart w:id="802" w:name="_Toc19160"/>
      <w:bookmarkStart w:id="803" w:name="_Toc28640"/>
      <w:bookmarkStart w:id="804" w:name="_Toc6424"/>
      <w:bookmarkStart w:id="805" w:name="_Toc30446"/>
      <w:bookmarkStart w:id="806" w:name="_Toc8222"/>
      <w:bookmarkStart w:id="807" w:name="_Toc10663"/>
      <w:bookmarkStart w:id="808" w:name="_Toc26689"/>
      <w:bookmarkStart w:id="809" w:name="_Toc23368"/>
      <w:bookmarkStart w:id="810" w:name="_Toc24271"/>
      <w:bookmarkStart w:id="811" w:name="_Toc6143"/>
      <w:bookmarkStart w:id="812" w:name="_Toc4195"/>
      <w:bookmarkStart w:id="813" w:name="_Toc25814"/>
      <w:bookmarkStart w:id="814" w:name="_Toc18298"/>
      <w:bookmarkStart w:id="815" w:name="_Toc21830"/>
      <w:bookmarkStart w:id="816" w:name="_Toc17116"/>
      <w:bookmarkStart w:id="817" w:name="_Toc42"/>
      <w:bookmarkStart w:id="818" w:name="_Toc14972"/>
      <w:r>
        <w:rPr>
          <w:rFonts w:hint="eastAsia" w:ascii="仿宋" w:hAnsi="仿宋" w:eastAsia="仿宋" w:cs="仿宋"/>
          <w:b/>
          <w:sz w:val="24"/>
        </w:rPr>
        <w:t>2.10 合同转让</w:t>
      </w:r>
      <w:bookmarkEnd w:id="799"/>
      <w:bookmarkEnd w:id="800"/>
      <w:bookmarkEnd w:id="801"/>
      <w:r>
        <w:rPr>
          <w:rFonts w:hint="eastAsia" w:ascii="仿宋" w:hAnsi="仿宋" w:eastAsia="仿宋" w:cs="仿宋"/>
          <w:b/>
          <w:sz w:val="24"/>
        </w:rPr>
        <w:t>和分包</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C91F734">
      <w:pPr>
        <w:spacing w:line="40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7CC2C21">
      <w:pPr>
        <w:spacing w:line="400" w:lineRule="exact"/>
        <w:ind w:firstLine="482" w:firstLineChars="200"/>
        <w:outlineLvl w:val="1"/>
        <w:rPr>
          <w:rFonts w:ascii="仿宋" w:hAnsi="仿宋" w:eastAsia="仿宋" w:cs="仿宋"/>
          <w:b/>
          <w:sz w:val="24"/>
        </w:rPr>
      </w:pPr>
      <w:bookmarkStart w:id="819" w:name="_Toc15171"/>
      <w:bookmarkStart w:id="820" w:name="_Toc23855"/>
      <w:bookmarkStart w:id="821" w:name="_Toc4720"/>
      <w:bookmarkStart w:id="822" w:name="_Toc32622"/>
      <w:bookmarkStart w:id="823" w:name="_Toc30847"/>
      <w:bookmarkStart w:id="824" w:name="_Toc10912"/>
      <w:bookmarkStart w:id="825" w:name="_Toc8431"/>
      <w:bookmarkStart w:id="826" w:name="_Toc24708"/>
      <w:bookmarkStart w:id="827" w:name="_Toc32494"/>
      <w:bookmarkStart w:id="828" w:name="_Toc14371"/>
      <w:bookmarkStart w:id="829" w:name="_Toc25571"/>
      <w:bookmarkStart w:id="830" w:name="_Toc26633"/>
      <w:bookmarkStart w:id="831" w:name="_Toc10203"/>
      <w:bookmarkStart w:id="832" w:name="_Toc31065"/>
      <w:bookmarkStart w:id="833" w:name="_Toc9705"/>
      <w:bookmarkStart w:id="834" w:name="_Toc154"/>
      <w:bookmarkStart w:id="835" w:name="_Toc9462"/>
      <w:r>
        <w:rPr>
          <w:rFonts w:hint="eastAsia" w:ascii="仿宋" w:hAnsi="仿宋" w:eastAsia="仿宋" w:cs="仿宋"/>
          <w:b/>
          <w:sz w:val="24"/>
        </w:rPr>
        <w:t>2.11 不可抗力</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2FAE8F8D">
      <w:pPr>
        <w:spacing w:line="400" w:lineRule="exact"/>
        <w:ind w:firstLine="480" w:firstLineChars="200"/>
        <w:rPr>
          <w:rFonts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022C53CE">
      <w:pPr>
        <w:spacing w:line="400" w:lineRule="exact"/>
        <w:ind w:firstLine="480" w:firstLineChars="200"/>
        <w:rPr>
          <w:rFonts w:ascii="仿宋" w:hAnsi="仿宋" w:eastAsia="仿宋" w:cs="仿宋"/>
          <w:sz w:val="24"/>
        </w:rPr>
      </w:pPr>
      <w:r>
        <w:rPr>
          <w:rFonts w:hint="eastAsia" w:ascii="仿宋" w:hAnsi="仿宋" w:eastAsia="仿宋" w:cs="仿宋"/>
          <w:sz w:val="24"/>
        </w:rPr>
        <w:t>2.11.2 因不可抗力致使不能实现合同目的的，当事人可以解除合同；</w:t>
      </w:r>
    </w:p>
    <w:p w14:paraId="1C6A3C8A">
      <w:pPr>
        <w:spacing w:line="400" w:lineRule="exact"/>
        <w:ind w:firstLine="480" w:firstLineChars="200"/>
        <w:rPr>
          <w:rFonts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3B9BD16B">
      <w:pPr>
        <w:spacing w:line="400" w:lineRule="exact"/>
        <w:ind w:firstLine="480" w:firstLineChars="200"/>
        <w:rPr>
          <w:rFonts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2EE32D21">
      <w:pPr>
        <w:spacing w:line="400" w:lineRule="exact"/>
        <w:ind w:firstLine="482" w:firstLineChars="200"/>
        <w:outlineLvl w:val="1"/>
        <w:rPr>
          <w:rFonts w:ascii="仿宋" w:hAnsi="仿宋" w:eastAsia="仿宋" w:cs="仿宋"/>
          <w:b/>
          <w:sz w:val="24"/>
        </w:rPr>
      </w:pPr>
      <w:bookmarkStart w:id="836" w:name="_Toc1959"/>
      <w:bookmarkStart w:id="837" w:name="_Toc279701255"/>
      <w:bookmarkStart w:id="838" w:name="_Toc3638"/>
      <w:bookmarkStart w:id="839" w:name="_Toc24465"/>
      <w:bookmarkStart w:id="840" w:name="_Toc14370"/>
      <w:bookmarkStart w:id="841" w:name="_Toc11275"/>
      <w:bookmarkStart w:id="842" w:name="_Toc14115"/>
      <w:bookmarkStart w:id="843" w:name="_Toc25783"/>
      <w:bookmarkStart w:id="844" w:name="_Toc487900365"/>
      <w:bookmarkStart w:id="845" w:name="_Toc15000"/>
      <w:bookmarkStart w:id="846" w:name="_Toc259093684"/>
      <w:bookmarkStart w:id="847" w:name="_Toc14432"/>
      <w:bookmarkStart w:id="848" w:name="_Toc219"/>
      <w:bookmarkStart w:id="849" w:name="_Toc3156"/>
      <w:bookmarkStart w:id="850" w:name="_Toc32181"/>
      <w:bookmarkStart w:id="851" w:name="_Toc17127"/>
      <w:bookmarkStart w:id="852" w:name="_Toc6743"/>
      <w:bookmarkStart w:id="853" w:name="_Toc23373"/>
      <w:bookmarkStart w:id="854" w:name="_Toc23854"/>
      <w:bookmarkStart w:id="855" w:name="_Toc12690"/>
      <w:r>
        <w:rPr>
          <w:rFonts w:hint="eastAsia" w:ascii="仿宋" w:hAnsi="仿宋" w:eastAsia="仿宋" w:cs="仿宋"/>
          <w:b/>
          <w:sz w:val="24"/>
        </w:rPr>
        <w:t>2.12 税费</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5E7CFF0F">
      <w:pPr>
        <w:spacing w:line="40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6CE24017">
      <w:pPr>
        <w:spacing w:line="400" w:lineRule="exact"/>
        <w:ind w:firstLine="482" w:firstLineChars="200"/>
        <w:outlineLvl w:val="1"/>
        <w:rPr>
          <w:rFonts w:ascii="仿宋" w:hAnsi="仿宋" w:eastAsia="仿宋" w:cs="仿宋"/>
          <w:b/>
          <w:sz w:val="24"/>
        </w:rPr>
      </w:pPr>
      <w:bookmarkStart w:id="856" w:name="_Toc3759"/>
      <w:bookmarkStart w:id="857" w:name="_Toc14494"/>
      <w:bookmarkStart w:id="858" w:name="_Toc4896"/>
      <w:bookmarkStart w:id="859" w:name="_Toc13790"/>
      <w:bookmarkStart w:id="860" w:name="_Toc19880"/>
      <w:bookmarkStart w:id="861" w:name="_Toc26883"/>
      <w:bookmarkStart w:id="862" w:name="_Toc25525"/>
      <w:bookmarkStart w:id="863" w:name="_Toc24809"/>
      <w:bookmarkStart w:id="864" w:name="_Toc14814"/>
      <w:bookmarkStart w:id="865" w:name="_Toc10398"/>
      <w:bookmarkStart w:id="866" w:name="_Toc487900368"/>
      <w:bookmarkStart w:id="867" w:name="_Toc5894"/>
      <w:bookmarkStart w:id="868" w:name="_Toc30105"/>
      <w:bookmarkStart w:id="869" w:name="_Toc7315"/>
      <w:bookmarkStart w:id="870" w:name="_Toc31237"/>
      <w:bookmarkStart w:id="871" w:name="_Toc27492"/>
      <w:bookmarkStart w:id="872" w:name="_Toc279701258"/>
      <w:bookmarkStart w:id="873" w:name="_Toc15966"/>
      <w:bookmarkStart w:id="874" w:name="_Toc12415"/>
      <w:bookmarkStart w:id="875" w:name="_Toc259093687"/>
      <w:r>
        <w:rPr>
          <w:rFonts w:hint="eastAsia" w:ascii="仿宋" w:hAnsi="仿宋" w:eastAsia="仿宋" w:cs="仿宋"/>
          <w:b/>
          <w:sz w:val="24"/>
        </w:rPr>
        <w:t>2.13 乙方破产</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594A30C5">
      <w:pPr>
        <w:spacing w:line="40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09D8A">
      <w:pPr>
        <w:spacing w:line="400" w:lineRule="exact"/>
        <w:ind w:firstLine="482" w:firstLineChars="200"/>
        <w:outlineLvl w:val="1"/>
        <w:rPr>
          <w:rFonts w:ascii="仿宋" w:hAnsi="仿宋" w:eastAsia="仿宋" w:cs="仿宋"/>
          <w:b/>
          <w:sz w:val="24"/>
        </w:rPr>
      </w:pPr>
      <w:bookmarkStart w:id="876" w:name="_Toc1675"/>
      <w:bookmarkStart w:id="877" w:name="_Toc3433"/>
      <w:bookmarkStart w:id="878" w:name="_Toc8069"/>
      <w:bookmarkStart w:id="879" w:name="_Toc16867"/>
      <w:bookmarkStart w:id="880" w:name="_Toc6032"/>
      <w:bookmarkStart w:id="881" w:name="_Toc13023"/>
      <w:bookmarkStart w:id="882" w:name="_Toc18650"/>
      <w:bookmarkStart w:id="883" w:name="_Toc23323"/>
      <w:bookmarkStart w:id="884" w:name="_Toc2016"/>
      <w:bookmarkStart w:id="885" w:name="_Toc26320"/>
      <w:bookmarkStart w:id="886" w:name="_Toc31298"/>
      <w:bookmarkStart w:id="887" w:name="_Toc4845"/>
      <w:bookmarkStart w:id="888" w:name="_Toc15650"/>
      <w:bookmarkStart w:id="889" w:name="_Toc25092"/>
      <w:bookmarkStart w:id="890" w:name="_Toc1123"/>
      <w:r>
        <w:rPr>
          <w:rFonts w:hint="eastAsia" w:ascii="仿宋" w:hAnsi="仿宋" w:eastAsia="仿宋" w:cs="仿宋"/>
          <w:b/>
          <w:sz w:val="24"/>
        </w:rPr>
        <w:t>2.14 合同中止、终止</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4F31BEA2">
      <w:pPr>
        <w:spacing w:line="400" w:lineRule="exact"/>
        <w:ind w:firstLine="480" w:firstLineChars="200"/>
        <w:rPr>
          <w:rFonts w:ascii="仿宋" w:hAnsi="仿宋" w:eastAsia="仿宋" w:cs="仿宋"/>
          <w:sz w:val="24"/>
        </w:rPr>
      </w:pPr>
      <w:r>
        <w:rPr>
          <w:rFonts w:hint="eastAsia" w:ascii="仿宋" w:hAnsi="仿宋" w:eastAsia="仿宋" w:cs="仿宋"/>
          <w:sz w:val="24"/>
        </w:rPr>
        <w:t>2.14.1 双方当事人不得擅自中止或者终止合同；</w:t>
      </w:r>
    </w:p>
    <w:p w14:paraId="66550A69">
      <w:pPr>
        <w:spacing w:line="400" w:lineRule="exact"/>
        <w:ind w:firstLine="480" w:firstLineChars="200"/>
        <w:rPr>
          <w:rFonts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2B300FC5">
      <w:pPr>
        <w:spacing w:line="400" w:lineRule="exact"/>
        <w:ind w:firstLine="482" w:firstLineChars="200"/>
        <w:outlineLvl w:val="1"/>
        <w:rPr>
          <w:rFonts w:ascii="仿宋" w:hAnsi="仿宋" w:eastAsia="仿宋" w:cs="仿宋"/>
          <w:b/>
          <w:sz w:val="24"/>
        </w:rPr>
      </w:pPr>
      <w:bookmarkStart w:id="891" w:name="_Toc17363"/>
      <w:bookmarkStart w:id="892" w:name="_Toc25753"/>
      <w:bookmarkStart w:id="893" w:name="_Toc12473"/>
      <w:bookmarkStart w:id="894" w:name="_Toc22475"/>
      <w:bookmarkStart w:id="895" w:name="_Toc31348"/>
      <w:bookmarkStart w:id="896" w:name="_Toc30002"/>
      <w:bookmarkStart w:id="897" w:name="_Toc14653"/>
      <w:bookmarkStart w:id="898" w:name="_Toc22006"/>
      <w:bookmarkStart w:id="899" w:name="_Toc12981"/>
      <w:bookmarkStart w:id="900" w:name="_Toc22355"/>
      <w:bookmarkStart w:id="901" w:name="_Toc295"/>
      <w:bookmarkStart w:id="902" w:name="_Toc1969"/>
      <w:bookmarkStart w:id="903" w:name="_Toc25815"/>
      <w:bookmarkStart w:id="904" w:name="_Toc14525"/>
      <w:bookmarkStart w:id="905" w:name="_Toc16529"/>
      <w:r>
        <w:rPr>
          <w:rFonts w:hint="eastAsia" w:ascii="仿宋" w:hAnsi="仿宋" w:eastAsia="仿宋" w:cs="仿宋"/>
          <w:b/>
          <w:sz w:val="24"/>
        </w:rPr>
        <w:t>2.15 检验和验收</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238C7798">
      <w:pPr>
        <w:tabs>
          <w:tab w:val="left" w:pos="360"/>
          <w:tab w:val="left" w:pos="540"/>
          <w:tab w:val="left" w:pos="1080"/>
        </w:tabs>
        <w:spacing w:line="400" w:lineRule="exact"/>
        <w:ind w:firstLine="480" w:firstLineChars="200"/>
        <w:rPr>
          <w:rFonts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3492B683">
      <w:pPr>
        <w:tabs>
          <w:tab w:val="left" w:pos="360"/>
          <w:tab w:val="left" w:pos="540"/>
          <w:tab w:val="left" w:pos="1080"/>
        </w:tabs>
        <w:spacing w:line="400" w:lineRule="exact"/>
        <w:ind w:firstLine="480" w:firstLineChars="200"/>
        <w:rPr>
          <w:rFonts w:ascii="仿宋" w:hAnsi="仿宋" w:eastAsia="仿宋" w:cs="仿宋"/>
          <w:sz w:val="24"/>
        </w:rPr>
      </w:pPr>
      <w:r>
        <w:rPr>
          <w:rFonts w:hint="eastAsia" w:ascii="仿宋" w:hAnsi="仿宋" w:eastAsia="仿宋" w:cs="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5FF2970">
      <w:pPr>
        <w:tabs>
          <w:tab w:val="left" w:pos="360"/>
          <w:tab w:val="left" w:pos="540"/>
          <w:tab w:val="left" w:pos="1080"/>
        </w:tabs>
        <w:spacing w:line="400" w:lineRule="exact"/>
        <w:ind w:firstLine="480" w:firstLineChars="200"/>
        <w:rPr>
          <w:rFonts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795"/>
    <w:bookmarkEnd w:id="796"/>
    <w:bookmarkEnd w:id="797"/>
    <w:bookmarkEnd w:id="798"/>
    <w:p w14:paraId="27248011">
      <w:pPr>
        <w:spacing w:line="400" w:lineRule="exact"/>
        <w:ind w:firstLine="482" w:firstLineChars="200"/>
        <w:outlineLvl w:val="1"/>
        <w:rPr>
          <w:rFonts w:ascii="仿宋" w:hAnsi="仿宋" w:eastAsia="仿宋" w:cs="仿宋"/>
          <w:b/>
          <w:sz w:val="24"/>
        </w:rPr>
      </w:pPr>
      <w:bookmarkStart w:id="906" w:name="_Toc279701261"/>
      <w:bookmarkStart w:id="907" w:name="_Toc487900371"/>
      <w:bookmarkStart w:id="908" w:name="_Toc259093690"/>
      <w:bookmarkStart w:id="909" w:name="_Toc19796"/>
      <w:bookmarkStart w:id="910" w:name="_Toc25198"/>
      <w:bookmarkStart w:id="911" w:name="_Toc26095"/>
      <w:bookmarkStart w:id="912" w:name="_Toc12666"/>
      <w:bookmarkStart w:id="913" w:name="_Toc6307"/>
      <w:bookmarkStart w:id="914" w:name="_Toc10819"/>
      <w:bookmarkStart w:id="915" w:name="_Toc31892"/>
      <w:bookmarkStart w:id="916" w:name="_Toc1691"/>
      <w:bookmarkStart w:id="917" w:name="_Toc13544"/>
      <w:bookmarkStart w:id="918" w:name="_Toc29667"/>
      <w:bookmarkStart w:id="919" w:name="_Toc2308"/>
      <w:bookmarkStart w:id="920" w:name="_Toc166"/>
      <w:bookmarkStart w:id="921" w:name="_Toc9808"/>
      <w:bookmarkStart w:id="922" w:name="_Toc13486"/>
      <w:bookmarkStart w:id="923" w:name="_Toc10525"/>
      <w:bookmarkStart w:id="924" w:name="_Toc22987"/>
      <w:bookmarkStart w:id="925" w:name="_Toc3309"/>
      <w:r>
        <w:rPr>
          <w:rFonts w:hint="eastAsia" w:ascii="仿宋" w:hAnsi="仿宋" w:eastAsia="仿宋" w:cs="仿宋"/>
          <w:b/>
          <w:sz w:val="24"/>
        </w:rPr>
        <w:t>2.16 通知</w:t>
      </w:r>
      <w:bookmarkEnd w:id="906"/>
      <w:bookmarkEnd w:id="907"/>
      <w:bookmarkEnd w:id="908"/>
      <w:r>
        <w:rPr>
          <w:rFonts w:hint="eastAsia" w:ascii="仿宋" w:hAnsi="仿宋" w:eastAsia="仿宋" w:cs="仿宋"/>
          <w:b/>
          <w:sz w:val="24"/>
        </w:rPr>
        <w:t>和送达</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02AE1CA6">
      <w:pPr>
        <w:spacing w:line="400" w:lineRule="exact"/>
        <w:ind w:firstLine="480" w:firstLineChars="200"/>
        <w:rPr>
          <w:rFonts w:ascii="仿宋" w:hAnsi="仿宋" w:eastAsia="仿宋" w:cs="仿宋"/>
          <w:sz w:val="24"/>
        </w:rPr>
      </w:pPr>
      <w:bookmarkStart w:id="926" w:name="_Toc7073"/>
      <w:bookmarkStart w:id="927" w:name="_Toc29220"/>
      <w:bookmarkStart w:id="928" w:name="_Toc487900372"/>
      <w:bookmarkStart w:id="929" w:name="_Toc259093691"/>
      <w:bookmarkStart w:id="930" w:name="_Toc279701262"/>
      <w:r>
        <w:rPr>
          <w:rFonts w:hint="eastAsia" w:ascii="仿宋" w:hAnsi="仿宋" w:eastAsia="仿宋" w:cs="仿宋"/>
          <w:sz w:val="24"/>
        </w:rPr>
        <w:t>2.16.1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926"/>
      <w:bookmarkEnd w:id="927"/>
    </w:p>
    <w:p w14:paraId="2D47BBBE">
      <w:pPr>
        <w:spacing w:line="400" w:lineRule="exact"/>
        <w:ind w:firstLine="480" w:firstLineChars="200"/>
        <w:rPr>
          <w:rFonts w:ascii="仿宋" w:hAnsi="仿宋" w:eastAsia="仿宋" w:cs="仿宋"/>
          <w:sz w:val="24"/>
        </w:rPr>
      </w:pPr>
      <w:bookmarkStart w:id="931" w:name="_Toc27674"/>
      <w:bookmarkStart w:id="932" w:name="_Toc18401"/>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31"/>
      <w:bookmarkEnd w:id="932"/>
    </w:p>
    <w:bookmarkEnd w:id="928"/>
    <w:bookmarkEnd w:id="929"/>
    <w:bookmarkEnd w:id="930"/>
    <w:p w14:paraId="453216AD">
      <w:pPr>
        <w:spacing w:line="400" w:lineRule="exact"/>
        <w:ind w:firstLine="482" w:firstLineChars="200"/>
        <w:outlineLvl w:val="1"/>
        <w:rPr>
          <w:rFonts w:ascii="仿宋" w:hAnsi="仿宋" w:eastAsia="仿宋" w:cs="仿宋"/>
          <w:b/>
          <w:sz w:val="24"/>
        </w:rPr>
      </w:pPr>
      <w:bookmarkStart w:id="933" w:name="_Toc5063"/>
      <w:bookmarkStart w:id="934" w:name="_Toc279701263"/>
      <w:bookmarkStart w:id="935" w:name="_Toc10103"/>
      <w:bookmarkStart w:id="936" w:name="_Toc1846"/>
      <w:bookmarkStart w:id="937" w:name="_Toc18708"/>
      <w:bookmarkStart w:id="938" w:name="_Toc31615"/>
      <w:bookmarkStart w:id="939" w:name="_Toc7739"/>
      <w:bookmarkStart w:id="940" w:name="_Toc4407"/>
      <w:bookmarkStart w:id="941" w:name="_Toc259093692"/>
      <w:bookmarkStart w:id="942" w:name="_Toc27644"/>
      <w:bookmarkStart w:id="943" w:name="_Toc13145"/>
      <w:bookmarkStart w:id="944" w:name="_Toc12254"/>
      <w:bookmarkStart w:id="945" w:name="_Toc556"/>
      <w:bookmarkStart w:id="946" w:name="_Toc13433"/>
      <w:bookmarkStart w:id="947" w:name="_Toc20808"/>
      <w:bookmarkStart w:id="948" w:name="_Toc18906"/>
      <w:bookmarkStart w:id="949" w:name="_Toc16009"/>
      <w:bookmarkStart w:id="950" w:name="_Toc487900373"/>
      <w:bookmarkStart w:id="951" w:name="_Toc18929"/>
      <w:bookmarkStart w:id="952" w:name="_Toc28906"/>
      <w:r>
        <w:rPr>
          <w:rFonts w:hint="eastAsia" w:ascii="仿宋" w:hAnsi="仿宋" w:eastAsia="仿宋" w:cs="仿宋"/>
          <w:b/>
          <w:sz w:val="24"/>
        </w:rPr>
        <w:t>2.17 合同使用的文字和适用的法律</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51B93249">
      <w:pPr>
        <w:spacing w:line="400" w:lineRule="exact"/>
        <w:ind w:firstLine="480" w:firstLineChars="200"/>
        <w:rPr>
          <w:rFonts w:ascii="仿宋" w:hAnsi="仿宋" w:eastAsia="仿宋" w:cs="仿宋"/>
          <w:sz w:val="24"/>
        </w:rPr>
      </w:pPr>
      <w:r>
        <w:rPr>
          <w:rFonts w:hint="eastAsia" w:ascii="仿宋" w:hAnsi="仿宋" w:eastAsia="仿宋" w:cs="仿宋"/>
          <w:sz w:val="24"/>
        </w:rPr>
        <w:t>2.17.1 合同使用汉语书就、变更和解释；</w:t>
      </w:r>
    </w:p>
    <w:p w14:paraId="355BD2A4">
      <w:pPr>
        <w:spacing w:line="400" w:lineRule="exact"/>
        <w:ind w:firstLine="480" w:firstLineChars="200"/>
        <w:rPr>
          <w:rFonts w:ascii="仿宋" w:hAnsi="仿宋" w:eastAsia="仿宋" w:cs="仿宋"/>
          <w:sz w:val="24"/>
        </w:rPr>
      </w:pPr>
      <w:r>
        <w:rPr>
          <w:rFonts w:hint="eastAsia" w:ascii="仿宋" w:hAnsi="仿宋" w:eastAsia="仿宋" w:cs="仿宋"/>
          <w:sz w:val="24"/>
        </w:rPr>
        <w:t>2.17.2 合同适用中华人民共和国法律。</w:t>
      </w:r>
    </w:p>
    <w:p w14:paraId="1BDA46DC">
      <w:pPr>
        <w:spacing w:line="400" w:lineRule="exact"/>
        <w:ind w:firstLine="482" w:firstLineChars="200"/>
        <w:outlineLvl w:val="1"/>
        <w:rPr>
          <w:rFonts w:ascii="仿宋" w:hAnsi="仿宋" w:eastAsia="仿宋" w:cs="仿宋"/>
          <w:b/>
          <w:sz w:val="24"/>
        </w:rPr>
      </w:pPr>
      <w:bookmarkStart w:id="953" w:name="_Toc7323"/>
      <w:bookmarkStart w:id="954" w:name="_Toc32540"/>
      <w:bookmarkStart w:id="955" w:name="_Toc27127"/>
      <w:bookmarkStart w:id="956" w:name="_Toc20271"/>
      <w:bookmarkStart w:id="957" w:name="_Toc22266"/>
      <w:bookmarkStart w:id="958" w:name="_Toc26691"/>
      <w:bookmarkStart w:id="959" w:name="_Toc15033"/>
      <w:bookmarkStart w:id="960" w:name="_Toc18902"/>
      <w:bookmarkStart w:id="961" w:name="_Toc279701264"/>
      <w:bookmarkStart w:id="962" w:name="_Toc27403"/>
      <w:bookmarkStart w:id="963" w:name="_Toc1492"/>
      <w:bookmarkStart w:id="964" w:name="_Toc30312"/>
      <w:bookmarkStart w:id="965" w:name="_Toc31884"/>
      <w:bookmarkStart w:id="966" w:name="_Toc13680"/>
      <w:bookmarkStart w:id="967" w:name="_Toc20559"/>
      <w:bookmarkStart w:id="968" w:name="_Toc32512"/>
      <w:bookmarkStart w:id="969" w:name="_Toc8030"/>
      <w:bookmarkStart w:id="970" w:name="_Toc259093693"/>
      <w:bookmarkStart w:id="971" w:name="_Toc30096"/>
      <w:bookmarkStart w:id="972" w:name="_Toc487900374"/>
      <w:r>
        <w:rPr>
          <w:rFonts w:hint="eastAsia" w:ascii="仿宋" w:hAnsi="仿宋" w:eastAsia="仿宋" w:cs="仿宋"/>
          <w:b/>
          <w:sz w:val="24"/>
        </w:rPr>
        <w:t>2.18 履约保证金</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BCF08D0">
      <w:pPr>
        <w:spacing w:line="400" w:lineRule="exact"/>
        <w:ind w:firstLine="480" w:firstLineChars="200"/>
        <w:rPr>
          <w:rFonts w:ascii="仿宋" w:hAnsi="仿宋" w:eastAsia="仿宋" w:cs="仿宋"/>
          <w:sz w:val="24"/>
        </w:rPr>
      </w:pPr>
      <w:r>
        <w:rPr>
          <w:rFonts w:hint="eastAsia" w:ascii="仿宋" w:hAnsi="仿宋" w:eastAsia="仿宋" w:cs="仿宋"/>
          <w:sz w:val="24"/>
        </w:rPr>
        <w:t>2.18.1 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14:paraId="27B39C09">
      <w:pPr>
        <w:spacing w:line="400" w:lineRule="exact"/>
        <w:ind w:firstLine="480" w:firstLineChars="200"/>
        <w:rPr>
          <w:rFonts w:ascii="仿宋" w:hAnsi="仿宋" w:eastAsia="仿宋" w:cs="仿宋"/>
          <w:sz w:val="24"/>
        </w:rPr>
      </w:pPr>
      <w:r>
        <w:rPr>
          <w:rFonts w:hint="eastAsia" w:ascii="仿宋" w:hAnsi="仿宋" w:eastAsia="仿宋" w:cs="仿宋"/>
          <w:sz w:val="24"/>
        </w:rPr>
        <w:t>2.18.2 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w:t>
      </w:r>
      <w:r>
        <w:rPr>
          <w:rFonts w:hint="eastAsia" w:ascii="仿宋" w:hAnsi="仿宋" w:eastAsia="仿宋" w:cs="仿宋"/>
          <w:sz w:val="24"/>
          <w:lang w:eastAsia="zh-CN"/>
        </w:rPr>
        <w:t>或者</w:t>
      </w:r>
      <w:r>
        <w:rPr>
          <w:rFonts w:hint="eastAsia" w:ascii="仿宋" w:hAnsi="仿宋" w:eastAsia="仿宋" w:cs="仿宋"/>
          <w:sz w:val="24"/>
        </w:rPr>
        <w:t>完全有效，前述约定期间届满之日</w:t>
      </w:r>
      <w:r>
        <w:rPr>
          <w:rFonts w:hint="eastAsia" w:ascii="仿宋" w:hAnsi="仿宋" w:eastAsia="仿宋" w:cs="仿宋"/>
          <w:sz w:val="24"/>
          <w:highlight w:val="none"/>
        </w:rPr>
        <w:t>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14:paraId="4CDEEC3A">
      <w:pPr>
        <w:spacing w:line="400" w:lineRule="exact"/>
        <w:ind w:firstLine="480" w:firstLineChars="200"/>
        <w:rPr>
          <w:rFonts w:ascii="仿宋" w:hAnsi="仿宋" w:eastAsia="仿宋" w:cs="仿宋"/>
          <w:sz w:val="24"/>
        </w:rPr>
      </w:pPr>
      <w:r>
        <w:rPr>
          <w:rFonts w:hint="eastAsia" w:ascii="仿宋" w:hAnsi="仿宋" w:eastAsia="仿宋" w:cs="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72"/>
    <w:p w14:paraId="65F47E5B">
      <w:pPr>
        <w:spacing w:line="400" w:lineRule="exact"/>
        <w:ind w:firstLine="482" w:firstLineChars="200"/>
        <w:outlineLvl w:val="1"/>
        <w:rPr>
          <w:rFonts w:ascii="仿宋" w:hAnsi="仿宋" w:eastAsia="仿宋" w:cs="仿宋"/>
          <w:b/>
          <w:sz w:val="24"/>
        </w:rPr>
      </w:pPr>
      <w:bookmarkStart w:id="973" w:name="_Toc14780"/>
      <w:bookmarkStart w:id="974" w:name="_Toc17313"/>
      <w:r>
        <w:rPr>
          <w:rFonts w:hint="eastAsia" w:ascii="仿宋" w:hAnsi="仿宋" w:eastAsia="仿宋" w:cs="仿宋"/>
          <w:b/>
          <w:sz w:val="24"/>
        </w:rPr>
        <w:t>2.19 合同份数</w:t>
      </w:r>
      <w:bookmarkEnd w:id="973"/>
      <w:bookmarkEnd w:id="974"/>
    </w:p>
    <w:p w14:paraId="2FBB3DFD">
      <w:pPr>
        <w:spacing w:line="400" w:lineRule="exact"/>
        <w:ind w:firstLine="480" w:firstLineChars="200"/>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bookmarkStart w:id="975" w:name="_Toc331685784"/>
    </w:p>
    <w:p w14:paraId="03D72290">
      <w:pPr>
        <w:spacing w:line="400" w:lineRule="exact"/>
        <w:ind w:firstLine="422" w:firstLineChars="200"/>
        <w:outlineLvl w:val="0"/>
        <w:rPr>
          <w:rFonts w:ascii="仿宋" w:hAnsi="仿宋" w:eastAsia="仿宋" w:cs="仿宋"/>
          <w:b/>
        </w:rPr>
      </w:pPr>
      <w:bookmarkStart w:id="976" w:name="_Toc25932"/>
      <w:bookmarkStart w:id="977" w:name="_Toc29326"/>
      <w:bookmarkStart w:id="978" w:name="_Toc7421"/>
      <w:r>
        <w:rPr>
          <w:rFonts w:hint="eastAsia" w:ascii="仿宋" w:hAnsi="仿宋" w:eastAsia="仿宋" w:cs="仿宋"/>
          <w:b/>
        </w:rPr>
        <w:t>第三部分  合同专用条款</w:t>
      </w:r>
      <w:bookmarkEnd w:id="975"/>
      <w:bookmarkEnd w:id="976"/>
      <w:bookmarkEnd w:id="977"/>
      <w:bookmarkEnd w:id="978"/>
    </w:p>
    <w:p w14:paraId="6FC8D9FF">
      <w:pPr>
        <w:spacing w:line="400" w:lineRule="exact"/>
        <w:ind w:firstLine="480" w:firstLineChars="200"/>
        <w:rPr>
          <w:rFonts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F2E4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0346A0B4">
            <w:pPr>
              <w:keepNext w:val="0"/>
              <w:keepLines w:val="0"/>
              <w:suppressLineNumbers w:val="0"/>
              <w:spacing w:before="0" w:beforeAutospacing="0" w:after="0" w:afterAutospacing="0" w:line="400" w:lineRule="exact"/>
              <w:ind w:left="0" w:right="0"/>
              <w:jc w:val="center"/>
              <w:rPr>
                <w:rFonts w:ascii="仿宋" w:hAnsi="仿宋" w:eastAsia="仿宋" w:cs="仿宋"/>
                <w:b/>
                <w:sz w:val="24"/>
              </w:rPr>
            </w:pPr>
            <w:r>
              <w:rPr>
                <w:rFonts w:hint="eastAsia" w:ascii="仿宋" w:hAnsi="仿宋" w:eastAsia="仿宋" w:cs="仿宋"/>
                <w:b/>
                <w:sz w:val="24"/>
              </w:rPr>
              <w:t>条款号</w:t>
            </w:r>
          </w:p>
        </w:tc>
        <w:tc>
          <w:tcPr>
            <w:tcW w:w="7633" w:type="dxa"/>
            <w:vAlign w:val="center"/>
          </w:tcPr>
          <w:p w14:paraId="5A067623">
            <w:pPr>
              <w:keepNext w:val="0"/>
              <w:keepLines w:val="0"/>
              <w:suppressLineNumbers w:val="0"/>
              <w:spacing w:before="0" w:beforeAutospacing="0" w:after="0" w:afterAutospacing="0" w:line="400" w:lineRule="exact"/>
              <w:ind w:left="0" w:right="0"/>
              <w:jc w:val="center"/>
              <w:rPr>
                <w:rFonts w:ascii="仿宋" w:hAnsi="仿宋" w:eastAsia="仿宋" w:cs="仿宋"/>
                <w:b/>
                <w:sz w:val="24"/>
              </w:rPr>
            </w:pPr>
            <w:r>
              <w:rPr>
                <w:rFonts w:hint="eastAsia" w:ascii="仿宋" w:hAnsi="仿宋" w:eastAsia="仿宋" w:cs="仿宋"/>
                <w:b/>
                <w:sz w:val="24"/>
              </w:rPr>
              <w:t>约定内容</w:t>
            </w:r>
          </w:p>
        </w:tc>
      </w:tr>
      <w:tr w14:paraId="22737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3E65BE47">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7E78E1EB">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37767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CB36287">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075A39A3">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31CAC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1AA21D1">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43BF2652">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1EBA6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A9E624D">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4C2B1BFB">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71E94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A080782">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19C91A0E">
            <w:pPr>
              <w:keepNext w:val="0"/>
              <w:keepLines w:val="0"/>
              <w:suppressLineNumbers w:val="0"/>
              <w:spacing w:before="0" w:beforeAutospacing="0" w:after="0" w:afterAutospacing="0" w:line="400" w:lineRule="exact"/>
              <w:ind w:left="0" w:right="0"/>
              <w:rPr>
                <w:rFonts w:ascii="仿宋" w:hAnsi="仿宋" w:eastAsia="仿宋" w:cs="仿宋"/>
                <w:sz w:val="24"/>
                <w:u w:val="single"/>
              </w:rPr>
            </w:pPr>
          </w:p>
        </w:tc>
      </w:tr>
      <w:tr w14:paraId="1B91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217E316">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16425406">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5E625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98BB8FE">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0FB69B4D">
            <w:pPr>
              <w:keepNext w:val="0"/>
              <w:keepLines w:val="0"/>
              <w:suppressLineNumbers w:val="0"/>
              <w:spacing w:before="0" w:beforeAutospacing="0" w:after="0" w:afterAutospacing="0" w:line="400" w:lineRule="exact"/>
              <w:ind w:left="0" w:right="0"/>
              <w:rPr>
                <w:rFonts w:ascii="仿宋" w:hAnsi="仿宋" w:eastAsia="仿宋" w:cs="仿宋"/>
                <w:sz w:val="24"/>
                <w:u w:val="single"/>
              </w:rPr>
            </w:pPr>
          </w:p>
        </w:tc>
      </w:tr>
      <w:tr w14:paraId="70CED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4F6F49E">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4190BAC6">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65A83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C44EE72">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41183E35">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142A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456EAE1">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5CE41B3D">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15F4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B6C9BEC">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2489D2D2">
            <w:pPr>
              <w:keepNext w:val="0"/>
              <w:keepLines w:val="0"/>
              <w:suppressLineNumbers w:val="0"/>
              <w:spacing w:before="0" w:beforeAutospacing="0" w:after="0" w:afterAutospacing="0" w:line="400" w:lineRule="exact"/>
              <w:ind w:left="0" w:right="0"/>
              <w:rPr>
                <w:rFonts w:ascii="仿宋" w:hAnsi="仿宋" w:eastAsia="仿宋" w:cs="仿宋"/>
                <w:sz w:val="24"/>
              </w:rPr>
            </w:pPr>
          </w:p>
        </w:tc>
      </w:tr>
      <w:tr w14:paraId="363D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E29D8E9">
            <w:pPr>
              <w:keepNext w:val="0"/>
              <w:keepLines w:val="0"/>
              <w:suppressLineNumbers w:val="0"/>
              <w:spacing w:before="0" w:beforeAutospacing="0" w:after="0" w:afterAutospacing="0" w:line="400" w:lineRule="exact"/>
              <w:ind w:left="0" w:right="0"/>
              <w:rPr>
                <w:rFonts w:ascii="仿宋" w:hAnsi="仿宋" w:eastAsia="仿宋" w:cs="仿宋"/>
                <w:sz w:val="24"/>
              </w:rPr>
            </w:pPr>
          </w:p>
        </w:tc>
        <w:tc>
          <w:tcPr>
            <w:tcW w:w="7633" w:type="dxa"/>
            <w:vAlign w:val="center"/>
          </w:tcPr>
          <w:p w14:paraId="40624167">
            <w:pPr>
              <w:keepNext w:val="0"/>
              <w:keepLines w:val="0"/>
              <w:suppressLineNumbers w:val="0"/>
              <w:spacing w:before="0" w:beforeAutospacing="0" w:after="0" w:afterAutospacing="0" w:line="400" w:lineRule="exact"/>
              <w:ind w:left="0" w:right="0"/>
              <w:rPr>
                <w:rFonts w:ascii="仿宋" w:hAnsi="仿宋" w:eastAsia="仿宋" w:cs="仿宋"/>
                <w:sz w:val="24"/>
              </w:rPr>
            </w:pPr>
          </w:p>
        </w:tc>
      </w:tr>
    </w:tbl>
    <w:p w14:paraId="210F0C3F">
      <w:pPr>
        <w:rPr>
          <w:rFonts w:hint="eastAsia" w:ascii="仿宋" w:hAnsi="仿宋" w:eastAsia="仿宋" w:cs="仿宋"/>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3056732-A146-47B6-9376-847A1C8D8DF4}"/>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Noto Sans Mono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2" w:fontKey="{A25B9855-611B-4418-830A-AD7A9F10F69F}"/>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755E">
    <w:pPr>
      <w:tabs>
        <w:tab w:val="center" w:pos="4153"/>
        <w:tab w:val="right" w:pos="8306"/>
      </w:tabs>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423A">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89C32">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F89C3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B576">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98381">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E98381">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A354">
    <w:pPr>
      <w:pStyle w:val="22"/>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A28DD">
                          <w:pPr>
                            <w:pStyle w:val="2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A28DD">
                    <w:pPr>
                      <w:pStyle w:val="2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B093">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1F708">
                          <w:pPr>
                            <w:pStyle w:val="2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91F708">
                    <w:pPr>
                      <w:pStyle w:val="22"/>
                    </w:pPr>
                    <w:r>
                      <w:fldChar w:fldCharType="begin"/>
                    </w:r>
                    <w:r>
                      <w:instrText xml:space="preserve"> PAGE  \* MERGEFORMAT </w:instrText>
                    </w:r>
                    <w:r>
                      <w:fldChar w:fldCharType="separate"/>
                    </w:r>
                    <w:r>
                      <w:t>40</w:t>
                    </w:r>
                    <w:r>
                      <w:fldChar w:fldCharType="end"/>
                    </w:r>
                  </w:p>
                </w:txbxContent>
              </v:textbox>
            </v:shape>
          </w:pict>
        </mc:Fallback>
      </mc:AlternateContent>
    </w:r>
  </w:p>
  <w:p w14:paraId="4E473CFE">
    <w:pPr>
      <w:pStyle w:val="2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1B18">
    <w:pPr>
      <w:tabs>
        <w:tab w:val="center" w:pos="4153"/>
        <w:tab w:val="right" w:pos="8306"/>
      </w:tabs>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8056E">
                          <w:pPr>
                            <w:pStyle w:val="2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08056E">
                    <w:pPr>
                      <w:pStyle w:val="22"/>
                    </w:pPr>
                    <w:r>
                      <w:fldChar w:fldCharType="begin"/>
                    </w:r>
                    <w:r>
                      <w:instrText xml:space="preserve"> PAGE  \* MERGEFORMAT </w:instrText>
                    </w:r>
                    <w:r>
                      <w:fldChar w:fldCharType="separate"/>
                    </w:r>
                    <w:r>
                      <w:t>54</w:t>
                    </w:r>
                    <w:r>
                      <w:fldChar w:fldCharType="end"/>
                    </w:r>
                  </w:p>
                </w:txbxContent>
              </v:textbox>
            </v:shape>
          </w:pict>
        </mc:Fallback>
      </mc:AlternateContent>
    </w:r>
  </w:p>
  <w:p w14:paraId="71CB3E54">
    <w:pPr>
      <w:tabs>
        <w:tab w:val="center" w:pos="4153"/>
        <w:tab w:val="right" w:pos="8306"/>
      </w:tabs>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7E937">
    <w:pPr>
      <w:pStyle w:val="2"/>
      <w:spacing w:line="14" w:lineRule="auto"/>
      <w:rPr>
        <w:sz w:val="12"/>
      </w:rPr>
    </w:pPr>
    <w:r>
      <w:rPr>
        <w:sz w:val="1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C4B0D">
                          <w:pPr>
                            <w:pStyle w:val="2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8C4B0D">
                    <w:pPr>
                      <w:pStyle w:val="2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0CBE">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9B16">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1507">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E304E"/>
    <w:multiLevelType w:val="singleLevel"/>
    <w:tmpl w:val="885E304E"/>
    <w:lvl w:ilvl="0" w:tentative="0">
      <w:start w:val="6"/>
      <w:numFmt w:val="chineseCounting"/>
      <w:suff w:val="nothing"/>
      <w:lvlText w:val="%1、"/>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DDA9F6E8"/>
    <w:multiLevelType w:val="singleLevel"/>
    <w:tmpl w:val="DDA9F6E8"/>
    <w:lvl w:ilvl="0" w:tentative="0">
      <w:start w:val="5"/>
      <w:numFmt w:val="decimal"/>
      <w:suff w:val="space"/>
      <w:lvlText w:val="第%1章"/>
      <w:lvlJc w:val="left"/>
    </w:lvl>
  </w:abstractNum>
  <w:abstractNum w:abstractNumId="3">
    <w:nsid w:val="051423B4"/>
    <w:multiLevelType w:val="singleLevel"/>
    <w:tmpl w:val="051423B4"/>
    <w:lvl w:ilvl="0" w:tentative="0">
      <w:start w:val="8"/>
      <w:numFmt w:val="decimal"/>
      <w:suff w:val="nothing"/>
      <w:lvlText w:val="%1）"/>
      <w:lvlJc w:val="left"/>
    </w:lvl>
  </w:abstractNum>
  <w:abstractNum w:abstractNumId="4">
    <w:nsid w:val="0C02CDE8"/>
    <w:multiLevelType w:val="singleLevel"/>
    <w:tmpl w:val="0C02CDE8"/>
    <w:lvl w:ilvl="0" w:tentative="0">
      <w:start w:val="1"/>
      <w:numFmt w:val="chineseCounting"/>
      <w:suff w:val="nothing"/>
      <w:lvlText w:val="（%1）"/>
      <w:lvlJc w:val="left"/>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62600FE"/>
    <w:multiLevelType w:val="multilevel"/>
    <w:tmpl w:val="362600FE"/>
    <w:lvl w:ilvl="0" w:tentative="0">
      <w:start w:val="1"/>
      <w:numFmt w:val="decimal"/>
      <w:lvlText w:val="（%1）"/>
      <w:lvlJc w:val="left"/>
      <w:pPr>
        <w:ind w:left="1653" w:hanging="601"/>
      </w:pPr>
      <w:rPr>
        <w:rFonts w:hint="default" w:ascii="宋体" w:hAnsi="宋体" w:eastAsia="宋体" w:cs="宋体"/>
        <w:w w:val="100"/>
        <w:sz w:val="22"/>
        <w:szCs w:val="22"/>
      </w:rPr>
    </w:lvl>
    <w:lvl w:ilvl="1" w:tentative="0">
      <w:start w:val="0"/>
      <w:numFmt w:val="bullet"/>
      <w:lvlText w:val="•"/>
      <w:lvlJc w:val="left"/>
      <w:pPr>
        <w:ind w:left="2566" w:hanging="601"/>
      </w:pPr>
      <w:rPr>
        <w:rFonts w:hint="default"/>
      </w:rPr>
    </w:lvl>
    <w:lvl w:ilvl="2" w:tentative="0">
      <w:start w:val="0"/>
      <w:numFmt w:val="bullet"/>
      <w:lvlText w:val="•"/>
      <w:lvlJc w:val="left"/>
      <w:pPr>
        <w:ind w:left="3473" w:hanging="601"/>
      </w:pPr>
      <w:rPr>
        <w:rFonts w:hint="default"/>
      </w:rPr>
    </w:lvl>
    <w:lvl w:ilvl="3" w:tentative="0">
      <w:start w:val="0"/>
      <w:numFmt w:val="bullet"/>
      <w:lvlText w:val="•"/>
      <w:lvlJc w:val="left"/>
      <w:pPr>
        <w:ind w:left="4380" w:hanging="601"/>
      </w:pPr>
      <w:rPr>
        <w:rFonts w:hint="default"/>
      </w:rPr>
    </w:lvl>
    <w:lvl w:ilvl="4" w:tentative="0">
      <w:start w:val="0"/>
      <w:numFmt w:val="bullet"/>
      <w:lvlText w:val="•"/>
      <w:lvlJc w:val="left"/>
      <w:pPr>
        <w:ind w:left="5286" w:hanging="601"/>
      </w:pPr>
      <w:rPr>
        <w:rFonts w:hint="default"/>
      </w:rPr>
    </w:lvl>
    <w:lvl w:ilvl="5" w:tentative="0">
      <w:start w:val="0"/>
      <w:numFmt w:val="bullet"/>
      <w:lvlText w:val="•"/>
      <w:lvlJc w:val="left"/>
      <w:pPr>
        <w:ind w:left="6193" w:hanging="601"/>
      </w:pPr>
      <w:rPr>
        <w:rFonts w:hint="default"/>
      </w:rPr>
    </w:lvl>
    <w:lvl w:ilvl="6" w:tentative="0">
      <w:start w:val="0"/>
      <w:numFmt w:val="bullet"/>
      <w:lvlText w:val="•"/>
      <w:lvlJc w:val="left"/>
      <w:pPr>
        <w:ind w:left="7100" w:hanging="601"/>
      </w:pPr>
      <w:rPr>
        <w:rFonts w:hint="default"/>
      </w:rPr>
    </w:lvl>
    <w:lvl w:ilvl="7" w:tentative="0">
      <w:start w:val="0"/>
      <w:numFmt w:val="bullet"/>
      <w:lvlText w:val="•"/>
      <w:lvlJc w:val="left"/>
      <w:pPr>
        <w:ind w:left="8006" w:hanging="601"/>
      </w:pPr>
      <w:rPr>
        <w:rFonts w:hint="default"/>
      </w:rPr>
    </w:lvl>
    <w:lvl w:ilvl="8" w:tentative="0">
      <w:start w:val="0"/>
      <w:numFmt w:val="bullet"/>
      <w:lvlText w:val="•"/>
      <w:lvlJc w:val="left"/>
      <w:pPr>
        <w:ind w:left="8913" w:hanging="601"/>
      </w:pPr>
      <w:rPr>
        <w:rFonts w:hint="default"/>
      </w:rPr>
    </w:lvl>
  </w:abstractNum>
  <w:abstractNum w:abstractNumId="8">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1296" w:hanging="244"/>
      </w:pPr>
      <w:rPr>
        <w:rFonts w:hint="default" w:ascii="宋体" w:hAnsi="宋体" w:eastAsia="宋体" w:cs="宋体"/>
        <w:b/>
        <w:bCs/>
        <w:spacing w:val="0"/>
        <w:w w:val="99"/>
        <w:sz w:val="22"/>
        <w:szCs w:val="22"/>
      </w:rPr>
    </w:lvl>
    <w:lvl w:ilvl="2" w:tentative="0">
      <w:start w:val="1"/>
      <w:numFmt w:val="decimal"/>
      <w:lvlText w:val="%2.%3"/>
      <w:lvlJc w:val="left"/>
      <w:pPr>
        <w:ind w:left="1561" w:hanging="423"/>
      </w:pPr>
      <w:rPr>
        <w:rFonts w:hint="default" w:ascii="宋体" w:hAnsi="宋体" w:eastAsia="宋体" w:cs="宋体"/>
        <w:w w:val="100"/>
        <w:sz w:val="24"/>
        <w:szCs w:val="24"/>
      </w:rPr>
    </w:lvl>
    <w:lvl w:ilvl="3" w:tentative="0">
      <w:start w:val="1"/>
      <w:numFmt w:val="decimal"/>
      <w:lvlText w:val="%2.%3.%4"/>
      <w:lvlJc w:val="left"/>
      <w:pPr>
        <w:ind w:left="2111"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9">
    <w:nsid w:val="479B5BBA"/>
    <w:multiLevelType w:val="multilevel"/>
    <w:tmpl w:val="479B5BBA"/>
    <w:lvl w:ilvl="0" w:tentative="0">
      <w:start w:val="1"/>
      <w:numFmt w:val="chineseCountingThousand"/>
      <w:suff w:val="space"/>
      <w:lvlText w:val="第 %1 章"/>
      <w:lvlJc w:val="left"/>
      <w:pPr>
        <w:ind w:left="4543" w:hanging="431"/>
      </w:pPr>
      <w:rPr>
        <w:rFonts w:hint="default" w:ascii="Times New Roman" w:hAnsi="Times New Roman" w:eastAsia="黑体"/>
        <w:b w:val="0"/>
        <w:i w:val="0"/>
        <w:sz w:val="44"/>
      </w:rPr>
    </w:lvl>
    <w:lvl w:ilvl="1" w:tentative="0">
      <w:start w:val="1"/>
      <w:numFmt w:val="decimal"/>
      <w:isLgl/>
      <w:suff w:val="space"/>
      <w:lvlText w:val="%1.%2"/>
      <w:lvlJc w:val="left"/>
      <w:pPr>
        <w:ind w:left="4112" w:hanging="567"/>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rPr>
    </w:lvl>
    <w:lvl w:ilvl="2" w:tentative="0">
      <w:start w:val="1"/>
      <w:numFmt w:val="decimal"/>
      <w:isLgl/>
      <w:suff w:val="space"/>
      <w:lvlText w:val="%1.%2.%3"/>
      <w:lvlJc w:val="left"/>
      <w:pPr>
        <w:ind w:left="469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7"/>
      <w:isLgl/>
      <w:suff w:val="space"/>
      <w:lvlText w:val="%1.%2.%3.%4"/>
      <w:lvlJc w:val="left"/>
      <w:pPr>
        <w:ind w:left="2424" w:hanging="864"/>
      </w:pPr>
      <w:rPr>
        <w:rFonts w:hint="default" w:ascii="Arial" w:hAnsi="Arial" w:eastAsia="黑体"/>
        <w:b w:val="0"/>
        <w:i w:val="0"/>
        <w:sz w:val="30"/>
      </w:rPr>
    </w:lvl>
    <w:lvl w:ilvl="4" w:tentative="0">
      <w:start w:val="1"/>
      <w:numFmt w:val="decimal"/>
      <w:pStyle w:val="8"/>
      <w:isLgl/>
      <w:suff w:val="space"/>
      <w:lvlText w:val="%1.%2.%3.%4.%5"/>
      <w:lvlJc w:val="left"/>
      <w:pPr>
        <w:ind w:left="1848" w:hanging="1008"/>
      </w:pPr>
      <w:rPr>
        <w:rFonts w:hint="default" w:ascii="Arial" w:hAnsi="Arial" w:eastAsia="黑体"/>
        <w:b w:val="0"/>
        <w:i w:val="0"/>
        <w:sz w:val="28"/>
      </w:rPr>
    </w:lvl>
    <w:lvl w:ilvl="5" w:tentative="0">
      <w:start w:val="1"/>
      <w:numFmt w:val="decimal"/>
      <w:pStyle w:val="9"/>
      <w:lvlText w:val="%1.%2.%3.%4.%5.%6"/>
      <w:lvlJc w:val="left"/>
      <w:pPr>
        <w:tabs>
          <w:tab w:val="left" w:pos="1992"/>
        </w:tabs>
        <w:ind w:left="1992" w:hanging="1152"/>
      </w:pPr>
      <w:rPr>
        <w:rFonts w:hint="eastAsia"/>
      </w:rPr>
    </w:lvl>
    <w:lvl w:ilvl="6" w:tentative="0">
      <w:start w:val="1"/>
      <w:numFmt w:val="decimal"/>
      <w:lvlText w:val="%1.%2.%3.%4.%5.%6.%7"/>
      <w:lvlJc w:val="left"/>
      <w:pPr>
        <w:tabs>
          <w:tab w:val="left" w:pos="2136"/>
        </w:tabs>
        <w:ind w:left="2136" w:hanging="1296"/>
      </w:pPr>
      <w:rPr>
        <w:rFonts w:hint="eastAsia"/>
      </w:rPr>
    </w:lvl>
    <w:lvl w:ilvl="7" w:tentative="0">
      <w:start w:val="1"/>
      <w:numFmt w:val="decimal"/>
      <w:lvlText w:val="%1.%2.%3.%4.%5.%6.%7.%8"/>
      <w:lvlJc w:val="left"/>
      <w:pPr>
        <w:tabs>
          <w:tab w:val="left" w:pos="2280"/>
        </w:tabs>
        <w:ind w:left="2280" w:hanging="1440"/>
      </w:pPr>
      <w:rPr>
        <w:rFonts w:hint="eastAsia"/>
      </w:rPr>
    </w:lvl>
    <w:lvl w:ilvl="8" w:tentative="0">
      <w:start w:val="1"/>
      <w:numFmt w:val="decimal"/>
      <w:lvlText w:val="%1.%2.%3.%4.%5.%6.%7.%8.%9"/>
      <w:lvlJc w:val="left"/>
      <w:pPr>
        <w:tabs>
          <w:tab w:val="left" w:pos="2424"/>
        </w:tabs>
        <w:ind w:left="2424" w:hanging="1584"/>
      </w:pPr>
      <w:rPr>
        <w:rFonts w:hint="eastAsia"/>
      </w:rPr>
    </w:lvl>
  </w:abstractNum>
  <w:abstractNum w:abstractNumId="10">
    <w:nsid w:val="570FB1A1"/>
    <w:multiLevelType w:val="singleLevel"/>
    <w:tmpl w:val="570FB1A1"/>
    <w:lvl w:ilvl="0" w:tentative="0">
      <w:start w:val="3"/>
      <w:numFmt w:val="chineseCounting"/>
      <w:suff w:val="nothing"/>
      <w:lvlText w:val="%1、"/>
      <w:lvlJc w:val="left"/>
      <w:rPr>
        <w:rFonts w:hint="eastAsia"/>
      </w:rPr>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6"/>
  </w:num>
  <w:num w:numId="3">
    <w:abstractNumId w:val="11"/>
  </w:num>
  <w:num w:numId="4">
    <w:abstractNumId w:val="1"/>
  </w:num>
  <w:num w:numId="5">
    <w:abstractNumId w:val="5"/>
  </w:num>
  <w:num w:numId="6">
    <w:abstractNumId w:val="4"/>
  </w:num>
  <w:num w:numId="7">
    <w:abstractNumId w:val="3"/>
  </w:num>
  <w:num w:numId="8">
    <w:abstractNumId w:val="0"/>
  </w:num>
  <w:num w:numId="9">
    <w:abstractNumId w:val="2"/>
  </w:num>
  <w:num w:numId="10">
    <w:abstractNumId w:val="10"/>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E3ZWYwOTUxY2JkNTJmNzQyMDlmMzk4NDZiNzRjMGEifQ=="/>
    <w:docVar w:name="VTCASE" w:val="4"/>
    <w:docVar w:name="VTCommandPending" w:val="NONE"/>
  </w:docVars>
  <w:rsids>
    <w:rsidRoot w:val="00172A27"/>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0C6A"/>
    <w:rsid w:val="000612B3"/>
    <w:rsid w:val="00061B68"/>
    <w:rsid w:val="00063750"/>
    <w:rsid w:val="00065379"/>
    <w:rsid w:val="000673C5"/>
    <w:rsid w:val="00070907"/>
    <w:rsid w:val="000719AB"/>
    <w:rsid w:val="00073852"/>
    <w:rsid w:val="00076670"/>
    <w:rsid w:val="00080B56"/>
    <w:rsid w:val="00080FC7"/>
    <w:rsid w:val="00081D11"/>
    <w:rsid w:val="00083115"/>
    <w:rsid w:val="0008460B"/>
    <w:rsid w:val="0009075B"/>
    <w:rsid w:val="00093645"/>
    <w:rsid w:val="000942B7"/>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1925"/>
    <w:rsid w:val="000E3784"/>
    <w:rsid w:val="000E37E0"/>
    <w:rsid w:val="000E47A0"/>
    <w:rsid w:val="000E597F"/>
    <w:rsid w:val="000E5BFC"/>
    <w:rsid w:val="000E5D71"/>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5135"/>
    <w:rsid w:val="00137694"/>
    <w:rsid w:val="00141EAC"/>
    <w:rsid w:val="00143652"/>
    <w:rsid w:val="0014627C"/>
    <w:rsid w:val="0015142E"/>
    <w:rsid w:val="00157C74"/>
    <w:rsid w:val="00157D8E"/>
    <w:rsid w:val="00161678"/>
    <w:rsid w:val="00161D71"/>
    <w:rsid w:val="00162805"/>
    <w:rsid w:val="00165014"/>
    <w:rsid w:val="001669D4"/>
    <w:rsid w:val="0017180F"/>
    <w:rsid w:val="001733C3"/>
    <w:rsid w:val="00173BFF"/>
    <w:rsid w:val="00174749"/>
    <w:rsid w:val="00174FCA"/>
    <w:rsid w:val="00175AFB"/>
    <w:rsid w:val="00176F12"/>
    <w:rsid w:val="001770BE"/>
    <w:rsid w:val="00177A3E"/>
    <w:rsid w:val="00183E4B"/>
    <w:rsid w:val="00186BF0"/>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181C"/>
    <w:rsid w:val="002231A4"/>
    <w:rsid w:val="00223245"/>
    <w:rsid w:val="002235CA"/>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349C"/>
    <w:rsid w:val="002745E7"/>
    <w:rsid w:val="002760AC"/>
    <w:rsid w:val="00276E33"/>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449"/>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1550"/>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66"/>
    <w:rsid w:val="003A6B72"/>
    <w:rsid w:val="003B020F"/>
    <w:rsid w:val="003B3917"/>
    <w:rsid w:val="003B41D9"/>
    <w:rsid w:val="003B4356"/>
    <w:rsid w:val="003B5422"/>
    <w:rsid w:val="003B643A"/>
    <w:rsid w:val="003B7293"/>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0138"/>
    <w:rsid w:val="00501785"/>
    <w:rsid w:val="00503724"/>
    <w:rsid w:val="00504E3C"/>
    <w:rsid w:val="00507AD5"/>
    <w:rsid w:val="00513F7C"/>
    <w:rsid w:val="005149B8"/>
    <w:rsid w:val="005168FA"/>
    <w:rsid w:val="005175C0"/>
    <w:rsid w:val="00520001"/>
    <w:rsid w:val="00521717"/>
    <w:rsid w:val="0052391C"/>
    <w:rsid w:val="0052393A"/>
    <w:rsid w:val="00523EB0"/>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EC"/>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0597"/>
    <w:rsid w:val="00612A91"/>
    <w:rsid w:val="00615BD4"/>
    <w:rsid w:val="006176D9"/>
    <w:rsid w:val="0062063C"/>
    <w:rsid w:val="00621EEA"/>
    <w:rsid w:val="00622049"/>
    <w:rsid w:val="006267AC"/>
    <w:rsid w:val="006275F8"/>
    <w:rsid w:val="00630C8F"/>
    <w:rsid w:val="0063126C"/>
    <w:rsid w:val="006321D9"/>
    <w:rsid w:val="00635ACD"/>
    <w:rsid w:val="00645991"/>
    <w:rsid w:val="00645F9B"/>
    <w:rsid w:val="006462F4"/>
    <w:rsid w:val="00646C7B"/>
    <w:rsid w:val="00653EEF"/>
    <w:rsid w:val="00656DB1"/>
    <w:rsid w:val="0065706C"/>
    <w:rsid w:val="006570F3"/>
    <w:rsid w:val="006574CA"/>
    <w:rsid w:val="00661709"/>
    <w:rsid w:val="00663087"/>
    <w:rsid w:val="00666E6E"/>
    <w:rsid w:val="00667926"/>
    <w:rsid w:val="00672A07"/>
    <w:rsid w:val="00672A3D"/>
    <w:rsid w:val="00673284"/>
    <w:rsid w:val="00673C56"/>
    <w:rsid w:val="00674E3C"/>
    <w:rsid w:val="00684218"/>
    <w:rsid w:val="00684A17"/>
    <w:rsid w:val="0068548A"/>
    <w:rsid w:val="00686ACA"/>
    <w:rsid w:val="006904AF"/>
    <w:rsid w:val="006911F9"/>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0CE9"/>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547E"/>
    <w:rsid w:val="0081653B"/>
    <w:rsid w:val="00821DF6"/>
    <w:rsid w:val="00823CCC"/>
    <w:rsid w:val="00827179"/>
    <w:rsid w:val="0083029A"/>
    <w:rsid w:val="00830426"/>
    <w:rsid w:val="00830E02"/>
    <w:rsid w:val="00831C83"/>
    <w:rsid w:val="00831E0A"/>
    <w:rsid w:val="008322BB"/>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189B"/>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0C60"/>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503F"/>
    <w:rsid w:val="00936E93"/>
    <w:rsid w:val="00937FDA"/>
    <w:rsid w:val="00947632"/>
    <w:rsid w:val="0094786C"/>
    <w:rsid w:val="00947B9F"/>
    <w:rsid w:val="00947FB4"/>
    <w:rsid w:val="00952D2F"/>
    <w:rsid w:val="00952D60"/>
    <w:rsid w:val="00952E44"/>
    <w:rsid w:val="00953D9C"/>
    <w:rsid w:val="00955447"/>
    <w:rsid w:val="00955A17"/>
    <w:rsid w:val="00957C50"/>
    <w:rsid w:val="00960E12"/>
    <w:rsid w:val="0096331F"/>
    <w:rsid w:val="00963914"/>
    <w:rsid w:val="00963A90"/>
    <w:rsid w:val="009729D8"/>
    <w:rsid w:val="0097453F"/>
    <w:rsid w:val="00974577"/>
    <w:rsid w:val="00975045"/>
    <w:rsid w:val="00975D66"/>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A4"/>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44D"/>
    <w:rsid w:val="00A62660"/>
    <w:rsid w:val="00A62D2C"/>
    <w:rsid w:val="00A64D6A"/>
    <w:rsid w:val="00A66A0F"/>
    <w:rsid w:val="00A67FB0"/>
    <w:rsid w:val="00A700BE"/>
    <w:rsid w:val="00A7038D"/>
    <w:rsid w:val="00A73440"/>
    <w:rsid w:val="00A75908"/>
    <w:rsid w:val="00A75D01"/>
    <w:rsid w:val="00A76B01"/>
    <w:rsid w:val="00A813D7"/>
    <w:rsid w:val="00A83AD0"/>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0BD6"/>
    <w:rsid w:val="00B02305"/>
    <w:rsid w:val="00B02E23"/>
    <w:rsid w:val="00B060D5"/>
    <w:rsid w:val="00B1175D"/>
    <w:rsid w:val="00B12731"/>
    <w:rsid w:val="00B12AA5"/>
    <w:rsid w:val="00B146BC"/>
    <w:rsid w:val="00B14DF1"/>
    <w:rsid w:val="00B153B3"/>
    <w:rsid w:val="00B17CBB"/>
    <w:rsid w:val="00B20BBF"/>
    <w:rsid w:val="00B20DF2"/>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6918"/>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CDD"/>
    <w:rsid w:val="00B95E2C"/>
    <w:rsid w:val="00BA2C17"/>
    <w:rsid w:val="00BA40F3"/>
    <w:rsid w:val="00BA5F6B"/>
    <w:rsid w:val="00BA6BD0"/>
    <w:rsid w:val="00BB0589"/>
    <w:rsid w:val="00BB1AF8"/>
    <w:rsid w:val="00BB2E2A"/>
    <w:rsid w:val="00BB4B39"/>
    <w:rsid w:val="00BC3515"/>
    <w:rsid w:val="00BC3A1F"/>
    <w:rsid w:val="00BC59C2"/>
    <w:rsid w:val="00BD02CC"/>
    <w:rsid w:val="00BD22C7"/>
    <w:rsid w:val="00BD277B"/>
    <w:rsid w:val="00BD530D"/>
    <w:rsid w:val="00BE205B"/>
    <w:rsid w:val="00BE264E"/>
    <w:rsid w:val="00BE4E80"/>
    <w:rsid w:val="00BE68B4"/>
    <w:rsid w:val="00C029B6"/>
    <w:rsid w:val="00C03B0F"/>
    <w:rsid w:val="00C03E68"/>
    <w:rsid w:val="00C05139"/>
    <w:rsid w:val="00C11035"/>
    <w:rsid w:val="00C124B7"/>
    <w:rsid w:val="00C16AB3"/>
    <w:rsid w:val="00C17224"/>
    <w:rsid w:val="00C17685"/>
    <w:rsid w:val="00C20CBD"/>
    <w:rsid w:val="00C223A5"/>
    <w:rsid w:val="00C23A93"/>
    <w:rsid w:val="00C23BCF"/>
    <w:rsid w:val="00C2546E"/>
    <w:rsid w:val="00C2648A"/>
    <w:rsid w:val="00C2711D"/>
    <w:rsid w:val="00C275B4"/>
    <w:rsid w:val="00C30909"/>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1C98"/>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5500"/>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4FF0"/>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607"/>
    <w:rsid w:val="00D72C4E"/>
    <w:rsid w:val="00D7438A"/>
    <w:rsid w:val="00D756CA"/>
    <w:rsid w:val="00D77713"/>
    <w:rsid w:val="00D7798A"/>
    <w:rsid w:val="00D8307B"/>
    <w:rsid w:val="00D8327C"/>
    <w:rsid w:val="00D836F7"/>
    <w:rsid w:val="00D84645"/>
    <w:rsid w:val="00D864F8"/>
    <w:rsid w:val="00D879A3"/>
    <w:rsid w:val="00D9012D"/>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56518"/>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EF7950"/>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DF"/>
    <w:rsid w:val="00F50CE7"/>
    <w:rsid w:val="00F51438"/>
    <w:rsid w:val="00F52A8D"/>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3164E"/>
    <w:rsid w:val="010C3E21"/>
    <w:rsid w:val="01101675"/>
    <w:rsid w:val="011473B7"/>
    <w:rsid w:val="01167762"/>
    <w:rsid w:val="011B6997"/>
    <w:rsid w:val="011E6883"/>
    <w:rsid w:val="01284C10"/>
    <w:rsid w:val="012E3330"/>
    <w:rsid w:val="013637D1"/>
    <w:rsid w:val="01395070"/>
    <w:rsid w:val="013F4829"/>
    <w:rsid w:val="014632E9"/>
    <w:rsid w:val="014A102B"/>
    <w:rsid w:val="014B08FF"/>
    <w:rsid w:val="01514167"/>
    <w:rsid w:val="01541EA9"/>
    <w:rsid w:val="01543C57"/>
    <w:rsid w:val="01545A05"/>
    <w:rsid w:val="0156352C"/>
    <w:rsid w:val="01592D24"/>
    <w:rsid w:val="015B3238"/>
    <w:rsid w:val="015B4FE6"/>
    <w:rsid w:val="016025FC"/>
    <w:rsid w:val="01633E9B"/>
    <w:rsid w:val="016A347B"/>
    <w:rsid w:val="017240DE"/>
    <w:rsid w:val="01761E20"/>
    <w:rsid w:val="01775986"/>
    <w:rsid w:val="01785B98"/>
    <w:rsid w:val="0179129D"/>
    <w:rsid w:val="018067FB"/>
    <w:rsid w:val="01822573"/>
    <w:rsid w:val="01825D39"/>
    <w:rsid w:val="01826A17"/>
    <w:rsid w:val="018372BC"/>
    <w:rsid w:val="0187402D"/>
    <w:rsid w:val="018A58CB"/>
    <w:rsid w:val="018D025D"/>
    <w:rsid w:val="018E7ABF"/>
    <w:rsid w:val="018F2EE2"/>
    <w:rsid w:val="018F6A3E"/>
    <w:rsid w:val="01910A08"/>
    <w:rsid w:val="019404F8"/>
    <w:rsid w:val="0198796C"/>
    <w:rsid w:val="01995B0E"/>
    <w:rsid w:val="019A5F8D"/>
    <w:rsid w:val="019B3634"/>
    <w:rsid w:val="019D55FE"/>
    <w:rsid w:val="019D73AC"/>
    <w:rsid w:val="019E3125"/>
    <w:rsid w:val="01AD6E7F"/>
    <w:rsid w:val="01AE15BA"/>
    <w:rsid w:val="01AF5332"/>
    <w:rsid w:val="01B110AA"/>
    <w:rsid w:val="01B464A4"/>
    <w:rsid w:val="01BD17FD"/>
    <w:rsid w:val="01BE7323"/>
    <w:rsid w:val="01C133B8"/>
    <w:rsid w:val="01C40DDD"/>
    <w:rsid w:val="01C456AC"/>
    <w:rsid w:val="01CC1A40"/>
    <w:rsid w:val="01D134FA"/>
    <w:rsid w:val="01D152A8"/>
    <w:rsid w:val="01DB1C83"/>
    <w:rsid w:val="01DD3C4D"/>
    <w:rsid w:val="01E07299"/>
    <w:rsid w:val="01F40F97"/>
    <w:rsid w:val="01F80A87"/>
    <w:rsid w:val="01FA47FF"/>
    <w:rsid w:val="020F2171"/>
    <w:rsid w:val="02145195"/>
    <w:rsid w:val="0219496B"/>
    <w:rsid w:val="021F7DC1"/>
    <w:rsid w:val="022C24DE"/>
    <w:rsid w:val="022E26FA"/>
    <w:rsid w:val="02315D47"/>
    <w:rsid w:val="02331ABF"/>
    <w:rsid w:val="0233386D"/>
    <w:rsid w:val="024261A6"/>
    <w:rsid w:val="02510197"/>
    <w:rsid w:val="025238EF"/>
    <w:rsid w:val="02555ED9"/>
    <w:rsid w:val="025739FF"/>
    <w:rsid w:val="025D4D8E"/>
    <w:rsid w:val="025D6B3C"/>
    <w:rsid w:val="0264611C"/>
    <w:rsid w:val="02693733"/>
    <w:rsid w:val="02725307"/>
    <w:rsid w:val="0281282A"/>
    <w:rsid w:val="02906F11"/>
    <w:rsid w:val="02935B81"/>
    <w:rsid w:val="02954528"/>
    <w:rsid w:val="029A1B3E"/>
    <w:rsid w:val="029A7D90"/>
    <w:rsid w:val="029B70E4"/>
    <w:rsid w:val="02A3645B"/>
    <w:rsid w:val="02AE1145"/>
    <w:rsid w:val="02B0310F"/>
    <w:rsid w:val="02B20C36"/>
    <w:rsid w:val="02B40E52"/>
    <w:rsid w:val="02B71B0E"/>
    <w:rsid w:val="02BA21E0"/>
    <w:rsid w:val="02BC3862"/>
    <w:rsid w:val="02BC7D06"/>
    <w:rsid w:val="02BE582C"/>
    <w:rsid w:val="02BF64DF"/>
    <w:rsid w:val="02C10E79"/>
    <w:rsid w:val="02C1356F"/>
    <w:rsid w:val="02CE17E8"/>
    <w:rsid w:val="02D212D8"/>
    <w:rsid w:val="02D45050"/>
    <w:rsid w:val="02DA1F3A"/>
    <w:rsid w:val="02DC5A07"/>
    <w:rsid w:val="02DF57A3"/>
    <w:rsid w:val="02E37041"/>
    <w:rsid w:val="02EB64A7"/>
    <w:rsid w:val="02ED4364"/>
    <w:rsid w:val="02EF1E8A"/>
    <w:rsid w:val="02F6716B"/>
    <w:rsid w:val="02F778BD"/>
    <w:rsid w:val="02FE3E7B"/>
    <w:rsid w:val="03011BBD"/>
    <w:rsid w:val="0308368E"/>
    <w:rsid w:val="030A6CC4"/>
    <w:rsid w:val="030D0562"/>
    <w:rsid w:val="030D40BE"/>
    <w:rsid w:val="03121468"/>
    <w:rsid w:val="0316433C"/>
    <w:rsid w:val="03195159"/>
    <w:rsid w:val="03196F07"/>
    <w:rsid w:val="031C2553"/>
    <w:rsid w:val="0324226E"/>
    <w:rsid w:val="03280EF8"/>
    <w:rsid w:val="032D650E"/>
    <w:rsid w:val="03354231"/>
    <w:rsid w:val="033B35FB"/>
    <w:rsid w:val="033C2BF5"/>
    <w:rsid w:val="03411FB9"/>
    <w:rsid w:val="034B4BE6"/>
    <w:rsid w:val="034D08F3"/>
    <w:rsid w:val="03511AD9"/>
    <w:rsid w:val="035148F2"/>
    <w:rsid w:val="03525F75"/>
    <w:rsid w:val="035717DD"/>
    <w:rsid w:val="035F2367"/>
    <w:rsid w:val="03655CA8"/>
    <w:rsid w:val="036F6B27"/>
    <w:rsid w:val="037759DB"/>
    <w:rsid w:val="037979A5"/>
    <w:rsid w:val="03802AE2"/>
    <w:rsid w:val="03822C68"/>
    <w:rsid w:val="0388408C"/>
    <w:rsid w:val="0394658D"/>
    <w:rsid w:val="039C5442"/>
    <w:rsid w:val="039F2BBC"/>
    <w:rsid w:val="03A76077"/>
    <w:rsid w:val="03B17C92"/>
    <w:rsid w:val="03B44E81"/>
    <w:rsid w:val="03B60BF9"/>
    <w:rsid w:val="03B75CC0"/>
    <w:rsid w:val="03B95FF4"/>
    <w:rsid w:val="03C01FEA"/>
    <w:rsid w:val="03C2759E"/>
    <w:rsid w:val="03C30C20"/>
    <w:rsid w:val="03C85AA2"/>
    <w:rsid w:val="03C9092D"/>
    <w:rsid w:val="03D66BA6"/>
    <w:rsid w:val="03D96AC5"/>
    <w:rsid w:val="03DB240E"/>
    <w:rsid w:val="03DE2CFF"/>
    <w:rsid w:val="03E219EE"/>
    <w:rsid w:val="03E312C3"/>
    <w:rsid w:val="03E5328D"/>
    <w:rsid w:val="03F217C1"/>
    <w:rsid w:val="03F4702C"/>
    <w:rsid w:val="03F67248"/>
    <w:rsid w:val="03FA6D38"/>
    <w:rsid w:val="03FF434E"/>
    <w:rsid w:val="040354C1"/>
    <w:rsid w:val="04043713"/>
    <w:rsid w:val="04051239"/>
    <w:rsid w:val="0408409C"/>
    <w:rsid w:val="04117BDE"/>
    <w:rsid w:val="04133956"/>
    <w:rsid w:val="04172F62"/>
    <w:rsid w:val="04180F6C"/>
    <w:rsid w:val="04194CE4"/>
    <w:rsid w:val="041A1188"/>
    <w:rsid w:val="041D47A4"/>
    <w:rsid w:val="041F054D"/>
    <w:rsid w:val="04221DEB"/>
    <w:rsid w:val="04247911"/>
    <w:rsid w:val="042518DB"/>
    <w:rsid w:val="042713D5"/>
    <w:rsid w:val="04275653"/>
    <w:rsid w:val="04277401"/>
    <w:rsid w:val="042913CB"/>
    <w:rsid w:val="04293179"/>
    <w:rsid w:val="042D7C0E"/>
    <w:rsid w:val="0431202E"/>
    <w:rsid w:val="043438CC"/>
    <w:rsid w:val="04461F7D"/>
    <w:rsid w:val="04477AA3"/>
    <w:rsid w:val="044B1342"/>
    <w:rsid w:val="044C6E68"/>
    <w:rsid w:val="045F303F"/>
    <w:rsid w:val="04602913"/>
    <w:rsid w:val="046643CE"/>
    <w:rsid w:val="04671EF4"/>
    <w:rsid w:val="04674E6C"/>
    <w:rsid w:val="04700DA8"/>
    <w:rsid w:val="04706FFA"/>
    <w:rsid w:val="0475016D"/>
    <w:rsid w:val="04762137"/>
    <w:rsid w:val="047A5783"/>
    <w:rsid w:val="04826D2E"/>
    <w:rsid w:val="04877EA0"/>
    <w:rsid w:val="04900C60"/>
    <w:rsid w:val="049525BD"/>
    <w:rsid w:val="04965593"/>
    <w:rsid w:val="049820AD"/>
    <w:rsid w:val="04992B7E"/>
    <w:rsid w:val="049A5E25"/>
    <w:rsid w:val="049D6ACC"/>
    <w:rsid w:val="04A863DD"/>
    <w:rsid w:val="04A86794"/>
    <w:rsid w:val="04BA0275"/>
    <w:rsid w:val="04D05CEB"/>
    <w:rsid w:val="04D550AF"/>
    <w:rsid w:val="04ED26DD"/>
    <w:rsid w:val="04F36F01"/>
    <w:rsid w:val="05025778"/>
    <w:rsid w:val="05071955"/>
    <w:rsid w:val="05082565"/>
    <w:rsid w:val="0508379F"/>
    <w:rsid w:val="05087233"/>
    <w:rsid w:val="050B36B6"/>
    <w:rsid w:val="050E236F"/>
    <w:rsid w:val="05123C0E"/>
    <w:rsid w:val="05137986"/>
    <w:rsid w:val="051E25B2"/>
    <w:rsid w:val="051E3875"/>
    <w:rsid w:val="051F457C"/>
    <w:rsid w:val="052027CE"/>
    <w:rsid w:val="05281683"/>
    <w:rsid w:val="052851DF"/>
    <w:rsid w:val="052B1173"/>
    <w:rsid w:val="0532605E"/>
    <w:rsid w:val="0533125B"/>
    <w:rsid w:val="053E601B"/>
    <w:rsid w:val="053F68D2"/>
    <w:rsid w:val="05410997"/>
    <w:rsid w:val="05432019"/>
    <w:rsid w:val="05485881"/>
    <w:rsid w:val="0548762F"/>
    <w:rsid w:val="054F4EE9"/>
    <w:rsid w:val="055373A5"/>
    <w:rsid w:val="05551D4C"/>
    <w:rsid w:val="05575AC4"/>
    <w:rsid w:val="055E50A5"/>
    <w:rsid w:val="056106F1"/>
    <w:rsid w:val="05614B95"/>
    <w:rsid w:val="05687CD1"/>
    <w:rsid w:val="05706B86"/>
    <w:rsid w:val="05746676"/>
    <w:rsid w:val="058C0013"/>
    <w:rsid w:val="05942874"/>
    <w:rsid w:val="05997B94"/>
    <w:rsid w:val="059B1E55"/>
    <w:rsid w:val="05A70DBE"/>
    <w:rsid w:val="05AA2098"/>
    <w:rsid w:val="05B11678"/>
    <w:rsid w:val="05B178CA"/>
    <w:rsid w:val="05B20F4D"/>
    <w:rsid w:val="05B41169"/>
    <w:rsid w:val="05B9052D"/>
    <w:rsid w:val="05C23886"/>
    <w:rsid w:val="05C50C80"/>
    <w:rsid w:val="05C80770"/>
    <w:rsid w:val="05D37841"/>
    <w:rsid w:val="05DC421B"/>
    <w:rsid w:val="05E82BC0"/>
    <w:rsid w:val="05E9638D"/>
    <w:rsid w:val="05EA6938"/>
    <w:rsid w:val="05F6352F"/>
    <w:rsid w:val="06007F0A"/>
    <w:rsid w:val="060914B4"/>
    <w:rsid w:val="060C68AF"/>
    <w:rsid w:val="06112117"/>
    <w:rsid w:val="061121E6"/>
    <w:rsid w:val="061F2A86"/>
    <w:rsid w:val="0624009C"/>
    <w:rsid w:val="06250AAB"/>
    <w:rsid w:val="06257970"/>
    <w:rsid w:val="062E0F1B"/>
    <w:rsid w:val="062F07EF"/>
    <w:rsid w:val="062F259D"/>
    <w:rsid w:val="063302DF"/>
    <w:rsid w:val="063A78C0"/>
    <w:rsid w:val="063F4ED6"/>
    <w:rsid w:val="063F6C84"/>
    <w:rsid w:val="064323A1"/>
    <w:rsid w:val="06450013"/>
    <w:rsid w:val="064A5629"/>
    <w:rsid w:val="064E336B"/>
    <w:rsid w:val="06585F98"/>
    <w:rsid w:val="065D407D"/>
    <w:rsid w:val="066E1317"/>
    <w:rsid w:val="0671705A"/>
    <w:rsid w:val="067D155B"/>
    <w:rsid w:val="06824DC3"/>
    <w:rsid w:val="06910BEE"/>
    <w:rsid w:val="06963AFE"/>
    <w:rsid w:val="069F7723"/>
    <w:rsid w:val="06A27213"/>
    <w:rsid w:val="06A343A0"/>
    <w:rsid w:val="06AB5586"/>
    <w:rsid w:val="06B64308"/>
    <w:rsid w:val="06BE6A51"/>
    <w:rsid w:val="06C278B5"/>
    <w:rsid w:val="06C60CA2"/>
    <w:rsid w:val="06C90C44"/>
    <w:rsid w:val="06CB44B7"/>
    <w:rsid w:val="06CF5125"/>
    <w:rsid w:val="06DA69AD"/>
    <w:rsid w:val="06DD649D"/>
    <w:rsid w:val="06E23AB3"/>
    <w:rsid w:val="06EB0BBA"/>
    <w:rsid w:val="06EE20B1"/>
    <w:rsid w:val="06FC39FE"/>
    <w:rsid w:val="07034156"/>
    <w:rsid w:val="071874D5"/>
    <w:rsid w:val="071A4FFB"/>
    <w:rsid w:val="071C5217"/>
    <w:rsid w:val="07261BF2"/>
    <w:rsid w:val="07287718"/>
    <w:rsid w:val="072B545A"/>
    <w:rsid w:val="072D4D2F"/>
    <w:rsid w:val="07322F04"/>
    <w:rsid w:val="07342561"/>
    <w:rsid w:val="073A744C"/>
    <w:rsid w:val="073E6F3C"/>
    <w:rsid w:val="073F4A62"/>
    <w:rsid w:val="074327A4"/>
    <w:rsid w:val="07481B68"/>
    <w:rsid w:val="074A1D85"/>
    <w:rsid w:val="074F4C03"/>
    <w:rsid w:val="075A189C"/>
    <w:rsid w:val="075A7AEE"/>
    <w:rsid w:val="075B63E2"/>
    <w:rsid w:val="075D28A2"/>
    <w:rsid w:val="075E313A"/>
    <w:rsid w:val="07626558"/>
    <w:rsid w:val="076C043D"/>
    <w:rsid w:val="076D7821"/>
    <w:rsid w:val="077216DE"/>
    <w:rsid w:val="07723089"/>
    <w:rsid w:val="07740BAF"/>
    <w:rsid w:val="077741FC"/>
    <w:rsid w:val="077E558A"/>
    <w:rsid w:val="07866B35"/>
    <w:rsid w:val="0797489E"/>
    <w:rsid w:val="07990616"/>
    <w:rsid w:val="07B134A9"/>
    <w:rsid w:val="07B1625B"/>
    <w:rsid w:val="07B23486"/>
    <w:rsid w:val="07B516BC"/>
    <w:rsid w:val="07B74F40"/>
    <w:rsid w:val="07BB67DE"/>
    <w:rsid w:val="07C03DF5"/>
    <w:rsid w:val="07C05BA3"/>
    <w:rsid w:val="07C733D5"/>
    <w:rsid w:val="07CA07CF"/>
    <w:rsid w:val="07CD02C0"/>
    <w:rsid w:val="07D23B28"/>
    <w:rsid w:val="07D72EEC"/>
    <w:rsid w:val="07D93108"/>
    <w:rsid w:val="07D96E9C"/>
    <w:rsid w:val="07DB401C"/>
    <w:rsid w:val="07DC0503"/>
    <w:rsid w:val="07DF7E70"/>
    <w:rsid w:val="07E01DA1"/>
    <w:rsid w:val="07E07FF3"/>
    <w:rsid w:val="07E31891"/>
    <w:rsid w:val="07E5385B"/>
    <w:rsid w:val="07EC2E3C"/>
    <w:rsid w:val="07EC6998"/>
    <w:rsid w:val="07F414F5"/>
    <w:rsid w:val="07F43A9E"/>
    <w:rsid w:val="07F615C4"/>
    <w:rsid w:val="07F910B5"/>
    <w:rsid w:val="07FB307F"/>
    <w:rsid w:val="080A32C2"/>
    <w:rsid w:val="080A5070"/>
    <w:rsid w:val="080F2686"/>
    <w:rsid w:val="08114650"/>
    <w:rsid w:val="081303C8"/>
    <w:rsid w:val="081859DF"/>
    <w:rsid w:val="081C4DA3"/>
    <w:rsid w:val="0822060B"/>
    <w:rsid w:val="0825634E"/>
    <w:rsid w:val="082A6064"/>
    <w:rsid w:val="082D0D5E"/>
    <w:rsid w:val="082F2D28"/>
    <w:rsid w:val="082F4AD6"/>
    <w:rsid w:val="083420ED"/>
    <w:rsid w:val="08346591"/>
    <w:rsid w:val="08362309"/>
    <w:rsid w:val="08362BC8"/>
    <w:rsid w:val="083E11BD"/>
    <w:rsid w:val="084560A8"/>
    <w:rsid w:val="084E7652"/>
    <w:rsid w:val="08534B88"/>
    <w:rsid w:val="085D7896"/>
    <w:rsid w:val="08634780"/>
    <w:rsid w:val="08640C24"/>
    <w:rsid w:val="087071EE"/>
    <w:rsid w:val="08713341"/>
    <w:rsid w:val="08730E67"/>
    <w:rsid w:val="087573C0"/>
    <w:rsid w:val="087F5A5E"/>
    <w:rsid w:val="088E3EF3"/>
    <w:rsid w:val="08955281"/>
    <w:rsid w:val="089963F4"/>
    <w:rsid w:val="089D4136"/>
    <w:rsid w:val="08A2799E"/>
    <w:rsid w:val="08A52FEB"/>
    <w:rsid w:val="08B35707"/>
    <w:rsid w:val="08B5322E"/>
    <w:rsid w:val="08B84ACC"/>
    <w:rsid w:val="08C47915"/>
    <w:rsid w:val="08C571E9"/>
    <w:rsid w:val="08C90A87"/>
    <w:rsid w:val="08CE2541"/>
    <w:rsid w:val="08CE78BD"/>
    <w:rsid w:val="08D00067"/>
    <w:rsid w:val="08D31906"/>
    <w:rsid w:val="08D5567E"/>
    <w:rsid w:val="08D613F6"/>
    <w:rsid w:val="08DB6A0C"/>
    <w:rsid w:val="08E43B13"/>
    <w:rsid w:val="08E753B1"/>
    <w:rsid w:val="08E91129"/>
    <w:rsid w:val="08ED38E2"/>
    <w:rsid w:val="08F0070A"/>
    <w:rsid w:val="08F062C2"/>
    <w:rsid w:val="08F33D56"/>
    <w:rsid w:val="090146C5"/>
    <w:rsid w:val="09016473"/>
    <w:rsid w:val="090715AF"/>
    <w:rsid w:val="09077801"/>
    <w:rsid w:val="09081D34"/>
    <w:rsid w:val="090B19E1"/>
    <w:rsid w:val="0910646C"/>
    <w:rsid w:val="09137F54"/>
    <w:rsid w:val="09151F1E"/>
    <w:rsid w:val="09175C96"/>
    <w:rsid w:val="09185B72"/>
    <w:rsid w:val="0922463B"/>
    <w:rsid w:val="09297778"/>
    <w:rsid w:val="092B34F0"/>
    <w:rsid w:val="093A1985"/>
    <w:rsid w:val="093C74AB"/>
    <w:rsid w:val="09410F65"/>
    <w:rsid w:val="09436A8B"/>
    <w:rsid w:val="09491A2C"/>
    <w:rsid w:val="094C3466"/>
    <w:rsid w:val="094E71DE"/>
    <w:rsid w:val="09510A7C"/>
    <w:rsid w:val="095A3DD5"/>
    <w:rsid w:val="0960548E"/>
    <w:rsid w:val="096802A0"/>
    <w:rsid w:val="096D3B08"/>
    <w:rsid w:val="096E0694"/>
    <w:rsid w:val="0970184A"/>
    <w:rsid w:val="097053A7"/>
    <w:rsid w:val="09726D61"/>
    <w:rsid w:val="09727371"/>
    <w:rsid w:val="09764484"/>
    <w:rsid w:val="09772BD9"/>
    <w:rsid w:val="097A6225"/>
    <w:rsid w:val="097D3E59"/>
    <w:rsid w:val="09815806"/>
    <w:rsid w:val="09834B42"/>
    <w:rsid w:val="098E3A7F"/>
    <w:rsid w:val="099739D0"/>
    <w:rsid w:val="099866AB"/>
    <w:rsid w:val="099E0166"/>
    <w:rsid w:val="09A60DC8"/>
    <w:rsid w:val="09AC6517"/>
    <w:rsid w:val="09AF4121"/>
    <w:rsid w:val="09B259BF"/>
    <w:rsid w:val="09B42F1C"/>
    <w:rsid w:val="09C35E1E"/>
    <w:rsid w:val="09C53944"/>
    <w:rsid w:val="09C6146A"/>
    <w:rsid w:val="09C83435"/>
    <w:rsid w:val="09C95AF0"/>
    <w:rsid w:val="09CA0F5B"/>
    <w:rsid w:val="09CF6571"/>
    <w:rsid w:val="09D174B9"/>
    <w:rsid w:val="09D73678"/>
    <w:rsid w:val="09D9119E"/>
    <w:rsid w:val="09DC47EA"/>
    <w:rsid w:val="09E15530"/>
    <w:rsid w:val="09E55D95"/>
    <w:rsid w:val="09EC7123"/>
    <w:rsid w:val="09F47D86"/>
    <w:rsid w:val="09F9539C"/>
    <w:rsid w:val="09FB2800"/>
    <w:rsid w:val="09FD121A"/>
    <w:rsid w:val="0A03446D"/>
    <w:rsid w:val="0A037FC9"/>
    <w:rsid w:val="0A0F2E11"/>
    <w:rsid w:val="0A0F4BBF"/>
    <w:rsid w:val="0A123C5E"/>
    <w:rsid w:val="0A171CC6"/>
    <w:rsid w:val="0A195A3E"/>
    <w:rsid w:val="0A1B17B6"/>
    <w:rsid w:val="0A1B58FF"/>
    <w:rsid w:val="0A256191"/>
    <w:rsid w:val="0A2C5771"/>
    <w:rsid w:val="0A312D88"/>
    <w:rsid w:val="0A371E14"/>
    <w:rsid w:val="0A40121D"/>
    <w:rsid w:val="0A40746F"/>
    <w:rsid w:val="0A432ABB"/>
    <w:rsid w:val="0A456833"/>
    <w:rsid w:val="0A4A3E4A"/>
    <w:rsid w:val="0A51342A"/>
    <w:rsid w:val="0A5151D8"/>
    <w:rsid w:val="0A516F86"/>
    <w:rsid w:val="0A576F02"/>
    <w:rsid w:val="0A590531"/>
    <w:rsid w:val="0A5B6057"/>
    <w:rsid w:val="0A5D1DCF"/>
    <w:rsid w:val="0A5D206A"/>
    <w:rsid w:val="0A5E7487"/>
    <w:rsid w:val="0A60366D"/>
    <w:rsid w:val="0A634F0B"/>
    <w:rsid w:val="0A690774"/>
    <w:rsid w:val="0A6C2012"/>
    <w:rsid w:val="0A6D7B49"/>
    <w:rsid w:val="0A6F565E"/>
    <w:rsid w:val="0A747118"/>
    <w:rsid w:val="0A7B1045"/>
    <w:rsid w:val="0A821835"/>
    <w:rsid w:val="0A8455AD"/>
    <w:rsid w:val="0A84735B"/>
    <w:rsid w:val="0A8729A8"/>
    <w:rsid w:val="0A8A2498"/>
    <w:rsid w:val="0A8D3D36"/>
    <w:rsid w:val="0A951569"/>
    <w:rsid w:val="0A960E3D"/>
    <w:rsid w:val="0A9B46A5"/>
    <w:rsid w:val="0AA236FF"/>
    <w:rsid w:val="0AA417AC"/>
    <w:rsid w:val="0AA479FE"/>
    <w:rsid w:val="0AA51080"/>
    <w:rsid w:val="0AAE6F90"/>
    <w:rsid w:val="0AB45767"/>
    <w:rsid w:val="0AB86F14"/>
    <w:rsid w:val="0ABF65E6"/>
    <w:rsid w:val="0AC92FC0"/>
    <w:rsid w:val="0AC97464"/>
    <w:rsid w:val="0ACA2CA7"/>
    <w:rsid w:val="0ACC0D02"/>
    <w:rsid w:val="0AD100C7"/>
    <w:rsid w:val="0AD11D45"/>
    <w:rsid w:val="0AD32091"/>
    <w:rsid w:val="0AD656DD"/>
    <w:rsid w:val="0ADB2CF4"/>
    <w:rsid w:val="0ADF0F5E"/>
    <w:rsid w:val="0AE0655C"/>
    <w:rsid w:val="0AE4604C"/>
    <w:rsid w:val="0AE903B8"/>
    <w:rsid w:val="0AF04AB4"/>
    <w:rsid w:val="0AF3003D"/>
    <w:rsid w:val="0AF50259"/>
    <w:rsid w:val="0AF67B2D"/>
    <w:rsid w:val="0AFF2E86"/>
    <w:rsid w:val="0B016BFE"/>
    <w:rsid w:val="0B04049C"/>
    <w:rsid w:val="0B0926BC"/>
    <w:rsid w:val="0B095AB3"/>
    <w:rsid w:val="0B097861"/>
    <w:rsid w:val="0B0B182B"/>
    <w:rsid w:val="0B1701D0"/>
    <w:rsid w:val="0B1873A5"/>
    <w:rsid w:val="0B1A6CF9"/>
    <w:rsid w:val="0B1B1342"/>
    <w:rsid w:val="0B256440"/>
    <w:rsid w:val="0B2B77D7"/>
    <w:rsid w:val="0B2D6095"/>
    <w:rsid w:val="0B2E376B"/>
    <w:rsid w:val="0B372620"/>
    <w:rsid w:val="0B422D73"/>
    <w:rsid w:val="0B444D3D"/>
    <w:rsid w:val="0B4D1E43"/>
    <w:rsid w:val="0B521208"/>
    <w:rsid w:val="0B5221AF"/>
    <w:rsid w:val="0B5605CC"/>
    <w:rsid w:val="0B5A630E"/>
    <w:rsid w:val="0B5B5EC2"/>
    <w:rsid w:val="0B5C5BE2"/>
    <w:rsid w:val="0B5D7BAD"/>
    <w:rsid w:val="0B5F3925"/>
    <w:rsid w:val="0B633694"/>
    <w:rsid w:val="0B642CE9"/>
    <w:rsid w:val="0B680A2B"/>
    <w:rsid w:val="0B7218AA"/>
    <w:rsid w:val="0B7462A1"/>
    <w:rsid w:val="0B7839AD"/>
    <w:rsid w:val="0B792C38"/>
    <w:rsid w:val="0B7A69B0"/>
    <w:rsid w:val="0B7C44D7"/>
    <w:rsid w:val="0B7D1FFD"/>
    <w:rsid w:val="0B7F1F6E"/>
    <w:rsid w:val="0B896BF3"/>
    <w:rsid w:val="0B8B296C"/>
    <w:rsid w:val="0B8D0492"/>
    <w:rsid w:val="0B925AA8"/>
    <w:rsid w:val="0B980BE5"/>
    <w:rsid w:val="0B994743"/>
    <w:rsid w:val="0BA16641"/>
    <w:rsid w:val="0BA47589"/>
    <w:rsid w:val="0BA852CC"/>
    <w:rsid w:val="0BA94BA0"/>
    <w:rsid w:val="0BB05F2E"/>
    <w:rsid w:val="0BB21CA6"/>
    <w:rsid w:val="0BB2614A"/>
    <w:rsid w:val="0BB377CC"/>
    <w:rsid w:val="0BC35C62"/>
    <w:rsid w:val="0BCD2653"/>
    <w:rsid w:val="0BD53BE7"/>
    <w:rsid w:val="0BDE0CED"/>
    <w:rsid w:val="0BDE6F3F"/>
    <w:rsid w:val="0BE1433A"/>
    <w:rsid w:val="0BE95D18"/>
    <w:rsid w:val="0BEB6F66"/>
    <w:rsid w:val="0BEF4CA9"/>
    <w:rsid w:val="0C104C1F"/>
    <w:rsid w:val="0C175FAD"/>
    <w:rsid w:val="0C1A784C"/>
    <w:rsid w:val="0C1B5A9E"/>
    <w:rsid w:val="0C1E10EA"/>
    <w:rsid w:val="0C236700"/>
    <w:rsid w:val="0C261DCE"/>
    <w:rsid w:val="0C2D757F"/>
    <w:rsid w:val="0C386BFE"/>
    <w:rsid w:val="0C3923C8"/>
    <w:rsid w:val="0C3B7EEE"/>
    <w:rsid w:val="0C3D1EB8"/>
    <w:rsid w:val="0C445A9E"/>
    <w:rsid w:val="0C474054"/>
    <w:rsid w:val="0C476893"/>
    <w:rsid w:val="0C4A0131"/>
    <w:rsid w:val="0C4D7C21"/>
    <w:rsid w:val="0C547201"/>
    <w:rsid w:val="0C57284E"/>
    <w:rsid w:val="0C5745FC"/>
    <w:rsid w:val="0C580AA0"/>
    <w:rsid w:val="0C5D60B6"/>
    <w:rsid w:val="0C5E3BDC"/>
    <w:rsid w:val="0C5E598A"/>
    <w:rsid w:val="0C605BA6"/>
    <w:rsid w:val="0C607954"/>
    <w:rsid w:val="0C61547A"/>
    <w:rsid w:val="0C632FA1"/>
    <w:rsid w:val="0C727688"/>
    <w:rsid w:val="0C7962FE"/>
    <w:rsid w:val="0C7E7DDA"/>
    <w:rsid w:val="0C7F7145"/>
    <w:rsid w:val="0C801DA5"/>
    <w:rsid w:val="0C807FF6"/>
    <w:rsid w:val="0C874EE1"/>
    <w:rsid w:val="0C8A677F"/>
    <w:rsid w:val="0C8F023A"/>
    <w:rsid w:val="0CA041F5"/>
    <w:rsid w:val="0CAC6BB6"/>
    <w:rsid w:val="0CAD246E"/>
    <w:rsid w:val="0CAF4438"/>
    <w:rsid w:val="0CB33F28"/>
    <w:rsid w:val="0CB47CA0"/>
    <w:rsid w:val="0CB641E8"/>
    <w:rsid w:val="0CB657C6"/>
    <w:rsid w:val="0CB67574"/>
    <w:rsid w:val="0CBD0903"/>
    <w:rsid w:val="0CBD6B55"/>
    <w:rsid w:val="0CC06645"/>
    <w:rsid w:val="0CC2416B"/>
    <w:rsid w:val="0CC34F37"/>
    <w:rsid w:val="0CC7352F"/>
    <w:rsid w:val="0CCA3020"/>
    <w:rsid w:val="0CD45C4C"/>
    <w:rsid w:val="0CEA1C84"/>
    <w:rsid w:val="0CF27FD7"/>
    <w:rsid w:val="0CF62067"/>
    <w:rsid w:val="0CFD33F5"/>
    <w:rsid w:val="0CFF0F1B"/>
    <w:rsid w:val="0D006A41"/>
    <w:rsid w:val="0D020643"/>
    <w:rsid w:val="0D026C5D"/>
    <w:rsid w:val="0D027920"/>
    <w:rsid w:val="0D062877"/>
    <w:rsid w:val="0D076022"/>
    <w:rsid w:val="0D136775"/>
    <w:rsid w:val="0D1F15BD"/>
    <w:rsid w:val="0D240982"/>
    <w:rsid w:val="0D2564A8"/>
    <w:rsid w:val="0D270472"/>
    <w:rsid w:val="0D2E35AF"/>
    <w:rsid w:val="0D366907"/>
    <w:rsid w:val="0D395874"/>
    <w:rsid w:val="0D3A63F7"/>
    <w:rsid w:val="0D476810"/>
    <w:rsid w:val="0D4E59FF"/>
    <w:rsid w:val="0D505C1B"/>
    <w:rsid w:val="0D6671EC"/>
    <w:rsid w:val="0D7116ED"/>
    <w:rsid w:val="0D782A7C"/>
    <w:rsid w:val="0D784C24"/>
    <w:rsid w:val="0D7A4A46"/>
    <w:rsid w:val="0D7D4536"/>
    <w:rsid w:val="0D814026"/>
    <w:rsid w:val="0D841421"/>
    <w:rsid w:val="0D844E64"/>
    <w:rsid w:val="0D864353"/>
    <w:rsid w:val="0D887163"/>
    <w:rsid w:val="0D8A1F3D"/>
    <w:rsid w:val="0D8B27AF"/>
    <w:rsid w:val="0D950425"/>
    <w:rsid w:val="0D957AD2"/>
    <w:rsid w:val="0D975FF4"/>
    <w:rsid w:val="0D9A2BAA"/>
    <w:rsid w:val="0DA129FB"/>
    <w:rsid w:val="0DA815B3"/>
    <w:rsid w:val="0DA90385"/>
    <w:rsid w:val="0DA9532B"/>
    <w:rsid w:val="0DAE46EF"/>
    <w:rsid w:val="0DAE649D"/>
    <w:rsid w:val="0DB77A48"/>
    <w:rsid w:val="0DB8556E"/>
    <w:rsid w:val="0DBB6D5E"/>
    <w:rsid w:val="0DBC0BBA"/>
    <w:rsid w:val="0DBE0DD6"/>
    <w:rsid w:val="0DC44067"/>
    <w:rsid w:val="0DC45CC1"/>
    <w:rsid w:val="0DC7755F"/>
    <w:rsid w:val="0DC932D7"/>
    <w:rsid w:val="0DCB34F3"/>
    <w:rsid w:val="0DCF792E"/>
    <w:rsid w:val="0DD505F0"/>
    <w:rsid w:val="0DD8176C"/>
    <w:rsid w:val="0DD81E33"/>
    <w:rsid w:val="0DDA3736"/>
    <w:rsid w:val="0DE04A0B"/>
    <w:rsid w:val="0DE27B9E"/>
    <w:rsid w:val="0DE574E6"/>
    <w:rsid w:val="0DE85ED6"/>
    <w:rsid w:val="0DEA5E6A"/>
    <w:rsid w:val="0DEB76F2"/>
    <w:rsid w:val="0DEE0F90"/>
    <w:rsid w:val="0DF447F8"/>
    <w:rsid w:val="0DFC18FF"/>
    <w:rsid w:val="0DFC2E62"/>
    <w:rsid w:val="0DFC36FB"/>
    <w:rsid w:val="0DFE7425"/>
    <w:rsid w:val="0DFF319D"/>
    <w:rsid w:val="0E082052"/>
    <w:rsid w:val="0E0C37D7"/>
    <w:rsid w:val="0E0D74C3"/>
    <w:rsid w:val="0E15651D"/>
    <w:rsid w:val="0E1C5AFD"/>
    <w:rsid w:val="0E1F1149"/>
    <w:rsid w:val="0E26072A"/>
    <w:rsid w:val="0E263B19"/>
    <w:rsid w:val="0E2C21E4"/>
    <w:rsid w:val="0E3015A8"/>
    <w:rsid w:val="0E356BBF"/>
    <w:rsid w:val="0E372937"/>
    <w:rsid w:val="0E375F44"/>
    <w:rsid w:val="0E3E7DA6"/>
    <w:rsid w:val="0E415563"/>
    <w:rsid w:val="0E464928"/>
    <w:rsid w:val="0E506DB7"/>
    <w:rsid w:val="0E5559B0"/>
    <w:rsid w:val="0E5B4877"/>
    <w:rsid w:val="0E601E8E"/>
    <w:rsid w:val="0E653000"/>
    <w:rsid w:val="0E6574A4"/>
    <w:rsid w:val="0E6B25E0"/>
    <w:rsid w:val="0E7C3317"/>
    <w:rsid w:val="0E7D2A40"/>
    <w:rsid w:val="0E7E0566"/>
    <w:rsid w:val="0E811E04"/>
    <w:rsid w:val="0E85495D"/>
    <w:rsid w:val="0E9008CD"/>
    <w:rsid w:val="0E910299"/>
    <w:rsid w:val="0E971374"/>
    <w:rsid w:val="0E9B2EC6"/>
    <w:rsid w:val="0E9F65F4"/>
    <w:rsid w:val="0EA76379"/>
    <w:rsid w:val="0EA77ABC"/>
    <w:rsid w:val="0EAB648E"/>
    <w:rsid w:val="0EB2020F"/>
    <w:rsid w:val="0EB37705"/>
    <w:rsid w:val="0EB6385C"/>
    <w:rsid w:val="0EB67D00"/>
    <w:rsid w:val="0EBD108E"/>
    <w:rsid w:val="0EC51CF1"/>
    <w:rsid w:val="0EE02FCE"/>
    <w:rsid w:val="0EE26D46"/>
    <w:rsid w:val="0EE7435D"/>
    <w:rsid w:val="0EE77EB9"/>
    <w:rsid w:val="0EE91E83"/>
    <w:rsid w:val="0EEA1757"/>
    <w:rsid w:val="0EEA5BFB"/>
    <w:rsid w:val="0EEC54CF"/>
    <w:rsid w:val="0EF10D38"/>
    <w:rsid w:val="0EF34E2C"/>
    <w:rsid w:val="0EF44384"/>
    <w:rsid w:val="0EF64C2F"/>
    <w:rsid w:val="0EFC3B45"/>
    <w:rsid w:val="0EFE3455"/>
    <w:rsid w:val="0F011B8B"/>
    <w:rsid w:val="0F0D26CC"/>
    <w:rsid w:val="0F126021"/>
    <w:rsid w:val="0F155CD5"/>
    <w:rsid w:val="0F16254C"/>
    <w:rsid w:val="0F184ADA"/>
    <w:rsid w:val="0F191599"/>
    <w:rsid w:val="0F234C69"/>
    <w:rsid w:val="0F24110D"/>
    <w:rsid w:val="0F247CAD"/>
    <w:rsid w:val="0F25585D"/>
    <w:rsid w:val="0F276507"/>
    <w:rsid w:val="0F29227F"/>
    <w:rsid w:val="0F2C6178"/>
    <w:rsid w:val="0F3330FE"/>
    <w:rsid w:val="0F334EAC"/>
    <w:rsid w:val="0F360E40"/>
    <w:rsid w:val="0F39623B"/>
    <w:rsid w:val="0F3B6457"/>
    <w:rsid w:val="0F44355D"/>
    <w:rsid w:val="0F4470B9"/>
    <w:rsid w:val="0F4B669A"/>
    <w:rsid w:val="0F4C0664"/>
    <w:rsid w:val="0F517A28"/>
    <w:rsid w:val="0F621C35"/>
    <w:rsid w:val="0F655282"/>
    <w:rsid w:val="0F6634D4"/>
    <w:rsid w:val="0F7554C5"/>
    <w:rsid w:val="0F7A0AA7"/>
    <w:rsid w:val="0F7A6F7F"/>
    <w:rsid w:val="0F7F6343"/>
    <w:rsid w:val="0F804919"/>
    <w:rsid w:val="0F84395A"/>
    <w:rsid w:val="0F8442F1"/>
    <w:rsid w:val="0F8E75B2"/>
    <w:rsid w:val="0F9A13CF"/>
    <w:rsid w:val="0F9C5147"/>
    <w:rsid w:val="0FA1669B"/>
    <w:rsid w:val="0FA20284"/>
    <w:rsid w:val="0FC226D4"/>
    <w:rsid w:val="0FC33A40"/>
    <w:rsid w:val="0FD20B69"/>
    <w:rsid w:val="0FD77F2D"/>
    <w:rsid w:val="0FD85A54"/>
    <w:rsid w:val="0FDD12BC"/>
    <w:rsid w:val="0FDF3286"/>
    <w:rsid w:val="0FDF5034"/>
    <w:rsid w:val="0FEE34C9"/>
    <w:rsid w:val="0FFA07FB"/>
    <w:rsid w:val="0FFC3E38"/>
    <w:rsid w:val="100920B1"/>
    <w:rsid w:val="100B407B"/>
    <w:rsid w:val="100E76C7"/>
    <w:rsid w:val="100F5919"/>
    <w:rsid w:val="10142F30"/>
    <w:rsid w:val="101A2510"/>
    <w:rsid w:val="101C0036"/>
    <w:rsid w:val="101E0F8B"/>
    <w:rsid w:val="102962AF"/>
    <w:rsid w:val="10325B95"/>
    <w:rsid w:val="10374E70"/>
    <w:rsid w:val="104906FF"/>
    <w:rsid w:val="104B091B"/>
    <w:rsid w:val="104F5C21"/>
    <w:rsid w:val="10507CE0"/>
    <w:rsid w:val="105C48D7"/>
    <w:rsid w:val="10656D47"/>
    <w:rsid w:val="1066305F"/>
    <w:rsid w:val="106A6FF4"/>
    <w:rsid w:val="107240FA"/>
    <w:rsid w:val="107F4121"/>
    <w:rsid w:val="10802373"/>
    <w:rsid w:val="10806817"/>
    <w:rsid w:val="10817E99"/>
    <w:rsid w:val="109127D2"/>
    <w:rsid w:val="10953945"/>
    <w:rsid w:val="109B53FF"/>
    <w:rsid w:val="109E6C9D"/>
    <w:rsid w:val="109F4BD4"/>
    <w:rsid w:val="10AA3E49"/>
    <w:rsid w:val="10AC760C"/>
    <w:rsid w:val="10B75AD1"/>
    <w:rsid w:val="10B95885"/>
    <w:rsid w:val="10BF0E4F"/>
    <w:rsid w:val="10C009C2"/>
    <w:rsid w:val="10C20BDE"/>
    <w:rsid w:val="10C34956"/>
    <w:rsid w:val="10CA6968"/>
    <w:rsid w:val="10EF538B"/>
    <w:rsid w:val="10F60887"/>
    <w:rsid w:val="10F66AD9"/>
    <w:rsid w:val="10F845FF"/>
    <w:rsid w:val="10FB7C4C"/>
    <w:rsid w:val="11005262"/>
    <w:rsid w:val="11034D52"/>
    <w:rsid w:val="110A4333"/>
    <w:rsid w:val="111164AB"/>
    <w:rsid w:val="111927C8"/>
    <w:rsid w:val="111B209C"/>
    <w:rsid w:val="111D4066"/>
    <w:rsid w:val="111E393A"/>
    <w:rsid w:val="111F7DDE"/>
    <w:rsid w:val="11254CC9"/>
    <w:rsid w:val="112C42A9"/>
    <w:rsid w:val="11312DC0"/>
    <w:rsid w:val="113373E5"/>
    <w:rsid w:val="11366ED6"/>
    <w:rsid w:val="113B1525"/>
    <w:rsid w:val="113B273E"/>
    <w:rsid w:val="113E38EC"/>
    <w:rsid w:val="113F222E"/>
    <w:rsid w:val="11405FA6"/>
    <w:rsid w:val="11423ACC"/>
    <w:rsid w:val="114333A1"/>
    <w:rsid w:val="114701EB"/>
    <w:rsid w:val="11511F61"/>
    <w:rsid w:val="115455AE"/>
    <w:rsid w:val="116972AB"/>
    <w:rsid w:val="116B3023"/>
    <w:rsid w:val="116F4D23"/>
    <w:rsid w:val="11716160"/>
    <w:rsid w:val="11733C86"/>
    <w:rsid w:val="117619C8"/>
    <w:rsid w:val="117874EE"/>
    <w:rsid w:val="117D2D56"/>
    <w:rsid w:val="11812847"/>
    <w:rsid w:val="11875983"/>
    <w:rsid w:val="118848CF"/>
    <w:rsid w:val="11902A8A"/>
    <w:rsid w:val="119105B0"/>
    <w:rsid w:val="11991213"/>
    <w:rsid w:val="119A56B6"/>
    <w:rsid w:val="119B31DD"/>
    <w:rsid w:val="11A93B4C"/>
    <w:rsid w:val="11AC53EA"/>
    <w:rsid w:val="11B60016"/>
    <w:rsid w:val="11BD13A5"/>
    <w:rsid w:val="11BF511D"/>
    <w:rsid w:val="11C049F1"/>
    <w:rsid w:val="11C10E95"/>
    <w:rsid w:val="11C11380"/>
    <w:rsid w:val="11C269BB"/>
    <w:rsid w:val="11C73FD2"/>
    <w:rsid w:val="11C75D80"/>
    <w:rsid w:val="11CB5870"/>
    <w:rsid w:val="11CE5360"/>
    <w:rsid w:val="11D3768E"/>
    <w:rsid w:val="11DA5AB3"/>
    <w:rsid w:val="11E37FA7"/>
    <w:rsid w:val="11E91075"/>
    <w:rsid w:val="11EE155E"/>
    <w:rsid w:val="11EE5FC9"/>
    <w:rsid w:val="11F0177A"/>
    <w:rsid w:val="11F1104F"/>
    <w:rsid w:val="11F33019"/>
    <w:rsid w:val="11F86286"/>
    <w:rsid w:val="11FC1ECD"/>
    <w:rsid w:val="120174E4"/>
    <w:rsid w:val="1202325C"/>
    <w:rsid w:val="12092462"/>
    <w:rsid w:val="120E7E53"/>
    <w:rsid w:val="120F2891"/>
    <w:rsid w:val="12135469"/>
    <w:rsid w:val="12152F8F"/>
    <w:rsid w:val="121D403F"/>
    <w:rsid w:val="122431D2"/>
    <w:rsid w:val="122F0A2C"/>
    <w:rsid w:val="12346A30"/>
    <w:rsid w:val="12374CB3"/>
    <w:rsid w:val="123D6042"/>
    <w:rsid w:val="123F000C"/>
    <w:rsid w:val="12411FD6"/>
    <w:rsid w:val="12442667"/>
    <w:rsid w:val="1246139A"/>
    <w:rsid w:val="12463148"/>
    <w:rsid w:val="124666C8"/>
    <w:rsid w:val="12496F44"/>
    <w:rsid w:val="124B4C03"/>
    <w:rsid w:val="124B69B1"/>
    <w:rsid w:val="12505D75"/>
    <w:rsid w:val="12535865"/>
    <w:rsid w:val="12555A81"/>
    <w:rsid w:val="125848EC"/>
    <w:rsid w:val="125A3098"/>
    <w:rsid w:val="125C0BBE"/>
    <w:rsid w:val="125F51BD"/>
    <w:rsid w:val="12614426"/>
    <w:rsid w:val="12665599"/>
    <w:rsid w:val="126C4A67"/>
    <w:rsid w:val="127759F8"/>
    <w:rsid w:val="127777A6"/>
    <w:rsid w:val="127A55B4"/>
    <w:rsid w:val="127B54E8"/>
    <w:rsid w:val="12851EC3"/>
    <w:rsid w:val="1286241A"/>
    <w:rsid w:val="128B3251"/>
    <w:rsid w:val="12942106"/>
    <w:rsid w:val="129A61A5"/>
    <w:rsid w:val="129B31AF"/>
    <w:rsid w:val="129E4D32"/>
    <w:rsid w:val="129F7C67"/>
    <w:rsid w:val="12BB3B36"/>
    <w:rsid w:val="12BC340B"/>
    <w:rsid w:val="12C10A21"/>
    <w:rsid w:val="12C16C73"/>
    <w:rsid w:val="12CF75E2"/>
    <w:rsid w:val="12D76496"/>
    <w:rsid w:val="12DF5486"/>
    <w:rsid w:val="12E2233F"/>
    <w:rsid w:val="12E235A9"/>
    <w:rsid w:val="12E56E05"/>
    <w:rsid w:val="12E60488"/>
    <w:rsid w:val="12EA7F78"/>
    <w:rsid w:val="12F6691D"/>
    <w:rsid w:val="12FB03D7"/>
    <w:rsid w:val="12FE0E52"/>
    <w:rsid w:val="130946C9"/>
    <w:rsid w:val="130F5C30"/>
    <w:rsid w:val="13135720"/>
    <w:rsid w:val="13143247"/>
    <w:rsid w:val="131E5E73"/>
    <w:rsid w:val="131E7C21"/>
    <w:rsid w:val="1323348A"/>
    <w:rsid w:val="13261758"/>
    <w:rsid w:val="132711CC"/>
    <w:rsid w:val="1329181A"/>
    <w:rsid w:val="13380DD8"/>
    <w:rsid w:val="133E02C4"/>
    <w:rsid w:val="133E2072"/>
    <w:rsid w:val="133E4052"/>
    <w:rsid w:val="13421B62"/>
    <w:rsid w:val="13426006"/>
    <w:rsid w:val="1344521A"/>
    <w:rsid w:val="13460D42"/>
    <w:rsid w:val="135B2C24"/>
    <w:rsid w:val="135D2E40"/>
    <w:rsid w:val="135D4DFE"/>
    <w:rsid w:val="136046DE"/>
    <w:rsid w:val="13645ACB"/>
    <w:rsid w:val="13646721"/>
    <w:rsid w:val="136A2E67"/>
    <w:rsid w:val="136B2FF2"/>
    <w:rsid w:val="13710699"/>
    <w:rsid w:val="13765CAF"/>
    <w:rsid w:val="137B32C6"/>
    <w:rsid w:val="13854144"/>
    <w:rsid w:val="13985C26"/>
    <w:rsid w:val="139879D4"/>
    <w:rsid w:val="139A199E"/>
    <w:rsid w:val="13A740BB"/>
    <w:rsid w:val="13AC16D1"/>
    <w:rsid w:val="13AD4F94"/>
    <w:rsid w:val="13B16CE7"/>
    <w:rsid w:val="13BF1404"/>
    <w:rsid w:val="13C91FE9"/>
    <w:rsid w:val="13CE5AEB"/>
    <w:rsid w:val="13CF471A"/>
    <w:rsid w:val="13D11138"/>
    <w:rsid w:val="13D36C5E"/>
    <w:rsid w:val="13DF5603"/>
    <w:rsid w:val="13E9022F"/>
    <w:rsid w:val="13E957B5"/>
    <w:rsid w:val="13EB21F9"/>
    <w:rsid w:val="13EC5F71"/>
    <w:rsid w:val="13F54664"/>
    <w:rsid w:val="13F56BD4"/>
    <w:rsid w:val="14096B23"/>
    <w:rsid w:val="141334FE"/>
    <w:rsid w:val="141C495F"/>
    <w:rsid w:val="141D75E8"/>
    <w:rsid w:val="14207171"/>
    <w:rsid w:val="14213FC1"/>
    <w:rsid w:val="14215C1B"/>
    <w:rsid w:val="14223741"/>
    <w:rsid w:val="142A67B4"/>
    <w:rsid w:val="142B0848"/>
    <w:rsid w:val="142C2815"/>
    <w:rsid w:val="143771ED"/>
    <w:rsid w:val="14412BB2"/>
    <w:rsid w:val="14496F20"/>
    <w:rsid w:val="14506500"/>
    <w:rsid w:val="14537D9F"/>
    <w:rsid w:val="14587163"/>
    <w:rsid w:val="14627FE2"/>
    <w:rsid w:val="14667AD2"/>
    <w:rsid w:val="14686756"/>
    <w:rsid w:val="146B333A"/>
    <w:rsid w:val="146B50E8"/>
    <w:rsid w:val="146F2D0E"/>
    <w:rsid w:val="14700951"/>
    <w:rsid w:val="147541B9"/>
    <w:rsid w:val="147F2942"/>
    <w:rsid w:val="148461AA"/>
    <w:rsid w:val="14891A12"/>
    <w:rsid w:val="148937C0"/>
    <w:rsid w:val="148B578A"/>
    <w:rsid w:val="14904B4F"/>
    <w:rsid w:val="14962FFE"/>
    <w:rsid w:val="14977C8B"/>
    <w:rsid w:val="14A14FAE"/>
    <w:rsid w:val="14A32AD4"/>
    <w:rsid w:val="14A423A8"/>
    <w:rsid w:val="14AA3E63"/>
    <w:rsid w:val="14AD5701"/>
    <w:rsid w:val="14AE3227"/>
    <w:rsid w:val="14AF76CB"/>
    <w:rsid w:val="14B7657F"/>
    <w:rsid w:val="14BC6537"/>
    <w:rsid w:val="14BE16BC"/>
    <w:rsid w:val="14C36CD2"/>
    <w:rsid w:val="14C71D43"/>
    <w:rsid w:val="14CB202B"/>
    <w:rsid w:val="14D62EA9"/>
    <w:rsid w:val="14ED3D4F"/>
    <w:rsid w:val="14EF0366"/>
    <w:rsid w:val="14F055ED"/>
    <w:rsid w:val="14FC3F92"/>
    <w:rsid w:val="150F1F18"/>
    <w:rsid w:val="15107A3E"/>
    <w:rsid w:val="1514752E"/>
    <w:rsid w:val="151574F7"/>
    <w:rsid w:val="15190FE8"/>
    <w:rsid w:val="15197EAA"/>
    <w:rsid w:val="151C4634"/>
    <w:rsid w:val="151C5C19"/>
    <w:rsid w:val="151E65FF"/>
    <w:rsid w:val="152359C3"/>
    <w:rsid w:val="1528122B"/>
    <w:rsid w:val="15282FD9"/>
    <w:rsid w:val="15284D87"/>
    <w:rsid w:val="153D4CD7"/>
    <w:rsid w:val="15436065"/>
    <w:rsid w:val="15455939"/>
    <w:rsid w:val="154A73F4"/>
    <w:rsid w:val="155344FA"/>
    <w:rsid w:val="15542020"/>
    <w:rsid w:val="155838BF"/>
    <w:rsid w:val="15597637"/>
    <w:rsid w:val="155C2C83"/>
    <w:rsid w:val="15610299"/>
    <w:rsid w:val="15632263"/>
    <w:rsid w:val="1564320E"/>
    <w:rsid w:val="156F6E5A"/>
    <w:rsid w:val="157601E9"/>
    <w:rsid w:val="15785D0F"/>
    <w:rsid w:val="157D5323"/>
    <w:rsid w:val="158D108E"/>
    <w:rsid w:val="158F3058"/>
    <w:rsid w:val="15916DD0"/>
    <w:rsid w:val="15966195"/>
    <w:rsid w:val="15A078BC"/>
    <w:rsid w:val="15A24B3A"/>
    <w:rsid w:val="15A5287C"/>
    <w:rsid w:val="15A5462A"/>
    <w:rsid w:val="15AC7766"/>
    <w:rsid w:val="15AE34DE"/>
    <w:rsid w:val="15AE733A"/>
    <w:rsid w:val="15B914BE"/>
    <w:rsid w:val="15BD5E17"/>
    <w:rsid w:val="15C342FB"/>
    <w:rsid w:val="15C64DAB"/>
    <w:rsid w:val="15CE1DD3"/>
    <w:rsid w:val="15DE18EA"/>
    <w:rsid w:val="15DF5D8E"/>
    <w:rsid w:val="15E96C0C"/>
    <w:rsid w:val="15F31839"/>
    <w:rsid w:val="15FA4976"/>
    <w:rsid w:val="15FF3D3A"/>
    <w:rsid w:val="16077093"/>
    <w:rsid w:val="160B6B83"/>
    <w:rsid w:val="160E370D"/>
    <w:rsid w:val="16135A37"/>
    <w:rsid w:val="16145F86"/>
    <w:rsid w:val="1618304E"/>
    <w:rsid w:val="1626576B"/>
    <w:rsid w:val="1629525B"/>
    <w:rsid w:val="162E2871"/>
    <w:rsid w:val="163F682C"/>
    <w:rsid w:val="164125A5"/>
    <w:rsid w:val="16465E0D"/>
    <w:rsid w:val="16500A3A"/>
    <w:rsid w:val="165E7A3D"/>
    <w:rsid w:val="165F2A2B"/>
    <w:rsid w:val="166444E5"/>
    <w:rsid w:val="1666200B"/>
    <w:rsid w:val="166D339A"/>
    <w:rsid w:val="1672275E"/>
    <w:rsid w:val="16726C02"/>
    <w:rsid w:val="16734728"/>
    <w:rsid w:val="167F4E7B"/>
    <w:rsid w:val="16810BF3"/>
    <w:rsid w:val="168129A1"/>
    <w:rsid w:val="168D3A3C"/>
    <w:rsid w:val="1693354C"/>
    <w:rsid w:val="1697220B"/>
    <w:rsid w:val="169C5D3E"/>
    <w:rsid w:val="169D3553"/>
    <w:rsid w:val="16A42B33"/>
    <w:rsid w:val="16A668AC"/>
    <w:rsid w:val="16B965DF"/>
    <w:rsid w:val="16BE1E47"/>
    <w:rsid w:val="16C805D0"/>
    <w:rsid w:val="16CA259A"/>
    <w:rsid w:val="16CD208A"/>
    <w:rsid w:val="16E42F30"/>
    <w:rsid w:val="16E95732"/>
    <w:rsid w:val="16E96798"/>
    <w:rsid w:val="16EA49EA"/>
    <w:rsid w:val="16EF0253"/>
    <w:rsid w:val="16F21AF1"/>
    <w:rsid w:val="16F93153"/>
    <w:rsid w:val="16F94C2D"/>
    <w:rsid w:val="16FC296F"/>
    <w:rsid w:val="17011D34"/>
    <w:rsid w:val="17033CFE"/>
    <w:rsid w:val="17035AAC"/>
    <w:rsid w:val="17203A74"/>
    <w:rsid w:val="1720607C"/>
    <w:rsid w:val="17231CAA"/>
    <w:rsid w:val="17237EFC"/>
    <w:rsid w:val="172A1253"/>
    <w:rsid w:val="173043C7"/>
    <w:rsid w:val="1732013F"/>
    <w:rsid w:val="1735378C"/>
    <w:rsid w:val="17367C2F"/>
    <w:rsid w:val="173B5246"/>
    <w:rsid w:val="173C4B1A"/>
    <w:rsid w:val="17424826"/>
    <w:rsid w:val="175329EC"/>
    <w:rsid w:val="175B58E8"/>
    <w:rsid w:val="175C73AE"/>
    <w:rsid w:val="175D340E"/>
    <w:rsid w:val="176127D3"/>
    <w:rsid w:val="17620A24"/>
    <w:rsid w:val="17640624"/>
    <w:rsid w:val="17654071"/>
    <w:rsid w:val="1767428D"/>
    <w:rsid w:val="177E3384"/>
    <w:rsid w:val="178D1819"/>
    <w:rsid w:val="178F5592"/>
    <w:rsid w:val="178F7340"/>
    <w:rsid w:val="179D1A5D"/>
    <w:rsid w:val="179E3A27"/>
    <w:rsid w:val="17A96653"/>
    <w:rsid w:val="17B60D70"/>
    <w:rsid w:val="17B66759"/>
    <w:rsid w:val="17BD5C5B"/>
    <w:rsid w:val="17C4348D"/>
    <w:rsid w:val="17C43C1A"/>
    <w:rsid w:val="17C70888"/>
    <w:rsid w:val="17CF3BE0"/>
    <w:rsid w:val="17CF3EFF"/>
    <w:rsid w:val="17D32356"/>
    <w:rsid w:val="17D336D0"/>
    <w:rsid w:val="17D82A95"/>
    <w:rsid w:val="17D86F39"/>
    <w:rsid w:val="17D920F9"/>
    <w:rsid w:val="17D9680D"/>
    <w:rsid w:val="17DA4A5F"/>
    <w:rsid w:val="17DB07D7"/>
    <w:rsid w:val="17E21B65"/>
    <w:rsid w:val="17E7717C"/>
    <w:rsid w:val="17EE22B8"/>
    <w:rsid w:val="17F11DA8"/>
    <w:rsid w:val="17F17FFA"/>
    <w:rsid w:val="17F673BF"/>
    <w:rsid w:val="17FB6783"/>
    <w:rsid w:val="17FD6923"/>
    <w:rsid w:val="17FF2717"/>
    <w:rsid w:val="1800023D"/>
    <w:rsid w:val="18055854"/>
    <w:rsid w:val="1807337A"/>
    <w:rsid w:val="180A2E6A"/>
    <w:rsid w:val="180E64B6"/>
    <w:rsid w:val="181250E3"/>
    <w:rsid w:val="18147845"/>
    <w:rsid w:val="18155A97"/>
    <w:rsid w:val="18221F62"/>
    <w:rsid w:val="18267CA4"/>
    <w:rsid w:val="18273A1C"/>
    <w:rsid w:val="182757CA"/>
    <w:rsid w:val="182A7068"/>
    <w:rsid w:val="182C1032"/>
    <w:rsid w:val="18316649"/>
    <w:rsid w:val="18381785"/>
    <w:rsid w:val="183B1275"/>
    <w:rsid w:val="183B3024"/>
    <w:rsid w:val="1840063A"/>
    <w:rsid w:val="18441ED8"/>
    <w:rsid w:val="18475E6C"/>
    <w:rsid w:val="184B14B9"/>
    <w:rsid w:val="185650AD"/>
    <w:rsid w:val="18574301"/>
    <w:rsid w:val="185760AF"/>
    <w:rsid w:val="1859748B"/>
    <w:rsid w:val="185D11EC"/>
    <w:rsid w:val="186407CC"/>
    <w:rsid w:val="186C142F"/>
    <w:rsid w:val="18752259"/>
    <w:rsid w:val="187C5B16"/>
    <w:rsid w:val="187D363C"/>
    <w:rsid w:val="18820C52"/>
    <w:rsid w:val="18842C1C"/>
    <w:rsid w:val="18893D8F"/>
    <w:rsid w:val="188E5849"/>
    <w:rsid w:val="18904498"/>
    <w:rsid w:val="189B3AC2"/>
    <w:rsid w:val="18A3471E"/>
    <w:rsid w:val="18AB63FB"/>
    <w:rsid w:val="18AB740B"/>
    <w:rsid w:val="18BC5F12"/>
    <w:rsid w:val="18C1275A"/>
    <w:rsid w:val="18C179CD"/>
    <w:rsid w:val="18C80D5B"/>
    <w:rsid w:val="18C82B09"/>
    <w:rsid w:val="18CB25F9"/>
    <w:rsid w:val="18CD0291"/>
    <w:rsid w:val="18CD6371"/>
    <w:rsid w:val="18D019BE"/>
    <w:rsid w:val="18D314AE"/>
    <w:rsid w:val="18D33CBD"/>
    <w:rsid w:val="18D47700"/>
    <w:rsid w:val="18DC4807"/>
    <w:rsid w:val="18DF7E53"/>
    <w:rsid w:val="18EE62E8"/>
    <w:rsid w:val="18F41B50"/>
    <w:rsid w:val="18FA6A3B"/>
    <w:rsid w:val="18FC6C57"/>
    <w:rsid w:val="18FE477D"/>
    <w:rsid w:val="18FF22A3"/>
    <w:rsid w:val="190A1374"/>
    <w:rsid w:val="190E0700"/>
    <w:rsid w:val="190F0738"/>
    <w:rsid w:val="19102702"/>
    <w:rsid w:val="192B12EA"/>
    <w:rsid w:val="192B4DF7"/>
    <w:rsid w:val="192C753C"/>
    <w:rsid w:val="192E125B"/>
    <w:rsid w:val="192F2B88"/>
    <w:rsid w:val="19377C8F"/>
    <w:rsid w:val="19393A07"/>
    <w:rsid w:val="193C7053"/>
    <w:rsid w:val="193E726F"/>
    <w:rsid w:val="193F21E0"/>
    <w:rsid w:val="19467ED2"/>
    <w:rsid w:val="19516FA3"/>
    <w:rsid w:val="19550115"/>
    <w:rsid w:val="195A572B"/>
    <w:rsid w:val="195F2D42"/>
    <w:rsid w:val="19614D0C"/>
    <w:rsid w:val="19650358"/>
    <w:rsid w:val="19670574"/>
    <w:rsid w:val="196C651D"/>
    <w:rsid w:val="19742C91"/>
    <w:rsid w:val="197607B7"/>
    <w:rsid w:val="19801636"/>
    <w:rsid w:val="19921369"/>
    <w:rsid w:val="199307ED"/>
    <w:rsid w:val="199B6470"/>
    <w:rsid w:val="19A277FE"/>
    <w:rsid w:val="19AE61A3"/>
    <w:rsid w:val="19B27315"/>
    <w:rsid w:val="19B80DD0"/>
    <w:rsid w:val="19BA6371"/>
    <w:rsid w:val="19C07C84"/>
    <w:rsid w:val="19CA0B03"/>
    <w:rsid w:val="19CF1C75"/>
    <w:rsid w:val="19CF7EC7"/>
    <w:rsid w:val="19D7627D"/>
    <w:rsid w:val="19DB2105"/>
    <w:rsid w:val="19DC4392"/>
    <w:rsid w:val="19E00326"/>
    <w:rsid w:val="19E576EB"/>
    <w:rsid w:val="19E73463"/>
    <w:rsid w:val="19EA2F53"/>
    <w:rsid w:val="19EA6AAF"/>
    <w:rsid w:val="19EC0A79"/>
    <w:rsid w:val="19F44E85"/>
    <w:rsid w:val="19F811CC"/>
    <w:rsid w:val="19F90D7B"/>
    <w:rsid w:val="19FE07AD"/>
    <w:rsid w:val="1A004525"/>
    <w:rsid w:val="1A046220"/>
    <w:rsid w:val="1A057D8D"/>
    <w:rsid w:val="1A0A7151"/>
    <w:rsid w:val="1A0C2EC9"/>
    <w:rsid w:val="1A136006"/>
    <w:rsid w:val="1A2024D1"/>
    <w:rsid w:val="1A21737F"/>
    <w:rsid w:val="1A304E0A"/>
    <w:rsid w:val="1A3348FA"/>
    <w:rsid w:val="1A444411"/>
    <w:rsid w:val="1A450189"/>
    <w:rsid w:val="1A473F02"/>
    <w:rsid w:val="1A4964D8"/>
    <w:rsid w:val="1A4C59BC"/>
    <w:rsid w:val="1A4D2CE2"/>
    <w:rsid w:val="1A4E34E2"/>
    <w:rsid w:val="1A4E703E"/>
    <w:rsid w:val="1A512FD2"/>
    <w:rsid w:val="1A530AF8"/>
    <w:rsid w:val="1A5403CD"/>
    <w:rsid w:val="1A62627D"/>
    <w:rsid w:val="1A645229"/>
    <w:rsid w:val="1A68624C"/>
    <w:rsid w:val="1A7647E7"/>
    <w:rsid w:val="1A7840BB"/>
    <w:rsid w:val="1A7D3DC7"/>
    <w:rsid w:val="1A7F369B"/>
    <w:rsid w:val="1A8B0292"/>
    <w:rsid w:val="1A8D5BE9"/>
    <w:rsid w:val="1A91517D"/>
    <w:rsid w:val="1A933344"/>
    <w:rsid w:val="1A951111"/>
    <w:rsid w:val="1A9609E5"/>
    <w:rsid w:val="1A9A2283"/>
    <w:rsid w:val="1AA475A6"/>
    <w:rsid w:val="1AA72BF2"/>
    <w:rsid w:val="1AA974C6"/>
    <w:rsid w:val="1AAB26E2"/>
    <w:rsid w:val="1AAD645B"/>
    <w:rsid w:val="1AAE5D2F"/>
    <w:rsid w:val="1AAE63AE"/>
    <w:rsid w:val="1AB5583C"/>
    <w:rsid w:val="1AB570BD"/>
    <w:rsid w:val="1AB64BE3"/>
    <w:rsid w:val="1AB8095B"/>
    <w:rsid w:val="1ABC48F0"/>
    <w:rsid w:val="1AC612CA"/>
    <w:rsid w:val="1AC94917"/>
    <w:rsid w:val="1AC957E1"/>
    <w:rsid w:val="1AD25EC1"/>
    <w:rsid w:val="1AD80FFE"/>
    <w:rsid w:val="1ADB5C6C"/>
    <w:rsid w:val="1ADC6D40"/>
    <w:rsid w:val="1ADF05DE"/>
    <w:rsid w:val="1AF6583C"/>
    <w:rsid w:val="1AFD474E"/>
    <w:rsid w:val="1AFF2A2E"/>
    <w:rsid w:val="1B0B3181"/>
    <w:rsid w:val="1B1C538E"/>
    <w:rsid w:val="1B1E590D"/>
    <w:rsid w:val="1B245FF1"/>
    <w:rsid w:val="1B2D759B"/>
    <w:rsid w:val="1B3267BA"/>
    <w:rsid w:val="1B3679AD"/>
    <w:rsid w:val="1B386A83"/>
    <w:rsid w:val="1B397CEE"/>
    <w:rsid w:val="1B414DF5"/>
    <w:rsid w:val="1B446693"/>
    <w:rsid w:val="1B4548E5"/>
    <w:rsid w:val="1B46240B"/>
    <w:rsid w:val="1B496E6A"/>
    <w:rsid w:val="1B4A3CA9"/>
    <w:rsid w:val="1B4D19EC"/>
    <w:rsid w:val="1B593EEC"/>
    <w:rsid w:val="1B6034CD"/>
    <w:rsid w:val="1B610FF3"/>
    <w:rsid w:val="1B654F02"/>
    <w:rsid w:val="1B682381"/>
    <w:rsid w:val="1B684130"/>
    <w:rsid w:val="1B6F54BE"/>
    <w:rsid w:val="1B6F7443"/>
    <w:rsid w:val="1B742AD4"/>
    <w:rsid w:val="1B7A7D1C"/>
    <w:rsid w:val="1B7B66B5"/>
    <w:rsid w:val="1B854CE1"/>
    <w:rsid w:val="1B886580"/>
    <w:rsid w:val="1B8A679C"/>
    <w:rsid w:val="1B8D003A"/>
    <w:rsid w:val="1B972C67"/>
    <w:rsid w:val="1B9B2757"/>
    <w:rsid w:val="1BAB04C0"/>
    <w:rsid w:val="1BB67591"/>
    <w:rsid w:val="1BB92BDD"/>
    <w:rsid w:val="1BBB0703"/>
    <w:rsid w:val="1BBC26CD"/>
    <w:rsid w:val="1BC27E9A"/>
    <w:rsid w:val="1BC3478C"/>
    <w:rsid w:val="1BCD48DA"/>
    <w:rsid w:val="1BD87507"/>
    <w:rsid w:val="1BDC68CC"/>
    <w:rsid w:val="1BE51C24"/>
    <w:rsid w:val="1BE547F8"/>
    <w:rsid w:val="1BE774DC"/>
    <w:rsid w:val="1BEA0FE8"/>
    <w:rsid w:val="1BEC4D61"/>
    <w:rsid w:val="1BFB5DF8"/>
    <w:rsid w:val="1C055E22"/>
    <w:rsid w:val="1C1222ED"/>
    <w:rsid w:val="1C136791"/>
    <w:rsid w:val="1C185B56"/>
    <w:rsid w:val="1C1E6EE4"/>
    <w:rsid w:val="1C224C26"/>
    <w:rsid w:val="1C225F98"/>
    <w:rsid w:val="1C2362A8"/>
    <w:rsid w:val="1C272EF4"/>
    <w:rsid w:val="1C295FB5"/>
    <w:rsid w:val="1C297D63"/>
    <w:rsid w:val="1C2A3ADB"/>
    <w:rsid w:val="1C387FA6"/>
    <w:rsid w:val="1C4921B3"/>
    <w:rsid w:val="1C497DA3"/>
    <w:rsid w:val="1C533D7D"/>
    <w:rsid w:val="1C552431"/>
    <w:rsid w:val="1C556DAA"/>
    <w:rsid w:val="1C5841A4"/>
    <w:rsid w:val="1C591B70"/>
    <w:rsid w:val="1C5B3ECA"/>
    <w:rsid w:val="1C5B5A42"/>
    <w:rsid w:val="1C5D17BA"/>
    <w:rsid w:val="1C5E5533"/>
    <w:rsid w:val="1C632B49"/>
    <w:rsid w:val="1C6449AB"/>
    <w:rsid w:val="1C646FED"/>
    <w:rsid w:val="1C72396A"/>
    <w:rsid w:val="1C730FDE"/>
    <w:rsid w:val="1C7865F4"/>
    <w:rsid w:val="1C7D00AF"/>
    <w:rsid w:val="1C86718F"/>
    <w:rsid w:val="1C876837"/>
    <w:rsid w:val="1C901B90"/>
    <w:rsid w:val="1C9571A6"/>
    <w:rsid w:val="1C986C96"/>
    <w:rsid w:val="1CA05B4B"/>
    <w:rsid w:val="1CA218C3"/>
    <w:rsid w:val="1CA4563B"/>
    <w:rsid w:val="1CA53161"/>
    <w:rsid w:val="1CAE0268"/>
    <w:rsid w:val="1CB05D8E"/>
    <w:rsid w:val="1CB33AD0"/>
    <w:rsid w:val="1CB57848"/>
    <w:rsid w:val="1CB6536F"/>
    <w:rsid w:val="1CB6711D"/>
    <w:rsid w:val="1CBA6C0D"/>
    <w:rsid w:val="1CBD04AB"/>
    <w:rsid w:val="1CC31397"/>
    <w:rsid w:val="1CC96E50"/>
    <w:rsid w:val="1CCE4466"/>
    <w:rsid w:val="1CDC3027"/>
    <w:rsid w:val="1CE24D71"/>
    <w:rsid w:val="1CE617B0"/>
    <w:rsid w:val="1CE7377A"/>
    <w:rsid w:val="1CE819CC"/>
    <w:rsid w:val="1CEC2B3E"/>
    <w:rsid w:val="1CEE2D5A"/>
    <w:rsid w:val="1CF00880"/>
    <w:rsid w:val="1CF245F9"/>
    <w:rsid w:val="1CF85987"/>
    <w:rsid w:val="1D036806"/>
    <w:rsid w:val="1D077978"/>
    <w:rsid w:val="1D102CD1"/>
    <w:rsid w:val="1D1722B1"/>
    <w:rsid w:val="1D1A2726"/>
    <w:rsid w:val="1D2231FE"/>
    <w:rsid w:val="1D300C7D"/>
    <w:rsid w:val="1D320A97"/>
    <w:rsid w:val="1D3541D9"/>
    <w:rsid w:val="1D392227"/>
    <w:rsid w:val="1D3E6FE0"/>
    <w:rsid w:val="1D444728"/>
    <w:rsid w:val="1D4F2685"/>
    <w:rsid w:val="1D547137"/>
    <w:rsid w:val="1D5D57EA"/>
    <w:rsid w:val="1D635DB9"/>
    <w:rsid w:val="1D682B0D"/>
    <w:rsid w:val="1D6D3C7F"/>
    <w:rsid w:val="1D76333F"/>
    <w:rsid w:val="1D772D50"/>
    <w:rsid w:val="1D80245F"/>
    <w:rsid w:val="1D840FC9"/>
    <w:rsid w:val="1D85546D"/>
    <w:rsid w:val="1D880AB9"/>
    <w:rsid w:val="1D8A4831"/>
    <w:rsid w:val="1D8B05A9"/>
    <w:rsid w:val="1D8D3444"/>
    <w:rsid w:val="1D903E12"/>
    <w:rsid w:val="1D921938"/>
    <w:rsid w:val="1D994A74"/>
    <w:rsid w:val="1D9A07EC"/>
    <w:rsid w:val="1D9E652E"/>
    <w:rsid w:val="1DA84CB7"/>
    <w:rsid w:val="1DAA4ED3"/>
    <w:rsid w:val="1DAD0520"/>
    <w:rsid w:val="1DB63878"/>
    <w:rsid w:val="1DB7314C"/>
    <w:rsid w:val="1DB76F65"/>
    <w:rsid w:val="1DB93368"/>
    <w:rsid w:val="1DBE272D"/>
    <w:rsid w:val="1DC064A5"/>
    <w:rsid w:val="1DC55869"/>
    <w:rsid w:val="1DC738B3"/>
    <w:rsid w:val="1DCF493A"/>
    <w:rsid w:val="1DD2650A"/>
    <w:rsid w:val="1DD957B9"/>
    <w:rsid w:val="1DE859FC"/>
    <w:rsid w:val="1DEC54EC"/>
    <w:rsid w:val="1DF63C75"/>
    <w:rsid w:val="1E002D45"/>
    <w:rsid w:val="1E012619"/>
    <w:rsid w:val="1E0C3498"/>
    <w:rsid w:val="1E114F52"/>
    <w:rsid w:val="1E1265D5"/>
    <w:rsid w:val="1E1B27D3"/>
    <w:rsid w:val="1E1F070E"/>
    <w:rsid w:val="1E25455A"/>
    <w:rsid w:val="1E28404A"/>
    <w:rsid w:val="1E29229C"/>
    <w:rsid w:val="1E2A1B70"/>
    <w:rsid w:val="1E30754B"/>
    <w:rsid w:val="1E3173A3"/>
    <w:rsid w:val="1E3649B9"/>
    <w:rsid w:val="1E3B1FCF"/>
    <w:rsid w:val="1E3E2D25"/>
    <w:rsid w:val="1E430DCA"/>
    <w:rsid w:val="1E4507E4"/>
    <w:rsid w:val="1E4E1D03"/>
    <w:rsid w:val="1E5170FD"/>
    <w:rsid w:val="1E544141"/>
    <w:rsid w:val="1E5D0198"/>
    <w:rsid w:val="1E5D3F45"/>
    <w:rsid w:val="1E6210B8"/>
    <w:rsid w:val="1E672DC4"/>
    <w:rsid w:val="1E676920"/>
    <w:rsid w:val="1E707ECB"/>
    <w:rsid w:val="1E7554E1"/>
    <w:rsid w:val="1E764DB5"/>
    <w:rsid w:val="1E7D6144"/>
    <w:rsid w:val="1E8079E2"/>
    <w:rsid w:val="1E8C6387"/>
    <w:rsid w:val="1E94348E"/>
    <w:rsid w:val="1E9D2342"/>
    <w:rsid w:val="1EA062D6"/>
    <w:rsid w:val="1EA25BAA"/>
    <w:rsid w:val="1EB04546"/>
    <w:rsid w:val="1EB26790"/>
    <w:rsid w:val="1EC014EF"/>
    <w:rsid w:val="1EC024D4"/>
    <w:rsid w:val="1EC21DA9"/>
    <w:rsid w:val="1EC57AEB"/>
    <w:rsid w:val="1EC664F8"/>
    <w:rsid w:val="1ED65854"/>
    <w:rsid w:val="1ED67C62"/>
    <w:rsid w:val="1EDA6951"/>
    <w:rsid w:val="1EEC32CA"/>
    <w:rsid w:val="1EF1268E"/>
    <w:rsid w:val="1EF74148"/>
    <w:rsid w:val="1F022AED"/>
    <w:rsid w:val="1F02489B"/>
    <w:rsid w:val="1F071EB1"/>
    <w:rsid w:val="1F073C5F"/>
    <w:rsid w:val="1F134CFA"/>
    <w:rsid w:val="1F166EB8"/>
    <w:rsid w:val="1F170346"/>
    <w:rsid w:val="1F1840BF"/>
    <w:rsid w:val="1F1A7E37"/>
    <w:rsid w:val="1F1C595D"/>
    <w:rsid w:val="1F220A99"/>
    <w:rsid w:val="1F242A63"/>
    <w:rsid w:val="1F291E28"/>
    <w:rsid w:val="1F2B5BA0"/>
    <w:rsid w:val="1F2C5E1E"/>
    <w:rsid w:val="1F2D6848"/>
    <w:rsid w:val="1F2D7B6A"/>
    <w:rsid w:val="1F301408"/>
    <w:rsid w:val="1F331A12"/>
    <w:rsid w:val="1F38206B"/>
    <w:rsid w:val="1F38650F"/>
    <w:rsid w:val="1F3B3C7C"/>
    <w:rsid w:val="1F3E1D77"/>
    <w:rsid w:val="1F3F164B"/>
    <w:rsid w:val="1F4E7AE0"/>
    <w:rsid w:val="1F51312D"/>
    <w:rsid w:val="1F5817D8"/>
    <w:rsid w:val="1F5A46D7"/>
    <w:rsid w:val="1F5C044F"/>
    <w:rsid w:val="1F5F1CED"/>
    <w:rsid w:val="1F75506D"/>
    <w:rsid w:val="1F7A08D5"/>
    <w:rsid w:val="1F7F413E"/>
    <w:rsid w:val="1F811C64"/>
    <w:rsid w:val="1F833C2E"/>
    <w:rsid w:val="1F864856"/>
    <w:rsid w:val="1F8B663F"/>
    <w:rsid w:val="1F9C5A06"/>
    <w:rsid w:val="1F9D6372"/>
    <w:rsid w:val="1F9F033C"/>
    <w:rsid w:val="1FA164E3"/>
    <w:rsid w:val="1FAD1142"/>
    <w:rsid w:val="1FB30B39"/>
    <w:rsid w:val="1FB512FE"/>
    <w:rsid w:val="1FC102B2"/>
    <w:rsid w:val="1FC447F8"/>
    <w:rsid w:val="1FC55FF4"/>
    <w:rsid w:val="1FC87893"/>
    <w:rsid w:val="1FC97167"/>
    <w:rsid w:val="1FD0572F"/>
    <w:rsid w:val="1FD47FE6"/>
    <w:rsid w:val="1FD60202"/>
    <w:rsid w:val="1FD7674C"/>
    <w:rsid w:val="1FD77AD6"/>
    <w:rsid w:val="1FDB301F"/>
    <w:rsid w:val="1FE27D80"/>
    <w:rsid w:val="1FE83CDD"/>
    <w:rsid w:val="1FEF3071"/>
    <w:rsid w:val="1FF91559"/>
    <w:rsid w:val="200E038C"/>
    <w:rsid w:val="20144886"/>
    <w:rsid w:val="20176124"/>
    <w:rsid w:val="201A79C2"/>
    <w:rsid w:val="201C373B"/>
    <w:rsid w:val="20232D1B"/>
    <w:rsid w:val="20254CE5"/>
    <w:rsid w:val="20270A5D"/>
    <w:rsid w:val="20280331"/>
    <w:rsid w:val="202C6073"/>
    <w:rsid w:val="203211B0"/>
    <w:rsid w:val="20346CD6"/>
    <w:rsid w:val="203805B3"/>
    <w:rsid w:val="2040567B"/>
    <w:rsid w:val="20482782"/>
    <w:rsid w:val="20580C17"/>
    <w:rsid w:val="2059498F"/>
    <w:rsid w:val="205B4263"/>
    <w:rsid w:val="205D447F"/>
    <w:rsid w:val="20607ACB"/>
    <w:rsid w:val="20670E5A"/>
    <w:rsid w:val="206C2914"/>
    <w:rsid w:val="206C6470"/>
    <w:rsid w:val="207417C9"/>
    <w:rsid w:val="2079293B"/>
    <w:rsid w:val="207B2B57"/>
    <w:rsid w:val="208C2574"/>
    <w:rsid w:val="208D63E6"/>
    <w:rsid w:val="2099122F"/>
    <w:rsid w:val="209B0B03"/>
    <w:rsid w:val="209D2ACD"/>
    <w:rsid w:val="209E23A2"/>
    <w:rsid w:val="20A025BE"/>
    <w:rsid w:val="20A21E92"/>
    <w:rsid w:val="20A91472"/>
    <w:rsid w:val="20AA343C"/>
    <w:rsid w:val="20AA6F98"/>
    <w:rsid w:val="20AE2021"/>
    <w:rsid w:val="20AF0CAD"/>
    <w:rsid w:val="20B10327"/>
    <w:rsid w:val="20C22534"/>
    <w:rsid w:val="20C52024"/>
    <w:rsid w:val="20CE0ED9"/>
    <w:rsid w:val="20D93AEE"/>
    <w:rsid w:val="20DD111C"/>
    <w:rsid w:val="20DE6C42"/>
    <w:rsid w:val="20E00C0C"/>
    <w:rsid w:val="20E06E5E"/>
    <w:rsid w:val="20E424AA"/>
    <w:rsid w:val="20E56222"/>
    <w:rsid w:val="20E652A4"/>
    <w:rsid w:val="20EE50D7"/>
    <w:rsid w:val="20EF48A3"/>
    <w:rsid w:val="20F326ED"/>
    <w:rsid w:val="20F46465"/>
    <w:rsid w:val="21026DD4"/>
    <w:rsid w:val="210E4B7A"/>
    <w:rsid w:val="21132D8F"/>
    <w:rsid w:val="21182154"/>
    <w:rsid w:val="211A5ECC"/>
    <w:rsid w:val="2123319E"/>
    <w:rsid w:val="21254871"/>
    <w:rsid w:val="2129610F"/>
    <w:rsid w:val="212D20A3"/>
    <w:rsid w:val="213827F6"/>
    <w:rsid w:val="213B5E42"/>
    <w:rsid w:val="213D1BBA"/>
    <w:rsid w:val="21464F13"/>
    <w:rsid w:val="21486EDD"/>
    <w:rsid w:val="21494A03"/>
    <w:rsid w:val="214B2529"/>
    <w:rsid w:val="214E3DC8"/>
    <w:rsid w:val="214E5896"/>
    <w:rsid w:val="21521B0A"/>
    <w:rsid w:val="21570ECE"/>
    <w:rsid w:val="21584C46"/>
    <w:rsid w:val="21617F9F"/>
    <w:rsid w:val="21635AC5"/>
    <w:rsid w:val="21701F90"/>
    <w:rsid w:val="21723F5A"/>
    <w:rsid w:val="2173382E"/>
    <w:rsid w:val="217D46AD"/>
    <w:rsid w:val="218477E9"/>
    <w:rsid w:val="21875B03"/>
    <w:rsid w:val="219709C9"/>
    <w:rsid w:val="219C18E8"/>
    <w:rsid w:val="21A3266E"/>
    <w:rsid w:val="21AE4866"/>
    <w:rsid w:val="21B00981"/>
    <w:rsid w:val="21B31E7D"/>
    <w:rsid w:val="21B87493"/>
    <w:rsid w:val="21BA2B72"/>
    <w:rsid w:val="21BA6164"/>
    <w:rsid w:val="21BE0F4D"/>
    <w:rsid w:val="21BE719F"/>
    <w:rsid w:val="21C3620C"/>
    <w:rsid w:val="21C61BB0"/>
    <w:rsid w:val="21CA5B44"/>
    <w:rsid w:val="21CD0786"/>
    <w:rsid w:val="21D27BAA"/>
    <w:rsid w:val="21D544E9"/>
    <w:rsid w:val="21DE15EF"/>
    <w:rsid w:val="21E12E8E"/>
    <w:rsid w:val="21E14C3C"/>
    <w:rsid w:val="21E27646"/>
    <w:rsid w:val="21E62252"/>
    <w:rsid w:val="21EA7F94"/>
    <w:rsid w:val="21ED35E0"/>
    <w:rsid w:val="21ED538F"/>
    <w:rsid w:val="21F726B1"/>
    <w:rsid w:val="21FC1A76"/>
    <w:rsid w:val="21FF5648"/>
    <w:rsid w:val="220426D8"/>
    <w:rsid w:val="22056B7C"/>
    <w:rsid w:val="220D3C83"/>
    <w:rsid w:val="22155EFF"/>
    <w:rsid w:val="221B014E"/>
    <w:rsid w:val="222039B6"/>
    <w:rsid w:val="2221772E"/>
    <w:rsid w:val="222B5EB7"/>
    <w:rsid w:val="22372AAE"/>
    <w:rsid w:val="22486A69"/>
    <w:rsid w:val="224A0A33"/>
    <w:rsid w:val="224C47AB"/>
    <w:rsid w:val="224F1BA5"/>
    <w:rsid w:val="2250591D"/>
    <w:rsid w:val="2253194F"/>
    <w:rsid w:val="22543660"/>
    <w:rsid w:val="2256684B"/>
    <w:rsid w:val="22592A24"/>
    <w:rsid w:val="225B2C40"/>
    <w:rsid w:val="225C2514"/>
    <w:rsid w:val="226006F6"/>
    <w:rsid w:val="22617B2B"/>
    <w:rsid w:val="227B5090"/>
    <w:rsid w:val="227C4964"/>
    <w:rsid w:val="22802924"/>
    <w:rsid w:val="22813D29"/>
    <w:rsid w:val="228201CD"/>
    <w:rsid w:val="22830971"/>
    <w:rsid w:val="22853819"/>
    <w:rsid w:val="228A52D3"/>
    <w:rsid w:val="228F28EA"/>
    <w:rsid w:val="22916662"/>
    <w:rsid w:val="22925F36"/>
    <w:rsid w:val="22947F00"/>
    <w:rsid w:val="229677D4"/>
    <w:rsid w:val="229E2B2D"/>
    <w:rsid w:val="22A16179"/>
    <w:rsid w:val="22A30143"/>
    <w:rsid w:val="22AA7723"/>
    <w:rsid w:val="22B42350"/>
    <w:rsid w:val="22B440FE"/>
    <w:rsid w:val="22B72FCA"/>
    <w:rsid w:val="22BB36DF"/>
    <w:rsid w:val="22BD1205"/>
    <w:rsid w:val="22C04851"/>
    <w:rsid w:val="22C407E5"/>
    <w:rsid w:val="22CA3922"/>
    <w:rsid w:val="22CA56D0"/>
    <w:rsid w:val="22CC1448"/>
    <w:rsid w:val="22CD6F6E"/>
    <w:rsid w:val="22CF0F38"/>
    <w:rsid w:val="22D12F02"/>
    <w:rsid w:val="22D14C16"/>
    <w:rsid w:val="22D30A28"/>
    <w:rsid w:val="22D447A0"/>
    <w:rsid w:val="22DD5403"/>
    <w:rsid w:val="22E61AD1"/>
    <w:rsid w:val="23040BE2"/>
    <w:rsid w:val="231352C9"/>
    <w:rsid w:val="23137077"/>
    <w:rsid w:val="23160915"/>
    <w:rsid w:val="23164DB9"/>
    <w:rsid w:val="23207452"/>
    <w:rsid w:val="232079E6"/>
    <w:rsid w:val="232272BA"/>
    <w:rsid w:val="23241284"/>
    <w:rsid w:val="232A43C0"/>
    <w:rsid w:val="232E3EB1"/>
    <w:rsid w:val="23377209"/>
    <w:rsid w:val="233A0BA3"/>
    <w:rsid w:val="233A2855"/>
    <w:rsid w:val="234731C4"/>
    <w:rsid w:val="234E4553"/>
    <w:rsid w:val="23582CFD"/>
    <w:rsid w:val="235D02F2"/>
    <w:rsid w:val="23614286"/>
    <w:rsid w:val="2364528E"/>
    <w:rsid w:val="236B6EB3"/>
    <w:rsid w:val="236D2C2B"/>
    <w:rsid w:val="23700025"/>
    <w:rsid w:val="237B69CA"/>
    <w:rsid w:val="237D6BE6"/>
    <w:rsid w:val="238B1303"/>
    <w:rsid w:val="238B4C82"/>
    <w:rsid w:val="238D1EED"/>
    <w:rsid w:val="23907C91"/>
    <w:rsid w:val="2392443F"/>
    <w:rsid w:val="239448A4"/>
    <w:rsid w:val="2395665B"/>
    <w:rsid w:val="2398757C"/>
    <w:rsid w:val="239C706C"/>
    <w:rsid w:val="23A622B4"/>
    <w:rsid w:val="23A979DB"/>
    <w:rsid w:val="23AE0B4E"/>
    <w:rsid w:val="23C6058D"/>
    <w:rsid w:val="23C87E61"/>
    <w:rsid w:val="23C91E2B"/>
    <w:rsid w:val="23D04F68"/>
    <w:rsid w:val="23D305B4"/>
    <w:rsid w:val="23D902C0"/>
    <w:rsid w:val="23D94172"/>
    <w:rsid w:val="23DE7685"/>
    <w:rsid w:val="23E80503"/>
    <w:rsid w:val="23F24EDE"/>
    <w:rsid w:val="23FA0237"/>
    <w:rsid w:val="24030E99"/>
    <w:rsid w:val="240F3CE2"/>
    <w:rsid w:val="24111CD9"/>
    <w:rsid w:val="241412F8"/>
    <w:rsid w:val="241A2687"/>
    <w:rsid w:val="241A4435"/>
    <w:rsid w:val="242A28CA"/>
    <w:rsid w:val="242F7EE0"/>
    <w:rsid w:val="243948BB"/>
    <w:rsid w:val="2446347C"/>
    <w:rsid w:val="244D0366"/>
    <w:rsid w:val="244D65B8"/>
    <w:rsid w:val="244F2331"/>
    <w:rsid w:val="245416F5"/>
    <w:rsid w:val="24575689"/>
    <w:rsid w:val="24577437"/>
    <w:rsid w:val="245C0B6C"/>
    <w:rsid w:val="245C2C9F"/>
    <w:rsid w:val="24612064"/>
    <w:rsid w:val="24635DDC"/>
    <w:rsid w:val="246758CC"/>
    <w:rsid w:val="24763D61"/>
    <w:rsid w:val="247732CE"/>
    <w:rsid w:val="24805C1D"/>
    <w:rsid w:val="2483647E"/>
    <w:rsid w:val="248D4C07"/>
    <w:rsid w:val="2492221D"/>
    <w:rsid w:val="24973CD7"/>
    <w:rsid w:val="24A00DDE"/>
    <w:rsid w:val="24A26904"/>
    <w:rsid w:val="24A3267C"/>
    <w:rsid w:val="24A501A2"/>
    <w:rsid w:val="24AA57B9"/>
    <w:rsid w:val="24AF7273"/>
    <w:rsid w:val="24B623B0"/>
    <w:rsid w:val="24B77ED6"/>
    <w:rsid w:val="24B853ED"/>
    <w:rsid w:val="24BD373E"/>
    <w:rsid w:val="24C34ACD"/>
    <w:rsid w:val="24C70119"/>
    <w:rsid w:val="24CC3981"/>
    <w:rsid w:val="24CF3471"/>
    <w:rsid w:val="24D16B39"/>
    <w:rsid w:val="24D34D10"/>
    <w:rsid w:val="24D80578"/>
    <w:rsid w:val="24E231A5"/>
    <w:rsid w:val="24E24F53"/>
    <w:rsid w:val="24E707BB"/>
    <w:rsid w:val="24F36825"/>
    <w:rsid w:val="24F46A34"/>
    <w:rsid w:val="24F66C50"/>
    <w:rsid w:val="2504718E"/>
    <w:rsid w:val="250749E2"/>
    <w:rsid w:val="25096983"/>
    <w:rsid w:val="250A44A9"/>
    <w:rsid w:val="250D0F04"/>
    <w:rsid w:val="250F386E"/>
    <w:rsid w:val="251175E6"/>
    <w:rsid w:val="25137802"/>
    <w:rsid w:val="25161906"/>
    <w:rsid w:val="251A293E"/>
    <w:rsid w:val="252512E3"/>
    <w:rsid w:val="25253091"/>
    <w:rsid w:val="25284930"/>
    <w:rsid w:val="25290DD3"/>
    <w:rsid w:val="252D66FD"/>
    <w:rsid w:val="252E1F46"/>
    <w:rsid w:val="253908EB"/>
    <w:rsid w:val="2539485F"/>
    <w:rsid w:val="253A4D8F"/>
    <w:rsid w:val="253F23A5"/>
    <w:rsid w:val="254259F1"/>
    <w:rsid w:val="25445D9E"/>
    <w:rsid w:val="254479BB"/>
    <w:rsid w:val="254F6B4D"/>
    <w:rsid w:val="2552768B"/>
    <w:rsid w:val="255816B9"/>
    <w:rsid w:val="255F65A3"/>
    <w:rsid w:val="25695674"/>
    <w:rsid w:val="256A4F48"/>
    <w:rsid w:val="256F255E"/>
    <w:rsid w:val="25783B09"/>
    <w:rsid w:val="25787665"/>
    <w:rsid w:val="257D2A53"/>
    <w:rsid w:val="257F27A2"/>
    <w:rsid w:val="2580651A"/>
    <w:rsid w:val="25822292"/>
    <w:rsid w:val="25826736"/>
    <w:rsid w:val="25861D82"/>
    <w:rsid w:val="25875AFA"/>
    <w:rsid w:val="25944EBB"/>
    <w:rsid w:val="25950217"/>
    <w:rsid w:val="259B3353"/>
    <w:rsid w:val="25A62424"/>
    <w:rsid w:val="25A8619C"/>
    <w:rsid w:val="25AB3597"/>
    <w:rsid w:val="25B032A3"/>
    <w:rsid w:val="25BD776E"/>
    <w:rsid w:val="25BF7042"/>
    <w:rsid w:val="25C64874"/>
    <w:rsid w:val="25CE6AF1"/>
    <w:rsid w:val="25D02FFD"/>
    <w:rsid w:val="25D074A1"/>
    <w:rsid w:val="25D24FC7"/>
    <w:rsid w:val="25D725DE"/>
    <w:rsid w:val="25E90563"/>
    <w:rsid w:val="25E940BF"/>
    <w:rsid w:val="25F25669"/>
    <w:rsid w:val="25F5515A"/>
    <w:rsid w:val="25FA451E"/>
    <w:rsid w:val="2610789E"/>
    <w:rsid w:val="26123616"/>
    <w:rsid w:val="263A1E25"/>
    <w:rsid w:val="263D4A6F"/>
    <w:rsid w:val="264628A4"/>
    <w:rsid w:val="26467763"/>
    <w:rsid w:val="265303C3"/>
    <w:rsid w:val="26541E80"/>
    <w:rsid w:val="2657371E"/>
    <w:rsid w:val="265B26B4"/>
    <w:rsid w:val="265D7087"/>
    <w:rsid w:val="265E2CFF"/>
    <w:rsid w:val="266D2C13"/>
    <w:rsid w:val="267442D0"/>
    <w:rsid w:val="26906C30"/>
    <w:rsid w:val="269A360B"/>
    <w:rsid w:val="269B7AAF"/>
    <w:rsid w:val="26A06E73"/>
    <w:rsid w:val="26A12BEB"/>
    <w:rsid w:val="26A34BB6"/>
    <w:rsid w:val="26A5448A"/>
    <w:rsid w:val="26A60202"/>
    <w:rsid w:val="26A81988"/>
    <w:rsid w:val="26AF70B6"/>
    <w:rsid w:val="26B172D2"/>
    <w:rsid w:val="26B648E9"/>
    <w:rsid w:val="26B84614"/>
    <w:rsid w:val="26B96187"/>
    <w:rsid w:val="26CA2142"/>
    <w:rsid w:val="26CA3EF0"/>
    <w:rsid w:val="26CB1A16"/>
    <w:rsid w:val="26CD578F"/>
    <w:rsid w:val="26CF57CC"/>
    <w:rsid w:val="26CF59AB"/>
    <w:rsid w:val="26D44D6F"/>
    <w:rsid w:val="26D62895"/>
    <w:rsid w:val="26D92385"/>
    <w:rsid w:val="26DA41FF"/>
    <w:rsid w:val="26DB60FD"/>
    <w:rsid w:val="26DD1E76"/>
    <w:rsid w:val="26E256DE"/>
    <w:rsid w:val="26EC36BA"/>
    <w:rsid w:val="26F176CF"/>
    <w:rsid w:val="26F251F5"/>
    <w:rsid w:val="26F70A5D"/>
    <w:rsid w:val="26F7280B"/>
    <w:rsid w:val="27022042"/>
    <w:rsid w:val="270513CC"/>
    <w:rsid w:val="27053614"/>
    <w:rsid w:val="27167136"/>
    <w:rsid w:val="27174C5C"/>
    <w:rsid w:val="27223D2C"/>
    <w:rsid w:val="27363334"/>
    <w:rsid w:val="273D2914"/>
    <w:rsid w:val="27404DC7"/>
    <w:rsid w:val="27441EF5"/>
    <w:rsid w:val="274C6FFB"/>
    <w:rsid w:val="275B723E"/>
    <w:rsid w:val="275D4F4C"/>
    <w:rsid w:val="27602AA7"/>
    <w:rsid w:val="2769195B"/>
    <w:rsid w:val="276C144B"/>
    <w:rsid w:val="276C29FF"/>
    <w:rsid w:val="276F7982"/>
    <w:rsid w:val="27702CEA"/>
    <w:rsid w:val="27723922"/>
    <w:rsid w:val="27750300"/>
    <w:rsid w:val="27781B9E"/>
    <w:rsid w:val="277A5916"/>
    <w:rsid w:val="27822A1D"/>
    <w:rsid w:val="278247CB"/>
    <w:rsid w:val="27893DAB"/>
    <w:rsid w:val="27930786"/>
    <w:rsid w:val="27932534"/>
    <w:rsid w:val="279F712B"/>
    <w:rsid w:val="27A012F8"/>
    <w:rsid w:val="27A6670B"/>
    <w:rsid w:val="27A72484"/>
    <w:rsid w:val="27AA02DA"/>
    <w:rsid w:val="27AA5AD0"/>
    <w:rsid w:val="27B13177"/>
    <w:rsid w:val="27B20448"/>
    <w:rsid w:val="27B83B2E"/>
    <w:rsid w:val="27BB1A8B"/>
    <w:rsid w:val="27BD3A55"/>
    <w:rsid w:val="27C22E19"/>
    <w:rsid w:val="27C923FA"/>
    <w:rsid w:val="27CA2A7A"/>
    <w:rsid w:val="27CB7F20"/>
    <w:rsid w:val="27CC3C98"/>
    <w:rsid w:val="27DA0163"/>
    <w:rsid w:val="27E64D5A"/>
    <w:rsid w:val="27EC60E8"/>
    <w:rsid w:val="27F154AD"/>
    <w:rsid w:val="27F258DB"/>
    <w:rsid w:val="27F33FEA"/>
    <w:rsid w:val="27FF6A4F"/>
    <w:rsid w:val="280276BA"/>
    <w:rsid w:val="28095340"/>
    <w:rsid w:val="280B4FF2"/>
    <w:rsid w:val="280E605F"/>
    <w:rsid w:val="281713B7"/>
    <w:rsid w:val="282E04AF"/>
    <w:rsid w:val="283310F0"/>
    <w:rsid w:val="28377363"/>
    <w:rsid w:val="283E4B96"/>
    <w:rsid w:val="28445F24"/>
    <w:rsid w:val="2847771B"/>
    <w:rsid w:val="28485A15"/>
    <w:rsid w:val="28520641"/>
    <w:rsid w:val="28610884"/>
    <w:rsid w:val="286363AA"/>
    <w:rsid w:val="286B2CA4"/>
    <w:rsid w:val="286F11F3"/>
    <w:rsid w:val="287961D1"/>
    <w:rsid w:val="287C56BE"/>
    <w:rsid w:val="287F6F5C"/>
    <w:rsid w:val="288307FB"/>
    <w:rsid w:val="28846321"/>
    <w:rsid w:val="28855885"/>
    <w:rsid w:val="28855A7D"/>
    <w:rsid w:val="288822B5"/>
    <w:rsid w:val="28911ACC"/>
    <w:rsid w:val="28916946"/>
    <w:rsid w:val="2899001E"/>
    <w:rsid w:val="28A3685F"/>
    <w:rsid w:val="28A54C15"/>
    <w:rsid w:val="28A7421F"/>
    <w:rsid w:val="28AD3ACA"/>
    <w:rsid w:val="28AF7842"/>
    <w:rsid w:val="28B430AA"/>
    <w:rsid w:val="28B74948"/>
    <w:rsid w:val="28BE1833"/>
    <w:rsid w:val="28C11323"/>
    <w:rsid w:val="28CA642A"/>
    <w:rsid w:val="28CD7CC8"/>
    <w:rsid w:val="28D15A0A"/>
    <w:rsid w:val="28D177B8"/>
    <w:rsid w:val="28D41056"/>
    <w:rsid w:val="28D70B46"/>
    <w:rsid w:val="28D92B11"/>
    <w:rsid w:val="28DE1ED5"/>
    <w:rsid w:val="28DE2A6B"/>
    <w:rsid w:val="28DF17A9"/>
    <w:rsid w:val="28E072CF"/>
    <w:rsid w:val="28ED036A"/>
    <w:rsid w:val="28EF7C3E"/>
    <w:rsid w:val="28F11C08"/>
    <w:rsid w:val="28F147A8"/>
    <w:rsid w:val="28FC235B"/>
    <w:rsid w:val="28FD69FA"/>
    <w:rsid w:val="2912661F"/>
    <w:rsid w:val="29143B49"/>
    <w:rsid w:val="29183639"/>
    <w:rsid w:val="291B0A33"/>
    <w:rsid w:val="291D0C4F"/>
    <w:rsid w:val="29220014"/>
    <w:rsid w:val="29226266"/>
    <w:rsid w:val="2927387C"/>
    <w:rsid w:val="292813A2"/>
    <w:rsid w:val="292A511A"/>
    <w:rsid w:val="292F0982"/>
    <w:rsid w:val="29332221"/>
    <w:rsid w:val="2934651F"/>
    <w:rsid w:val="293715E5"/>
    <w:rsid w:val="29373393"/>
    <w:rsid w:val="293B2E83"/>
    <w:rsid w:val="294A756A"/>
    <w:rsid w:val="294D2BB7"/>
    <w:rsid w:val="295108F9"/>
    <w:rsid w:val="29534671"/>
    <w:rsid w:val="29587103"/>
    <w:rsid w:val="296057E6"/>
    <w:rsid w:val="296543A4"/>
    <w:rsid w:val="2967011C"/>
    <w:rsid w:val="296B6CBA"/>
    <w:rsid w:val="296C74E1"/>
    <w:rsid w:val="2973086F"/>
    <w:rsid w:val="29752839"/>
    <w:rsid w:val="297840D8"/>
    <w:rsid w:val="29890093"/>
    <w:rsid w:val="298E7457"/>
    <w:rsid w:val="298F31CF"/>
    <w:rsid w:val="298F4F7D"/>
    <w:rsid w:val="29982084"/>
    <w:rsid w:val="299A22A0"/>
    <w:rsid w:val="299A404E"/>
    <w:rsid w:val="299D3B3E"/>
    <w:rsid w:val="29A30A29"/>
    <w:rsid w:val="29AE5D4B"/>
    <w:rsid w:val="29B13146"/>
    <w:rsid w:val="29B175E9"/>
    <w:rsid w:val="29BD5F8E"/>
    <w:rsid w:val="29C15A7E"/>
    <w:rsid w:val="29C323D4"/>
    <w:rsid w:val="29C56BF1"/>
    <w:rsid w:val="29C9048F"/>
    <w:rsid w:val="29CC61D1"/>
    <w:rsid w:val="29CE1F49"/>
    <w:rsid w:val="29D11A3A"/>
    <w:rsid w:val="29D33D5E"/>
    <w:rsid w:val="29D46E34"/>
    <w:rsid w:val="29D55086"/>
    <w:rsid w:val="29D82DC8"/>
    <w:rsid w:val="29DD218D"/>
    <w:rsid w:val="29DF7CB3"/>
    <w:rsid w:val="29E057D9"/>
    <w:rsid w:val="29E452C9"/>
    <w:rsid w:val="29EB624B"/>
    <w:rsid w:val="29F1029B"/>
    <w:rsid w:val="29F714A0"/>
    <w:rsid w:val="2A047719"/>
    <w:rsid w:val="2A0B4F4C"/>
    <w:rsid w:val="2A0C4820"/>
    <w:rsid w:val="2A104310"/>
    <w:rsid w:val="2A17569E"/>
    <w:rsid w:val="2A1D4C7F"/>
    <w:rsid w:val="2A21310B"/>
    <w:rsid w:val="2A24600D"/>
    <w:rsid w:val="2A247DBB"/>
    <w:rsid w:val="2A2D4EC2"/>
    <w:rsid w:val="2A331DAD"/>
    <w:rsid w:val="2A351FC9"/>
    <w:rsid w:val="2A36189D"/>
    <w:rsid w:val="2A37772A"/>
    <w:rsid w:val="2A392CAE"/>
    <w:rsid w:val="2A3D0E7D"/>
    <w:rsid w:val="2A41271B"/>
    <w:rsid w:val="2A4160C7"/>
    <w:rsid w:val="2A420242"/>
    <w:rsid w:val="2A472991"/>
    <w:rsid w:val="2A497822"/>
    <w:rsid w:val="2A4E653F"/>
    <w:rsid w:val="2A636B36"/>
    <w:rsid w:val="2A677CA8"/>
    <w:rsid w:val="2A697EC4"/>
    <w:rsid w:val="2A7E3970"/>
    <w:rsid w:val="2A7F1496"/>
    <w:rsid w:val="2A7F4FF2"/>
    <w:rsid w:val="2A84085A"/>
    <w:rsid w:val="2A88659C"/>
    <w:rsid w:val="2A8E5B5E"/>
    <w:rsid w:val="2A8F792B"/>
    <w:rsid w:val="2A930A9D"/>
    <w:rsid w:val="2A9434E8"/>
    <w:rsid w:val="2A97233B"/>
    <w:rsid w:val="2AA1765E"/>
    <w:rsid w:val="2AA64C74"/>
    <w:rsid w:val="2AA8279A"/>
    <w:rsid w:val="2AAC58FF"/>
    <w:rsid w:val="2AAE58D7"/>
    <w:rsid w:val="2AB06293"/>
    <w:rsid w:val="2AB31D3F"/>
    <w:rsid w:val="2AB32EED"/>
    <w:rsid w:val="2AB54EB7"/>
    <w:rsid w:val="2ABB25E3"/>
    <w:rsid w:val="2ABF25ED"/>
    <w:rsid w:val="2AC31382"/>
    <w:rsid w:val="2AC33130"/>
    <w:rsid w:val="2AC3330D"/>
    <w:rsid w:val="2AC86999"/>
    <w:rsid w:val="2ACA2711"/>
    <w:rsid w:val="2ACF5F79"/>
    <w:rsid w:val="2AD73080"/>
    <w:rsid w:val="2AD90BA6"/>
    <w:rsid w:val="2AD92954"/>
    <w:rsid w:val="2AE015D7"/>
    <w:rsid w:val="2AE61515"/>
    <w:rsid w:val="2AEF3F25"/>
    <w:rsid w:val="2AF27EBA"/>
    <w:rsid w:val="2AF43C32"/>
    <w:rsid w:val="2AF459E0"/>
    <w:rsid w:val="2AF4778E"/>
    <w:rsid w:val="2AFE685E"/>
    <w:rsid w:val="2B004618"/>
    <w:rsid w:val="2B013C59"/>
    <w:rsid w:val="2B02634F"/>
    <w:rsid w:val="2B0A0D5F"/>
    <w:rsid w:val="2B1E480B"/>
    <w:rsid w:val="2B1F7399"/>
    <w:rsid w:val="2B230073"/>
    <w:rsid w:val="2B232BDB"/>
    <w:rsid w:val="2B285689"/>
    <w:rsid w:val="2B2A3917"/>
    <w:rsid w:val="2B32482A"/>
    <w:rsid w:val="2B367DA6"/>
    <w:rsid w:val="2B3758CC"/>
    <w:rsid w:val="2B3B360F"/>
    <w:rsid w:val="2B4C723F"/>
    <w:rsid w:val="2B520958"/>
    <w:rsid w:val="2B5446D0"/>
    <w:rsid w:val="2B54647E"/>
    <w:rsid w:val="2B5621F6"/>
    <w:rsid w:val="2B6058E0"/>
    <w:rsid w:val="2B612949"/>
    <w:rsid w:val="2B6366C1"/>
    <w:rsid w:val="2B69794E"/>
    <w:rsid w:val="2B7663F5"/>
    <w:rsid w:val="2B8F74B6"/>
    <w:rsid w:val="2B97636B"/>
    <w:rsid w:val="2B980A61"/>
    <w:rsid w:val="2B9E76FA"/>
    <w:rsid w:val="2B9E7BC7"/>
    <w:rsid w:val="2BA03472"/>
    <w:rsid w:val="2BA411B4"/>
    <w:rsid w:val="2BA5645F"/>
    <w:rsid w:val="2BAE12E7"/>
    <w:rsid w:val="2BB62C95"/>
    <w:rsid w:val="2BB94533"/>
    <w:rsid w:val="2BBB02AC"/>
    <w:rsid w:val="2BC255A4"/>
    <w:rsid w:val="2BD17ACF"/>
    <w:rsid w:val="2BD32520"/>
    <w:rsid w:val="2BD33847"/>
    <w:rsid w:val="2BD66E93"/>
    <w:rsid w:val="2BDB6BA0"/>
    <w:rsid w:val="2BE07D12"/>
    <w:rsid w:val="2BE23A8A"/>
    <w:rsid w:val="2BE95450"/>
    <w:rsid w:val="2BEA1CFB"/>
    <w:rsid w:val="2BEB4B93"/>
    <w:rsid w:val="2BF26F01"/>
    <w:rsid w:val="2BF33EE9"/>
    <w:rsid w:val="2BF51A0F"/>
    <w:rsid w:val="2C0440A1"/>
    <w:rsid w:val="2C10541E"/>
    <w:rsid w:val="2C11611D"/>
    <w:rsid w:val="2C1C51EE"/>
    <w:rsid w:val="2C210A56"/>
    <w:rsid w:val="2C2643AF"/>
    <w:rsid w:val="2C2A71DF"/>
    <w:rsid w:val="2C2E3173"/>
    <w:rsid w:val="2C3F712F"/>
    <w:rsid w:val="2C41345C"/>
    <w:rsid w:val="2C464019"/>
    <w:rsid w:val="2C475FE3"/>
    <w:rsid w:val="2C4B5AD3"/>
    <w:rsid w:val="2C4C35F9"/>
    <w:rsid w:val="2C4C3F30"/>
    <w:rsid w:val="2C4C53A8"/>
    <w:rsid w:val="2C5030EA"/>
    <w:rsid w:val="2C506C46"/>
    <w:rsid w:val="2C526E62"/>
    <w:rsid w:val="2C536736"/>
    <w:rsid w:val="2C5F332D"/>
    <w:rsid w:val="2C5F50DB"/>
    <w:rsid w:val="2C673F8F"/>
    <w:rsid w:val="2C6941AB"/>
    <w:rsid w:val="2C6B1CD2"/>
    <w:rsid w:val="2C6B3A80"/>
    <w:rsid w:val="2C6D5A4A"/>
    <w:rsid w:val="2C6E3570"/>
    <w:rsid w:val="2C7C5C8D"/>
    <w:rsid w:val="2C7F577D"/>
    <w:rsid w:val="2C826E81"/>
    <w:rsid w:val="2C862667"/>
    <w:rsid w:val="2C8D1C48"/>
    <w:rsid w:val="2C970D19"/>
    <w:rsid w:val="2C9805ED"/>
    <w:rsid w:val="2C9E3E55"/>
    <w:rsid w:val="2CA014EB"/>
    <w:rsid w:val="2CA13945"/>
    <w:rsid w:val="2CA451E4"/>
    <w:rsid w:val="2CA70830"/>
    <w:rsid w:val="2CA84CD4"/>
    <w:rsid w:val="2CAA0A5A"/>
    <w:rsid w:val="2CAF6062"/>
    <w:rsid w:val="2CB76CC5"/>
    <w:rsid w:val="2CC17B44"/>
    <w:rsid w:val="2CC76232"/>
    <w:rsid w:val="2CC87124"/>
    <w:rsid w:val="2CC969F8"/>
    <w:rsid w:val="2CD258AD"/>
    <w:rsid w:val="2CD3327F"/>
    <w:rsid w:val="2CD77367"/>
    <w:rsid w:val="2CDA29B3"/>
    <w:rsid w:val="2CDA5A6E"/>
    <w:rsid w:val="2CDF4B0F"/>
    <w:rsid w:val="2CE101E6"/>
    <w:rsid w:val="2CED0939"/>
    <w:rsid w:val="2CED6B8B"/>
    <w:rsid w:val="2CF03F85"/>
    <w:rsid w:val="2CF271A5"/>
    <w:rsid w:val="2CF33A75"/>
    <w:rsid w:val="2CFA4E04"/>
    <w:rsid w:val="2CFF066C"/>
    <w:rsid w:val="2D0363AE"/>
    <w:rsid w:val="2D041698"/>
    <w:rsid w:val="2D087520"/>
    <w:rsid w:val="2D0B7011"/>
    <w:rsid w:val="2D0D4B37"/>
    <w:rsid w:val="2D1063D5"/>
    <w:rsid w:val="2D1C2FCC"/>
    <w:rsid w:val="2D1E0AF2"/>
    <w:rsid w:val="2D281971"/>
    <w:rsid w:val="2D395076"/>
    <w:rsid w:val="2D3E1194"/>
    <w:rsid w:val="2D426A09"/>
    <w:rsid w:val="2D4367AA"/>
    <w:rsid w:val="2D450775"/>
    <w:rsid w:val="2D46629B"/>
    <w:rsid w:val="2D524C40"/>
    <w:rsid w:val="2D563C6B"/>
    <w:rsid w:val="2D564730"/>
    <w:rsid w:val="2D590A8D"/>
    <w:rsid w:val="2D69305E"/>
    <w:rsid w:val="2D6F57F1"/>
    <w:rsid w:val="2D744BB6"/>
    <w:rsid w:val="2D7C30AE"/>
    <w:rsid w:val="2D7C3A6A"/>
    <w:rsid w:val="2D7E3C87"/>
    <w:rsid w:val="2D83304B"/>
    <w:rsid w:val="2D8400D7"/>
    <w:rsid w:val="2D851D9A"/>
    <w:rsid w:val="2D960FD0"/>
    <w:rsid w:val="2D9708A4"/>
    <w:rsid w:val="2D9C5EBB"/>
    <w:rsid w:val="2DA30834"/>
    <w:rsid w:val="2DAD00C8"/>
    <w:rsid w:val="2DAF5BEE"/>
    <w:rsid w:val="2DB256DE"/>
    <w:rsid w:val="2DBA2F11"/>
    <w:rsid w:val="2DC07DFB"/>
    <w:rsid w:val="2DC84F02"/>
    <w:rsid w:val="2DD41AF8"/>
    <w:rsid w:val="2DD92C6B"/>
    <w:rsid w:val="2DD9710F"/>
    <w:rsid w:val="2DDD6BFF"/>
    <w:rsid w:val="2DDE2E00"/>
    <w:rsid w:val="2DDF4725"/>
    <w:rsid w:val="2DE13A8A"/>
    <w:rsid w:val="2DE33AEA"/>
    <w:rsid w:val="2DE41D3C"/>
    <w:rsid w:val="2DE55AB4"/>
    <w:rsid w:val="2DE75388"/>
    <w:rsid w:val="2DEC6E42"/>
    <w:rsid w:val="2DF8044C"/>
    <w:rsid w:val="2E183793"/>
    <w:rsid w:val="2E1A575D"/>
    <w:rsid w:val="2E20089A"/>
    <w:rsid w:val="2E2959A0"/>
    <w:rsid w:val="2E2E2FB7"/>
    <w:rsid w:val="2E341F8D"/>
    <w:rsid w:val="2E3C2288"/>
    <w:rsid w:val="2E424CB4"/>
    <w:rsid w:val="2E4E7A03"/>
    <w:rsid w:val="2E580034"/>
    <w:rsid w:val="2E5A0250"/>
    <w:rsid w:val="2E5F13C2"/>
    <w:rsid w:val="2E67471B"/>
    <w:rsid w:val="2E690493"/>
    <w:rsid w:val="2E6B21B4"/>
    <w:rsid w:val="2E725599"/>
    <w:rsid w:val="2E81758A"/>
    <w:rsid w:val="2E822546"/>
    <w:rsid w:val="2E861045"/>
    <w:rsid w:val="2E8C5F2F"/>
    <w:rsid w:val="2E8E1CA7"/>
    <w:rsid w:val="2E9372BE"/>
    <w:rsid w:val="2E960B5C"/>
    <w:rsid w:val="2E9A0862"/>
    <w:rsid w:val="2EA65243"/>
    <w:rsid w:val="2EAD65D1"/>
    <w:rsid w:val="2EBA0CEE"/>
    <w:rsid w:val="2EC61441"/>
    <w:rsid w:val="2ED00512"/>
    <w:rsid w:val="2ED05F2C"/>
    <w:rsid w:val="2ED26038"/>
    <w:rsid w:val="2EDC6EB7"/>
    <w:rsid w:val="2EDD678B"/>
    <w:rsid w:val="2EDE0726"/>
    <w:rsid w:val="2EE23DA1"/>
    <w:rsid w:val="2EE32F12"/>
    <w:rsid w:val="2EE3501E"/>
    <w:rsid w:val="2EE43FBD"/>
    <w:rsid w:val="2EE93382"/>
    <w:rsid w:val="2EEB70FA"/>
    <w:rsid w:val="2EEE2746"/>
    <w:rsid w:val="2EEF5E4C"/>
    <w:rsid w:val="2EF557BC"/>
    <w:rsid w:val="2F063F34"/>
    <w:rsid w:val="2F0D7070"/>
    <w:rsid w:val="2F133481"/>
    <w:rsid w:val="2F1877C3"/>
    <w:rsid w:val="2F1C3757"/>
    <w:rsid w:val="2F285C58"/>
    <w:rsid w:val="2F300FB0"/>
    <w:rsid w:val="2F324D29"/>
    <w:rsid w:val="2F3320DE"/>
    <w:rsid w:val="2F3A3BDD"/>
    <w:rsid w:val="2F407445"/>
    <w:rsid w:val="2F503401"/>
    <w:rsid w:val="2F560A17"/>
    <w:rsid w:val="2F561217"/>
    <w:rsid w:val="2F5A7DDB"/>
    <w:rsid w:val="2F5B427F"/>
    <w:rsid w:val="2F662C24"/>
    <w:rsid w:val="2F6D3490"/>
    <w:rsid w:val="2F6D7B0F"/>
    <w:rsid w:val="2F6F3887"/>
    <w:rsid w:val="2F7075FF"/>
    <w:rsid w:val="2F77273B"/>
    <w:rsid w:val="2F792957"/>
    <w:rsid w:val="2F7B10A8"/>
    <w:rsid w:val="2F7E3ACA"/>
    <w:rsid w:val="2F880DEC"/>
    <w:rsid w:val="2F963509"/>
    <w:rsid w:val="2F971030"/>
    <w:rsid w:val="2F996B56"/>
    <w:rsid w:val="2F9B28CE"/>
    <w:rsid w:val="2FA23C5C"/>
    <w:rsid w:val="2FAA1469"/>
    <w:rsid w:val="2FAD2601"/>
    <w:rsid w:val="2FAD7A6F"/>
    <w:rsid w:val="2FB13E9F"/>
    <w:rsid w:val="2FB35E69"/>
    <w:rsid w:val="2FBB2F70"/>
    <w:rsid w:val="2FC11C09"/>
    <w:rsid w:val="2FC260AC"/>
    <w:rsid w:val="2FC5794B"/>
    <w:rsid w:val="2FC71915"/>
    <w:rsid w:val="2FCC0CD9"/>
    <w:rsid w:val="2FCF2577"/>
    <w:rsid w:val="2FD162F0"/>
    <w:rsid w:val="2FD45DE0"/>
    <w:rsid w:val="2FD83F7E"/>
    <w:rsid w:val="2FD91648"/>
    <w:rsid w:val="2FE7396B"/>
    <w:rsid w:val="2FEA115F"/>
    <w:rsid w:val="2FEC3129"/>
    <w:rsid w:val="2FF975F4"/>
    <w:rsid w:val="30006BD5"/>
    <w:rsid w:val="300D7D4A"/>
    <w:rsid w:val="300F506A"/>
    <w:rsid w:val="301461DC"/>
    <w:rsid w:val="30191A45"/>
    <w:rsid w:val="302544BC"/>
    <w:rsid w:val="302C1778"/>
    <w:rsid w:val="302C5C1C"/>
    <w:rsid w:val="3038011D"/>
    <w:rsid w:val="30384C45"/>
    <w:rsid w:val="303B5E5F"/>
    <w:rsid w:val="30461790"/>
    <w:rsid w:val="304940D8"/>
    <w:rsid w:val="304A7E50"/>
    <w:rsid w:val="304C5976"/>
    <w:rsid w:val="30534F57"/>
    <w:rsid w:val="30536D05"/>
    <w:rsid w:val="305413C9"/>
    <w:rsid w:val="30562C99"/>
    <w:rsid w:val="305A4537"/>
    <w:rsid w:val="305B02AF"/>
    <w:rsid w:val="305D4027"/>
    <w:rsid w:val="305E56A9"/>
    <w:rsid w:val="305F4CF6"/>
    <w:rsid w:val="306233EC"/>
    <w:rsid w:val="3062519A"/>
    <w:rsid w:val="306727B0"/>
    <w:rsid w:val="306B04F2"/>
    <w:rsid w:val="306E3B3E"/>
    <w:rsid w:val="30703D5A"/>
    <w:rsid w:val="307B44AD"/>
    <w:rsid w:val="307D6477"/>
    <w:rsid w:val="30890978"/>
    <w:rsid w:val="30894E1C"/>
    <w:rsid w:val="308A649E"/>
    <w:rsid w:val="309612E7"/>
    <w:rsid w:val="309D08C8"/>
    <w:rsid w:val="30A12166"/>
    <w:rsid w:val="30B11C7D"/>
    <w:rsid w:val="30B33C47"/>
    <w:rsid w:val="30B654E5"/>
    <w:rsid w:val="30BB2AFC"/>
    <w:rsid w:val="30BC6FA0"/>
    <w:rsid w:val="30C6397A"/>
    <w:rsid w:val="30C776F3"/>
    <w:rsid w:val="30D00355"/>
    <w:rsid w:val="30D36097"/>
    <w:rsid w:val="30D75B88"/>
    <w:rsid w:val="30DA7426"/>
    <w:rsid w:val="30DD2A72"/>
    <w:rsid w:val="30E71077"/>
    <w:rsid w:val="30EB1633"/>
    <w:rsid w:val="30F322CE"/>
    <w:rsid w:val="30F54260"/>
    <w:rsid w:val="30F57DBC"/>
    <w:rsid w:val="30FA3624"/>
    <w:rsid w:val="310224D9"/>
    <w:rsid w:val="310B75DF"/>
    <w:rsid w:val="31102E48"/>
    <w:rsid w:val="311A1F18"/>
    <w:rsid w:val="311E37B6"/>
    <w:rsid w:val="312132A7"/>
    <w:rsid w:val="312468F3"/>
    <w:rsid w:val="312B7C81"/>
    <w:rsid w:val="313308E4"/>
    <w:rsid w:val="313703D4"/>
    <w:rsid w:val="313A1C72"/>
    <w:rsid w:val="313E3CF9"/>
    <w:rsid w:val="314107E5"/>
    <w:rsid w:val="3143321D"/>
    <w:rsid w:val="314671C3"/>
    <w:rsid w:val="3152520E"/>
    <w:rsid w:val="31532D34"/>
    <w:rsid w:val="315A40C3"/>
    <w:rsid w:val="315E09D5"/>
    <w:rsid w:val="31684A32"/>
    <w:rsid w:val="317653A0"/>
    <w:rsid w:val="3179279B"/>
    <w:rsid w:val="317C228B"/>
    <w:rsid w:val="317E1D05"/>
    <w:rsid w:val="318178A1"/>
    <w:rsid w:val="319121DA"/>
    <w:rsid w:val="319677F1"/>
    <w:rsid w:val="319D02D5"/>
    <w:rsid w:val="31A6555A"/>
    <w:rsid w:val="31A83080"/>
    <w:rsid w:val="31AC0DC2"/>
    <w:rsid w:val="31B41A25"/>
    <w:rsid w:val="31B859B9"/>
    <w:rsid w:val="31B934DF"/>
    <w:rsid w:val="31BC4D7D"/>
    <w:rsid w:val="31BE2D2D"/>
    <w:rsid w:val="31C679AA"/>
    <w:rsid w:val="31C83722"/>
    <w:rsid w:val="31CD79A4"/>
    <w:rsid w:val="31CF685F"/>
    <w:rsid w:val="31D43E75"/>
    <w:rsid w:val="31DB3455"/>
    <w:rsid w:val="31DD5420"/>
    <w:rsid w:val="31E367AE"/>
    <w:rsid w:val="31EF6F01"/>
    <w:rsid w:val="31F12C79"/>
    <w:rsid w:val="31F2254D"/>
    <w:rsid w:val="31F255AF"/>
    <w:rsid w:val="31FB7654"/>
    <w:rsid w:val="31FD161E"/>
    <w:rsid w:val="31FE7C49"/>
    <w:rsid w:val="32004C6A"/>
    <w:rsid w:val="32026C34"/>
    <w:rsid w:val="32032B23"/>
    <w:rsid w:val="32105CA4"/>
    <w:rsid w:val="3216623C"/>
    <w:rsid w:val="32171FB4"/>
    <w:rsid w:val="3219034B"/>
    <w:rsid w:val="321921D0"/>
    <w:rsid w:val="3220530C"/>
    <w:rsid w:val="322070BA"/>
    <w:rsid w:val="3227669B"/>
    <w:rsid w:val="322A7F37"/>
    <w:rsid w:val="32324544"/>
    <w:rsid w:val="323808A8"/>
    <w:rsid w:val="3239017C"/>
    <w:rsid w:val="324463DD"/>
    <w:rsid w:val="324A4137"/>
    <w:rsid w:val="324C6101"/>
    <w:rsid w:val="324E00CB"/>
    <w:rsid w:val="325154C6"/>
    <w:rsid w:val="32544FB6"/>
    <w:rsid w:val="325B00F2"/>
    <w:rsid w:val="325B4596"/>
    <w:rsid w:val="32625925"/>
    <w:rsid w:val="326571C3"/>
    <w:rsid w:val="32672F3B"/>
    <w:rsid w:val="32676A97"/>
    <w:rsid w:val="326A4C5E"/>
    <w:rsid w:val="326C0551"/>
    <w:rsid w:val="32785148"/>
    <w:rsid w:val="327B2543"/>
    <w:rsid w:val="327B69E7"/>
    <w:rsid w:val="32876D44"/>
    <w:rsid w:val="328C4750"/>
    <w:rsid w:val="32904240"/>
    <w:rsid w:val="32931F82"/>
    <w:rsid w:val="32981347"/>
    <w:rsid w:val="329B0E37"/>
    <w:rsid w:val="329D070B"/>
    <w:rsid w:val="32AB107A"/>
    <w:rsid w:val="32AD1D1E"/>
    <w:rsid w:val="32AE46C6"/>
    <w:rsid w:val="32B1065A"/>
    <w:rsid w:val="32B55A55"/>
    <w:rsid w:val="32BC3287"/>
    <w:rsid w:val="32BD0DAD"/>
    <w:rsid w:val="32BD6371"/>
    <w:rsid w:val="32BF4B25"/>
    <w:rsid w:val="32C97752"/>
    <w:rsid w:val="32CC0FF0"/>
    <w:rsid w:val="32D0096E"/>
    <w:rsid w:val="32D228C1"/>
    <w:rsid w:val="32DA7B71"/>
    <w:rsid w:val="32DB1233"/>
    <w:rsid w:val="32E93950"/>
    <w:rsid w:val="32EA65B6"/>
    <w:rsid w:val="32F56799"/>
    <w:rsid w:val="32FD564D"/>
    <w:rsid w:val="32FE5564"/>
    <w:rsid w:val="32FF3174"/>
    <w:rsid w:val="33010C9A"/>
    <w:rsid w:val="33015C08"/>
    <w:rsid w:val="330662B0"/>
    <w:rsid w:val="330668C7"/>
    <w:rsid w:val="330864CC"/>
    <w:rsid w:val="33092244"/>
    <w:rsid w:val="33093135"/>
    <w:rsid w:val="33174961"/>
    <w:rsid w:val="331D1F7D"/>
    <w:rsid w:val="331F3816"/>
    <w:rsid w:val="33274478"/>
    <w:rsid w:val="332D7CE1"/>
    <w:rsid w:val="332E3A59"/>
    <w:rsid w:val="333C6176"/>
    <w:rsid w:val="334119DE"/>
    <w:rsid w:val="334420FC"/>
    <w:rsid w:val="33492641"/>
    <w:rsid w:val="334D0383"/>
    <w:rsid w:val="334D2131"/>
    <w:rsid w:val="335C4122"/>
    <w:rsid w:val="335D0B51"/>
    <w:rsid w:val="335D7E9A"/>
    <w:rsid w:val="335E433E"/>
    <w:rsid w:val="335F1E64"/>
    <w:rsid w:val="336D23E5"/>
    <w:rsid w:val="336E0395"/>
    <w:rsid w:val="336E7E90"/>
    <w:rsid w:val="33727DEA"/>
    <w:rsid w:val="337C47C4"/>
    <w:rsid w:val="33833DA5"/>
    <w:rsid w:val="33843679"/>
    <w:rsid w:val="338F274A"/>
    <w:rsid w:val="33945FB2"/>
    <w:rsid w:val="339E473B"/>
    <w:rsid w:val="33A04957"/>
    <w:rsid w:val="33A45AC9"/>
    <w:rsid w:val="33AF4B9A"/>
    <w:rsid w:val="33B26438"/>
    <w:rsid w:val="33BE302F"/>
    <w:rsid w:val="33C66680"/>
    <w:rsid w:val="33D075EA"/>
    <w:rsid w:val="33D20888"/>
    <w:rsid w:val="33DC5263"/>
    <w:rsid w:val="33E67E90"/>
    <w:rsid w:val="33E74334"/>
    <w:rsid w:val="33EF5A15"/>
    <w:rsid w:val="33F94067"/>
    <w:rsid w:val="33F97DCE"/>
    <w:rsid w:val="33FB393B"/>
    <w:rsid w:val="340139A0"/>
    <w:rsid w:val="34022C78"/>
    <w:rsid w:val="34076784"/>
    <w:rsid w:val="340A2E41"/>
    <w:rsid w:val="340E3385"/>
    <w:rsid w:val="340F5638"/>
    <w:rsid w:val="34125129"/>
    <w:rsid w:val="34142C4F"/>
    <w:rsid w:val="34164C19"/>
    <w:rsid w:val="341669C7"/>
    <w:rsid w:val="34182AF8"/>
    <w:rsid w:val="341D5FA7"/>
    <w:rsid w:val="341E3ACD"/>
    <w:rsid w:val="342310E4"/>
    <w:rsid w:val="342D5ABF"/>
    <w:rsid w:val="342F7A89"/>
    <w:rsid w:val="3431735D"/>
    <w:rsid w:val="34403A44"/>
    <w:rsid w:val="34452E08"/>
    <w:rsid w:val="344572AC"/>
    <w:rsid w:val="34496D9C"/>
    <w:rsid w:val="34533777"/>
    <w:rsid w:val="3454129D"/>
    <w:rsid w:val="34627E5E"/>
    <w:rsid w:val="34637732"/>
    <w:rsid w:val="346644D8"/>
    <w:rsid w:val="34761214"/>
    <w:rsid w:val="34767465"/>
    <w:rsid w:val="347E631A"/>
    <w:rsid w:val="348778C5"/>
    <w:rsid w:val="348F0527"/>
    <w:rsid w:val="34931DC5"/>
    <w:rsid w:val="34A55F9D"/>
    <w:rsid w:val="34AE1BA1"/>
    <w:rsid w:val="34B0549C"/>
    <w:rsid w:val="34B1049E"/>
    <w:rsid w:val="34B30DCC"/>
    <w:rsid w:val="34B34216"/>
    <w:rsid w:val="34B35455"/>
    <w:rsid w:val="34B87A7E"/>
    <w:rsid w:val="34BA6286"/>
    <w:rsid w:val="34BB3C1A"/>
    <w:rsid w:val="34C06933"/>
    <w:rsid w:val="34C5119A"/>
    <w:rsid w:val="34C93A39"/>
    <w:rsid w:val="34CB5A03"/>
    <w:rsid w:val="34CE2DFE"/>
    <w:rsid w:val="34D32B0A"/>
    <w:rsid w:val="34D84DA0"/>
    <w:rsid w:val="34DB140D"/>
    <w:rsid w:val="34E72111"/>
    <w:rsid w:val="34E940DB"/>
    <w:rsid w:val="34F226A3"/>
    <w:rsid w:val="34F52A80"/>
    <w:rsid w:val="34F62354"/>
    <w:rsid w:val="34FF56AD"/>
    <w:rsid w:val="35011425"/>
    <w:rsid w:val="35066A3B"/>
    <w:rsid w:val="350902DA"/>
    <w:rsid w:val="35141C21"/>
    <w:rsid w:val="351647A5"/>
    <w:rsid w:val="351C000D"/>
    <w:rsid w:val="351D1FD7"/>
    <w:rsid w:val="351F5D4F"/>
    <w:rsid w:val="35213875"/>
    <w:rsid w:val="352670DE"/>
    <w:rsid w:val="352944D8"/>
    <w:rsid w:val="354258EB"/>
    <w:rsid w:val="35494B7A"/>
    <w:rsid w:val="354B444E"/>
    <w:rsid w:val="35584DBD"/>
    <w:rsid w:val="35586B6B"/>
    <w:rsid w:val="355A0B35"/>
    <w:rsid w:val="355A28E3"/>
    <w:rsid w:val="35611EC4"/>
    <w:rsid w:val="35633E8E"/>
    <w:rsid w:val="356B5D6B"/>
    <w:rsid w:val="357165DC"/>
    <w:rsid w:val="357716E7"/>
    <w:rsid w:val="357A11D7"/>
    <w:rsid w:val="357C0AAC"/>
    <w:rsid w:val="357E0CC8"/>
    <w:rsid w:val="3583008C"/>
    <w:rsid w:val="35847960"/>
    <w:rsid w:val="358A08C4"/>
    <w:rsid w:val="358B6F41"/>
    <w:rsid w:val="358D2CB9"/>
    <w:rsid w:val="359305B1"/>
    <w:rsid w:val="359C2EFC"/>
    <w:rsid w:val="359E6C74"/>
    <w:rsid w:val="35A87AF3"/>
    <w:rsid w:val="35AA386B"/>
    <w:rsid w:val="35B244CD"/>
    <w:rsid w:val="35B30245"/>
    <w:rsid w:val="35B6520A"/>
    <w:rsid w:val="35B75F88"/>
    <w:rsid w:val="35BC70FA"/>
    <w:rsid w:val="35BE10C4"/>
    <w:rsid w:val="35BE7316"/>
    <w:rsid w:val="35C506A4"/>
    <w:rsid w:val="35C7361F"/>
    <w:rsid w:val="35CA5CBB"/>
    <w:rsid w:val="35D22DC1"/>
    <w:rsid w:val="35DE52C2"/>
    <w:rsid w:val="35E52AF5"/>
    <w:rsid w:val="35E548A3"/>
    <w:rsid w:val="35F15590"/>
    <w:rsid w:val="35F20D6E"/>
    <w:rsid w:val="35F42D38"/>
    <w:rsid w:val="360607D9"/>
    <w:rsid w:val="361138EA"/>
    <w:rsid w:val="36140CE4"/>
    <w:rsid w:val="36190C5C"/>
    <w:rsid w:val="361C0286"/>
    <w:rsid w:val="361C361A"/>
    <w:rsid w:val="361E7DB5"/>
    <w:rsid w:val="36203B2D"/>
    <w:rsid w:val="36257395"/>
    <w:rsid w:val="36274EBB"/>
    <w:rsid w:val="36281C7A"/>
    <w:rsid w:val="362A49AB"/>
    <w:rsid w:val="362B4280"/>
    <w:rsid w:val="36315D3A"/>
    <w:rsid w:val="36341386"/>
    <w:rsid w:val="36370B9C"/>
    <w:rsid w:val="363D46DF"/>
    <w:rsid w:val="363D616D"/>
    <w:rsid w:val="363E2205"/>
    <w:rsid w:val="364610BA"/>
    <w:rsid w:val="36467CF5"/>
    <w:rsid w:val="36495A34"/>
    <w:rsid w:val="364C4922"/>
    <w:rsid w:val="364E58BC"/>
    <w:rsid w:val="3652180C"/>
    <w:rsid w:val="36545584"/>
    <w:rsid w:val="36547DFA"/>
    <w:rsid w:val="36581519"/>
    <w:rsid w:val="3660217B"/>
    <w:rsid w:val="36603F29"/>
    <w:rsid w:val="36611E1B"/>
    <w:rsid w:val="36637EBD"/>
    <w:rsid w:val="366559E4"/>
    <w:rsid w:val="36657792"/>
    <w:rsid w:val="36681030"/>
    <w:rsid w:val="366C6D72"/>
    <w:rsid w:val="366D10AA"/>
    <w:rsid w:val="367050B6"/>
    <w:rsid w:val="36723C5D"/>
    <w:rsid w:val="36767BF1"/>
    <w:rsid w:val="367E0761"/>
    <w:rsid w:val="3680580C"/>
    <w:rsid w:val="36806379"/>
    <w:rsid w:val="368220F2"/>
    <w:rsid w:val="368563E3"/>
    <w:rsid w:val="36884601"/>
    <w:rsid w:val="36900CA3"/>
    <w:rsid w:val="369267B0"/>
    <w:rsid w:val="369462C9"/>
    <w:rsid w:val="369736C3"/>
    <w:rsid w:val="369E2CA4"/>
    <w:rsid w:val="36A209E6"/>
    <w:rsid w:val="36A4650C"/>
    <w:rsid w:val="36AE738B"/>
    <w:rsid w:val="36B614D4"/>
    <w:rsid w:val="36B9188B"/>
    <w:rsid w:val="36C344B8"/>
    <w:rsid w:val="36C721FA"/>
    <w:rsid w:val="36DD1A1E"/>
    <w:rsid w:val="36DD557A"/>
    <w:rsid w:val="36DE7CD7"/>
    <w:rsid w:val="36E032BC"/>
    <w:rsid w:val="36E763F9"/>
    <w:rsid w:val="36E8788B"/>
    <w:rsid w:val="36F17277"/>
    <w:rsid w:val="36FF1994"/>
    <w:rsid w:val="37070849"/>
    <w:rsid w:val="370945C1"/>
    <w:rsid w:val="370B789B"/>
    <w:rsid w:val="370C40B1"/>
    <w:rsid w:val="37135440"/>
    <w:rsid w:val="37166CDE"/>
    <w:rsid w:val="37215DAE"/>
    <w:rsid w:val="372431A9"/>
    <w:rsid w:val="372C6501"/>
    <w:rsid w:val="372E0CF4"/>
    <w:rsid w:val="373A0C1E"/>
    <w:rsid w:val="37531CE0"/>
    <w:rsid w:val="376938B1"/>
    <w:rsid w:val="376F3581"/>
    <w:rsid w:val="37751BBC"/>
    <w:rsid w:val="3787198A"/>
    <w:rsid w:val="37887BDC"/>
    <w:rsid w:val="378C0679"/>
    <w:rsid w:val="378D6FA0"/>
    <w:rsid w:val="378E2D18"/>
    <w:rsid w:val="37976071"/>
    <w:rsid w:val="379F6CD3"/>
    <w:rsid w:val="37A02C15"/>
    <w:rsid w:val="37A31457"/>
    <w:rsid w:val="37AC319E"/>
    <w:rsid w:val="37B02C8E"/>
    <w:rsid w:val="37B07132"/>
    <w:rsid w:val="37B7401D"/>
    <w:rsid w:val="37BC5AD7"/>
    <w:rsid w:val="37BE5938"/>
    <w:rsid w:val="37C624B2"/>
    <w:rsid w:val="37CB5D1A"/>
    <w:rsid w:val="37CD55EE"/>
    <w:rsid w:val="37CE542D"/>
    <w:rsid w:val="37D20E57"/>
    <w:rsid w:val="37D864DF"/>
    <w:rsid w:val="37DE3C9F"/>
    <w:rsid w:val="37E50F72"/>
    <w:rsid w:val="37F232A7"/>
    <w:rsid w:val="37F7266B"/>
    <w:rsid w:val="37FC4126"/>
    <w:rsid w:val="37FE39FA"/>
    <w:rsid w:val="3806412E"/>
    <w:rsid w:val="380B25BB"/>
    <w:rsid w:val="3810197F"/>
    <w:rsid w:val="38190834"/>
    <w:rsid w:val="38286CC9"/>
    <w:rsid w:val="382A0C93"/>
    <w:rsid w:val="382A2A41"/>
    <w:rsid w:val="38303DCF"/>
    <w:rsid w:val="38315C5A"/>
    <w:rsid w:val="383218F5"/>
    <w:rsid w:val="3836588A"/>
    <w:rsid w:val="38376F0C"/>
    <w:rsid w:val="383C09C6"/>
    <w:rsid w:val="38440873"/>
    <w:rsid w:val="38482EC7"/>
    <w:rsid w:val="384F06F9"/>
    <w:rsid w:val="38575800"/>
    <w:rsid w:val="385A07E5"/>
    <w:rsid w:val="385D73CC"/>
    <w:rsid w:val="385E6B8E"/>
    <w:rsid w:val="385F7597"/>
    <w:rsid w:val="38664899"/>
    <w:rsid w:val="38685317"/>
    <w:rsid w:val="386F2B4A"/>
    <w:rsid w:val="38765C86"/>
    <w:rsid w:val="38787C50"/>
    <w:rsid w:val="387E0FDF"/>
    <w:rsid w:val="387E2D8D"/>
    <w:rsid w:val="388175F1"/>
    <w:rsid w:val="38877E93"/>
    <w:rsid w:val="388F6676"/>
    <w:rsid w:val="38966328"/>
    <w:rsid w:val="38975BFC"/>
    <w:rsid w:val="38992830"/>
    <w:rsid w:val="389E008F"/>
    <w:rsid w:val="38A94C99"/>
    <w:rsid w:val="38B30C88"/>
    <w:rsid w:val="38B7004D"/>
    <w:rsid w:val="38BB5D8F"/>
    <w:rsid w:val="38BD5663"/>
    <w:rsid w:val="38C20ECB"/>
    <w:rsid w:val="38CA5FD2"/>
    <w:rsid w:val="38D15764"/>
    <w:rsid w:val="38D6246F"/>
    <w:rsid w:val="38D96215"/>
    <w:rsid w:val="38E01351"/>
    <w:rsid w:val="38E26757"/>
    <w:rsid w:val="38E3340E"/>
    <w:rsid w:val="38E76B84"/>
    <w:rsid w:val="38EE7F12"/>
    <w:rsid w:val="38F00189"/>
    <w:rsid w:val="38F117B0"/>
    <w:rsid w:val="38FA68B7"/>
    <w:rsid w:val="38FB262F"/>
    <w:rsid w:val="3905525C"/>
    <w:rsid w:val="390E2362"/>
    <w:rsid w:val="39113C01"/>
    <w:rsid w:val="39131727"/>
    <w:rsid w:val="39162FC5"/>
    <w:rsid w:val="391D25A6"/>
    <w:rsid w:val="391F658F"/>
    <w:rsid w:val="392A081F"/>
    <w:rsid w:val="3932058D"/>
    <w:rsid w:val="39351F15"/>
    <w:rsid w:val="394A0EC1"/>
    <w:rsid w:val="394C69E7"/>
    <w:rsid w:val="39504729"/>
    <w:rsid w:val="39513FFD"/>
    <w:rsid w:val="395F671A"/>
    <w:rsid w:val="39673821"/>
    <w:rsid w:val="396A1CC8"/>
    <w:rsid w:val="396B1563"/>
    <w:rsid w:val="396C7089"/>
    <w:rsid w:val="397D1296"/>
    <w:rsid w:val="398268AC"/>
    <w:rsid w:val="398B5761"/>
    <w:rsid w:val="398C7670"/>
    <w:rsid w:val="3995213C"/>
    <w:rsid w:val="39970445"/>
    <w:rsid w:val="399D7242"/>
    <w:rsid w:val="39A14F85"/>
    <w:rsid w:val="39A26EE3"/>
    <w:rsid w:val="39A86313"/>
    <w:rsid w:val="39AB5E03"/>
    <w:rsid w:val="39AE76A2"/>
    <w:rsid w:val="39B0790D"/>
    <w:rsid w:val="39B12CEE"/>
    <w:rsid w:val="39B95BEC"/>
    <w:rsid w:val="39BA70D7"/>
    <w:rsid w:val="39BC591B"/>
    <w:rsid w:val="39C46EC5"/>
    <w:rsid w:val="39C742BF"/>
    <w:rsid w:val="39CE21CB"/>
    <w:rsid w:val="39D07618"/>
    <w:rsid w:val="39D37108"/>
    <w:rsid w:val="39E430C3"/>
    <w:rsid w:val="39EB4452"/>
    <w:rsid w:val="39EB6200"/>
    <w:rsid w:val="39F552D0"/>
    <w:rsid w:val="39FE4185"/>
    <w:rsid w:val="3A045513"/>
    <w:rsid w:val="3A0472C2"/>
    <w:rsid w:val="3A0F1ED5"/>
    <w:rsid w:val="3A145757"/>
    <w:rsid w:val="3A15327D"/>
    <w:rsid w:val="3A23599A"/>
    <w:rsid w:val="3A267238"/>
    <w:rsid w:val="3A322081"/>
    <w:rsid w:val="3A345DF9"/>
    <w:rsid w:val="3A371445"/>
    <w:rsid w:val="3A3758E9"/>
    <w:rsid w:val="3A3C4CAD"/>
    <w:rsid w:val="3A3C70DA"/>
    <w:rsid w:val="3A414072"/>
    <w:rsid w:val="3A4934F6"/>
    <w:rsid w:val="3A4D2A17"/>
    <w:rsid w:val="3A4F2C33"/>
    <w:rsid w:val="3A5169AB"/>
    <w:rsid w:val="3A5913BB"/>
    <w:rsid w:val="3A5E4C24"/>
    <w:rsid w:val="3A646B9F"/>
    <w:rsid w:val="3A647D60"/>
    <w:rsid w:val="3A6B096B"/>
    <w:rsid w:val="3A6B7341"/>
    <w:rsid w:val="3A6C5593"/>
    <w:rsid w:val="3A712BA9"/>
    <w:rsid w:val="3A7461F5"/>
    <w:rsid w:val="3A7E52C6"/>
    <w:rsid w:val="3A865F28"/>
    <w:rsid w:val="3A8A77C7"/>
    <w:rsid w:val="3A8E5D10"/>
    <w:rsid w:val="3A9C399E"/>
    <w:rsid w:val="3A9E14C4"/>
    <w:rsid w:val="3AA30888"/>
    <w:rsid w:val="3AA60379"/>
    <w:rsid w:val="3AB02FA5"/>
    <w:rsid w:val="3AB15DF4"/>
    <w:rsid w:val="3AB962FE"/>
    <w:rsid w:val="3AD2116E"/>
    <w:rsid w:val="3AD969A0"/>
    <w:rsid w:val="3AE07D2F"/>
    <w:rsid w:val="3AE11A4E"/>
    <w:rsid w:val="3AE20E7B"/>
    <w:rsid w:val="3AEA64B7"/>
    <w:rsid w:val="3AF45588"/>
    <w:rsid w:val="3AF61300"/>
    <w:rsid w:val="3AF85078"/>
    <w:rsid w:val="3AF86E26"/>
    <w:rsid w:val="3AFB06C4"/>
    <w:rsid w:val="3AFE015A"/>
    <w:rsid w:val="3AFE1F63"/>
    <w:rsid w:val="3B00217F"/>
    <w:rsid w:val="3B021A53"/>
    <w:rsid w:val="3B057795"/>
    <w:rsid w:val="3B06492D"/>
    <w:rsid w:val="3B070E17"/>
    <w:rsid w:val="3B07350D"/>
    <w:rsid w:val="3B0E03F8"/>
    <w:rsid w:val="3B10495E"/>
    <w:rsid w:val="3B11613A"/>
    <w:rsid w:val="3B143534"/>
    <w:rsid w:val="3B145AF3"/>
    <w:rsid w:val="3B163750"/>
    <w:rsid w:val="3B1765B9"/>
    <w:rsid w:val="3B1874C8"/>
    <w:rsid w:val="3B223EA3"/>
    <w:rsid w:val="3B225C51"/>
    <w:rsid w:val="3B272BC0"/>
    <w:rsid w:val="3B2A2D58"/>
    <w:rsid w:val="3B2A4FB6"/>
    <w:rsid w:val="3B2F036E"/>
    <w:rsid w:val="3B345984"/>
    <w:rsid w:val="3B365BA1"/>
    <w:rsid w:val="3B404329"/>
    <w:rsid w:val="3B471E8D"/>
    <w:rsid w:val="3B4C7172"/>
    <w:rsid w:val="3B514788"/>
    <w:rsid w:val="3B5B1163"/>
    <w:rsid w:val="3B6444BC"/>
    <w:rsid w:val="3B6C3376"/>
    <w:rsid w:val="3B6C511E"/>
    <w:rsid w:val="3B710987"/>
    <w:rsid w:val="3B716BD9"/>
    <w:rsid w:val="3B7364AD"/>
    <w:rsid w:val="3B765F9D"/>
    <w:rsid w:val="3B84149C"/>
    <w:rsid w:val="3B932D9C"/>
    <w:rsid w:val="3B934DA1"/>
    <w:rsid w:val="3B974891"/>
    <w:rsid w:val="3B9823B7"/>
    <w:rsid w:val="3B985F13"/>
    <w:rsid w:val="3B9D352A"/>
    <w:rsid w:val="3BB0325D"/>
    <w:rsid w:val="3BB54D17"/>
    <w:rsid w:val="3BB645EB"/>
    <w:rsid w:val="3BB70A8F"/>
    <w:rsid w:val="3BC136BC"/>
    <w:rsid w:val="3BC21196"/>
    <w:rsid w:val="3BCD02B3"/>
    <w:rsid w:val="3BD26834"/>
    <w:rsid w:val="3BD333EF"/>
    <w:rsid w:val="3BD86C58"/>
    <w:rsid w:val="3BDA004C"/>
    <w:rsid w:val="3BDD601C"/>
    <w:rsid w:val="3BE41159"/>
    <w:rsid w:val="3BE63123"/>
    <w:rsid w:val="3BE92C13"/>
    <w:rsid w:val="3BE949C1"/>
    <w:rsid w:val="3BED7890"/>
    <w:rsid w:val="3BEE1FD7"/>
    <w:rsid w:val="3BF910A8"/>
    <w:rsid w:val="3BFA6BCE"/>
    <w:rsid w:val="3C016C03"/>
    <w:rsid w:val="3C027831"/>
    <w:rsid w:val="3C0637C5"/>
    <w:rsid w:val="3C0B4937"/>
    <w:rsid w:val="3C19288C"/>
    <w:rsid w:val="3C1A7270"/>
    <w:rsid w:val="3C1C6B44"/>
    <w:rsid w:val="3C1E28BD"/>
    <w:rsid w:val="3C221C81"/>
    <w:rsid w:val="3C241E9D"/>
    <w:rsid w:val="3C2974B3"/>
    <w:rsid w:val="3C2B2CDD"/>
    <w:rsid w:val="3C2D0D52"/>
    <w:rsid w:val="3C44609B"/>
    <w:rsid w:val="3C4542ED"/>
    <w:rsid w:val="3C463BC1"/>
    <w:rsid w:val="3C4816E7"/>
    <w:rsid w:val="3C575DCE"/>
    <w:rsid w:val="3C5E64CC"/>
    <w:rsid w:val="3C65673D"/>
    <w:rsid w:val="3C6866D6"/>
    <w:rsid w:val="3C6D55F2"/>
    <w:rsid w:val="3C795D45"/>
    <w:rsid w:val="3C7C3A87"/>
    <w:rsid w:val="3C860462"/>
    <w:rsid w:val="3C8A7F52"/>
    <w:rsid w:val="3C8D359F"/>
    <w:rsid w:val="3C8F37BA"/>
    <w:rsid w:val="3C926C30"/>
    <w:rsid w:val="3C942B7F"/>
    <w:rsid w:val="3C97441D"/>
    <w:rsid w:val="3C990195"/>
    <w:rsid w:val="3C991F43"/>
    <w:rsid w:val="3C9C5ED7"/>
    <w:rsid w:val="3CA31014"/>
    <w:rsid w:val="3CA3386E"/>
    <w:rsid w:val="3CA408E8"/>
    <w:rsid w:val="3CA54696"/>
    <w:rsid w:val="3CA8662A"/>
    <w:rsid w:val="3CAC611A"/>
    <w:rsid w:val="3CB74ABF"/>
    <w:rsid w:val="3CB95BEC"/>
    <w:rsid w:val="3CBA43FC"/>
    <w:rsid w:val="3CBC3E83"/>
    <w:rsid w:val="3CC01BC6"/>
    <w:rsid w:val="3CC72F54"/>
    <w:rsid w:val="3CC82828"/>
    <w:rsid w:val="3CCE5FE8"/>
    <w:rsid w:val="3CDC62D4"/>
    <w:rsid w:val="3CE60F00"/>
    <w:rsid w:val="3CED6733"/>
    <w:rsid w:val="3CF11D7F"/>
    <w:rsid w:val="3CF14471"/>
    <w:rsid w:val="3CF4186F"/>
    <w:rsid w:val="3CF96E86"/>
    <w:rsid w:val="3CFB2BFE"/>
    <w:rsid w:val="3CFD6976"/>
    <w:rsid w:val="3D023F8C"/>
    <w:rsid w:val="3D0870C9"/>
    <w:rsid w:val="3D143CBF"/>
    <w:rsid w:val="3D197528"/>
    <w:rsid w:val="3D1A6D6D"/>
    <w:rsid w:val="3D1B32A0"/>
    <w:rsid w:val="3D1B504E"/>
    <w:rsid w:val="3D251A29"/>
    <w:rsid w:val="3D255ECD"/>
    <w:rsid w:val="3D2D6B2F"/>
    <w:rsid w:val="3D332398"/>
    <w:rsid w:val="3D335DE1"/>
    <w:rsid w:val="3D3377DE"/>
    <w:rsid w:val="3D363C36"/>
    <w:rsid w:val="3D3D4FC4"/>
    <w:rsid w:val="3D4C5207"/>
    <w:rsid w:val="3D562397"/>
    <w:rsid w:val="3D573AAE"/>
    <w:rsid w:val="3D595B76"/>
    <w:rsid w:val="3D65451B"/>
    <w:rsid w:val="3D6F7148"/>
    <w:rsid w:val="3D7B3B93"/>
    <w:rsid w:val="3D7F382F"/>
    <w:rsid w:val="3D803103"/>
    <w:rsid w:val="3D8175A7"/>
    <w:rsid w:val="3D820C29"/>
    <w:rsid w:val="3D826E7B"/>
    <w:rsid w:val="3D845548"/>
    <w:rsid w:val="3D885DAE"/>
    <w:rsid w:val="3D8C7CFA"/>
    <w:rsid w:val="3D8E3A72"/>
    <w:rsid w:val="3D8F7B2C"/>
    <w:rsid w:val="3D931088"/>
    <w:rsid w:val="3D98669F"/>
    <w:rsid w:val="3D9A2417"/>
    <w:rsid w:val="3DA45043"/>
    <w:rsid w:val="3DA46DF1"/>
    <w:rsid w:val="3DA87F93"/>
    <w:rsid w:val="3DAE1A1E"/>
    <w:rsid w:val="3DB01C3A"/>
    <w:rsid w:val="3DB63F00"/>
    <w:rsid w:val="3DC41242"/>
    <w:rsid w:val="3DCC7E1D"/>
    <w:rsid w:val="3DCE3E6E"/>
    <w:rsid w:val="3DD0408A"/>
    <w:rsid w:val="3DD671C7"/>
    <w:rsid w:val="3DD75419"/>
    <w:rsid w:val="3DD84CED"/>
    <w:rsid w:val="3DDA2813"/>
    <w:rsid w:val="3DDC6AF7"/>
    <w:rsid w:val="3DE2791A"/>
    <w:rsid w:val="3DEB2C72"/>
    <w:rsid w:val="3DEE62BF"/>
    <w:rsid w:val="3DF2491B"/>
    <w:rsid w:val="3DF338D5"/>
    <w:rsid w:val="3E045AE2"/>
    <w:rsid w:val="3E087DD7"/>
    <w:rsid w:val="3E0930F8"/>
    <w:rsid w:val="3E1321C9"/>
    <w:rsid w:val="3E1675C3"/>
    <w:rsid w:val="3E216BCF"/>
    <w:rsid w:val="3E287A22"/>
    <w:rsid w:val="3E2919ED"/>
    <w:rsid w:val="3E29379B"/>
    <w:rsid w:val="3E2B7513"/>
    <w:rsid w:val="3E2C6DE7"/>
    <w:rsid w:val="3E2E7003"/>
    <w:rsid w:val="3E344619"/>
    <w:rsid w:val="3E3A1504"/>
    <w:rsid w:val="3E401EDE"/>
    <w:rsid w:val="3E491747"/>
    <w:rsid w:val="3E495BEB"/>
    <w:rsid w:val="3E52684D"/>
    <w:rsid w:val="3E5720B6"/>
    <w:rsid w:val="3E5F1E94"/>
    <w:rsid w:val="3E660695"/>
    <w:rsid w:val="3E6622F9"/>
    <w:rsid w:val="3E691DE9"/>
    <w:rsid w:val="3E6D7B2B"/>
    <w:rsid w:val="3E6F5651"/>
    <w:rsid w:val="3E7756FF"/>
    <w:rsid w:val="3E7C1B1C"/>
    <w:rsid w:val="3E815385"/>
    <w:rsid w:val="3E815973"/>
    <w:rsid w:val="3E834C59"/>
    <w:rsid w:val="3E8F1850"/>
    <w:rsid w:val="3E9B4698"/>
    <w:rsid w:val="3E9E7CE5"/>
    <w:rsid w:val="3EA03A5D"/>
    <w:rsid w:val="3EA11583"/>
    <w:rsid w:val="3EA370A9"/>
    <w:rsid w:val="3EA572C5"/>
    <w:rsid w:val="3EA66B99"/>
    <w:rsid w:val="3EAB41B0"/>
    <w:rsid w:val="3EAD617A"/>
    <w:rsid w:val="3EAE5A4E"/>
    <w:rsid w:val="3EB14856"/>
    <w:rsid w:val="3EB42483"/>
    <w:rsid w:val="3EC139D3"/>
    <w:rsid w:val="3EC534C3"/>
    <w:rsid w:val="3EC62D97"/>
    <w:rsid w:val="3ECA0ADA"/>
    <w:rsid w:val="3ECA74C1"/>
    <w:rsid w:val="3ECA772F"/>
    <w:rsid w:val="3ED43706"/>
    <w:rsid w:val="3EE020AB"/>
    <w:rsid w:val="3EEB0A50"/>
    <w:rsid w:val="3EEC6CA2"/>
    <w:rsid w:val="3EF20030"/>
    <w:rsid w:val="3EF2616B"/>
    <w:rsid w:val="3EFE0737"/>
    <w:rsid w:val="3F022944"/>
    <w:rsid w:val="3F0538C0"/>
    <w:rsid w:val="3F081602"/>
    <w:rsid w:val="3F0833B0"/>
    <w:rsid w:val="3F125943"/>
    <w:rsid w:val="3F163D1F"/>
    <w:rsid w:val="3F1C6E5B"/>
    <w:rsid w:val="3F1D09B5"/>
    <w:rsid w:val="3F1E0E25"/>
    <w:rsid w:val="3F211766"/>
    <w:rsid w:val="3F312907"/>
    <w:rsid w:val="3F32667F"/>
    <w:rsid w:val="3F3917BB"/>
    <w:rsid w:val="3F402745"/>
    <w:rsid w:val="3F422D66"/>
    <w:rsid w:val="3F424B14"/>
    <w:rsid w:val="3F43088C"/>
    <w:rsid w:val="3F454604"/>
    <w:rsid w:val="3F4940F4"/>
    <w:rsid w:val="3F4C0AAE"/>
    <w:rsid w:val="3F4E170B"/>
    <w:rsid w:val="3F4F7231"/>
    <w:rsid w:val="3F52287D"/>
    <w:rsid w:val="3F577E93"/>
    <w:rsid w:val="3F5C459C"/>
    <w:rsid w:val="3F5D3B8E"/>
    <w:rsid w:val="3F650802"/>
    <w:rsid w:val="3F6A7BC7"/>
    <w:rsid w:val="3F6C393F"/>
    <w:rsid w:val="3F732F1F"/>
    <w:rsid w:val="3F7B1DD4"/>
    <w:rsid w:val="3F80388E"/>
    <w:rsid w:val="3F817D6A"/>
    <w:rsid w:val="3F836EDA"/>
    <w:rsid w:val="3F854A01"/>
    <w:rsid w:val="3F88629F"/>
    <w:rsid w:val="3F8E1B07"/>
    <w:rsid w:val="3F9D7F9C"/>
    <w:rsid w:val="3FA56E51"/>
    <w:rsid w:val="3FA72BC9"/>
    <w:rsid w:val="3FAE21A9"/>
    <w:rsid w:val="3FAF4912"/>
    <w:rsid w:val="3FB07F0A"/>
    <w:rsid w:val="3FB377C0"/>
    <w:rsid w:val="3FBB0422"/>
    <w:rsid w:val="3FBE7F13"/>
    <w:rsid w:val="3FC25C55"/>
    <w:rsid w:val="3FC27A03"/>
    <w:rsid w:val="3FC4377B"/>
    <w:rsid w:val="3FCA4B09"/>
    <w:rsid w:val="3FCD6998"/>
    <w:rsid w:val="3FCF129E"/>
    <w:rsid w:val="3FD140EA"/>
    <w:rsid w:val="3FD80FD4"/>
    <w:rsid w:val="3FE23C01"/>
    <w:rsid w:val="3FE71217"/>
    <w:rsid w:val="3FE756BB"/>
    <w:rsid w:val="3FE862D3"/>
    <w:rsid w:val="3FEB29BB"/>
    <w:rsid w:val="3FF102E8"/>
    <w:rsid w:val="3FF17EB1"/>
    <w:rsid w:val="3FFE2572"/>
    <w:rsid w:val="40161AFD"/>
    <w:rsid w:val="40170FC7"/>
    <w:rsid w:val="401A783F"/>
    <w:rsid w:val="401C35B7"/>
    <w:rsid w:val="40295CD4"/>
    <w:rsid w:val="40316936"/>
    <w:rsid w:val="4033445D"/>
    <w:rsid w:val="40356427"/>
    <w:rsid w:val="403F1053"/>
    <w:rsid w:val="404623E2"/>
    <w:rsid w:val="4047615A"/>
    <w:rsid w:val="404E74E8"/>
    <w:rsid w:val="405745EF"/>
    <w:rsid w:val="4057639D"/>
    <w:rsid w:val="40582115"/>
    <w:rsid w:val="405D772B"/>
    <w:rsid w:val="40646D0C"/>
    <w:rsid w:val="40664832"/>
    <w:rsid w:val="406665E0"/>
    <w:rsid w:val="40674515"/>
    <w:rsid w:val="406A72FF"/>
    <w:rsid w:val="406E36E7"/>
    <w:rsid w:val="40723D23"/>
    <w:rsid w:val="40736F4F"/>
    <w:rsid w:val="407451A1"/>
    <w:rsid w:val="40774C91"/>
    <w:rsid w:val="40784565"/>
    <w:rsid w:val="40787CE9"/>
    <w:rsid w:val="407D1B7C"/>
    <w:rsid w:val="407F3B46"/>
    <w:rsid w:val="40821279"/>
    <w:rsid w:val="40970E8F"/>
    <w:rsid w:val="409A44DC"/>
    <w:rsid w:val="409B6212"/>
    <w:rsid w:val="40A610D2"/>
    <w:rsid w:val="40A67324"/>
    <w:rsid w:val="40A95282"/>
    <w:rsid w:val="40AD420F"/>
    <w:rsid w:val="40AE7F87"/>
    <w:rsid w:val="40B437EF"/>
    <w:rsid w:val="40BA692C"/>
    <w:rsid w:val="40C003E6"/>
    <w:rsid w:val="40C03509"/>
    <w:rsid w:val="40CA0F1F"/>
    <w:rsid w:val="40CB6D8B"/>
    <w:rsid w:val="40CD787E"/>
    <w:rsid w:val="40D0614F"/>
    <w:rsid w:val="40D66097"/>
    <w:rsid w:val="40DE0018"/>
    <w:rsid w:val="40E65973"/>
    <w:rsid w:val="40E731F2"/>
    <w:rsid w:val="40E85247"/>
    <w:rsid w:val="40EF2A79"/>
    <w:rsid w:val="40F21C7A"/>
    <w:rsid w:val="40F84641"/>
    <w:rsid w:val="40FA4F7A"/>
    <w:rsid w:val="40FC6F44"/>
    <w:rsid w:val="40FF230D"/>
    <w:rsid w:val="4105404B"/>
    <w:rsid w:val="41055DF9"/>
    <w:rsid w:val="410F4ECA"/>
    <w:rsid w:val="41195D48"/>
    <w:rsid w:val="411C3143"/>
    <w:rsid w:val="411C75E7"/>
    <w:rsid w:val="411E335F"/>
    <w:rsid w:val="411E510D"/>
    <w:rsid w:val="412D70FE"/>
    <w:rsid w:val="412F731A"/>
    <w:rsid w:val="4132239B"/>
    <w:rsid w:val="41344930"/>
    <w:rsid w:val="414032D5"/>
    <w:rsid w:val="41474664"/>
    <w:rsid w:val="41484619"/>
    <w:rsid w:val="41566655"/>
    <w:rsid w:val="415B010F"/>
    <w:rsid w:val="415D5900"/>
    <w:rsid w:val="41665E32"/>
    <w:rsid w:val="41670FDA"/>
    <w:rsid w:val="41674374"/>
    <w:rsid w:val="41676AB4"/>
    <w:rsid w:val="416A65A4"/>
    <w:rsid w:val="416D399E"/>
    <w:rsid w:val="416F3BBA"/>
    <w:rsid w:val="417164E9"/>
    <w:rsid w:val="41760AA5"/>
    <w:rsid w:val="418238EE"/>
    <w:rsid w:val="41832E9E"/>
    <w:rsid w:val="41852436"/>
    <w:rsid w:val="41874A60"/>
    <w:rsid w:val="41882165"/>
    <w:rsid w:val="41902D4E"/>
    <w:rsid w:val="4191768D"/>
    <w:rsid w:val="4192308F"/>
    <w:rsid w:val="41943621"/>
    <w:rsid w:val="41A43864"/>
    <w:rsid w:val="41AA2E44"/>
    <w:rsid w:val="41AA4BF2"/>
    <w:rsid w:val="41B63597"/>
    <w:rsid w:val="41B96BE3"/>
    <w:rsid w:val="41C2018E"/>
    <w:rsid w:val="41C31810"/>
    <w:rsid w:val="41CF2A5F"/>
    <w:rsid w:val="41CF6407"/>
    <w:rsid w:val="41D13F2D"/>
    <w:rsid w:val="41D63C39"/>
    <w:rsid w:val="41DD28D2"/>
    <w:rsid w:val="41E579D9"/>
    <w:rsid w:val="41E73751"/>
    <w:rsid w:val="41E75040"/>
    <w:rsid w:val="41F52311"/>
    <w:rsid w:val="41F67393"/>
    <w:rsid w:val="41FB544E"/>
    <w:rsid w:val="41FF0A9A"/>
    <w:rsid w:val="42010CB6"/>
    <w:rsid w:val="420626C6"/>
    <w:rsid w:val="42097B6B"/>
    <w:rsid w:val="420C2CFA"/>
    <w:rsid w:val="42122868"/>
    <w:rsid w:val="42165DE4"/>
    <w:rsid w:val="421B7832"/>
    <w:rsid w:val="421F2EEA"/>
    <w:rsid w:val="42254A34"/>
    <w:rsid w:val="422C1AAB"/>
    <w:rsid w:val="422C5BEA"/>
    <w:rsid w:val="4230334A"/>
    <w:rsid w:val="42324373"/>
    <w:rsid w:val="423C0FCC"/>
    <w:rsid w:val="423C66CB"/>
    <w:rsid w:val="42417305"/>
    <w:rsid w:val="424566C9"/>
    <w:rsid w:val="42462B6D"/>
    <w:rsid w:val="424B13CE"/>
    <w:rsid w:val="424C5CAA"/>
    <w:rsid w:val="424E1A22"/>
    <w:rsid w:val="424F0BAF"/>
    <w:rsid w:val="4250579A"/>
    <w:rsid w:val="425132C0"/>
    <w:rsid w:val="4251506E"/>
    <w:rsid w:val="425A03C6"/>
    <w:rsid w:val="426052B1"/>
    <w:rsid w:val="42611755"/>
    <w:rsid w:val="42621029"/>
    <w:rsid w:val="42660B19"/>
    <w:rsid w:val="426D634C"/>
    <w:rsid w:val="42786A9F"/>
    <w:rsid w:val="427B20EB"/>
    <w:rsid w:val="42817701"/>
    <w:rsid w:val="428216CB"/>
    <w:rsid w:val="42823479"/>
    <w:rsid w:val="4283791D"/>
    <w:rsid w:val="42870F07"/>
    <w:rsid w:val="4290203A"/>
    <w:rsid w:val="429462ED"/>
    <w:rsid w:val="429531AD"/>
    <w:rsid w:val="42A11B51"/>
    <w:rsid w:val="42A47894"/>
    <w:rsid w:val="42A930FC"/>
    <w:rsid w:val="42A96C58"/>
    <w:rsid w:val="42AE24C0"/>
    <w:rsid w:val="42B06238"/>
    <w:rsid w:val="42B21FB1"/>
    <w:rsid w:val="42BA2C13"/>
    <w:rsid w:val="42BC7DDF"/>
    <w:rsid w:val="42C6199F"/>
    <w:rsid w:val="42CB4E20"/>
    <w:rsid w:val="42D24401"/>
    <w:rsid w:val="42D33CD5"/>
    <w:rsid w:val="42D40179"/>
    <w:rsid w:val="42D71A17"/>
    <w:rsid w:val="42DF08CC"/>
    <w:rsid w:val="42E303BC"/>
    <w:rsid w:val="42EA174A"/>
    <w:rsid w:val="42EE0B0F"/>
    <w:rsid w:val="42F02AD9"/>
    <w:rsid w:val="42F04887"/>
    <w:rsid w:val="42F1530D"/>
    <w:rsid w:val="43076C51"/>
    <w:rsid w:val="43100A85"/>
    <w:rsid w:val="4311222E"/>
    <w:rsid w:val="43160791"/>
    <w:rsid w:val="431A7B56"/>
    <w:rsid w:val="431C4ECF"/>
    <w:rsid w:val="431C742A"/>
    <w:rsid w:val="431D67C6"/>
    <w:rsid w:val="43210EE4"/>
    <w:rsid w:val="432664FB"/>
    <w:rsid w:val="432A5FEB"/>
    <w:rsid w:val="43340C18"/>
    <w:rsid w:val="434075BC"/>
    <w:rsid w:val="43413334"/>
    <w:rsid w:val="43476B9D"/>
    <w:rsid w:val="434A043B"/>
    <w:rsid w:val="434D1CD9"/>
    <w:rsid w:val="43566DE0"/>
    <w:rsid w:val="435B2648"/>
    <w:rsid w:val="435C1F1C"/>
    <w:rsid w:val="435C3DCD"/>
    <w:rsid w:val="43601A0D"/>
    <w:rsid w:val="436112E1"/>
    <w:rsid w:val="43670FED"/>
    <w:rsid w:val="4368266F"/>
    <w:rsid w:val="43686B13"/>
    <w:rsid w:val="43707776"/>
    <w:rsid w:val="437159C8"/>
    <w:rsid w:val="43741A13"/>
    <w:rsid w:val="43761230"/>
    <w:rsid w:val="437A5F67"/>
    <w:rsid w:val="437E00E5"/>
    <w:rsid w:val="437E2698"/>
    <w:rsid w:val="43803E5D"/>
    <w:rsid w:val="43825005"/>
    <w:rsid w:val="438C2802"/>
    <w:rsid w:val="4391606A"/>
    <w:rsid w:val="439174EF"/>
    <w:rsid w:val="439E2535"/>
    <w:rsid w:val="43AD43B9"/>
    <w:rsid w:val="43B342D5"/>
    <w:rsid w:val="43B64397"/>
    <w:rsid w:val="43B6787E"/>
    <w:rsid w:val="43B753A5"/>
    <w:rsid w:val="43BA2D18"/>
    <w:rsid w:val="43BC29BB"/>
    <w:rsid w:val="43BE0389"/>
    <w:rsid w:val="43C02A2D"/>
    <w:rsid w:val="43C53F65"/>
    <w:rsid w:val="43CD6976"/>
    <w:rsid w:val="43CF26EE"/>
    <w:rsid w:val="43D23F8D"/>
    <w:rsid w:val="43D47D05"/>
    <w:rsid w:val="43D917BF"/>
    <w:rsid w:val="43DB416E"/>
    <w:rsid w:val="43DD4E0B"/>
    <w:rsid w:val="43E02B4D"/>
    <w:rsid w:val="43E443EC"/>
    <w:rsid w:val="43E50164"/>
    <w:rsid w:val="43E837B0"/>
    <w:rsid w:val="43F14D5A"/>
    <w:rsid w:val="4404683C"/>
    <w:rsid w:val="440525B4"/>
    <w:rsid w:val="44093E52"/>
    <w:rsid w:val="44143B7E"/>
    <w:rsid w:val="44191BBB"/>
    <w:rsid w:val="441B1DD7"/>
    <w:rsid w:val="441C0974"/>
    <w:rsid w:val="44201AAB"/>
    <w:rsid w:val="442347E8"/>
    <w:rsid w:val="442C5D93"/>
    <w:rsid w:val="442C7B41"/>
    <w:rsid w:val="44315157"/>
    <w:rsid w:val="44332C7D"/>
    <w:rsid w:val="4436451B"/>
    <w:rsid w:val="44366C11"/>
    <w:rsid w:val="444B4E82"/>
    <w:rsid w:val="444C01E3"/>
    <w:rsid w:val="444E7AB7"/>
    <w:rsid w:val="44507440"/>
    <w:rsid w:val="445175A7"/>
    <w:rsid w:val="4453331F"/>
    <w:rsid w:val="445678A0"/>
    <w:rsid w:val="44580936"/>
    <w:rsid w:val="44581A9C"/>
    <w:rsid w:val="445C763E"/>
    <w:rsid w:val="445F3A72"/>
    <w:rsid w:val="44670B79"/>
    <w:rsid w:val="446A2417"/>
    <w:rsid w:val="4473751E"/>
    <w:rsid w:val="44784B34"/>
    <w:rsid w:val="447A164A"/>
    <w:rsid w:val="44801C3A"/>
    <w:rsid w:val="4484172B"/>
    <w:rsid w:val="448434D9"/>
    <w:rsid w:val="448A72D9"/>
    <w:rsid w:val="449A2CFC"/>
    <w:rsid w:val="44A26055"/>
    <w:rsid w:val="44A57770"/>
    <w:rsid w:val="44A95728"/>
    <w:rsid w:val="44B00772"/>
    <w:rsid w:val="44B813D4"/>
    <w:rsid w:val="44BA15F0"/>
    <w:rsid w:val="44BB309D"/>
    <w:rsid w:val="44BE2E8F"/>
    <w:rsid w:val="44C22034"/>
    <w:rsid w:val="44C4421D"/>
    <w:rsid w:val="44C61D43"/>
    <w:rsid w:val="44CD30D2"/>
    <w:rsid w:val="44D0152D"/>
    <w:rsid w:val="44D3620E"/>
    <w:rsid w:val="44D53D34"/>
    <w:rsid w:val="44D77AAC"/>
    <w:rsid w:val="44DA57EF"/>
    <w:rsid w:val="44DA759D"/>
    <w:rsid w:val="44DE708D"/>
    <w:rsid w:val="44E16B7D"/>
    <w:rsid w:val="44E4666D"/>
    <w:rsid w:val="44E87F0C"/>
    <w:rsid w:val="44E93C84"/>
    <w:rsid w:val="44EE4DF6"/>
    <w:rsid w:val="44EF1B82"/>
    <w:rsid w:val="44F22B38"/>
    <w:rsid w:val="44F3065E"/>
    <w:rsid w:val="44F763A1"/>
    <w:rsid w:val="44FA7C3F"/>
    <w:rsid w:val="4504286C"/>
    <w:rsid w:val="45091B37"/>
    <w:rsid w:val="450D0C9B"/>
    <w:rsid w:val="450E2551"/>
    <w:rsid w:val="45102FBE"/>
    <w:rsid w:val="45102FC3"/>
    <w:rsid w:val="45154A79"/>
    <w:rsid w:val="451707F1"/>
    <w:rsid w:val="451C7BB5"/>
    <w:rsid w:val="45237196"/>
    <w:rsid w:val="4530540F"/>
    <w:rsid w:val="45336CAD"/>
    <w:rsid w:val="4537679D"/>
    <w:rsid w:val="45390767"/>
    <w:rsid w:val="453E3FCF"/>
    <w:rsid w:val="454A6268"/>
    <w:rsid w:val="454B049A"/>
    <w:rsid w:val="454F3AE7"/>
    <w:rsid w:val="455235D7"/>
    <w:rsid w:val="45561319"/>
    <w:rsid w:val="45594965"/>
    <w:rsid w:val="455E01CE"/>
    <w:rsid w:val="45637592"/>
    <w:rsid w:val="4565155C"/>
    <w:rsid w:val="45664FC9"/>
    <w:rsid w:val="456D21BF"/>
    <w:rsid w:val="4572682B"/>
    <w:rsid w:val="4574179F"/>
    <w:rsid w:val="45797C51"/>
    <w:rsid w:val="457B2B2E"/>
    <w:rsid w:val="457E617A"/>
    <w:rsid w:val="457F1EF2"/>
    <w:rsid w:val="45857508"/>
    <w:rsid w:val="4588349D"/>
    <w:rsid w:val="458D460F"/>
    <w:rsid w:val="459260C9"/>
    <w:rsid w:val="45991206"/>
    <w:rsid w:val="45997458"/>
    <w:rsid w:val="459A5616"/>
    <w:rsid w:val="459B31D0"/>
    <w:rsid w:val="45A168B6"/>
    <w:rsid w:val="45A32084"/>
    <w:rsid w:val="45A55DFD"/>
    <w:rsid w:val="45AB2CE7"/>
    <w:rsid w:val="45AD2F03"/>
    <w:rsid w:val="45AF0A29"/>
    <w:rsid w:val="45B55914"/>
    <w:rsid w:val="45B95404"/>
    <w:rsid w:val="45C1250B"/>
    <w:rsid w:val="45C269AF"/>
    <w:rsid w:val="45C83899"/>
    <w:rsid w:val="45CA3563"/>
    <w:rsid w:val="45CB307C"/>
    <w:rsid w:val="45CC15DB"/>
    <w:rsid w:val="45CC5137"/>
    <w:rsid w:val="45D069FA"/>
    <w:rsid w:val="45D466E2"/>
    <w:rsid w:val="45DB35CC"/>
    <w:rsid w:val="45DE58C9"/>
    <w:rsid w:val="45E00BE3"/>
    <w:rsid w:val="45E42C1A"/>
    <w:rsid w:val="45E561F9"/>
    <w:rsid w:val="45E83F3B"/>
    <w:rsid w:val="45EC7588"/>
    <w:rsid w:val="45EE4E64"/>
    <w:rsid w:val="45F12DF0"/>
    <w:rsid w:val="45F66658"/>
    <w:rsid w:val="45F8417E"/>
    <w:rsid w:val="46050649"/>
    <w:rsid w:val="460D323F"/>
    <w:rsid w:val="460F3276"/>
    <w:rsid w:val="46164604"/>
    <w:rsid w:val="461A0599"/>
    <w:rsid w:val="461B2714"/>
    <w:rsid w:val="461E170B"/>
    <w:rsid w:val="462E5DF2"/>
    <w:rsid w:val="462F3918"/>
    <w:rsid w:val="46333408"/>
    <w:rsid w:val="46342CDD"/>
    <w:rsid w:val="46364CA7"/>
    <w:rsid w:val="463B406B"/>
    <w:rsid w:val="46401681"/>
    <w:rsid w:val="46492C2C"/>
    <w:rsid w:val="464E3D9E"/>
    <w:rsid w:val="464F2947"/>
    <w:rsid w:val="46603AD2"/>
    <w:rsid w:val="46641814"/>
    <w:rsid w:val="46671304"/>
    <w:rsid w:val="46674E60"/>
    <w:rsid w:val="466E2692"/>
    <w:rsid w:val="466F1F67"/>
    <w:rsid w:val="46711033"/>
    <w:rsid w:val="46841EB6"/>
    <w:rsid w:val="468C0D6B"/>
    <w:rsid w:val="469321A2"/>
    <w:rsid w:val="46957C1F"/>
    <w:rsid w:val="469D4D26"/>
    <w:rsid w:val="469F0A9E"/>
    <w:rsid w:val="46A2233C"/>
    <w:rsid w:val="46AD4F74"/>
    <w:rsid w:val="46AE0B03"/>
    <w:rsid w:val="46B5206F"/>
    <w:rsid w:val="46BD0F24"/>
    <w:rsid w:val="46C6427C"/>
    <w:rsid w:val="46CE3131"/>
    <w:rsid w:val="46D1677D"/>
    <w:rsid w:val="46D63D94"/>
    <w:rsid w:val="46DF0E9A"/>
    <w:rsid w:val="46E12E64"/>
    <w:rsid w:val="46F10BCE"/>
    <w:rsid w:val="46F41301"/>
    <w:rsid w:val="46F54B62"/>
    <w:rsid w:val="46FA3F26"/>
    <w:rsid w:val="46FC1A4C"/>
    <w:rsid w:val="46FC6C97"/>
    <w:rsid w:val="46FD1A7F"/>
    <w:rsid w:val="46FE3A16"/>
    <w:rsid w:val="47062500"/>
    <w:rsid w:val="470628CB"/>
    <w:rsid w:val="4707219F"/>
    <w:rsid w:val="47084895"/>
    <w:rsid w:val="47094169"/>
    <w:rsid w:val="470D1EAB"/>
    <w:rsid w:val="470D6E20"/>
    <w:rsid w:val="470E1780"/>
    <w:rsid w:val="4712301E"/>
    <w:rsid w:val="47190850"/>
    <w:rsid w:val="472004A5"/>
    <w:rsid w:val="47217705"/>
    <w:rsid w:val="472B0583"/>
    <w:rsid w:val="472D1F28"/>
    <w:rsid w:val="47356D0C"/>
    <w:rsid w:val="47370CD6"/>
    <w:rsid w:val="47372A84"/>
    <w:rsid w:val="473D2DF8"/>
    <w:rsid w:val="473E73A3"/>
    <w:rsid w:val="47431429"/>
    <w:rsid w:val="4743457C"/>
    <w:rsid w:val="4743767B"/>
    <w:rsid w:val="474433F3"/>
    <w:rsid w:val="474D22A8"/>
    <w:rsid w:val="474D6356"/>
    <w:rsid w:val="474E3B19"/>
    <w:rsid w:val="475353E4"/>
    <w:rsid w:val="47542219"/>
    <w:rsid w:val="475C073D"/>
    <w:rsid w:val="47653A95"/>
    <w:rsid w:val="47655843"/>
    <w:rsid w:val="476562C5"/>
    <w:rsid w:val="476B6BD2"/>
    <w:rsid w:val="476D294A"/>
    <w:rsid w:val="476D46F8"/>
    <w:rsid w:val="476D64A6"/>
    <w:rsid w:val="47723ABC"/>
    <w:rsid w:val="4773055C"/>
    <w:rsid w:val="47745A86"/>
    <w:rsid w:val="477737C9"/>
    <w:rsid w:val="47797541"/>
    <w:rsid w:val="477C26A4"/>
    <w:rsid w:val="477D4101"/>
    <w:rsid w:val="47835CCA"/>
    <w:rsid w:val="478E1CE8"/>
    <w:rsid w:val="479779C7"/>
    <w:rsid w:val="479C322F"/>
    <w:rsid w:val="47A143A2"/>
    <w:rsid w:val="47AF4ADF"/>
    <w:rsid w:val="47B916EB"/>
    <w:rsid w:val="47C87B80"/>
    <w:rsid w:val="47CB2B77"/>
    <w:rsid w:val="47CE74DE"/>
    <w:rsid w:val="47CF53B3"/>
    <w:rsid w:val="47D4097B"/>
    <w:rsid w:val="47D46525"/>
    <w:rsid w:val="47D66741"/>
    <w:rsid w:val="47D76015"/>
    <w:rsid w:val="47D93B3C"/>
    <w:rsid w:val="47E26E94"/>
    <w:rsid w:val="47E66258"/>
    <w:rsid w:val="47EA630C"/>
    <w:rsid w:val="47EC35F1"/>
    <w:rsid w:val="47F00E85"/>
    <w:rsid w:val="47F6649C"/>
    <w:rsid w:val="47F66832"/>
    <w:rsid w:val="47F92430"/>
    <w:rsid w:val="47FD3CCE"/>
    <w:rsid w:val="47FE7A46"/>
    <w:rsid w:val="48050DD4"/>
    <w:rsid w:val="480F1C53"/>
    <w:rsid w:val="48141018"/>
    <w:rsid w:val="48255D8A"/>
    <w:rsid w:val="48293097"/>
    <w:rsid w:val="48303FB9"/>
    <w:rsid w:val="483416BA"/>
    <w:rsid w:val="48360F8E"/>
    <w:rsid w:val="48376AB4"/>
    <w:rsid w:val="483D056E"/>
    <w:rsid w:val="483E7E42"/>
    <w:rsid w:val="484418FD"/>
    <w:rsid w:val="484A4A39"/>
    <w:rsid w:val="48531B40"/>
    <w:rsid w:val="48580F04"/>
    <w:rsid w:val="48592ECE"/>
    <w:rsid w:val="485A1120"/>
    <w:rsid w:val="486755EB"/>
    <w:rsid w:val="48763A80"/>
    <w:rsid w:val="48766FC9"/>
    <w:rsid w:val="487C2C1A"/>
    <w:rsid w:val="4884619D"/>
    <w:rsid w:val="48877A3B"/>
    <w:rsid w:val="488F069E"/>
    <w:rsid w:val="48904B42"/>
    <w:rsid w:val="48943F06"/>
    <w:rsid w:val="489A151D"/>
    <w:rsid w:val="48A24875"/>
    <w:rsid w:val="48A4795F"/>
    <w:rsid w:val="48AA06AF"/>
    <w:rsid w:val="48AE4FC8"/>
    <w:rsid w:val="48BB76E5"/>
    <w:rsid w:val="48BD16AF"/>
    <w:rsid w:val="48BF5427"/>
    <w:rsid w:val="48C91E02"/>
    <w:rsid w:val="48D32C81"/>
    <w:rsid w:val="48DA400F"/>
    <w:rsid w:val="48DC0EB5"/>
    <w:rsid w:val="48E5353B"/>
    <w:rsid w:val="48E7672C"/>
    <w:rsid w:val="48EC3D42"/>
    <w:rsid w:val="48F25C9A"/>
    <w:rsid w:val="490177EE"/>
    <w:rsid w:val="49042E3A"/>
    <w:rsid w:val="49060960"/>
    <w:rsid w:val="491858F6"/>
    <w:rsid w:val="491C0184"/>
    <w:rsid w:val="492141FC"/>
    <w:rsid w:val="49290AF3"/>
    <w:rsid w:val="492A04FD"/>
    <w:rsid w:val="492E435B"/>
    <w:rsid w:val="49325BF9"/>
    <w:rsid w:val="49331971"/>
    <w:rsid w:val="49357497"/>
    <w:rsid w:val="49366D6C"/>
    <w:rsid w:val="493A685C"/>
    <w:rsid w:val="4941408E"/>
    <w:rsid w:val="4944592C"/>
    <w:rsid w:val="494B6CBB"/>
    <w:rsid w:val="49583186"/>
    <w:rsid w:val="495C4A24"/>
    <w:rsid w:val="496B4C67"/>
    <w:rsid w:val="496D09DF"/>
    <w:rsid w:val="496E4757"/>
    <w:rsid w:val="4970227E"/>
    <w:rsid w:val="497A134E"/>
    <w:rsid w:val="497A4025"/>
    <w:rsid w:val="497C50C6"/>
    <w:rsid w:val="4981092F"/>
    <w:rsid w:val="4981448B"/>
    <w:rsid w:val="498521CD"/>
    <w:rsid w:val="49867CF3"/>
    <w:rsid w:val="49883A6B"/>
    <w:rsid w:val="49920446"/>
    <w:rsid w:val="499248EA"/>
    <w:rsid w:val="499E328F"/>
    <w:rsid w:val="49A14B2D"/>
    <w:rsid w:val="49A33231"/>
    <w:rsid w:val="49A81A17"/>
    <w:rsid w:val="49A87C69"/>
    <w:rsid w:val="49AD6EB4"/>
    <w:rsid w:val="49B04D70"/>
    <w:rsid w:val="49B605D8"/>
    <w:rsid w:val="49B760FE"/>
    <w:rsid w:val="49B8763F"/>
    <w:rsid w:val="49BF6D61"/>
    <w:rsid w:val="49C01457"/>
    <w:rsid w:val="49C51B7C"/>
    <w:rsid w:val="49C83E68"/>
    <w:rsid w:val="49CC7DFC"/>
    <w:rsid w:val="49CD5922"/>
    <w:rsid w:val="49CD76D0"/>
    <w:rsid w:val="49D15412"/>
    <w:rsid w:val="49D4280C"/>
    <w:rsid w:val="49DA6049"/>
    <w:rsid w:val="49DB003F"/>
    <w:rsid w:val="49DC7913"/>
    <w:rsid w:val="49DD5E2E"/>
    <w:rsid w:val="49DE368B"/>
    <w:rsid w:val="49DF11B1"/>
    <w:rsid w:val="49E54A1A"/>
    <w:rsid w:val="49E60792"/>
    <w:rsid w:val="49F27137"/>
    <w:rsid w:val="49F42EAF"/>
    <w:rsid w:val="49F7299F"/>
    <w:rsid w:val="49F866F1"/>
    <w:rsid w:val="49F96717"/>
    <w:rsid w:val="49FA5FEB"/>
    <w:rsid w:val="4A001853"/>
    <w:rsid w:val="4A007AA5"/>
    <w:rsid w:val="4A01737A"/>
    <w:rsid w:val="4A017A91"/>
    <w:rsid w:val="4A0330F2"/>
    <w:rsid w:val="4A05330E"/>
    <w:rsid w:val="4A077A34"/>
    <w:rsid w:val="4A093CE7"/>
    <w:rsid w:val="4A0A64C5"/>
    <w:rsid w:val="4A196EAA"/>
    <w:rsid w:val="4A1C38C9"/>
    <w:rsid w:val="4A1E1CDA"/>
    <w:rsid w:val="4A1E3175"/>
    <w:rsid w:val="4A1E617D"/>
    <w:rsid w:val="4A225C6E"/>
    <w:rsid w:val="4A2512BA"/>
    <w:rsid w:val="4A253068"/>
    <w:rsid w:val="4A272146"/>
    <w:rsid w:val="4A2A719E"/>
    <w:rsid w:val="4A3814EB"/>
    <w:rsid w:val="4A3C158D"/>
    <w:rsid w:val="4A407C50"/>
    <w:rsid w:val="4A413C1A"/>
    <w:rsid w:val="4A431740"/>
    <w:rsid w:val="4A440938"/>
    <w:rsid w:val="4A45370A"/>
    <w:rsid w:val="4A484FA8"/>
    <w:rsid w:val="4A4A6F73"/>
    <w:rsid w:val="4A4D0811"/>
    <w:rsid w:val="4A4E6A63"/>
    <w:rsid w:val="4A4F4589"/>
    <w:rsid w:val="4A58168F"/>
    <w:rsid w:val="4A58343D"/>
    <w:rsid w:val="4A595408"/>
    <w:rsid w:val="4A5B1180"/>
    <w:rsid w:val="4A5B4CDC"/>
    <w:rsid w:val="4A6022F2"/>
    <w:rsid w:val="4A6242BC"/>
    <w:rsid w:val="4A631737"/>
    <w:rsid w:val="4A655B5A"/>
    <w:rsid w:val="4A657908"/>
    <w:rsid w:val="4A673681"/>
    <w:rsid w:val="4A6C063B"/>
    <w:rsid w:val="4A6F0787"/>
    <w:rsid w:val="4A760499"/>
    <w:rsid w:val="4A7638C4"/>
    <w:rsid w:val="4A7D10F6"/>
    <w:rsid w:val="4A871F75"/>
    <w:rsid w:val="4A8C30E7"/>
    <w:rsid w:val="4A987CDE"/>
    <w:rsid w:val="4A993A56"/>
    <w:rsid w:val="4A9973CA"/>
    <w:rsid w:val="4AA20B5D"/>
    <w:rsid w:val="4AA246B9"/>
    <w:rsid w:val="4AAE5753"/>
    <w:rsid w:val="4AB16FF2"/>
    <w:rsid w:val="4AB4263E"/>
    <w:rsid w:val="4AC00FE3"/>
    <w:rsid w:val="4AC22FAD"/>
    <w:rsid w:val="4AC705C3"/>
    <w:rsid w:val="4AD11442"/>
    <w:rsid w:val="4AD11DB9"/>
    <w:rsid w:val="4AD131F0"/>
    <w:rsid w:val="4AD309EB"/>
    <w:rsid w:val="4AD60806"/>
    <w:rsid w:val="4AD74C4A"/>
    <w:rsid w:val="4AD8457E"/>
    <w:rsid w:val="4ADD1B95"/>
    <w:rsid w:val="4ADF3B5F"/>
    <w:rsid w:val="4AE274E7"/>
    <w:rsid w:val="4AE747C1"/>
    <w:rsid w:val="4AEC627C"/>
    <w:rsid w:val="4AF84C20"/>
    <w:rsid w:val="4AFA2747"/>
    <w:rsid w:val="4B0062C7"/>
    <w:rsid w:val="4B0610EB"/>
    <w:rsid w:val="4B0B6702"/>
    <w:rsid w:val="4B0C4228"/>
    <w:rsid w:val="4B0D06CC"/>
    <w:rsid w:val="4B103D18"/>
    <w:rsid w:val="4B1355B6"/>
    <w:rsid w:val="4B157580"/>
    <w:rsid w:val="4B1F21AD"/>
    <w:rsid w:val="4B1F5D09"/>
    <w:rsid w:val="4B266B52"/>
    <w:rsid w:val="4B296B88"/>
    <w:rsid w:val="4B2C48CA"/>
    <w:rsid w:val="4B3029DA"/>
    <w:rsid w:val="4B320132"/>
    <w:rsid w:val="4B3317B5"/>
    <w:rsid w:val="4B335C59"/>
    <w:rsid w:val="4B3519D1"/>
    <w:rsid w:val="4B3612A5"/>
    <w:rsid w:val="4B3F0A2D"/>
    <w:rsid w:val="4B404C52"/>
    <w:rsid w:val="4B4B624B"/>
    <w:rsid w:val="4B4C0AC8"/>
    <w:rsid w:val="4B5300A9"/>
    <w:rsid w:val="4B531E57"/>
    <w:rsid w:val="4B5736F5"/>
    <w:rsid w:val="4B5856BF"/>
    <w:rsid w:val="4B5C6F5D"/>
    <w:rsid w:val="4B616322"/>
    <w:rsid w:val="4B646578"/>
    <w:rsid w:val="4B69167A"/>
    <w:rsid w:val="4B7D0C82"/>
    <w:rsid w:val="4B7E5126"/>
    <w:rsid w:val="4B807D59"/>
    <w:rsid w:val="4B840262"/>
    <w:rsid w:val="4B8D35BB"/>
    <w:rsid w:val="4B906C07"/>
    <w:rsid w:val="4B92297F"/>
    <w:rsid w:val="4B971D44"/>
    <w:rsid w:val="4B983D0E"/>
    <w:rsid w:val="4B985ABC"/>
    <w:rsid w:val="4B990D30"/>
    <w:rsid w:val="4B991F60"/>
    <w:rsid w:val="4B9E7C97"/>
    <w:rsid w:val="4BA32C98"/>
    <w:rsid w:val="4BA72EF2"/>
    <w:rsid w:val="4BB57ADD"/>
    <w:rsid w:val="4BB802DF"/>
    <w:rsid w:val="4BBA3C84"/>
    <w:rsid w:val="4BC220E1"/>
    <w:rsid w:val="4BC845F3"/>
    <w:rsid w:val="4BC9778B"/>
    <w:rsid w:val="4BD06395"/>
    <w:rsid w:val="4BD42F98"/>
    <w:rsid w:val="4BD96800"/>
    <w:rsid w:val="4BE62CCB"/>
    <w:rsid w:val="4BEB208F"/>
    <w:rsid w:val="4BFC24EE"/>
    <w:rsid w:val="4BFD43D2"/>
    <w:rsid w:val="4BFE1DC3"/>
    <w:rsid w:val="4BFF5B3B"/>
    <w:rsid w:val="4C015AC6"/>
    <w:rsid w:val="4C06511B"/>
    <w:rsid w:val="4C0B2731"/>
    <w:rsid w:val="4C1415E6"/>
    <w:rsid w:val="4C15535E"/>
    <w:rsid w:val="4C177328"/>
    <w:rsid w:val="4C1B3259"/>
    <w:rsid w:val="4C1D69CE"/>
    <w:rsid w:val="4C2061DD"/>
    <w:rsid w:val="4C26756B"/>
    <w:rsid w:val="4C2820E9"/>
    <w:rsid w:val="4C285091"/>
    <w:rsid w:val="4C2D08FA"/>
    <w:rsid w:val="4C2F4672"/>
    <w:rsid w:val="4C3D6D8F"/>
    <w:rsid w:val="4C3E203F"/>
    <w:rsid w:val="4C3E6663"/>
    <w:rsid w:val="4C40062D"/>
    <w:rsid w:val="4C405706"/>
    <w:rsid w:val="4C433C79"/>
    <w:rsid w:val="4C4373A1"/>
    <w:rsid w:val="4C455C43"/>
    <w:rsid w:val="4C4579F1"/>
    <w:rsid w:val="4C4A2448"/>
    <w:rsid w:val="4C6762B5"/>
    <w:rsid w:val="4C681932"/>
    <w:rsid w:val="4C6B4F7E"/>
    <w:rsid w:val="4C6C1422"/>
    <w:rsid w:val="4C6C31D0"/>
    <w:rsid w:val="4C6F2CC0"/>
    <w:rsid w:val="4C7107E7"/>
    <w:rsid w:val="4C83051A"/>
    <w:rsid w:val="4C8524E4"/>
    <w:rsid w:val="4C883D82"/>
    <w:rsid w:val="4C9170DB"/>
    <w:rsid w:val="4C940979"/>
    <w:rsid w:val="4C975D73"/>
    <w:rsid w:val="4C983FC5"/>
    <w:rsid w:val="4C9B3AB5"/>
    <w:rsid w:val="4CA02E7A"/>
    <w:rsid w:val="4CA0731E"/>
    <w:rsid w:val="4CA27D42"/>
    <w:rsid w:val="4CB37051"/>
    <w:rsid w:val="4CB93F3C"/>
    <w:rsid w:val="4CBC3C0D"/>
    <w:rsid w:val="4CBD384F"/>
    <w:rsid w:val="4CBE1552"/>
    <w:rsid w:val="4CC254E6"/>
    <w:rsid w:val="4CC76658"/>
    <w:rsid w:val="4CCB4B63"/>
    <w:rsid w:val="4CCD5E29"/>
    <w:rsid w:val="4CD07C03"/>
    <w:rsid w:val="4CD46FC7"/>
    <w:rsid w:val="4CD60F91"/>
    <w:rsid w:val="4CD82614"/>
    <w:rsid w:val="4CD8534D"/>
    <w:rsid w:val="4CDA2830"/>
    <w:rsid w:val="4CDB26EA"/>
    <w:rsid w:val="4CE0596C"/>
    <w:rsid w:val="4CE81047"/>
    <w:rsid w:val="4CEA2347"/>
    <w:rsid w:val="4CEE62DB"/>
    <w:rsid w:val="4CF6285E"/>
    <w:rsid w:val="4CF803E4"/>
    <w:rsid w:val="4D007DBC"/>
    <w:rsid w:val="4D0126AE"/>
    <w:rsid w:val="4D043409"/>
    <w:rsid w:val="4D072EF9"/>
    <w:rsid w:val="4D0F1DAD"/>
    <w:rsid w:val="4D111FCA"/>
    <w:rsid w:val="4D155616"/>
    <w:rsid w:val="4D1675E0"/>
    <w:rsid w:val="4D1B0752"/>
    <w:rsid w:val="4D267823"/>
    <w:rsid w:val="4D302450"/>
    <w:rsid w:val="4D324F4C"/>
    <w:rsid w:val="4D346ADA"/>
    <w:rsid w:val="4D3637DE"/>
    <w:rsid w:val="4D371A30"/>
    <w:rsid w:val="4D3857A8"/>
    <w:rsid w:val="4D3B2BA3"/>
    <w:rsid w:val="4D3C5912"/>
    <w:rsid w:val="4D3D691B"/>
    <w:rsid w:val="4D4128AF"/>
    <w:rsid w:val="4D423F31"/>
    <w:rsid w:val="4D4952BF"/>
    <w:rsid w:val="4D4D1254"/>
    <w:rsid w:val="4D553C64"/>
    <w:rsid w:val="4D56501F"/>
    <w:rsid w:val="4D5C27F9"/>
    <w:rsid w:val="4D5F2D35"/>
    <w:rsid w:val="4D6E2F78"/>
    <w:rsid w:val="4D7007D9"/>
    <w:rsid w:val="4D700A9E"/>
    <w:rsid w:val="4D704F42"/>
    <w:rsid w:val="4D706CF0"/>
    <w:rsid w:val="4D7367E0"/>
    <w:rsid w:val="4D7E765F"/>
    <w:rsid w:val="4D7F5185"/>
    <w:rsid w:val="4D814A59"/>
    <w:rsid w:val="4D8E361A"/>
    <w:rsid w:val="4D922E9A"/>
    <w:rsid w:val="4D92310A"/>
    <w:rsid w:val="4D924EB8"/>
    <w:rsid w:val="4D9549A9"/>
    <w:rsid w:val="4D9D385D"/>
    <w:rsid w:val="4DA70238"/>
    <w:rsid w:val="4DAC584E"/>
    <w:rsid w:val="4DAE7818"/>
    <w:rsid w:val="4DB0533F"/>
    <w:rsid w:val="4DB56DF9"/>
    <w:rsid w:val="4DB71419"/>
    <w:rsid w:val="4DBB438C"/>
    <w:rsid w:val="4DBD7A5B"/>
    <w:rsid w:val="4DBF1A26"/>
    <w:rsid w:val="4DC03B58"/>
    <w:rsid w:val="4DC66910"/>
    <w:rsid w:val="4DD168CA"/>
    <w:rsid w:val="4DD54DA5"/>
    <w:rsid w:val="4DD70B1D"/>
    <w:rsid w:val="4DD94895"/>
    <w:rsid w:val="4DDE00FE"/>
    <w:rsid w:val="4DE10346"/>
    <w:rsid w:val="4DE82D2A"/>
    <w:rsid w:val="4DED20EF"/>
    <w:rsid w:val="4DED52D5"/>
    <w:rsid w:val="4DED6593"/>
    <w:rsid w:val="4DEE5E67"/>
    <w:rsid w:val="4DF06083"/>
    <w:rsid w:val="4DF44462"/>
    <w:rsid w:val="4DF53699"/>
    <w:rsid w:val="4DF711BF"/>
    <w:rsid w:val="4DF72F6D"/>
    <w:rsid w:val="4DF80A94"/>
    <w:rsid w:val="4DFA2A5E"/>
    <w:rsid w:val="4E031912"/>
    <w:rsid w:val="4E037B64"/>
    <w:rsid w:val="4E0E6760"/>
    <w:rsid w:val="4E102281"/>
    <w:rsid w:val="4E1458CD"/>
    <w:rsid w:val="4E17648E"/>
    <w:rsid w:val="4E1A4EAE"/>
    <w:rsid w:val="4E1B3100"/>
    <w:rsid w:val="4E200716"/>
    <w:rsid w:val="4E255D2C"/>
    <w:rsid w:val="4E3221F7"/>
    <w:rsid w:val="4E3B2540"/>
    <w:rsid w:val="4E3D70E2"/>
    <w:rsid w:val="4E404914"/>
    <w:rsid w:val="4E465CA3"/>
    <w:rsid w:val="4E4A7541"/>
    <w:rsid w:val="4E4B32B9"/>
    <w:rsid w:val="4E4D7031"/>
    <w:rsid w:val="4E516718"/>
    <w:rsid w:val="4E5263F6"/>
    <w:rsid w:val="4E597784"/>
    <w:rsid w:val="4E5A52AA"/>
    <w:rsid w:val="4E610CE5"/>
    <w:rsid w:val="4E636855"/>
    <w:rsid w:val="4E685C19"/>
    <w:rsid w:val="4E6A373F"/>
    <w:rsid w:val="4E6F0D56"/>
    <w:rsid w:val="4E6F6FA8"/>
    <w:rsid w:val="4E720846"/>
    <w:rsid w:val="4E7C16C5"/>
    <w:rsid w:val="4E7E368F"/>
    <w:rsid w:val="4E870795"/>
    <w:rsid w:val="4E8862BB"/>
    <w:rsid w:val="4E8D742E"/>
    <w:rsid w:val="4E920EE8"/>
    <w:rsid w:val="4E9702AC"/>
    <w:rsid w:val="4E9764FE"/>
    <w:rsid w:val="4EA96179"/>
    <w:rsid w:val="4EAC1FAA"/>
    <w:rsid w:val="4EAD5D22"/>
    <w:rsid w:val="4EAE33D8"/>
    <w:rsid w:val="4EB250E6"/>
    <w:rsid w:val="4EB86BA1"/>
    <w:rsid w:val="4EC015B1"/>
    <w:rsid w:val="4EC310A1"/>
    <w:rsid w:val="4ECF17A1"/>
    <w:rsid w:val="4ED212E5"/>
    <w:rsid w:val="4ED27537"/>
    <w:rsid w:val="4EDB288F"/>
    <w:rsid w:val="4EDD6607"/>
    <w:rsid w:val="4EDE412D"/>
    <w:rsid w:val="4EE03A01"/>
    <w:rsid w:val="4EE31744"/>
    <w:rsid w:val="4EE5726A"/>
    <w:rsid w:val="4EF0709E"/>
    <w:rsid w:val="4EF70D4B"/>
    <w:rsid w:val="4EF74EE8"/>
    <w:rsid w:val="4EF85D00"/>
    <w:rsid w:val="4EF90150"/>
    <w:rsid w:val="4EFD2805"/>
    <w:rsid w:val="4F0941B3"/>
    <w:rsid w:val="4F096250"/>
    <w:rsid w:val="4F0E48A4"/>
    <w:rsid w:val="4F10078B"/>
    <w:rsid w:val="4F111E0D"/>
    <w:rsid w:val="4F135B85"/>
    <w:rsid w:val="4F1B0EDE"/>
    <w:rsid w:val="4F1F09CE"/>
    <w:rsid w:val="4F2064F4"/>
    <w:rsid w:val="4F2558B8"/>
    <w:rsid w:val="4F2A7373"/>
    <w:rsid w:val="4F31425D"/>
    <w:rsid w:val="4F3855EC"/>
    <w:rsid w:val="4F3F4BCC"/>
    <w:rsid w:val="4F4026F2"/>
    <w:rsid w:val="4F417ECE"/>
    <w:rsid w:val="4F457D08"/>
    <w:rsid w:val="4F4B17C3"/>
    <w:rsid w:val="4F4E3061"/>
    <w:rsid w:val="4F524AA5"/>
    <w:rsid w:val="4F5B752C"/>
    <w:rsid w:val="4F5D2D73"/>
    <w:rsid w:val="4F5D32A4"/>
    <w:rsid w:val="4F604B42"/>
    <w:rsid w:val="4F622668"/>
    <w:rsid w:val="4F652159"/>
    <w:rsid w:val="4F672375"/>
    <w:rsid w:val="4F674123"/>
    <w:rsid w:val="4F696C79"/>
    <w:rsid w:val="4F716D4F"/>
    <w:rsid w:val="4F73779A"/>
    <w:rsid w:val="4F7505EE"/>
    <w:rsid w:val="4F764366"/>
    <w:rsid w:val="4F8151E4"/>
    <w:rsid w:val="4F846A83"/>
    <w:rsid w:val="4F8C3B89"/>
    <w:rsid w:val="4F93316A"/>
    <w:rsid w:val="4F934F18"/>
    <w:rsid w:val="4F9A44F8"/>
    <w:rsid w:val="4F9A62A6"/>
    <w:rsid w:val="4F9D237F"/>
    <w:rsid w:val="4F9D29BE"/>
    <w:rsid w:val="4FA72771"/>
    <w:rsid w:val="4FAA2859"/>
    <w:rsid w:val="4FAB2261"/>
    <w:rsid w:val="4FB01626"/>
    <w:rsid w:val="4FB97DFA"/>
    <w:rsid w:val="4FBF5D0D"/>
    <w:rsid w:val="4FC11A85"/>
    <w:rsid w:val="4FC13833"/>
    <w:rsid w:val="4FCE5F50"/>
    <w:rsid w:val="4FD03A76"/>
    <w:rsid w:val="4FD34CFD"/>
    <w:rsid w:val="4FD74E04"/>
    <w:rsid w:val="4FD869DB"/>
    <w:rsid w:val="4FDD43E5"/>
    <w:rsid w:val="4FDF015D"/>
    <w:rsid w:val="4FE45434"/>
    <w:rsid w:val="4FE6773D"/>
    <w:rsid w:val="4FEB08B0"/>
    <w:rsid w:val="4FF9121F"/>
    <w:rsid w:val="4FFD05E3"/>
    <w:rsid w:val="50025BF9"/>
    <w:rsid w:val="500A342C"/>
    <w:rsid w:val="500E459E"/>
    <w:rsid w:val="500F410D"/>
    <w:rsid w:val="50113623"/>
    <w:rsid w:val="50151DD1"/>
    <w:rsid w:val="501556DB"/>
    <w:rsid w:val="501778F7"/>
    <w:rsid w:val="501A56A4"/>
    <w:rsid w:val="501B46D5"/>
    <w:rsid w:val="50281B04"/>
    <w:rsid w:val="503E1327"/>
    <w:rsid w:val="503E30D6"/>
    <w:rsid w:val="503F0BFC"/>
    <w:rsid w:val="5043249A"/>
    <w:rsid w:val="50454464"/>
    <w:rsid w:val="505A77E4"/>
    <w:rsid w:val="505C2FF8"/>
    <w:rsid w:val="505C355C"/>
    <w:rsid w:val="505E484F"/>
    <w:rsid w:val="50700DB5"/>
    <w:rsid w:val="5076286F"/>
    <w:rsid w:val="50792360"/>
    <w:rsid w:val="5079410E"/>
    <w:rsid w:val="507F724A"/>
    <w:rsid w:val="50850D04"/>
    <w:rsid w:val="508D1967"/>
    <w:rsid w:val="50902684"/>
    <w:rsid w:val="50974594"/>
    <w:rsid w:val="5099752C"/>
    <w:rsid w:val="509D4495"/>
    <w:rsid w:val="50A3118B"/>
    <w:rsid w:val="50A373DC"/>
    <w:rsid w:val="50AA076B"/>
    <w:rsid w:val="50B22B68"/>
    <w:rsid w:val="50B909AE"/>
    <w:rsid w:val="50BC224C"/>
    <w:rsid w:val="50C11611"/>
    <w:rsid w:val="50C55D03"/>
    <w:rsid w:val="50CC6933"/>
    <w:rsid w:val="50D137D5"/>
    <w:rsid w:val="50D21A70"/>
    <w:rsid w:val="50D8672A"/>
    <w:rsid w:val="50DC2A03"/>
    <w:rsid w:val="50DD28EE"/>
    <w:rsid w:val="50DF56DA"/>
    <w:rsid w:val="50E0418D"/>
    <w:rsid w:val="50E05F3B"/>
    <w:rsid w:val="50E35A2B"/>
    <w:rsid w:val="50E517A3"/>
    <w:rsid w:val="50E84DEF"/>
    <w:rsid w:val="50E97F21"/>
    <w:rsid w:val="50EC48E0"/>
    <w:rsid w:val="50EE4AFC"/>
    <w:rsid w:val="50F33EC0"/>
    <w:rsid w:val="50FF4F20"/>
    <w:rsid w:val="510460CD"/>
    <w:rsid w:val="510D2AA8"/>
    <w:rsid w:val="510D4856"/>
    <w:rsid w:val="51112598"/>
    <w:rsid w:val="51114346"/>
    <w:rsid w:val="5116195C"/>
    <w:rsid w:val="5119144D"/>
    <w:rsid w:val="511A58F1"/>
    <w:rsid w:val="51220301"/>
    <w:rsid w:val="512322CB"/>
    <w:rsid w:val="51256043"/>
    <w:rsid w:val="51271DBC"/>
    <w:rsid w:val="51312C3A"/>
    <w:rsid w:val="51361FFF"/>
    <w:rsid w:val="514364CA"/>
    <w:rsid w:val="51452E14"/>
    <w:rsid w:val="51491D32"/>
    <w:rsid w:val="51583D23"/>
    <w:rsid w:val="51586419"/>
    <w:rsid w:val="515E50B1"/>
    <w:rsid w:val="51613A0C"/>
    <w:rsid w:val="516A1F01"/>
    <w:rsid w:val="516D11C8"/>
    <w:rsid w:val="516E1AB0"/>
    <w:rsid w:val="516E79EA"/>
    <w:rsid w:val="51713037"/>
    <w:rsid w:val="51731E42"/>
    <w:rsid w:val="51732139"/>
    <w:rsid w:val="51735001"/>
    <w:rsid w:val="5176689F"/>
    <w:rsid w:val="517B2107"/>
    <w:rsid w:val="5181771E"/>
    <w:rsid w:val="51870AAC"/>
    <w:rsid w:val="51874608"/>
    <w:rsid w:val="518E1E3B"/>
    <w:rsid w:val="51913C64"/>
    <w:rsid w:val="519A433C"/>
    <w:rsid w:val="519D207E"/>
    <w:rsid w:val="51A0391C"/>
    <w:rsid w:val="51B1646C"/>
    <w:rsid w:val="51B22A66"/>
    <w:rsid w:val="51BA49DE"/>
    <w:rsid w:val="51C15D6C"/>
    <w:rsid w:val="51C25640"/>
    <w:rsid w:val="51C27D36"/>
    <w:rsid w:val="51C4760A"/>
    <w:rsid w:val="51C615D4"/>
    <w:rsid w:val="51C770FB"/>
    <w:rsid w:val="51C83263"/>
    <w:rsid w:val="51CB6BEB"/>
    <w:rsid w:val="51DA6E2E"/>
    <w:rsid w:val="51DF2696"/>
    <w:rsid w:val="51E41A5B"/>
    <w:rsid w:val="51E8779D"/>
    <w:rsid w:val="51FA302C"/>
    <w:rsid w:val="520175A0"/>
    <w:rsid w:val="52034365"/>
    <w:rsid w:val="52065E75"/>
    <w:rsid w:val="52075749"/>
    <w:rsid w:val="5209326F"/>
    <w:rsid w:val="520D0FB1"/>
    <w:rsid w:val="521F6F37"/>
    <w:rsid w:val="522B768A"/>
    <w:rsid w:val="522D51B0"/>
    <w:rsid w:val="52320A18"/>
    <w:rsid w:val="52344790"/>
    <w:rsid w:val="523D116B"/>
    <w:rsid w:val="523F35EA"/>
    <w:rsid w:val="52416EAD"/>
    <w:rsid w:val="525070F0"/>
    <w:rsid w:val="525941F7"/>
    <w:rsid w:val="525A7F6F"/>
    <w:rsid w:val="525C7843"/>
    <w:rsid w:val="5268268C"/>
    <w:rsid w:val="52693681"/>
    <w:rsid w:val="527103FC"/>
    <w:rsid w:val="527C0E43"/>
    <w:rsid w:val="527C1C93"/>
    <w:rsid w:val="527E5C57"/>
    <w:rsid w:val="527F1783"/>
    <w:rsid w:val="527F3531"/>
    <w:rsid w:val="528B1ED6"/>
    <w:rsid w:val="528D5C4E"/>
    <w:rsid w:val="52903990"/>
    <w:rsid w:val="5292555D"/>
    <w:rsid w:val="52992845"/>
    <w:rsid w:val="529A792F"/>
    <w:rsid w:val="529C11E0"/>
    <w:rsid w:val="52A336C4"/>
    <w:rsid w:val="52A4759B"/>
    <w:rsid w:val="52AB2578"/>
    <w:rsid w:val="52AC318F"/>
    <w:rsid w:val="52B256B5"/>
    <w:rsid w:val="52B35629"/>
    <w:rsid w:val="52B458D1"/>
    <w:rsid w:val="52B92EE7"/>
    <w:rsid w:val="52BF714B"/>
    <w:rsid w:val="52C5363A"/>
    <w:rsid w:val="52C8312A"/>
    <w:rsid w:val="52CF24CC"/>
    <w:rsid w:val="52CF270B"/>
    <w:rsid w:val="52D32AFD"/>
    <w:rsid w:val="52D64AC4"/>
    <w:rsid w:val="52D7511B"/>
    <w:rsid w:val="52E15F9A"/>
    <w:rsid w:val="52E57838"/>
    <w:rsid w:val="52E8557B"/>
    <w:rsid w:val="52F42171"/>
    <w:rsid w:val="52F43F1F"/>
    <w:rsid w:val="52F65EE9"/>
    <w:rsid w:val="52F83A10"/>
    <w:rsid w:val="52FB705C"/>
    <w:rsid w:val="53095C1D"/>
    <w:rsid w:val="530C1269"/>
    <w:rsid w:val="530F2B07"/>
    <w:rsid w:val="530F6FAB"/>
    <w:rsid w:val="53130849"/>
    <w:rsid w:val="531B5950"/>
    <w:rsid w:val="531D389C"/>
    <w:rsid w:val="531D5224"/>
    <w:rsid w:val="532E5683"/>
    <w:rsid w:val="533407C0"/>
    <w:rsid w:val="53364538"/>
    <w:rsid w:val="533C1422"/>
    <w:rsid w:val="533E33EC"/>
    <w:rsid w:val="534722A1"/>
    <w:rsid w:val="53481136"/>
    <w:rsid w:val="534C3D5B"/>
    <w:rsid w:val="534D53DE"/>
    <w:rsid w:val="534E1882"/>
    <w:rsid w:val="53513120"/>
    <w:rsid w:val="536015B5"/>
    <w:rsid w:val="536270DB"/>
    <w:rsid w:val="53672943"/>
    <w:rsid w:val="5367649F"/>
    <w:rsid w:val="5371731E"/>
    <w:rsid w:val="53760DD8"/>
    <w:rsid w:val="53764934"/>
    <w:rsid w:val="537B7696"/>
    <w:rsid w:val="537E2EA2"/>
    <w:rsid w:val="537F0CA9"/>
    <w:rsid w:val="5382152B"/>
    <w:rsid w:val="5382170D"/>
    <w:rsid w:val="53864B33"/>
    <w:rsid w:val="538C23AA"/>
    <w:rsid w:val="53977748"/>
    <w:rsid w:val="53982AFD"/>
    <w:rsid w:val="539D45B7"/>
    <w:rsid w:val="539F3171"/>
    <w:rsid w:val="53A72D40"/>
    <w:rsid w:val="53AE0572"/>
    <w:rsid w:val="53B33222"/>
    <w:rsid w:val="53BE2574"/>
    <w:rsid w:val="53BF452D"/>
    <w:rsid w:val="53BF62DB"/>
    <w:rsid w:val="53CB2ED2"/>
    <w:rsid w:val="53D02297"/>
    <w:rsid w:val="53D855EF"/>
    <w:rsid w:val="53DA3115"/>
    <w:rsid w:val="53DB0C3B"/>
    <w:rsid w:val="53DC0CED"/>
    <w:rsid w:val="53DF24DA"/>
    <w:rsid w:val="53E73A84"/>
    <w:rsid w:val="53EA0E7E"/>
    <w:rsid w:val="53EB5322"/>
    <w:rsid w:val="53F00B8B"/>
    <w:rsid w:val="53FE33E8"/>
    <w:rsid w:val="540D447D"/>
    <w:rsid w:val="540E7126"/>
    <w:rsid w:val="54244390"/>
    <w:rsid w:val="54260108"/>
    <w:rsid w:val="542C3BBC"/>
    <w:rsid w:val="543841B1"/>
    <w:rsid w:val="54420CBA"/>
    <w:rsid w:val="544D7D8B"/>
    <w:rsid w:val="544E58B1"/>
    <w:rsid w:val="54534C76"/>
    <w:rsid w:val="54596730"/>
    <w:rsid w:val="545A6004"/>
    <w:rsid w:val="546142C1"/>
    <w:rsid w:val="54625C01"/>
    <w:rsid w:val="547528A1"/>
    <w:rsid w:val="5479292E"/>
    <w:rsid w:val="54834058"/>
    <w:rsid w:val="54837309"/>
    <w:rsid w:val="5486329D"/>
    <w:rsid w:val="5488491F"/>
    <w:rsid w:val="54901A26"/>
    <w:rsid w:val="54907C78"/>
    <w:rsid w:val="54916A23"/>
    <w:rsid w:val="54947768"/>
    <w:rsid w:val="5495528E"/>
    <w:rsid w:val="54971006"/>
    <w:rsid w:val="54972DB4"/>
    <w:rsid w:val="54977258"/>
    <w:rsid w:val="549A0AF6"/>
    <w:rsid w:val="549C661D"/>
    <w:rsid w:val="549E2395"/>
    <w:rsid w:val="54A31759"/>
    <w:rsid w:val="54AB2D04"/>
    <w:rsid w:val="54AD082A"/>
    <w:rsid w:val="54AD25D8"/>
    <w:rsid w:val="54B03E76"/>
    <w:rsid w:val="54BA6AA3"/>
    <w:rsid w:val="54BC0A6D"/>
    <w:rsid w:val="54C55B73"/>
    <w:rsid w:val="54C811C0"/>
    <w:rsid w:val="54C85664"/>
    <w:rsid w:val="54C94F38"/>
    <w:rsid w:val="54CA318A"/>
    <w:rsid w:val="54CC5154"/>
    <w:rsid w:val="54CC5B08"/>
    <w:rsid w:val="54CD2C7A"/>
    <w:rsid w:val="54CF254E"/>
    <w:rsid w:val="54D07995"/>
    <w:rsid w:val="54D758A7"/>
    <w:rsid w:val="54D97871"/>
    <w:rsid w:val="54DA0EF3"/>
    <w:rsid w:val="54DB4AA8"/>
    <w:rsid w:val="54DC2EBD"/>
    <w:rsid w:val="54DC4C6B"/>
    <w:rsid w:val="54E3424B"/>
    <w:rsid w:val="54E51D72"/>
    <w:rsid w:val="54E56216"/>
    <w:rsid w:val="54ED6E78"/>
    <w:rsid w:val="54F226E1"/>
    <w:rsid w:val="54F2448F"/>
    <w:rsid w:val="54F2623D"/>
    <w:rsid w:val="54F75F49"/>
    <w:rsid w:val="550348EE"/>
    <w:rsid w:val="55086B78"/>
    <w:rsid w:val="550C06E7"/>
    <w:rsid w:val="550F3292"/>
    <w:rsid w:val="551371B1"/>
    <w:rsid w:val="551408A9"/>
    <w:rsid w:val="55144405"/>
    <w:rsid w:val="55164621"/>
    <w:rsid w:val="551C775D"/>
    <w:rsid w:val="551D4C3C"/>
    <w:rsid w:val="551E7032"/>
    <w:rsid w:val="5523289A"/>
    <w:rsid w:val="55264138"/>
    <w:rsid w:val="55284354"/>
    <w:rsid w:val="55287EB0"/>
    <w:rsid w:val="55410DBD"/>
    <w:rsid w:val="55410F72"/>
    <w:rsid w:val="554E3DBB"/>
    <w:rsid w:val="554F7B33"/>
    <w:rsid w:val="555D5DAC"/>
    <w:rsid w:val="5560589C"/>
    <w:rsid w:val="55625D37"/>
    <w:rsid w:val="55651104"/>
    <w:rsid w:val="556F5ADF"/>
    <w:rsid w:val="55760C1C"/>
    <w:rsid w:val="557D644E"/>
    <w:rsid w:val="55825812"/>
    <w:rsid w:val="558275C0"/>
    <w:rsid w:val="55872E29"/>
    <w:rsid w:val="55894DF3"/>
    <w:rsid w:val="558A323A"/>
    <w:rsid w:val="558E2409"/>
    <w:rsid w:val="558F6181"/>
    <w:rsid w:val="558F7F2F"/>
    <w:rsid w:val="55911EF9"/>
    <w:rsid w:val="55992337"/>
    <w:rsid w:val="559A7000"/>
    <w:rsid w:val="559B0682"/>
    <w:rsid w:val="559E0172"/>
    <w:rsid w:val="559F4616"/>
    <w:rsid w:val="55A559A5"/>
    <w:rsid w:val="55AB5B98"/>
    <w:rsid w:val="55AD03B6"/>
    <w:rsid w:val="55AF05D2"/>
    <w:rsid w:val="55AF1596"/>
    <w:rsid w:val="55B63C42"/>
    <w:rsid w:val="55B94FAC"/>
    <w:rsid w:val="55BA31FE"/>
    <w:rsid w:val="55BB2358"/>
    <w:rsid w:val="55BF0815"/>
    <w:rsid w:val="55C23E61"/>
    <w:rsid w:val="55D02010"/>
    <w:rsid w:val="55D342C0"/>
    <w:rsid w:val="55D65B5E"/>
    <w:rsid w:val="55DB13C7"/>
    <w:rsid w:val="55DD0C9B"/>
    <w:rsid w:val="55DD5E69"/>
    <w:rsid w:val="55DF2B6F"/>
    <w:rsid w:val="55E70297"/>
    <w:rsid w:val="55EA33B8"/>
    <w:rsid w:val="55EB160A"/>
    <w:rsid w:val="55EE10FA"/>
    <w:rsid w:val="55EF09CE"/>
    <w:rsid w:val="55F22AB9"/>
    <w:rsid w:val="55F36710"/>
    <w:rsid w:val="55F83D27"/>
    <w:rsid w:val="55FB02E9"/>
    <w:rsid w:val="56064695"/>
    <w:rsid w:val="56066443"/>
    <w:rsid w:val="56075D18"/>
    <w:rsid w:val="560B2A53"/>
    <w:rsid w:val="561072C2"/>
    <w:rsid w:val="56114DE8"/>
    <w:rsid w:val="56156687"/>
    <w:rsid w:val="561623FF"/>
    <w:rsid w:val="561F1F50"/>
    <w:rsid w:val="56262AA1"/>
    <w:rsid w:val="562864B6"/>
    <w:rsid w:val="56290384"/>
    <w:rsid w:val="56293EE0"/>
    <w:rsid w:val="562E2336"/>
    <w:rsid w:val="562E5514"/>
    <w:rsid w:val="563A7E9B"/>
    <w:rsid w:val="56444C51"/>
    <w:rsid w:val="564F1C59"/>
    <w:rsid w:val="56551179"/>
    <w:rsid w:val="56586573"/>
    <w:rsid w:val="565D3B8A"/>
    <w:rsid w:val="565F1615"/>
    <w:rsid w:val="565F3DA6"/>
    <w:rsid w:val="56625644"/>
    <w:rsid w:val="566273F2"/>
    <w:rsid w:val="566413BC"/>
    <w:rsid w:val="56667575"/>
    <w:rsid w:val="566C2734"/>
    <w:rsid w:val="566E59D3"/>
    <w:rsid w:val="56705FB3"/>
    <w:rsid w:val="567710EF"/>
    <w:rsid w:val="567726B1"/>
    <w:rsid w:val="56772E9D"/>
    <w:rsid w:val="56777341"/>
    <w:rsid w:val="567856E7"/>
    <w:rsid w:val="5684380C"/>
    <w:rsid w:val="56861332"/>
    <w:rsid w:val="56867584"/>
    <w:rsid w:val="56876E58"/>
    <w:rsid w:val="568850AA"/>
    <w:rsid w:val="568E6439"/>
    <w:rsid w:val="569E48CE"/>
    <w:rsid w:val="569F41A2"/>
    <w:rsid w:val="56A31EE4"/>
    <w:rsid w:val="56B85264"/>
    <w:rsid w:val="56C500AD"/>
    <w:rsid w:val="56C67981"/>
    <w:rsid w:val="56CB40FE"/>
    <w:rsid w:val="56CD0D0F"/>
    <w:rsid w:val="56CF0F2B"/>
    <w:rsid w:val="56CF2CD9"/>
    <w:rsid w:val="56D54068"/>
    <w:rsid w:val="56D976B4"/>
    <w:rsid w:val="56DD6C8E"/>
    <w:rsid w:val="56DE116E"/>
    <w:rsid w:val="56E46059"/>
    <w:rsid w:val="56EF512A"/>
    <w:rsid w:val="56F049FE"/>
    <w:rsid w:val="56FC15F5"/>
    <w:rsid w:val="56FE536D"/>
    <w:rsid w:val="57034731"/>
    <w:rsid w:val="570A5ABF"/>
    <w:rsid w:val="570B7A8A"/>
    <w:rsid w:val="570C5D6D"/>
    <w:rsid w:val="57122BC6"/>
    <w:rsid w:val="5714693E"/>
    <w:rsid w:val="571C57F3"/>
    <w:rsid w:val="57201787"/>
    <w:rsid w:val="57212E09"/>
    <w:rsid w:val="57256D9D"/>
    <w:rsid w:val="572648C3"/>
    <w:rsid w:val="572F5526"/>
    <w:rsid w:val="5737087F"/>
    <w:rsid w:val="574014E1"/>
    <w:rsid w:val="57407733"/>
    <w:rsid w:val="57415259"/>
    <w:rsid w:val="574216FD"/>
    <w:rsid w:val="57470E3C"/>
    <w:rsid w:val="5747738E"/>
    <w:rsid w:val="574A05B2"/>
    <w:rsid w:val="574B60D8"/>
    <w:rsid w:val="57560D05"/>
    <w:rsid w:val="575629E4"/>
    <w:rsid w:val="575A03BE"/>
    <w:rsid w:val="57631674"/>
    <w:rsid w:val="57680A38"/>
    <w:rsid w:val="57684EDC"/>
    <w:rsid w:val="576A0C54"/>
    <w:rsid w:val="576B22D6"/>
    <w:rsid w:val="57763155"/>
    <w:rsid w:val="57805D82"/>
    <w:rsid w:val="578810DA"/>
    <w:rsid w:val="578B586A"/>
    <w:rsid w:val="57911D3D"/>
    <w:rsid w:val="57916B02"/>
    <w:rsid w:val="57917F8F"/>
    <w:rsid w:val="57931F59"/>
    <w:rsid w:val="57932DC4"/>
    <w:rsid w:val="5794182D"/>
    <w:rsid w:val="579502B5"/>
    <w:rsid w:val="57996E43"/>
    <w:rsid w:val="57A53A3A"/>
    <w:rsid w:val="57AF48B9"/>
    <w:rsid w:val="57B75B77"/>
    <w:rsid w:val="57BB500C"/>
    <w:rsid w:val="57BE29FA"/>
    <w:rsid w:val="57C14700"/>
    <w:rsid w:val="57C863B8"/>
    <w:rsid w:val="57CA34A1"/>
    <w:rsid w:val="57CA4134"/>
    <w:rsid w:val="57CE2F91"/>
    <w:rsid w:val="57D460CD"/>
    <w:rsid w:val="57D707BF"/>
    <w:rsid w:val="57D85BBE"/>
    <w:rsid w:val="57DB745C"/>
    <w:rsid w:val="57DE0CFA"/>
    <w:rsid w:val="57DF3CA0"/>
    <w:rsid w:val="57E00F16"/>
    <w:rsid w:val="57E44562"/>
    <w:rsid w:val="57E5652D"/>
    <w:rsid w:val="57EF2F07"/>
    <w:rsid w:val="57F16C7F"/>
    <w:rsid w:val="57F347A6"/>
    <w:rsid w:val="57F4051E"/>
    <w:rsid w:val="57F624E8"/>
    <w:rsid w:val="57FA3D86"/>
    <w:rsid w:val="580A1AEF"/>
    <w:rsid w:val="580F5357"/>
    <w:rsid w:val="5814471C"/>
    <w:rsid w:val="581A249A"/>
    <w:rsid w:val="581B1F4E"/>
    <w:rsid w:val="581D1822"/>
    <w:rsid w:val="582232DD"/>
    <w:rsid w:val="58296419"/>
    <w:rsid w:val="582E57DE"/>
    <w:rsid w:val="58490869"/>
    <w:rsid w:val="584E5E80"/>
    <w:rsid w:val="58501BF8"/>
    <w:rsid w:val="585039A6"/>
    <w:rsid w:val="58580AAD"/>
    <w:rsid w:val="585A65D3"/>
    <w:rsid w:val="58676F42"/>
    <w:rsid w:val="58705DF6"/>
    <w:rsid w:val="58711B6E"/>
    <w:rsid w:val="5875165E"/>
    <w:rsid w:val="587578B0"/>
    <w:rsid w:val="587651AC"/>
    <w:rsid w:val="587753D7"/>
    <w:rsid w:val="5886561A"/>
    <w:rsid w:val="5887183A"/>
    <w:rsid w:val="588C0756"/>
    <w:rsid w:val="589046EA"/>
    <w:rsid w:val="58906498"/>
    <w:rsid w:val="589715D5"/>
    <w:rsid w:val="5898534D"/>
    <w:rsid w:val="589A10C5"/>
    <w:rsid w:val="58A3441E"/>
    <w:rsid w:val="58A75590"/>
    <w:rsid w:val="58A80DA5"/>
    <w:rsid w:val="58A86DCE"/>
    <w:rsid w:val="58AD704A"/>
    <w:rsid w:val="58B06B3A"/>
    <w:rsid w:val="58B73A25"/>
    <w:rsid w:val="58BA52C3"/>
    <w:rsid w:val="58BD6B62"/>
    <w:rsid w:val="58BE3005"/>
    <w:rsid w:val="58BF0B2C"/>
    <w:rsid w:val="58C068DB"/>
    <w:rsid w:val="58C61EBA"/>
    <w:rsid w:val="58CD4FF7"/>
    <w:rsid w:val="58D02D39"/>
    <w:rsid w:val="58DA5965"/>
    <w:rsid w:val="58DF4D2A"/>
    <w:rsid w:val="58DF6CF4"/>
    <w:rsid w:val="58E6255C"/>
    <w:rsid w:val="58EA204C"/>
    <w:rsid w:val="58EB7B73"/>
    <w:rsid w:val="58EF691C"/>
    <w:rsid w:val="58F06F37"/>
    <w:rsid w:val="59011144"/>
    <w:rsid w:val="5904132B"/>
    <w:rsid w:val="59080725"/>
    <w:rsid w:val="590D49E1"/>
    <w:rsid w:val="591470C9"/>
    <w:rsid w:val="59157827"/>
    <w:rsid w:val="5919648E"/>
    <w:rsid w:val="591B2943"/>
    <w:rsid w:val="591E6436"/>
    <w:rsid w:val="59205A6E"/>
    <w:rsid w:val="59215342"/>
    <w:rsid w:val="59246BE1"/>
    <w:rsid w:val="592D1F39"/>
    <w:rsid w:val="593C217C"/>
    <w:rsid w:val="593F3A1A"/>
    <w:rsid w:val="594400A5"/>
    <w:rsid w:val="59460EC7"/>
    <w:rsid w:val="59484FC5"/>
    <w:rsid w:val="594D4389"/>
    <w:rsid w:val="59505C28"/>
    <w:rsid w:val="595219A0"/>
    <w:rsid w:val="59527BF2"/>
    <w:rsid w:val="5954396A"/>
    <w:rsid w:val="595B4CF8"/>
    <w:rsid w:val="59613991"/>
    <w:rsid w:val="596811C3"/>
    <w:rsid w:val="596A0A97"/>
    <w:rsid w:val="597162CA"/>
    <w:rsid w:val="597B0EF6"/>
    <w:rsid w:val="597D0AC6"/>
    <w:rsid w:val="597E2795"/>
    <w:rsid w:val="5980475F"/>
    <w:rsid w:val="59837DAB"/>
    <w:rsid w:val="598558D1"/>
    <w:rsid w:val="59861649"/>
    <w:rsid w:val="59883613"/>
    <w:rsid w:val="598A113A"/>
    <w:rsid w:val="598A2EE8"/>
    <w:rsid w:val="598B3EF7"/>
    <w:rsid w:val="59981AA8"/>
    <w:rsid w:val="599C2C1B"/>
    <w:rsid w:val="59A33FA9"/>
    <w:rsid w:val="59A55F73"/>
    <w:rsid w:val="59A65848"/>
    <w:rsid w:val="59A87812"/>
    <w:rsid w:val="59AC5554"/>
    <w:rsid w:val="59AD0226"/>
    <w:rsid w:val="59B44408"/>
    <w:rsid w:val="59B91A1F"/>
    <w:rsid w:val="59C26B25"/>
    <w:rsid w:val="59C7413C"/>
    <w:rsid w:val="59C90F05"/>
    <w:rsid w:val="59CC1752"/>
    <w:rsid w:val="59CD7278"/>
    <w:rsid w:val="59DB7BE7"/>
    <w:rsid w:val="59E3084A"/>
    <w:rsid w:val="59EE16C8"/>
    <w:rsid w:val="59F111B9"/>
    <w:rsid w:val="59F44805"/>
    <w:rsid w:val="59FF38D6"/>
    <w:rsid w:val="5A0A04CC"/>
    <w:rsid w:val="5A0E58C7"/>
    <w:rsid w:val="5A113609"/>
    <w:rsid w:val="5A1243C8"/>
    <w:rsid w:val="5A13112F"/>
    <w:rsid w:val="5A132EDD"/>
    <w:rsid w:val="5A146C55"/>
    <w:rsid w:val="5A1924BD"/>
    <w:rsid w:val="5A274BDA"/>
    <w:rsid w:val="5A290952"/>
    <w:rsid w:val="5A2C21F1"/>
    <w:rsid w:val="5A33532D"/>
    <w:rsid w:val="5A3612C1"/>
    <w:rsid w:val="5A3832D0"/>
    <w:rsid w:val="5A38583A"/>
    <w:rsid w:val="5A4412E8"/>
    <w:rsid w:val="5A44578C"/>
    <w:rsid w:val="5A461504"/>
    <w:rsid w:val="5A61633E"/>
    <w:rsid w:val="5A643739"/>
    <w:rsid w:val="5A655703"/>
    <w:rsid w:val="5A673229"/>
    <w:rsid w:val="5A6C6A91"/>
    <w:rsid w:val="5A737E20"/>
    <w:rsid w:val="5A7D47FA"/>
    <w:rsid w:val="5A897643"/>
    <w:rsid w:val="5A8A39A1"/>
    <w:rsid w:val="5A8B5169"/>
    <w:rsid w:val="5A8D6ABD"/>
    <w:rsid w:val="5A932270"/>
    <w:rsid w:val="5A9410D3"/>
    <w:rsid w:val="5A962656"/>
    <w:rsid w:val="5A987886"/>
    <w:rsid w:val="5A9F29C3"/>
    <w:rsid w:val="5A9F6E67"/>
    <w:rsid w:val="5AA24261"/>
    <w:rsid w:val="5AA955EF"/>
    <w:rsid w:val="5AAC3332"/>
    <w:rsid w:val="5AAE2C06"/>
    <w:rsid w:val="5AB04BD0"/>
    <w:rsid w:val="5AB23A35"/>
    <w:rsid w:val="5ABC3575"/>
    <w:rsid w:val="5AC16DDD"/>
    <w:rsid w:val="5AC468CD"/>
    <w:rsid w:val="5ACD5F9A"/>
    <w:rsid w:val="5AD00DCE"/>
    <w:rsid w:val="5AD54636"/>
    <w:rsid w:val="5ADF3408"/>
    <w:rsid w:val="5AE2054A"/>
    <w:rsid w:val="5AE40D1D"/>
    <w:rsid w:val="5AEE74A6"/>
    <w:rsid w:val="5AF05812"/>
    <w:rsid w:val="5AF30F60"/>
    <w:rsid w:val="5AF413B3"/>
    <w:rsid w:val="5B0867BA"/>
    <w:rsid w:val="5B0D2022"/>
    <w:rsid w:val="5B0E7B48"/>
    <w:rsid w:val="5B152C85"/>
    <w:rsid w:val="5B184523"/>
    <w:rsid w:val="5B1E5FDD"/>
    <w:rsid w:val="5B1F3B03"/>
    <w:rsid w:val="5B215ACE"/>
    <w:rsid w:val="5B24111A"/>
    <w:rsid w:val="5B266C40"/>
    <w:rsid w:val="5B2763A7"/>
    <w:rsid w:val="5B2B24A8"/>
    <w:rsid w:val="5B3475AF"/>
    <w:rsid w:val="5B3A6B8F"/>
    <w:rsid w:val="5B3E21DC"/>
    <w:rsid w:val="5B413A7A"/>
    <w:rsid w:val="5B44356A"/>
    <w:rsid w:val="5B4812AC"/>
    <w:rsid w:val="5B48305A"/>
    <w:rsid w:val="5B4B6C4F"/>
    <w:rsid w:val="5B4F43E9"/>
    <w:rsid w:val="5B4F7AA0"/>
    <w:rsid w:val="5B525C87"/>
    <w:rsid w:val="5B5B0FE0"/>
    <w:rsid w:val="5B5E141D"/>
    <w:rsid w:val="5B5E287E"/>
    <w:rsid w:val="5B6065F6"/>
    <w:rsid w:val="5B624478"/>
    <w:rsid w:val="5B6836FC"/>
    <w:rsid w:val="5B694D7F"/>
    <w:rsid w:val="5B6A1602"/>
    <w:rsid w:val="5B7025B1"/>
    <w:rsid w:val="5B7756EE"/>
    <w:rsid w:val="5B791466"/>
    <w:rsid w:val="5B7B3430"/>
    <w:rsid w:val="5B7B51DE"/>
    <w:rsid w:val="5B7F07B6"/>
    <w:rsid w:val="5B8027F4"/>
    <w:rsid w:val="5B807B3A"/>
    <w:rsid w:val="5B8338EA"/>
    <w:rsid w:val="5B8816A9"/>
    <w:rsid w:val="5B8D0304"/>
    <w:rsid w:val="5B8D3163"/>
    <w:rsid w:val="5B8F2A37"/>
    <w:rsid w:val="5B8F47E5"/>
    <w:rsid w:val="5B9242D5"/>
    <w:rsid w:val="5B9F799D"/>
    <w:rsid w:val="5BA9508B"/>
    <w:rsid w:val="5BAA161F"/>
    <w:rsid w:val="5BB029AE"/>
    <w:rsid w:val="5BB565A4"/>
    <w:rsid w:val="5BB83CAD"/>
    <w:rsid w:val="5BB97AB4"/>
    <w:rsid w:val="5BC546AB"/>
    <w:rsid w:val="5BC85F49"/>
    <w:rsid w:val="5BCC3C8B"/>
    <w:rsid w:val="5BCC5A39"/>
    <w:rsid w:val="5BCD17B1"/>
    <w:rsid w:val="5BCF552A"/>
    <w:rsid w:val="5BD703C7"/>
    <w:rsid w:val="5BDC37A3"/>
    <w:rsid w:val="5BDD7C46"/>
    <w:rsid w:val="5BDE751B"/>
    <w:rsid w:val="5BE06AA9"/>
    <w:rsid w:val="5BE30FD5"/>
    <w:rsid w:val="5BEA2363"/>
    <w:rsid w:val="5BEF34D6"/>
    <w:rsid w:val="5BFE5E0F"/>
    <w:rsid w:val="5C0056E3"/>
    <w:rsid w:val="5C024D80"/>
    <w:rsid w:val="5C050F4B"/>
    <w:rsid w:val="5C07081F"/>
    <w:rsid w:val="5C0A0310"/>
    <w:rsid w:val="5C11169E"/>
    <w:rsid w:val="5C1178F0"/>
    <w:rsid w:val="5C14118E"/>
    <w:rsid w:val="5C142F3C"/>
    <w:rsid w:val="5C155EAE"/>
    <w:rsid w:val="5C180C7F"/>
    <w:rsid w:val="5C1E200D"/>
    <w:rsid w:val="5C1F4E24"/>
    <w:rsid w:val="5C2515ED"/>
    <w:rsid w:val="5C2C6C2E"/>
    <w:rsid w:val="5C2D3FFE"/>
    <w:rsid w:val="5C337866"/>
    <w:rsid w:val="5C34538D"/>
    <w:rsid w:val="5C35417E"/>
    <w:rsid w:val="5C3914B8"/>
    <w:rsid w:val="5C403D31"/>
    <w:rsid w:val="5C447CC6"/>
    <w:rsid w:val="5C471564"/>
    <w:rsid w:val="5C4C150A"/>
    <w:rsid w:val="5C4E46A0"/>
    <w:rsid w:val="5C4F0418"/>
    <w:rsid w:val="5C5422EA"/>
    <w:rsid w:val="5C58107B"/>
    <w:rsid w:val="5C5F065B"/>
    <w:rsid w:val="5C653798"/>
    <w:rsid w:val="5C6914DA"/>
    <w:rsid w:val="5C6C4B26"/>
    <w:rsid w:val="5C6D68F5"/>
    <w:rsid w:val="5C6E6AF1"/>
    <w:rsid w:val="5C70214B"/>
    <w:rsid w:val="5C70754A"/>
    <w:rsid w:val="5C7240A9"/>
    <w:rsid w:val="5C732359"/>
    <w:rsid w:val="5C763BF7"/>
    <w:rsid w:val="5C8207EE"/>
    <w:rsid w:val="5C826389"/>
    <w:rsid w:val="5C85755D"/>
    <w:rsid w:val="5C877BB2"/>
    <w:rsid w:val="5C89392A"/>
    <w:rsid w:val="5C8A31FF"/>
    <w:rsid w:val="5C8E2CEF"/>
    <w:rsid w:val="5C9108EC"/>
    <w:rsid w:val="5C930305"/>
    <w:rsid w:val="5C990832"/>
    <w:rsid w:val="5C9A1694"/>
    <w:rsid w:val="5C9D1184"/>
    <w:rsid w:val="5CA72002"/>
    <w:rsid w:val="5CA93FCD"/>
    <w:rsid w:val="5CAD1AE4"/>
    <w:rsid w:val="5CB63FF4"/>
    <w:rsid w:val="5CBD35D4"/>
    <w:rsid w:val="5CC22998"/>
    <w:rsid w:val="5CCB475A"/>
    <w:rsid w:val="5CCB5CF1"/>
    <w:rsid w:val="5CCE366A"/>
    <w:rsid w:val="5CD93A0D"/>
    <w:rsid w:val="5CDA23D8"/>
    <w:rsid w:val="5CE34EBD"/>
    <w:rsid w:val="5CE62B2B"/>
    <w:rsid w:val="5CE975D4"/>
    <w:rsid w:val="5CED210B"/>
    <w:rsid w:val="5CF05758"/>
    <w:rsid w:val="5CF30D95"/>
    <w:rsid w:val="5CF3349A"/>
    <w:rsid w:val="5CFC40FC"/>
    <w:rsid w:val="5D041203"/>
    <w:rsid w:val="5D042FB1"/>
    <w:rsid w:val="5D0448EB"/>
    <w:rsid w:val="5D072AA1"/>
    <w:rsid w:val="5D096819"/>
    <w:rsid w:val="5D0E5BDE"/>
    <w:rsid w:val="5D172CE4"/>
    <w:rsid w:val="5D1A01F2"/>
    <w:rsid w:val="5D1F7DEB"/>
    <w:rsid w:val="5D292A17"/>
    <w:rsid w:val="5D2B2C34"/>
    <w:rsid w:val="5D2E6280"/>
    <w:rsid w:val="5D331AE8"/>
    <w:rsid w:val="5D3715D8"/>
    <w:rsid w:val="5D3C099D"/>
    <w:rsid w:val="5D414205"/>
    <w:rsid w:val="5D447851"/>
    <w:rsid w:val="5D4B0BE0"/>
    <w:rsid w:val="5D4D4958"/>
    <w:rsid w:val="5D5061F6"/>
    <w:rsid w:val="5D5201C0"/>
    <w:rsid w:val="5D534182"/>
    <w:rsid w:val="5D535CE6"/>
    <w:rsid w:val="5D5E6B65"/>
    <w:rsid w:val="5D5F02DF"/>
    <w:rsid w:val="5D663C6C"/>
    <w:rsid w:val="5D6677C8"/>
    <w:rsid w:val="5D693C48"/>
    <w:rsid w:val="5D706898"/>
    <w:rsid w:val="5D7647EC"/>
    <w:rsid w:val="5D7874FB"/>
    <w:rsid w:val="5D7A1F6F"/>
    <w:rsid w:val="5D861C18"/>
    <w:rsid w:val="5D880594"/>
    <w:rsid w:val="5D912A26"/>
    <w:rsid w:val="5D99194B"/>
    <w:rsid w:val="5D995DEF"/>
    <w:rsid w:val="5D9C768D"/>
    <w:rsid w:val="5DA201A9"/>
    <w:rsid w:val="5DA30A1C"/>
    <w:rsid w:val="5DA622BA"/>
    <w:rsid w:val="5DA87DE0"/>
    <w:rsid w:val="5DAA0534"/>
    <w:rsid w:val="5DAF73C1"/>
    <w:rsid w:val="5DB42C29"/>
    <w:rsid w:val="5DBA1FF8"/>
    <w:rsid w:val="5DC80482"/>
    <w:rsid w:val="5DCB3ACF"/>
    <w:rsid w:val="5DCD6217"/>
    <w:rsid w:val="5DD21301"/>
    <w:rsid w:val="5DD26099"/>
    <w:rsid w:val="5DD63EE7"/>
    <w:rsid w:val="5DD76917"/>
    <w:rsid w:val="5DE0757A"/>
    <w:rsid w:val="5DE71A12"/>
    <w:rsid w:val="5DE828D3"/>
    <w:rsid w:val="5DEB5F1F"/>
    <w:rsid w:val="5DFD637E"/>
    <w:rsid w:val="5E057A41"/>
    <w:rsid w:val="5E07485E"/>
    <w:rsid w:val="5E1C257C"/>
    <w:rsid w:val="5E1D3725"/>
    <w:rsid w:val="5E225DE5"/>
    <w:rsid w:val="5E27164D"/>
    <w:rsid w:val="5E2D4789"/>
    <w:rsid w:val="5E2D6537"/>
    <w:rsid w:val="5E2F0501"/>
    <w:rsid w:val="5E36363E"/>
    <w:rsid w:val="5E371153"/>
    <w:rsid w:val="5E37668B"/>
    <w:rsid w:val="5E3B6EA6"/>
    <w:rsid w:val="5E3D49CC"/>
    <w:rsid w:val="5E443FAD"/>
    <w:rsid w:val="5E483371"/>
    <w:rsid w:val="5E4F2952"/>
    <w:rsid w:val="5E541D16"/>
    <w:rsid w:val="5E5B11EF"/>
    <w:rsid w:val="5E5E2B95"/>
    <w:rsid w:val="5E602490"/>
    <w:rsid w:val="5E604ADA"/>
    <w:rsid w:val="5E6463FD"/>
    <w:rsid w:val="5E652175"/>
    <w:rsid w:val="5E655CD1"/>
    <w:rsid w:val="5E68756F"/>
    <w:rsid w:val="5E693A13"/>
    <w:rsid w:val="5E6C52B2"/>
    <w:rsid w:val="5E7128C8"/>
    <w:rsid w:val="5E767EDE"/>
    <w:rsid w:val="5E9510CF"/>
    <w:rsid w:val="5E96232F"/>
    <w:rsid w:val="5E99247E"/>
    <w:rsid w:val="5E9A1E1F"/>
    <w:rsid w:val="5E9C51FA"/>
    <w:rsid w:val="5EA44A4C"/>
    <w:rsid w:val="5EA52572"/>
    <w:rsid w:val="5EA762EA"/>
    <w:rsid w:val="5EB36A3D"/>
    <w:rsid w:val="5EB822A5"/>
    <w:rsid w:val="5EBE53E1"/>
    <w:rsid w:val="5EC23124"/>
    <w:rsid w:val="5EC42D73"/>
    <w:rsid w:val="5ED13367"/>
    <w:rsid w:val="5ED54C05"/>
    <w:rsid w:val="5ED54C52"/>
    <w:rsid w:val="5EDA221B"/>
    <w:rsid w:val="5EDA35A0"/>
    <w:rsid w:val="5EDB41E5"/>
    <w:rsid w:val="5EE50BC0"/>
    <w:rsid w:val="5EF332DD"/>
    <w:rsid w:val="5EFD0600"/>
    <w:rsid w:val="5EFF6126"/>
    <w:rsid w:val="5F0674B4"/>
    <w:rsid w:val="5F0B0627"/>
    <w:rsid w:val="5F117C07"/>
    <w:rsid w:val="5F1425C0"/>
    <w:rsid w:val="5F1576F7"/>
    <w:rsid w:val="5F1C6CD8"/>
    <w:rsid w:val="5F230066"/>
    <w:rsid w:val="5F2711D9"/>
    <w:rsid w:val="5F2931A3"/>
    <w:rsid w:val="5F2A2BC6"/>
    <w:rsid w:val="5F322057"/>
    <w:rsid w:val="5F3C4C84"/>
    <w:rsid w:val="5F3F29C6"/>
    <w:rsid w:val="5F4104EC"/>
    <w:rsid w:val="5F5024DD"/>
    <w:rsid w:val="5F593A88"/>
    <w:rsid w:val="5F5C70D4"/>
    <w:rsid w:val="5F6441DB"/>
    <w:rsid w:val="5F683CCB"/>
    <w:rsid w:val="5F6D7533"/>
    <w:rsid w:val="5F7206A6"/>
    <w:rsid w:val="5F7A1C50"/>
    <w:rsid w:val="5F7D704B"/>
    <w:rsid w:val="5F7F7267"/>
    <w:rsid w:val="5F812FDF"/>
    <w:rsid w:val="5F84662B"/>
    <w:rsid w:val="5F8605F5"/>
    <w:rsid w:val="5F92436A"/>
    <w:rsid w:val="5F93061C"/>
    <w:rsid w:val="5F97010C"/>
    <w:rsid w:val="5F993E84"/>
    <w:rsid w:val="5F9E593F"/>
    <w:rsid w:val="5FAB1E0A"/>
    <w:rsid w:val="5FB567E4"/>
    <w:rsid w:val="5FB92779"/>
    <w:rsid w:val="5FBE38EB"/>
    <w:rsid w:val="5FC829BC"/>
    <w:rsid w:val="5FCC24AC"/>
    <w:rsid w:val="5FCF3D4A"/>
    <w:rsid w:val="5FCF5AF8"/>
    <w:rsid w:val="5FD27396"/>
    <w:rsid w:val="5FD50C35"/>
    <w:rsid w:val="5FDE21DF"/>
    <w:rsid w:val="5FE377F5"/>
    <w:rsid w:val="5FE64BF0"/>
    <w:rsid w:val="5FEF1CF6"/>
    <w:rsid w:val="5FF4555F"/>
    <w:rsid w:val="60002155"/>
    <w:rsid w:val="6005151A"/>
    <w:rsid w:val="60067040"/>
    <w:rsid w:val="6008725C"/>
    <w:rsid w:val="600D4872"/>
    <w:rsid w:val="60161979"/>
    <w:rsid w:val="603040BD"/>
    <w:rsid w:val="60365B77"/>
    <w:rsid w:val="603911C4"/>
    <w:rsid w:val="603A7B0B"/>
    <w:rsid w:val="603C0CB4"/>
    <w:rsid w:val="604638E0"/>
    <w:rsid w:val="604A517F"/>
    <w:rsid w:val="60563B24"/>
    <w:rsid w:val="60591866"/>
    <w:rsid w:val="605E185A"/>
    <w:rsid w:val="60600E46"/>
    <w:rsid w:val="606049A2"/>
    <w:rsid w:val="606F6C7A"/>
    <w:rsid w:val="60714E01"/>
    <w:rsid w:val="60762418"/>
    <w:rsid w:val="60771CEC"/>
    <w:rsid w:val="60793CB6"/>
    <w:rsid w:val="607D5899"/>
    <w:rsid w:val="608A1A1F"/>
    <w:rsid w:val="608F7035"/>
    <w:rsid w:val="60912DAE"/>
    <w:rsid w:val="609D7126"/>
    <w:rsid w:val="609D79A4"/>
    <w:rsid w:val="60A26D69"/>
    <w:rsid w:val="60B116A2"/>
    <w:rsid w:val="60BB607C"/>
    <w:rsid w:val="60C346C6"/>
    <w:rsid w:val="60C5514D"/>
    <w:rsid w:val="60C73328"/>
    <w:rsid w:val="60C969EB"/>
    <w:rsid w:val="60CE5DB0"/>
    <w:rsid w:val="60CE7B5E"/>
    <w:rsid w:val="60D13AF2"/>
    <w:rsid w:val="60D158A0"/>
    <w:rsid w:val="60D64C64"/>
    <w:rsid w:val="60DD5FF3"/>
    <w:rsid w:val="60E05AE3"/>
    <w:rsid w:val="60E07891"/>
    <w:rsid w:val="60E23609"/>
    <w:rsid w:val="60E70C20"/>
    <w:rsid w:val="60EC4488"/>
    <w:rsid w:val="60F15F42"/>
    <w:rsid w:val="60F261AA"/>
    <w:rsid w:val="60F577E0"/>
    <w:rsid w:val="60F668A1"/>
    <w:rsid w:val="60F8107F"/>
    <w:rsid w:val="60F872D1"/>
    <w:rsid w:val="61025A59"/>
    <w:rsid w:val="61045C75"/>
    <w:rsid w:val="610C0686"/>
    <w:rsid w:val="610F0176"/>
    <w:rsid w:val="611134A9"/>
    <w:rsid w:val="61135EB8"/>
    <w:rsid w:val="61141727"/>
    <w:rsid w:val="61151C31"/>
    <w:rsid w:val="61251748"/>
    <w:rsid w:val="61355E2F"/>
    <w:rsid w:val="613A51F3"/>
    <w:rsid w:val="613E75F5"/>
    <w:rsid w:val="614B7400"/>
    <w:rsid w:val="614C3178"/>
    <w:rsid w:val="614C4E22"/>
    <w:rsid w:val="614D13CA"/>
    <w:rsid w:val="6151078F"/>
    <w:rsid w:val="6155027F"/>
    <w:rsid w:val="615A7643"/>
    <w:rsid w:val="61665FE8"/>
    <w:rsid w:val="616C7377"/>
    <w:rsid w:val="61706E67"/>
    <w:rsid w:val="61730705"/>
    <w:rsid w:val="61734BA9"/>
    <w:rsid w:val="61736957"/>
    <w:rsid w:val="61794D15"/>
    <w:rsid w:val="617C43C3"/>
    <w:rsid w:val="617D3332"/>
    <w:rsid w:val="617F52FC"/>
    <w:rsid w:val="6181445A"/>
    <w:rsid w:val="618446C0"/>
    <w:rsid w:val="61897F29"/>
    <w:rsid w:val="618F19E3"/>
    <w:rsid w:val="61907509"/>
    <w:rsid w:val="6198016C"/>
    <w:rsid w:val="61A11716"/>
    <w:rsid w:val="61A62D6C"/>
    <w:rsid w:val="61A82AA5"/>
    <w:rsid w:val="61A92379"/>
    <w:rsid w:val="61B03707"/>
    <w:rsid w:val="61C96577"/>
    <w:rsid w:val="61CB6793"/>
    <w:rsid w:val="61CD6067"/>
    <w:rsid w:val="61D41829"/>
    <w:rsid w:val="61D92C5E"/>
    <w:rsid w:val="61DA0784"/>
    <w:rsid w:val="61E82EA1"/>
    <w:rsid w:val="61ED495B"/>
    <w:rsid w:val="61F061FA"/>
    <w:rsid w:val="61F21F72"/>
    <w:rsid w:val="61F50987"/>
    <w:rsid w:val="61F730E4"/>
    <w:rsid w:val="61FA2BD4"/>
    <w:rsid w:val="61FC06FB"/>
    <w:rsid w:val="61FE26C5"/>
    <w:rsid w:val="62015D11"/>
    <w:rsid w:val="62053A53"/>
    <w:rsid w:val="6208709F"/>
    <w:rsid w:val="620A1069"/>
    <w:rsid w:val="620D2908"/>
    <w:rsid w:val="620F48D2"/>
    <w:rsid w:val="62134708"/>
    <w:rsid w:val="621912AD"/>
    <w:rsid w:val="621A5025"/>
    <w:rsid w:val="6223212B"/>
    <w:rsid w:val="622F0AD0"/>
    <w:rsid w:val="623954AB"/>
    <w:rsid w:val="623C31ED"/>
    <w:rsid w:val="623F6839"/>
    <w:rsid w:val="62465E1A"/>
    <w:rsid w:val="62483940"/>
    <w:rsid w:val="624A590A"/>
    <w:rsid w:val="624C1682"/>
    <w:rsid w:val="624C462A"/>
    <w:rsid w:val="6256605D"/>
    <w:rsid w:val="62593D9F"/>
    <w:rsid w:val="625B3673"/>
    <w:rsid w:val="625C73EB"/>
    <w:rsid w:val="625D388F"/>
    <w:rsid w:val="625E1FC6"/>
    <w:rsid w:val="6260512D"/>
    <w:rsid w:val="626369CC"/>
    <w:rsid w:val="62662018"/>
    <w:rsid w:val="627961EF"/>
    <w:rsid w:val="628949F0"/>
    <w:rsid w:val="628D3A49"/>
    <w:rsid w:val="628F77C1"/>
    <w:rsid w:val="62922E0D"/>
    <w:rsid w:val="62942C9F"/>
    <w:rsid w:val="629628FD"/>
    <w:rsid w:val="629D0130"/>
    <w:rsid w:val="62A0552A"/>
    <w:rsid w:val="62A274F4"/>
    <w:rsid w:val="62A74B0A"/>
    <w:rsid w:val="62AC2121"/>
    <w:rsid w:val="62AF1C11"/>
    <w:rsid w:val="62B15989"/>
    <w:rsid w:val="62B47227"/>
    <w:rsid w:val="62B611F1"/>
    <w:rsid w:val="62B62F9F"/>
    <w:rsid w:val="62BE1E54"/>
    <w:rsid w:val="62BE3C02"/>
    <w:rsid w:val="62C0797A"/>
    <w:rsid w:val="62C90F25"/>
    <w:rsid w:val="62CF4061"/>
    <w:rsid w:val="62D90A3C"/>
    <w:rsid w:val="62DD677E"/>
    <w:rsid w:val="62E0626E"/>
    <w:rsid w:val="62EA2C49"/>
    <w:rsid w:val="62FC79CB"/>
    <w:rsid w:val="62FE04A2"/>
    <w:rsid w:val="62FF2765"/>
    <w:rsid w:val="630048F7"/>
    <w:rsid w:val="63024A04"/>
    <w:rsid w:val="63116428"/>
    <w:rsid w:val="631303F2"/>
    <w:rsid w:val="631D4DCC"/>
    <w:rsid w:val="631E481B"/>
    <w:rsid w:val="631F0B45"/>
    <w:rsid w:val="63215DB8"/>
    <w:rsid w:val="6324615B"/>
    <w:rsid w:val="632757F0"/>
    <w:rsid w:val="632A1297"/>
    <w:rsid w:val="632C14B3"/>
    <w:rsid w:val="633345F0"/>
    <w:rsid w:val="633D0FCB"/>
    <w:rsid w:val="633F4D43"/>
    <w:rsid w:val="63402869"/>
    <w:rsid w:val="63415B9D"/>
    <w:rsid w:val="634405AB"/>
    <w:rsid w:val="63442359"/>
    <w:rsid w:val="634560D1"/>
    <w:rsid w:val="635B76A3"/>
    <w:rsid w:val="636429FB"/>
    <w:rsid w:val="636C18B0"/>
    <w:rsid w:val="636D5D54"/>
    <w:rsid w:val="636F7DBB"/>
    <w:rsid w:val="63713082"/>
    <w:rsid w:val="637D586B"/>
    <w:rsid w:val="63827325"/>
    <w:rsid w:val="6384067A"/>
    <w:rsid w:val="63870498"/>
    <w:rsid w:val="638C3D00"/>
    <w:rsid w:val="63952BB5"/>
    <w:rsid w:val="63A1155A"/>
    <w:rsid w:val="63A728E8"/>
    <w:rsid w:val="63A948B2"/>
    <w:rsid w:val="63AB687C"/>
    <w:rsid w:val="63B3128D"/>
    <w:rsid w:val="63B40502"/>
    <w:rsid w:val="63B55005"/>
    <w:rsid w:val="63B77B8E"/>
    <w:rsid w:val="63BA6ABF"/>
    <w:rsid w:val="63BC45E5"/>
    <w:rsid w:val="63BD3EBA"/>
    <w:rsid w:val="63BF40D6"/>
    <w:rsid w:val="63D25BB7"/>
    <w:rsid w:val="63E91153"/>
    <w:rsid w:val="63E92F01"/>
    <w:rsid w:val="63F20007"/>
    <w:rsid w:val="63F43D7F"/>
    <w:rsid w:val="63FE4BFE"/>
    <w:rsid w:val="64032214"/>
    <w:rsid w:val="64033FC2"/>
    <w:rsid w:val="640D4E41"/>
    <w:rsid w:val="64144421"/>
    <w:rsid w:val="64175CC0"/>
    <w:rsid w:val="641C32D6"/>
    <w:rsid w:val="641E0DFC"/>
    <w:rsid w:val="642A59F3"/>
    <w:rsid w:val="64300B2F"/>
    <w:rsid w:val="64354398"/>
    <w:rsid w:val="64373C6C"/>
    <w:rsid w:val="64393E88"/>
    <w:rsid w:val="643B19AE"/>
    <w:rsid w:val="644B7717"/>
    <w:rsid w:val="645079A9"/>
    <w:rsid w:val="645B3DFE"/>
    <w:rsid w:val="645F2AA0"/>
    <w:rsid w:val="645F6B22"/>
    <w:rsid w:val="64630F05"/>
    <w:rsid w:val="64634A61"/>
    <w:rsid w:val="646475B1"/>
    <w:rsid w:val="646E3234"/>
    <w:rsid w:val="647C5B23"/>
    <w:rsid w:val="647F342B"/>
    <w:rsid w:val="64852C29"/>
    <w:rsid w:val="64882719"/>
    <w:rsid w:val="64884B62"/>
    <w:rsid w:val="648A4EA0"/>
    <w:rsid w:val="648C045C"/>
    <w:rsid w:val="648C220A"/>
    <w:rsid w:val="64917820"/>
    <w:rsid w:val="64966BE4"/>
    <w:rsid w:val="64A15589"/>
    <w:rsid w:val="64A5151D"/>
    <w:rsid w:val="64A62BA0"/>
    <w:rsid w:val="64AC70A5"/>
    <w:rsid w:val="64B33C3A"/>
    <w:rsid w:val="64B4350F"/>
    <w:rsid w:val="64B654D9"/>
    <w:rsid w:val="64BE130D"/>
    <w:rsid w:val="64C03C61"/>
    <w:rsid w:val="64C5571C"/>
    <w:rsid w:val="64C86FBA"/>
    <w:rsid w:val="64D140C0"/>
    <w:rsid w:val="64D73325"/>
    <w:rsid w:val="64DB1D80"/>
    <w:rsid w:val="64DD4813"/>
    <w:rsid w:val="64DE67DD"/>
    <w:rsid w:val="64DF64A1"/>
    <w:rsid w:val="64E421D7"/>
    <w:rsid w:val="64E75692"/>
    <w:rsid w:val="64EC2CA8"/>
    <w:rsid w:val="64F82F1D"/>
    <w:rsid w:val="64F8789F"/>
    <w:rsid w:val="64F97173"/>
    <w:rsid w:val="650A4AEB"/>
    <w:rsid w:val="650E70C3"/>
    <w:rsid w:val="65130235"/>
    <w:rsid w:val="65150451"/>
    <w:rsid w:val="65167D25"/>
    <w:rsid w:val="65181CEF"/>
    <w:rsid w:val="652266CA"/>
    <w:rsid w:val="65271F32"/>
    <w:rsid w:val="65297A59"/>
    <w:rsid w:val="652C12F7"/>
    <w:rsid w:val="653004DD"/>
    <w:rsid w:val="653603C7"/>
    <w:rsid w:val="653E2AE1"/>
    <w:rsid w:val="6546685C"/>
    <w:rsid w:val="654900FB"/>
    <w:rsid w:val="654C0E8B"/>
    <w:rsid w:val="65510D5D"/>
    <w:rsid w:val="65515201"/>
    <w:rsid w:val="65562818"/>
    <w:rsid w:val="655B5C3A"/>
    <w:rsid w:val="655B6B85"/>
    <w:rsid w:val="655D0948"/>
    <w:rsid w:val="655F347A"/>
    <w:rsid w:val="65640A91"/>
    <w:rsid w:val="65660CAD"/>
    <w:rsid w:val="656B62C3"/>
    <w:rsid w:val="656C203B"/>
    <w:rsid w:val="65736F26"/>
    <w:rsid w:val="65757142"/>
    <w:rsid w:val="657A6506"/>
    <w:rsid w:val="657F58CB"/>
    <w:rsid w:val="658729D1"/>
    <w:rsid w:val="65877335"/>
    <w:rsid w:val="6589499B"/>
    <w:rsid w:val="658E3D60"/>
    <w:rsid w:val="65907AD8"/>
    <w:rsid w:val="6598698C"/>
    <w:rsid w:val="659D21F5"/>
    <w:rsid w:val="659F5F6D"/>
    <w:rsid w:val="65A76BCF"/>
    <w:rsid w:val="65AD780B"/>
    <w:rsid w:val="65B03CD6"/>
    <w:rsid w:val="65B512EC"/>
    <w:rsid w:val="65B763A9"/>
    <w:rsid w:val="65B80DDC"/>
    <w:rsid w:val="65B8702E"/>
    <w:rsid w:val="65BA4B55"/>
    <w:rsid w:val="65BD2897"/>
    <w:rsid w:val="65C854C3"/>
    <w:rsid w:val="65CD2ADA"/>
    <w:rsid w:val="65CE0600"/>
    <w:rsid w:val="65D24040"/>
    <w:rsid w:val="65D71C0B"/>
    <w:rsid w:val="65DA6FA5"/>
    <w:rsid w:val="65E41BD1"/>
    <w:rsid w:val="65E46075"/>
    <w:rsid w:val="65E9368C"/>
    <w:rsid w:val="65ED4F2A"/>
    <w:rsid w:val="65F04D80"/>
    <w:rsid w:val="65FA7647"/>
    <w:rsid w:val="66083B12"/>
    <w:rsid w:val="660B3602"/>
    <w:rsid w:val="660F30F2"/>
    <w:rsid w:val="661029C7"/>
    <w:rsid w:val="66171FA7"/>
    <w:rsid w:val="6618187B"/>
    <w:rsid w:val="661C4D25"/>
    <w:rsid w:val="662326FA"/>
    <w:rsid w:val="66240220"/>
    <w:rsid w:val="662841B4"/>
    <w:rsid w:val="66287D10"/>
    <w:rsid w:val="662A7F2C"/>
    <w:rsid w:val="662B15AE"/>
    <w:rsid w:val="662D3578"/>
    <w:rsid w:val="662E0238"/>
    <w:rsid w:val="662F5543"/>
    <w:rsid w:val="66320B8F"/>
    <w:rsid w:val="663568D1"/>
    <w:rsid w:val="663743F7"/>
    <w:rsid w:val="663D66D2"/>
    <w:rsid w:val="663F505A"/>
    <w:rsid w:val="66417024"/>
    <w:rsid w:val="66430FEE"/>
    <w:rsid w:val="664E34EF"/>
    <w:rsid w:val="665C20B0"/>
    <w:rsid w:val="665E7BD6"/>
    <w:rsid w:val="665F56FC"/>
    <w:rsid w:val="66660838"/>
    <w:rsid w:val="666E595E"/>
    <w:rsid w:val="66723681"/>
    <w:rsid w:val="6672542F"/>
    <w:rsid w:val="66763171"/>
    <w:rsid w:val="667733BA"/>
    <w:rsid w:val="667B0788"/>
    <w:rsid w:val="667C005C"/>
    <w:rsid w:val="667F70DE"/>
    <w:rsid w:val="668313EA"/>
    <w:rsid w:val="66860EDB"/>
    <w:rsid w:val="66882EA5"/>
    <w:rsid w:val="668A367F"/>
    <w:rsid w:val="668F5FE1"/>
    <w:rsid w:val="668F7750"/>
    <w:rsid w:val="668F7D8F"/>
    <w:rsid w:val="66913CA3"/>
    <w:rsid w:val="6692162D"/>
    <w:rsid w:val="66925AD1"/>
    <w:rsid w:val="66967370"/>
    <w:rsid w:val="66A01F9C"/>
    <w:rsid w:val="66A866E1"/>
    <w:rsid w:val="66AA4BC9"/>
    <w:rsid w:val="66B21CD0"/>
    <w:rsid w:val="66B477F6"/>
    <w:rsid w:val="66B6356E"/>
    <w:rsid w:val="66B9305E"/>
    <w:rsid w:val="66BA7155"/>
    <w:rsid w:val="66C0263F"/>
    <w:rsid w:val="66C739CD"/>
    <w:rsid w:val="66CD6B09"/>
    <w:rsid w:val="66D02156"/>
    <w:rsid w:val="66D32372"/>
    <w:rsid w:val="66D41C46"/>
    <w:rsid w:val="66D71736"/>
    <w:rsid w:val="66E83943"/>
    <w:rsid w:val="66F10A4A"/>
    <w:rsid w:val="66F26570"/>
    <w:rsid w:val="66F422E8"/>
    <w:rsid w:val="66F83B86"/>
    <w:rsid w:val="66F916AD"/>
    <w:rsid w:val="66FB5425"/>
    <w:rsid w:val="66FC2F4B"/>
    <w:rsid w:val="66FD73EF"/>
    <w:rsid w:val="670361B5"/>
    <w:rsid w:val="6707201B"/>
    <w:rsid w:val="67083E2C"/>
    <w:rsid w:val="670F0ED0"/>
    <w:rsid w:val="67135CAA"/>
    <w:rsid w:val="67177D85"/>
    <w:rsid w:val="671B7875"/>
    <w:rsid w:val="671D35ED"/>
    <w:rsid w:val="671D539B"/>
    <w:rsid w:val="6723497B"/>
    <w:rsid w:val="67281F92"/>
    <w:rsid w:val="672E75A8"/>
    <w:rsid w:val="67395F4D"/>
    <w:rsid w:val="67401089"/>
    <w:rsid w:val="67452271"/>
    <w:rsid w:val="67486190"/>
    <w:rsid w:val="674A1F08"/>
    <w:rsid w:val="674C5C80"/>
    <w:rsid w:val="674F5770"/>
    <w:rsid w:val="67566AFF"/>
    <w:rsid w:val="675863D3"/>
    <w:rsid w:val="675E59B4"/>
    <w:rsid w:val="675F3C06"/>
    <w:rsid w:val="675F58CD"/>
    <w:rsid w:val="6760797E"/>
    <w:rsid w:val="676905E0"/>
    <w:rsid w:val="67713939"/>
    <w:rsid w:val="6773320D"/>
    <w:rsid w:val="67772538"/>
    <w:rsid w:val="677B6565"/>
    <w:rsid w:val="677D408C"/>
    <w:rsid w:val="6780592A"/>
    <w:rsid w:val="678C42CF"/>
    <w:rsid w:val="6796514D"/>
    <w:rsid w:val="67966EFB"/>
    <w:rsid w:val="67980EC5"/>
    <w:rsid w:val="67A05FCC"/>
    <w:rsid w:val="67A36D83"/>
    <w:rsid w:val="67A7735B"/>
    <w:rsid w:val="67A84C4E"/>
    <w:rsid w:val="67A930D3"/>
    <w:rsid w:val="67A94E81"/>
    <w:rsid w:val="67B7211E"/>
    <w:rsid w:val="67B850C4"/>
    <w:rsid w:val="67BA0E3C"/>
    <w:rsid w:val="67BB4BB4"/>
    <w:rsid w:val="67BC2E06"/>
    <w:rsid w:val="67BD092C"/>
    <w:rsid w:val="67BF28F6"/>
    <w:rsid w:val="67BF6452"/>
    <w:rsid w:val="67C223E6"/>
    <w:rsid w:val="67C2410F"/>
    <w:rsid w:val="67CA4DF7"/>
    <w:rsid w:val="67CD5013"/>
    <w:rsid w:val="67CE2B39"/>
    <w:rsid w:val="67D31EFE"/>
    <w:rsid w:val="67D4384D"/>
    <w:rsid w:val="67D619EE"/>
    <w:rsid w:val="67D6379C"/>
    <w:rsid w:val="67DB0F00"/>
    <w:rsid w:val="67E4410B"/>
    <w:rsid w:val="67F2570F"/>
    <w:rsid w:val="67F72090"/>
    <w:rsid w:val="67FA2386"/>
    <w:rsid w:val="68040309"/>
    <w:rsid w:val="68064081"/>
    <w:rsid w:val="681349F0"/>
    <w:rsid w:val="6817628E"/>
    <w:rsid w:val="681C38A5"/>
    <w:rsid w:val="681D761D"/>
    <w:rsid w:val="68264723"/>
    <w:rsid w:val="68352BB8"/>
    <w:rsid w:val="6836628F"/>
    <w:rsid w:val="683926A8"/>
    <w:rsid w:val="683C3F47"/>
    <w:rsid w:val="683C5CF5"/>
    <w:rsid w:val="683D381B"/>
    <w:rsid w:val="683E7CBF"/>
    <w:rsid w:val="68444BA9"/>
    <w:rsid w:val="684A0885"/>
    <w:rsid w:val="68580655"/>
    <w:rsid w:val="685C6397"/>
    <w:rsid w:val="685E3EBD"/>
    <w:rsid w:val="68660FC4"/>
    <w:rsid w:val="68686AEA"/>
    <w:rsid w:val="686A0AB4"/>
    <w:rsid w:val="6870599E"/>
    <w:rsid w:val="6873723D"/>
    <w:rsid w:val="68776D2D"/>
    <w:rsid w:val="6878082B"/>
    <w:rsid w:val="68863414"/>
    <w:rsid w:val="688D6550"/>
    <w:rsid w:val="689773CF"/>
    <w:rsid w:val="689C49E5"/>
    <w:rsid w:val="689C63C4"/>
    <w:rsid w:val="689E42BA"/>
    <w:rsid w:val="689F035A"/>
    <w:rsid w:val="689F7F7E"/>
    <w:rsid w:val="68A613C0"/>
    <w:rsid w:val="68AB2E7A"/>
    <w:rsid w:val="68AB4C28"/>
    <w:rsid w:val="68AD6BF3"/>
    <w:rsid w:val="68B27218"/>
    <w:rsid w:val="68B27D65"/>
    <w:rsid w:val="68B91208"/>
    <w:rsid w:val="68BD4776"/>
    <w:rsid w:val="68C25ABF"/>
    <w:rsid w:val="68C53F3C"/>
    <w:rsid w:val="68CD2DF1"/>
    <w:rsid w:val="68D0643D"/>
    <w:rsid w:val="68D4417F"/>
    <w:rsid w:val="68DB01BE"/>
    <w:rsid w:val="68DE0B5A"/>
    <w:rsid w:val="68DE4FFE"/>
    <w:rsid w:val="68E677DD"/>
    <w:rsid w:val="68E862E0"/>
    <w:rsid w:val="68F10571"/>
    <w:rsid w:val="68F20AA9"/>
    <w:rsid w:val="68F40B0F"/>
    <w:rsid w:val="68F6059A"/>
    <w:rsid w:val="68FC1C9C"/>
    <w:rsid w:val="690F564E"/>
    <w:rsid w:val="691427CE"/>
    <w:rsid w:val="691D5B26"/>
    <w:rsid w:val="6920124D"/>
    <w:rsid w:val="692A3D9F"/>
    <w:rsid w:val="692B0CE1"/>
    <w:rsid w:val="692D1AE1"/>
    <w:rsid w:val="69313380"/>
    <w:rsid w:val="693B41FE"/>
    <w:rsid w:val="693E784B"/>
    <w:rsid w:val="69562DE6"/>
    <w:rsid w:val="695766FA"/>
    <w:rsid w:val="695A5F7D"/>
    <w:rsid w:val="695D23C7"/>
    <w:rsid w:val="6965127B"/>
    <w:rsid w:val="69653029"/>
    <w:rsid w:val="69676DA1"/>
    <w:rsid w:val="6974607D"/>
    <w:rsid w:val="69750D65"/>
    <w:rsid w:val="697D65C5"/>
    <w:rsid w:val="69852CC0"/>
    <w:rsid w:val="69855479"/>
    <w:rsid w:val="69872FA0"/>
    <w:rsid w:val="698A6F34"/>
    <w:rsid w:val="6990454A"/>
    <w:rsid w:val="699045E6"/>
    <w:rsid w:val="69912070"/>
    <w:rsid w:val="69937B96"/>
    <w:rsid w:val="699A7177"/>
    <w:rsid w:val="699C1E2D"/>
    <w:rsid w:val="69AA4EE0"/>
    <w:rsid w:val="69B813AB"/>
    <w:rsid w:val="69B83AA1"/>
    <w:rsid w:val="69B875FD"/>
    <w:rsid w:val="69BB533F"/>
    <w:rsid w:val="69BE2739"/>
    <w:rsid w:val="69BF6BDD"/>
    <w:rsid w:val="69C51D1A"/>
    <w:rsid w:val="69C61962"/>
    <w:rsid w:val="69C73CE4"/>
    <w:rsid w:val="69C935B8"/>
    <w:rsid w:val="69CA10DE"/>
    <w:rsid w:val="69D87C9F"/>
    <w:rsid w:val="69DB153D"/>
    <w:rsid w:val="69DB32EB"/>
    <w:rsid w:val="69EA352F"/>
    <w:rsid w:val="69EB79D2"/>
    <w:rsid w:val="69EC374B"/>
    <w:rsid w:val="69EE74C3"/>
    <w:rsid w:val="69F06D97"/>
    <w:rsid w:val="69F543AD"/>
    <w:rsid w:val="69F83E9D"/>
    <w:rsid w:val="6A06480C"/>
    <w:rsid w:val="6A0B3BD1"/>
    <w:rsid w:val="6A0D2B9F"/>
    <w:rsid w:val="6A0E36C1"/>
    <w:rsid w:val="6A1011E7"/>
    <w:rsid w:val="6A160FCF"/>
    <w:rsid w:val="6A1D3904"/>
    <w:rsid w:val="6A2133F4"/>
    <w:rsid w:val="6A242EE4"/>
    <w:rsid w:val="6A296146"/>
    <w:rsid w:val="6A3749C6"/>
    <w:rsid w:val="6A3D42E7"/>
    <w:rsid w:val="6A3F1ACC"/>
    <w:rsid w:val="6A3F58F4"/>
    <w:rsid w:val="6A413A96"/>
    <w:rsid w:val="6A4175F2"/>
    <w:rsid w:val="6A4470E3"/>
    <w:rsid w:val="6A525DA3"/>
    <w:rsid w:val="6A5512F0"/>
    <w:rsid w:val="6A590DE0"/>
    <w:rsid w:val="6A5B4C9F"/>
    <w:rsid w:val="6A5C267E"/>
    <w:rsid w:val="6A6257BB"/>
    <w:rsid w:val="6A636E98"/>
    <w:rsid w:val="6A6F45A5"/>
    <w:rsid w:val="6A753740"/>
    <w:rsid w:val="6A794FDE"/>
    <w:rsid w:val="6A7C062B"/>
    <w:rsid w:val="6A8F72B9"/>
    <w:rsid w:val="6A9040D6"/>
    <w:rsid w:val="6A9242F2"/>
    <w:rsid w:val="6A9C2A7B"/>
    <w:rsid w:val="6A9F3684"/>
    <w:rsid w:val="6AA61B4B"/>
    <w:rsid w:val="6AA97307"/>
    <w:rsid w:val="6AAB7F50"/>
    <w:rsid w:val="6AB9362D"/>
    <w:rsid w:val="6ABC311D"/>
    <w:rsid w:val="6AC02C0D"/>
    <w:rsid w:val="6AC370B0"/>
    <w:rsid w:val="6ACB15B2"/>
    <w:rsid w:val="6AD2649C"/>
    <w:rsid w:val="6AD71D05"/>
    <w:rsid w:val="6AD761A9"/>
    <w:rsid w:val="6ADC37BF"/>
    <w:rsid w:val="6ADE0AE4"/>
    <w:rsid w:val="6AE508C6"/>
    <w:rsid w:val="6AE52674"/>
    <w:rsid w:val="6AE5513B"/>
    <w:rsid w:val="6AE6628D"/>
    <w:rsid w:val="6AEA5EDC"/>
    <w:rsid w:val="6AF200E6"/>
    <w:rsid w:val="6AF20FCD"/>
    <w:rsid w:val="6AF26B3F"/>
    <w:rsid w:val="6AF94CF3"/>
    <w:rsid w:val="6AFC79BD"/>
    <w:rsid w:val="6AFE54E3"/>
    <w:rsid w:val="6B0369FE"/>
    <w:rsid w:val="6B054AC4"/>
    <w:rsid w:val="6B0C5E52"/>
    <w:rsid w:val="6B1B7E43"/>
    <w:rsid w:val="6B222A6A"/>
    <w:rsid w:val="6B266A9A"/>
    <w:rsid w:val="6B272C8C"/>
    <w:rsid w:val="6B364C7D"/>
    <w:rsid w:val="6B413622"/>
    <w:rsid w:val="6B43383E"/>
    <w:rsid w:val="6B4355EC"/>
    <w:rsid w:val="6B4750DC"/>
    <w:rsid w:val="6B4A0729"/>
    <w:rsid w:val="6B517D09"/>
    <w:rsid w:val="6B560E7C"/>
    <w:rsid w:val="6B655563"/>
    <w:rsid w:val="6B6C069F"/>
    <w:rsid w:val="6B721A2E"/>
    <w:rsid w:val="6B7439F8"/>
    <w:rsid w:val="6B7457A6"/>
    <w:rsid w:val="6B793DC3"/>
    <w:rsid w:val="6B7A7502"/>
    <w:rsid w:val="6B80239C"/>
    <w:rsid w:val="6B8D38E9"/>
    <w:rsid w:val="6B923E7E"/>
    <w:rsid w:val="6B9320D0"/>
    <w:rsid w:val="6B981494"/>
    <w:rsid w:val="6B985938"/>
    <w:rsid w:val="6B99520C"/>
    <w:rsid w:val="6BA0659B"/>
    <w:rsid w:val="6BA20F53"/>
    <w:rsid w:val="6BAC3CEF"/>
    <w:rsid w:val="6BAC4F3F"/>
    <w:rsid w:val="6BB46349"/>
    <w:rsid w:val="6BB67B6C"/>
    <w:rsid w:val="6BBF2EC5"/>
    <w:rsid w:val="6BC06C3D"/>
    <w:rsid w:val="6BC404DB"/>
    <w:rsid w:val="6BC77FCB"/>
    <w:rsid w:val="6BCA3618"/>
    <w:rsid w:val="6BD24498"/>
    <w:rsid w:val="6BD44496"/>
    <w:rsid w:val="6BD91256"/>
    <w:rsid w:val="6BDA7CFF"/>
    <w:rsid w:val="6BDB5825"/>
    <w:rsid w:val="6BE84699"/>
    <w:rsid w:val="6BFB1A23"/>
    <w:rsid w:val="6BFD579B"/>
    <w:rsid w:val="6C0703C8"/>
    <w:rsid w:val="6C094140"/>
    <w:rsid w:val="6C10344F"/>
    <w:rsid w:val="6C240F7A"/>
    <w:rsid w:val="6C2B055A"/>
    <w:rsid w:val="6C310293"/>
    <w:rsid w:val="6C353187"/>
    <w:rsid w:val="6C384A25"/>
    <w:rsid w:val="6C3E3329"/>
    <w:rsid w:val="6C4258A4"/>
    <w:rsid w:val="6C4E4249"/>
    <w:rsid w:val="6C515AE7"/>
    <w:rsid w:val="6C57134F"/>
    <w:rsid w:val="6C5D7FE5"/>
    <w:rsid w:val="6C7672FB"/>
    <w:rsid w:val="6C77379F"/>
    <w:rsid w:val="6C77554D"/>
    <w:rsid w:val="6C951E77"/>
    <w:rsid w:val="6C9854C4"/>
    <w:rsid w:val="6CB0280D"/>
    <w:rsid w:val="6CB22A29"/>
    <w:rsid w:val="6CB71DEE"/>
    <w:rsid w:val="6CBA368C"/>
    <w:rsid w:val="6CBF5146"/>
    <w:rsid w:val="6CC4450B"/>
    <w:rsid w:val="6CC462B9"/>
    <w:rsid w:val="6CC90D79"/>
    <w:rsid w:val="6CCB5899"/>
    <w:rsid w:val="6CD429A0"/>
    <w:rsid w:val="6CD81D64"/>
    <w:rsid w:val="6CDD61B3"/>
    <w:rsid w:val="6CE40709"/>
    <w:rsid w:val="6CE60925"/>
    <w:rsid w:val="6CEC3190"/>
    <w:rsid w:val="6CF05300"/>
    <w:rsid w:val="6CF43042"/>
    <w:rsid w:val="6CFA7F2C"/>
    <w:rsid w:val="6CFC5EFF"/>
    <w:rsid w:val="6D01750D"/>
    <w:rsid w:val="6D042B59"/>
    <w:rsid w:val="6D0B038C"/>
    <w:rsid w:val="6D0B3EE8"/>
    <w:rsid w:val="6D0B5C71"/>
    <w:rsid w:val="6D0D4104"/>
    <w:rsid w:val="6D0D7C60"/>
    <w:rsid w:val="6D1A237D"/>
    <w:rsid w:val="6D1B05CF"/>
    <w:rsid w:val="6D21370B"/>
    <w:rsid w:val="6D222A82"/>
    <w:rsid w:val="6D231231"/>
    <w:rsid w:val="6D2356D5"/>
    <w:rsid w:val="6D2A25C0"/>
    <w:rsid w:val="6D2D524B"/>
    <w:rsid w:val="6D325918"/>
    <w:rsid w:val="6D45389E"/>
    <w:rsid w:val="6D4713C4"/>
    <w:rsid w:val="6D4F64CA"/>
    <w:rsid w:val="6D561607"/>
    <w:rsid w:val="6D567859"/>
    <w:rsid w:val="6D5B09CB"/>
    <w:rsid w:val="6D5B6C1D"/>
    <w:rsid w:val="6D5D0BE7"/>
    <w:rsid w:val="6D635AD2"/>
    <w:rsid w:val="6D6830E8"/>
    <w:rsid w:val="6D800432"/>
    <w:rsid w:val="6D837F22"/>
    <w:rsid w:val="6D8668BF"/>
    <w:rsid w:val="6D8C327A"/>
    <w:rsid w:val="6D8F68C7"/>
    <w:rsid w:val="6D952DD1"/>
    <w:rsid w:val="6D9914F3"/>
    <w:rsid w:val="6D9956BA"/>
    <w:rsid w:val="6D99606A"/>
    <w:rsid w:val="6DA22A9E"/>
    <w:rsid w:val="6DA265FA"/>
    <w:rsid w:val="6DB12CE1"/>
    <w:rsid w:val="6DB4457F"/>
    <w:rsid w:val="6DB97FB3"/>
    <w:rsid w:val="6DBB3B60"/>
    <w:rsid w:val="6DBC51E2"/>
    <w:rsid w:val="6DC26C9C"/>
    <w:rsid w:val="6DC870F0"/>
    <w:rsid w:val="6DC9002B"/>
    <w:rsid w:val="6DD10C8D"/>
    <w:rsid w:val="6DD32C57"/>
    <w:rsid w:val="6DFC351E"/>
    <w:rsid w:val="6DFE57FA"/>
    <w:rsid w:val="6E027099"/>
    <w:rsid w:val="6E067091"/>
    <w:rsid w:val="6E0A419F"/>
    <w:rsid w:val="6E0B0643"/>
    <w:rsid w:val="6E0F7A08"/>
    <w:rsid w:val="6E1312A6"/>
    <w:rsid w:val="6E14501E"/>
    <w:rsid w:val="6E1B015A"/>
    <w:rsid w:val="6E1B63AC"/>
    <w:rsid w:val="6E1E7AB9"/>
    <w:rsid w:val="6E25722B"/>
    <w:rsid w:val="6E280F9B"/>
    <w:rsid w:val="6E290AC9"/>
    <w:rsid w:val="6E3000AA"/>
    <w:rsid w:val="6E380D0C"/>
    <w:rsid w:val="6E3D4575"/>
    <w:rsid w:val="6E414065"/>
    <w:rsid w:val="6E453429"/>
    <w:rsid w:val="6E46167B"/>
    <w:rsid w:val="6E5237C4"/>
    <w:rsid w:val="6E5A0C83"/>
    <w:rsid w:val="6E62222D"/>
    <w:rsid w:val="6E623FDB"/>
    <w:rsid w:val="6E625129"/>
    <w:rsid w:val="6E645FA5"/>
    <w:rsid w:val="6E65267E"/>
    <w:rsid w:val="6E6912A9"/>
    <w:rsid w:val="6E6C09B6"/>
    <w:rsid w:val="6E71421E"/>
    <w:rsid w:val="6E784210"/>
    <w:rsid w:val="6E821BA6"/>
    <w:rsid w:val="6E82467D"/>
    <w:rsid w:val="6E8421A4"/>
    <w:rsid w:val="6E843F52"/>
    <w:rsid w:val="6E873E81"/>
    <w:rsid w:val="6E8757F0"/>
    <w:rsid w:val="6E8C2E06"/>
    <w:rsid w:val="6E9543B1"/>
    <w:rsid w:val="6EA03633"/>
    <w:rsid w:val="6EA16987"/>
    <w:rsid w:val="6EA2262A"/>
    <w:rsid w:val="6EA3143E"/>
    <w:rsid w:val="6EA463A2"/>
    <w:rsid w:val="6EA72431"/>
    <w:rsid w:val="6EB011EB"/>
    <w:rsid w:val="6EB34837"/>
    <w:rsid w:val="6EB53936"/>
    <w:rsid w:val="6EC66318"/>
    <w:rsid w:val="6ED07197"/>
    <w:rsid w:val="6ED21161"/>
    <w:rsid w:val="6ED6693F"/>
    <w:rsid w:val="6ED8604B"/>
    <w:rsid w:val="6EE36ECA"/>
    <w:rsid w:val="6EE844E0"/>
    <w:rsid w:val="6EEE3AC1"/>
    <w:rsid w:val="6EEE70ED"/>
    <w:rsid w:val="6EF62209"/>
    <w:rsid w:val="6EF70BC7"/>
    <w:rsid w:val="6EFC7F8C"/>
    <w:rsid w:val="6EFF5CCE"/>
    <w:rsid w:val="6F046E40"/>
    <w:rsid w:val="6F06705D"/>
    <w:rsid w:val="6F084B83"/>
    <w:rsid w:val="6F0D15DF"/>
    <w:rsid w:val="6F0F4163"/>
    <w:rsid w:val="6F0F5F11"/>
    <w:rsid w:val="6F141779"/>
    <w:rsid w:val="6F1654F2"/>
    <w:rsid w:val="6F1718B7"/>
    <w:rsid w:val="6F247756"/>
    <w:rsid w:val="6F257B89"/>
    <w:rsid w:val="6F2B0871"/>
    <w:rsid w:val="6F304979"/>
    <w:rsid w:val="6F370FC4"/>
    <w:rsid w:val="6F392F8E"/>
    <w:rsid w:val="6F3E2352"/>
    <w:rsid w:val="6F3E5FCD"/>
    <w:rsid w:val="6F413BF1"/>
    <w:rsid w:val="6F435BBB"/>
    <w:rsid w:val="6F4436E1"/>
    <w:rsid w:val="6F484143"/>
    <w:rsid w:val="6F502086"/>
    <w:rsid w:val="6F51609F"/>
    <w:rsid w:val="6F574271"/>
    <w:rsid w:val="6F593630"/>
    <w:rsid w:val="6F5C0A2B"/>
    <w:rsid w:val="6F5C4ECE"/>
    <w:rsid w:val="6F5D0D50"/>
    <w:rsid w:val="6F5E47A3"/>
    <w:rsid w:val="6F6124E5"/>
    <w:rsid w:val="6F653758"/>
    <w:rsid w:val="6F667AFB"/>
    <w:rsid w:val="6F683873"/>
    <w:rsid w:val="6F750F26"/>
    <w:rsid w:val="6F7A7103"/>
    <w:rsid w:val="6F7B72E9"/>
    <w:rsid w:val="6F8445D4"/>
    <w:rsid w:val="6F865AA7"/>
    <w:rsid w:val="6F8A5598"/>
    <w:rsid w:val="6F8D5C1A"/>
    <w:rsid w:val="6F8E342E"/>
    <w:rsid w:val="6F975F07"/>
    <w:rsid w:val="6F977CB5"/>
    <w:rsid w:val="6F991C7F"/>
    <w:rsid w:val="6FA0300D"/>
    <w:rsid w:val="6FA20366"/>
    <w:rsid w:val="6FA8133A"/>
    <w:rsid w:val="6FA81EC2"/>
    <w:rsid w:val="6FAC19B2"/>
    <w:rsid w:val="6FB2689C"/>
    <w:rsid w:val="6FB937F0"/>
    <w:rsid w:val="6FB940CF"/>
    <w:rsid w:val="6FC0720B"/>
    <w:rsid w:val="6FC52A74"/>
    <w:rsid w:val="6FC565D0"/>
    <w:rsid w:val="6FCA008A"/>
    <w:rsid w:val="6FCC3E02"/>
    <w:rsid w:val="6FCF56A0"/>
    <w:rsid w:val="6FCF744E"/>
    <w:rsid w:val="6FD27139"/>
    <w:rsid w:val="6FD35191"/>
    <w:rsid w:val="6FDE3B35"/>
    <w:rsid w:val="6FDE58E3"/>
    <w:rsid w:val="6FE32EFA"/>
    <w:rsid w:val="6FE4739E"/>
    <w:rsid w:val="6FE74798"/>
    <w:rsid w:val="6FEC0000"/>
    <w:rsid w:val="6FEC0BE2"/>
    <w:rsid w:val="6FF26DA9"/>
    <w:rsid w:val="6FF60C27"/>
    <w:rsid w:val="6FFD045F"/>
    <w:rsid w:val="6FFE7D34"/>
    <w:rsid w:val="70024DE8"/>
    <w:rsid w:val="700A66D9"/>
    <w:rsid w:val="701632CF"/>
    <w:rsid w:val="701E2184"/>
    <w:rsid w:val="702754DC"/>
    <w:rsid w:val="702A0B29"/>
    <w:rsid w:val="702C62AB"/>
    <w:rsid w:val="702E29A8"/>
    <w:rsid w:val="703419A7"/>
    <w:rsid w:val="703802C8"/>
    <w:rsid w:val="704240C4"/>
    <w:rsid w:val="70473489"/>
    <w:rsid w:val="704C6CF1"/>
    <w:rsid w:val="704E663D"/>
    <w:rsid w:val="704F058F"/>
    <w:rsid w:val="70512559"/>
    <w:rsid w:val="705160B5"/>
    <w:rsid w:val="705636CC"/>
    <w:rsid w:val="70585696"/>
    <w:rsid w:val="70587444"/>
    <w:rsid w:val="705A140E"/>
    <w:rsid w:val="706109EE"/>
    <w:rsid w:val="7064228D"/>
    <w:rsid w:val="70691651"/>
    <w:rsid w:val="706B73FC"/>
    <w:rsid w:val="70710506"/>
    <w:rsid w:val="70764214"/>
    <w:rsid w:val="70781894"/>
    <w:rsid w:val="707D334E"/>
    <w:rsid w:val="708446DD"/>
    <w:rsid w:val="7084648B"/>
    <w:rsid w:val="708C39AE"/>
    <w:rsid w:val="70952446"/>
    <w:rsid w:val="709A3F00"/>
    <w:rsid w:val="70A00DEB"/>
    <w:rsid w:val="70A24B63"/>
    <w:rsid w:val="70A304C1"/>
    <w:rsid w:val="70AB6673"/>
    <w:rsid w:val="70B623BC"/>
    <w:rsid w:val="70BA1EAD"/>
    <w:rsid w:val="70BD374B"/>
    <w:rsid w:val="70C1123E"/>
    <w:rsid w:val="70C40F7D"/>
    <w:rsid w:val="70CC0E40"/>
    <w:rsid w:val="70CD2B48"/>
    <w:rsid w:val="70D171F6"/>
    <w:rsid w:val="70D215C6"/>
    <w:rsid w:val="70D6480D"/>
    <w:rsid w:val="70D72A5F"/>
    <w:rsid w:val="70DE203F"/>
    <w:rsid w:val="70DF36C1"/>
    <w:rsid w:val="70E138DD"/>
    <w:rsid w:val="70E7584C"/>
    <w:rsid w:val="70FF3D63"/>
    <w:rsid w:val="71020071"/>
    <w:rsid w:val="71031AA6"/>
    <w:rsid w:val="71033854"/>
    <w:rsid w:val="71096990"/>
    <w:rsid w:val="710C022E"/>
    <w:rsid w:val="710F044A"/>
    <w:rsid w:val="71126EE7"/>
    <w:rsid w:val="711F61B4"/>
    <w:rsid w:val="711F7F62"/>
    <w:rsid w:val="71225007"/>
    <w:rsid w:val="71265794"/>
    <w:rsid w:val="712B6906"/>
    <w:rsid w:val="712F289B"/>
    <w:rsid w:val="7130216F"/>
    <w:rsid w:val="71353C29"/>
    <w:rsid w:val="713559D7"/>
    <w:rsid w:val="7137174F"/>
    <w:rsid w:val="713A123F"/>
    <w:rsid w:val="713D1D16"/>
    <w:rsid w:val="71467BE4"/>
    <w:rsid w:val="714A1482"/>
    <w:rsid w:val="714B0D57"/>
    <w:rsid w:val="71551BD5"/>
    <w:rsid w:val="71600CA6"/>
    <w:rsid w:val="716360A0"/>
    <w:rsid w:val="71654E27"/>
    <w:rsid w:val="716E1E47"/>
    <w:rsid w:val="71724EAC"/>
    <w:rsid w:val="717958C4"/>
    <w:rsid w:val="71807A85"/>
    <w:rsid w:val="71834994"/>
    <w:rsid w:val="71883D59"/>
    <w:rsid w:val="71956476"/>
    <w:rsid w:val="71970440"/>
    <w:rsid w:val="71983729"/>
    <w:rsid w:val="719E73CE"/>
    <w:rsid w:val="71A60683"/>
    <w:rsid w:val="71AD37BF"/>
    <w:rsid w:val="71B20DD6"/>
    <w:rsid w:val="71B27028"/>
    <w:rsid w:val="71B35E90"/>
    <w:rsid w:val="71B903B6"/>
    <w:rsid w:val="71BB2380"/>
    <w:rsid w:val="71BC1C54"/>
    <w:rsid w:val="71BE777B"/>
    <w:rsid w:val="71C034F3"/>
    <w:rsid w:val="71C50B09"/>
    <w:rsid w:val="71C823A7"/>
    <w:rsid w:val="71CD20B4"/>
    <w:rsid w:val="71CD5C10"/>
    <w:rsid w:val="71D40D4C"/>
    <w:rsid w:val="71D7083C"/>
    <w:rsid w:val="71DB657E"/>
    <w:rsid w:val="71DC40A5"/>
    <w:rsid w:val="71DE606F"/>
    <w:rsid w:val="71E3138C"/>
    <w:rsid w:val="71E60A7F"/>
    <w:rsid w:val="71E76CD1"/>
    <w:rsid w:val="71EA4A14"/>
    <w:rsid w:val="71F6500C"/>
    <w:rsid w:val="71F87130"/>
    <w:rsid w:val="71FD64F5"/>
    <w:rsid w:val="720D24B0"/>
    <w:rsid w:val="72113D4E"/>
    <w:rsid w:val="721B2E1F"/>
    <w:rsid w:val="721D6B97"/>
    <w:rsid w:val="721F290F"/>
    <w:rsid w:val="72275320"/>
    <w:rsid w:val="7229553C"/>
    <w:rsid w:val="722A4E10"/>
    <w:rsid w:val="722E4900"/>
    <w:rsid w:val="722F68CA"/>
    <w:rsid w:val="723914F7"/>
    <w:rsid w:val="723B0DCB"/>
    <w:rsid w:val="723D4B43"/>
    <w:rsid w:val="723E2669"/>
    <w:rsid w:val="72402885"/>
    <w:rsid w:val="724265FE"/>
    <w:rsid w:val="724A3704"/>
    <w:rsid w:val="725974A3"/>
    <w:rsid w:val="725A130B"/>
    <w:rsid w:val="725B146D"/>
    <w:rsid w:val="726245AA"/>
    <w:rsid w:val="72641B5B"/>
    <w:rsid w:val="72671BC0"/>
    <w:rsid w:val="72691DDC"/>
    <w:rsid w:val="72695938"/>
    <w:rsid w:val="726A345E"/>
    <w:rsid w:val="726B5B54"/>
    <w:rsid w:val="726C367A"/>
    <w:rsid w:val="726C71D7"/>
    <w:rsid w:val="72760055"/>
    <w:rsid w:val="72785B7B"/>
    <w:rsid w:val="72800ED4"/>
    <w:rsid w:val="72802C82"/>
    <w:rsid w:val="72824C4C"/>
    <w:rsid w:val="72834520"/>
    <w:rsid w:val="72873462"/>
    <w:rsid w:val="728C1627"/>
    <w:rsid w:val="728E516B"/>
    <w:rsid w:val="72914E8F"/>
    <w:rsid w:val="72A11576"/>
    <w:rsid w:val="72A2214B"/>
    <w:rsid w:val="72A526E9"/>
    <w:rsid w:val="72A746B3"/>
    <w:rsid w:val="72A93F87"/>
    <w:rsid w:val="72AB1549"/>
    <w:rsid w:val="72B03567"/>
    <w:rsid w:val="72B8241C"/>
    <w:rsid w:val="72B97C37"/>
    <w:rsid w:val="72BF7C4E"/>
    <w:rsid w:val="72C963D7"/>
    <w:rsid w:val="72CC4119"/>
    <w:rsid w:val="72D54D7C"/>
    <w:rsid w:val="72DD1E82"/>
    <w:rsid w:val="72E2292C"/>
    <w:rsid w:val="72E43D8B"/>
    <w:rsid w:val="72EF6671"/>
    <w:rsid w:val="72F62F44"/>
    <w:rsid w:val="72F86822"/>
    <w:rsid w:val="72FE3595"/>
    <w:rsid w:val="730218E9"/>
    <w:rsid w:val="73076EFF"/>
    <w:rsid w:val="730C2768"/>
    <w:rsid w:val="730E028E"/>
    <w:rsid w:val="730F1B13"/>
    <w:rsid w:val="731764E9"/>
    <w:rsid w:val="7318110C"/>
    <w:rsid w:val="7318735E"/>
    <w:rsid w:val="731E2BC7"/>
    <w:rsid w:val="731F06ED"/>
    <w:rsid w:val="731F249B"/>
    <w:rsid w:val="73216213"/>
    <w:rsid w:val="732775A1"/>
    <w:rsid w:val="7329331A"/>
    <w:rsid w:val="732A2E71"/>
    <w:rsid w:val="732B7092"/>
    <w:rsid w:val="7336722F"/>
    <w:rsid w:val="733811D8"/>
    <w:rsid w:val="733F6699"/>
    <w:rsid w:val="73440153"/>
    <w:rsid w:val="73441F01"/>
    <w:rsid w:val="73497518"/>
    <w:rsid w:val="73530396"/>
    <w:rsid w:val="735C36EF"/>
    <w:rsid w:val="73612AB3"/>
    <w:rsid w:val="73614861"/>
    <w:rsid w:val="73740A39"/>
    <w:rsid w:val="73797DFD"/>
    <w:rsid w:val="737E24ED"/>
    <w:rsid w:val="73840550"/>
    <w:rsid w:val="73852C46"/>
    <w:rsid w:val="738D1AFA"/>
    <w:rsid w:val="73915877"/>
    <w:rsid w:val="73972979"/>
    <w:rsid w:val="73993FFB"/>
    <w:rsid w:val="73A17354"/>
    <w:rsid w:val="73A40BF2"/>
    <w:rsid w:val="73A56290"/>
    <w:rsid w:val="73A66718"/>
    <w:rsid w:val="73AF381F"/>
    <w:rsid w:val="73B02001"/>
    <w:rsid w:val="73B2330F"/>
    <w:rsid w:val="73B54BAD"/>
    <w:rsid w:val="73C86317"/>
    <w:rsid w:val="73CB617F"/>
    <w:rsid w:val="73CF5C6F"/>
    <w:rsid w:val="73D9089C"/>
    <w:rsid w:val="73E060CE"/>
    <w:rsid w:val="73E3796C"/>
    <w:rsid w:val="73EF00BF"/>
    <w:rsid w:val="73F25E01"/>
    <w:rsid w:val="73F41B79"/>
    <w:rsid w:val="73F73418"/>
    <w:rsid w:val="73FC0F7D"/>
    <w:rsid w:val="73FE6554"/>
    <w:rsid w:val="740075DD"/>
    <w:rsid w:val="74031DBD"/>
    <w:rsid w:val="740F42BD"/>
    <w:rsid w:val="74130252"/>
    <w:rsid w:val="741D2E7E"/>
    <w:rsid w:val="7420296E"/>
    <w:rsid w:val="74203020"/>
    <w:rsid w:val="74220495"/>
    <w:rsid w:val="7428537F"/>
    <w:rsid w:val="742F2BB2"/>
    <w:rsid w:val="742F670E"/>
    <w:rsid w:val="74322196"/>
    <w:rsid w:val="74343D24"/>
    <w:rsid w:val="74363F40"/>
    <w:rsid w:val="74367A9C"/>
    <w:rsid w:val="7439758C"/>
    <w:rsid w:val="744321B9"/>
    <w:rsid w:val="74454183"/>
    <w:rsid w:val="744A79EB"/>
    <w:rsid w:val="744C72C0"/>
    <w:rsid w:val="744E128A"/>
    <w:rsid w:val="745148D6"/>
    <w:rsid w:val="74542618"/>
    <w:rsid w:val="74566390"/>
    <w:rsid w:val="74575C64"/>
    <w:rsid w:val="745E5245"/>
    <w:rsid w:val="745F3497"/>
    <w:rsid w:val="746565D3"/>
    <w:rsid w:val="746F7452"/>
    <w:rsid w:val="747527E1"/>
    <w:rsid w:val="74806A79"/>
    <w:rsid w:val="74856C75"/>
    <w:rsid w:val="7487479C"/>
    <w:rsid w:val="7487654A"/>
    <w:rsid w:val="7490551B"/>
    <w:rsid w:val="749173C8"/>
    <w:rsid w:val="74A0760B"/>
    <w:rsid w:val="74A662B1"/>
    <w:rsid w:val="74A72748"/>
    <w:rsid w:val="74AE74E6"/>
    <w:rsid w:val="74B30B29"/>
    <w:rsid w:val="74B35591"/>
    <w:rsid w:val="74B51309"/>
    <w:rsid w:val="74BD01BD"/>
    <w:rsid w:val="74BE7A92"/>
    <w:rsid w:val="74C27582"/>
    <w:rsid w:val="74C6415A"/>
    <w:rsid w:val="74CC6652"/>
    <w:rsid w:val="74D3178F"/>
    <w:rsid w:val="74E25E76"/>
    <w:rsid w:val="74E97204"/>
    <w:rsid w:val="74EA0887"/>
    <w:rsid w:val="74EE0377"/>
    <w:rsid w:val="74EF26AC"/>
    <w:rsid w:val="74FC6F38"/>
    <w:rsid w:val="74FF07D6"/>
    <w:rsid w:val="75096F5F"/>
    <w:rsid w:val="75100706"/>
    <w:rsid w:val="75104791"/>
    <w:rsid w:val="751122B7"/>
    <w:rsid w:val="75197F8B"/>
    <w:rsid w:val="751B4EE4"/>
    <w:rsid w:val="75324707"/>
    <w:rsid w:val="753F0BD2"/>
    <w:rsid w:val="753F6E24"/>
    <w:rsid w:val="75412B9C"/>
    <w:rsid w:val="754937FF"/>
    <w:rsid w:val="754E52B9"/>
    <w:rsid w:val="75530B22"/>
    <w:rsid w:val="755503F6"/>
    <w:rsid w:val="755723C0"/>
    <w:rsid w:val="755D54FC"/>
    <w:rsid w:val="7561323F"/>
    <w:rsid w:val="75622B13"/>
    <w:rsid w:val="75680129"/>
    <w:rsid w:val="7568637B"/>
    <w:rsid w:val="75752846"/>
    <w:rsid w:val="757A1C0A"/>
    <w:rsid w:val="757A7E5C"/>
    <w:rsid w:val="757C043C"/>
    <w:rsid w:val="757F5473"/>
    <w:rsid w:val="758331B5"/>
    <w:rsid w:val="758F7D6B"/>
    <w:rsid w:val="759E7FEF"/>
    <w:rsid w:val="75AD0232"/>
    <w:rsid w:val="75B0387E"/>
    <w:rsid w:val="75B710B1"/>
    <w:rsid w:val="75B72E5F"/>
    <w:rsid w:val="75B93C1B"/>
    <w:rsid w:val="75BA294F"/>
    <w:rsid w:val="75BE5F9B"/>
    <w:rsid w:val="75C612F4"/>
    <w:rsid w:val="75D532E5"/>
    <w:rsid w:val="75D752AF"/>
    <w:rsid w:val="75DD2DA3"/>
    <w:rsid w:val="75DD762C"/>
    <w:rsid w:val="75E40392"/>
    <w:rsid w:val="75E91215"/>
    <w:rsid w:val="75EB0D5A"/>
    <w:rsid w:val="75EC750B"/>
    <w:rsid w:val="75ED062E"/>
    <w:rsid w:val="75ED4AD2"/>
    <w:rsid w:val="75EF084A"/>
    <w:rsid w:val="75FB2615"/>
    <w:rsid w:val="75FC4D15"/>
    <w:rsid w:val="76051E1C"/>
    <w:rsid w:val="7608190C"/>
    <w:rsid w:val="760836BA"/>
    <w:rsid w:val="760D37EB"/>
    <w:rsid w:val="76134845"/>
    <w:rsid w:val="761402B1"/>
    <w:rsid w:val="761756AB"/>
    <w:rsid w:val="761B2048"/>
    <w:rsid w:val="762027B2"/>
    <w:rsid w:val="762322A2"/>
    <w:rsid w:val="76236746"/>
    <w:rsid w:val="762A1882"/>
    <w:rsid w:val="762B090A"/>
    <w:rsid w:val="762B1157"/>
    <w:rsid w:val="762B73A9"/>
    <w:rsid w:val="762C12D2"/>
    <w:rsid w:val="762C55FB"/>
    <w:rsid w:val="76326989"/>
    <w:rsid w:val="76361656"/>
    <w:rsid w:val="763922F4"/>
    <w:rsid w:val="763E0EEF"/>
    <w:rsid w:val="76402E54"/>
    <w:rsid w:val="76424E1E"/>
    <w:rsid w:val="764741E2"/>
    <w:rsid w:val="76481D09"/>
    <w:rsid w:val="764A782F"/>
    <w:rsid w:val="764D731F"/>
    <w:rsid w:val="765014D9"/>
    <w:rsid w:val="765B435D"/>
    <w:rsid w:val="765C21DE"/>
    <w:rsid w:val="765C57B4"/>
    <w:rsid w:val="765E777E"/>
    <w:rsid w:val="76621D63"/>
    <w:rsid w:val="7662726E"/>
    <w:rsid w:val="766528BB"/>
    <w:rsid w:val="76654669"/>
    <w:rsid w:val="76684159"/>
    <w:rsid w:val="766905FD"/>
    <w:rsid w:val="766A7ED1"/>
    <w:rsid w:val="766D176F"/>
    <w:rsid w:val="766F7295"/>
    <w:rsid w:val="76760624"/>
    <w:rsid w:val="76832D41"/>
    <w:rsid w:val="768947FB"/>
    <w:rsid w:val="768E1E11"/>
    <w:rsid w:val="76905B4B"/>
    <w:rsid w:val="76911902"/>
    <w:rsid w:val="76944F4E"/>
    <w:rsid w:val="769A6A08"/>
    <w:rsid w:val="769B008A"/>
    <w:rsid w:val="769C4061"/>
    <w:rsid w:val="76A50F09"/>
    <w:rsid w:val="76AC04E9"/>
    <w:rsid w:val="76AC1B32"/>
    <w:rsid w:val="76AD7DBE"/>
    <w:rsid w:val="76B64EC4"/>
    <w:rsid w:val="76BD26F7"/>
    <w:rsid w:val="76BE1FCB"/>
    <w:rsid w:val="76C770D1"/>
    <w:rsid w:val="76C9109B"/>
    <w:rsid w:val="76CA0970"/>
    <w:rsid w:val="76CA6401"/>
    <w:rsid w:val="76D96E05"/>
    <w:rsid w:val="76DA5057"/>
    <w:rsid w:val="76DD4B47"/>
    <w:rsid w:val="76E77774"/>
    <w:rsid w:val="76EC6B38"/>
    <w:rsid w:val="76F0554B"/>
    <w:rsid w:val="76F36118"/>
    <w:rsid w:val="76F52136"/>
    <w:rsid w:val="76F8372F"/>
    <w:rsid w:val="76F854DD"/>
    <w:rsid w:val="77020109"/>
    <w:rsid w:val="770420D4"/>
    <w:rsid w:val="770E4D00"/>
    <w:rsid w:val="77170059"/>
    <w:rsid w:val="77197FA1"/>
    <w:rsid w:val="77212C85"/>
    <w:rsid w:val="772938E8"/>
    <w:rsid w:val="772C5186"/>
    <w:rsid w:val="773109EF"/>
    <w:rsid w:val="77342251"/>
    <w:rsid w:val="773504DF"/>
    <w:rsid w:val="773A5AF5"/>
    <w:rsid w:val="773C7ABF"/>
    <w:rsid w:val="773D7394"/>
    <w:rsid w:val="774150D6"/>
    <w:rsid w:val="77440722"/>
    <w:rsid w:val="77446974"/>
    <w:rsid w:val="774B075C"/>
    <w:rsid w:val="774C75D7"/>
    <w:rsid w:val="774E334F"/>
    <w:rsid w:val="77562203"/>
    <w:rsid w:val="775766A7"/>
    <w:rsid w:val="775C3CBE"/>
    <w:rsid w:val="776155EB"/>
    <w:rsid w:val="7763329E"/>
    <w:rsid w:val="776B3F01"/>
    <w:rsid w:val="776D5ECB"/>
    <w:rsid w:val="777234E1"/>
    <w:rsid w:val="77752FD1"/>
    <w:rsid w:val="77764653"/>
    <w:rsid w:val="777C4360"/>
    <w:rsid w:val="777D1E86"/>
    <w:rsid w:val="77896DD2"/>
    <w:rsid w:val="77901BB9"/>
    <w:rsid w:val="779276DF"/>
    <w:rsid w:val="77935205"/>
    <w:rsid w:val="7798281C"/>
    <w:rsid w:val="779A2A38"/>
    <w:rsid w:val="779D6084"/>
    <w:rsid w:val="77A13DC6"/>
    <w:rsid w:val="77A86F03"/>
    <w:rsid w:val="77AD62C7"/>
    <w:rsid w:val="77AE203F"/>
    <w:rsid w:val="77B51620"/>
    <w:rsid w:val="77B91110"/>
    <w:rsid w:val="77BF424C"/>
    <w:rsid w:val="77C019A9"/>
    <w:rsid w:val="77C16217"/>
    <w:rsid w:val="77C402E0"/>
    <w:rsid w:val="77C655DB"/>
    <w:rsid w:val="77CA0A7C"/>
    <w:rsid w:val="77CB0E43"/>
    <w:rsid w:val="77CF345E"/>
    <w:rsid w:val="77D73344"/>
    <w:rsid w:val="77DA1086"/>
    <w:rsid w:val="77DE2925"/>
    <w:rsid w:val="77E67A2B"/>
    <w:rsid w:val="77E837A3"/>
    <w:rsid w:val="77EB3293"/>
    <w:rsid w:val="77F263D0"/>
    <w:rsid w:val="77F43248"/>
    <w:rsid w:val="77F43EF6"/>
    <w:rsid w:val="78055D58"/>
    <w:rsid w:val="78061E7B"/>
    <w:rsid w:val="780B1240"/>
    <w:rsid w:val="780F4A03"/>
    <w:rsid w:val="780F6F82"/>
    <w:rsid w:val="78130758"/>
    <w:rsid w:val="781520BE"/>
    <w:rsid w:val="781A76D5"/>
    <w:rsid w:val="781C344D"/>
    <w:rsid w:val="781F4CEB"/>
    <w:rsid w:val="78283BA0"/>
    <w:rsid w:val="782A7F03"/>
    <w:rsid w:val="78324A1E"/>
    <w:rsid w:val="78342545"/>
    <w:rsid w:val="783553B5"/>
    <w:rsid w:val="7840713B"/>
    <w:rsid w:val="78414C61"/>
    <w:rsid w:val="78436C2C"/>
    <w:rsid w:val="784529A4"/>
    <w:rsid w:val="78462278"/>
    <w:rsid w:val="7847671C"/>
    <w:rsid w:val="784F55D0"/>
    <w:rsid w:val="78574485"/>
    <w:rsid w:val="785B3F75"/>
    <w:rsid w:val="785C1A9B"/>
    <w:rsid w:val="785E3900"/>
    <w:rsid w:val="78670B6C"/>
    <w:rsid w:val="78685455"/>
    <w:rsid w:val="786D3CA8"/>
    <w:rsid w:val="78713799"/>
    <w:rsid w:val="78714583"/>
    <w:rsid w:val="78743289"/>
    <w:rsid w:val="7879089F"/>
    <w:rsid w:val="788C2381"/>
    <w:rsid w:val="789456D9"/>
    <w:rsid w:val="789B25C4"/>
    <w:rsid w:val="78A27DF6"/>
    <w:rsid w:val="78A43B6E"/>
    <w:rsid w:val="78AC2A23"/>
    <w:rsid w:val="78AC47D1"/>
    <w:rsid w:val="78AF42C1"/>
    <w:rsid w:val="78B813C8"/>
    <w:rsid w:val="78BB5636"/>
    <w:rsid w:val="78BE2756"/>
    <w:rsid w:val="78C0027C"/>
    <w:rsid w:val="78C7785D"/>
    <w:rsid w:val="78CD525D"/>
    <w:rsid w:val="78CF4EC4"/>
    <w:rsid w:val="78D45AD6"/>
    <w:rsid w:val="78DE0702"/>
    <w:rsid w:val="78E17AF7"/>
    <w:rsid w:val="78E75809"/>
    <w:rsid w:val="78EA354B"/>
    <w:rsid w:val="78EC2E1F"/>
    <w:rsid w:val="78F10436"/>
    <w:rsid w:val="78F41CD4"/>
    <w:rsid w:val="78F817C4"/>
    <w:rsid w:val="790740FD"/>
    <w:rsid w:val="790E2D96"/>
    <w:rsid w:val="79195106"/>
    <w:rsid w:val="791F31F5"/>
    <w:rsid w:val="792702FB"/>
    <w:rsid w:val="79273E57"/>
    <w:rsid w:val="792C5912"/>
    <w:rsid w:val="792C76C0"/>
    <w:rsid w:val="792E168A"/>
    <w:rsid w:val="79330A4E"/>
    <w:rsid w:val="794763E3"/>
    <w:rsid w:val="794964C4"/>
    <w:rsid w:val="794A5D98"/>
    <w:rsid w:val="795135CA"/>
    <w:rsid w:val="79515378"/>
    <w:rsid w:val="79616DC4"/>
    <w:rsid w:val="79646E59"/>
    <w:rsid w:val="79652BD2"/>
    <w:rsid w:val="79690914"/>
    <w:rsid w:val="796B01E8"/>
    <w:rsid w:val="796D2246"/>
    <w:rsid w:val="796E5F2A"/>
    <w:rsid w:val="797177C8"/>
    <w:rsid w:val="797B41A3"/>
    <w:rsid w:val="797D7F1B"/>
    <w:rsid w:val="798412AA"/>
    <w:rsid w:val="798E037A"/>
    <w:rsid w:val="79927E6B"/>
    <w:rsid w:val="79960FDD"/>
    <w:rsid w:val="79987C90"/>
    <w:rsid w:val="799A0ACD"/>
    <w:rsid w:val="799F465D"/>
    <w:rsid w:val="79AD6A52"/>
    <w:rsid w:val="79B37DE1"/>
    <w:rsid w:val="79B576B5"/>
    <w:rsid w:val="79C478F8"/>
    <w:rsid w:val="79C8388C"/>
    <w:rsid w:val="79C913B2"/>
    <w:rsid w:val="79CE69C9"/>
    <w:rsid w:val="79D00993"/>
    <w:rsid w:val="79D0629D"/>
    <w:rsid w:val="79D35D8D"/>
    <w:rsid w:val="79DD09BA"/>
    <w:rsid w:val="79DD6C0C"/>
    <w:rsid w:val="79DF0BD6"/>
    <w:rsid w:val="79E61F64"/>
    <w:rsid w:val="79E820BE"/>
    <w:rsid w:val="79EB1329"/>
    <w:rsid w:val="79ED50A1"/>
    <w:rsid w:val="79EE2BC7"/>
    <w:rsid w:val="7A04063C"/>
    <w:rsid w:val="7A044199"/>
    <w:rsid w:val="7A0917AF"/>
    <w:rsid w:val="7A095DCE"/>
    <w:rsid w:val="7A0A5C53"/>
    <w:rsid w:val="7A0E55E5"/>
    <w:rsid w:val="7A102B3D"/>
    <w:rsid w:val="7A140880"/>
    <w:rsid w:val="7A230AC3"/>
    <w:rsid w:val="7A252A8D"/>
    <w:rsid w:val="7A262361"/>
    <w:rsid w:val="7A27429B"/>
    <w:rsid w:val="7A28761C"/>
    <w:rsid w:val="7A2B7977"/>
    <w:rsid w:val="7A301431"/>
    <w:rsid w:val="7A3031E0"/>
    <w:rsid w:val="7A304F8E"/>
    <w:rsid w:val="7A432F13"/>
    <w:rsid w:val="7A4A42A1"/>
    <w:rsid w:val="7A4E3666"/>
    <w:rsid w:val="7A5C2227"/>
    <w:rsid w:val="7A5E0E2C"/>
    <w:rsid w:val="7A5E5F9F"/>
    <w:rsid w:val="7A603AC5"/>
    <w:rsid w:val="7A6335B5"/>
    <w:rsid w:val="7A6510B3"/>
    <w:rsid w:val="7A6510DB"/>
    <w:rsid w:val="7A792DD8"/>
    <w:rsid w:val="7A794B87"/>
    <w:rsid w:val="7A7A20E2"/>
    <w:rsid w:val="7A7B08FF"/>
    <w:rsid w:val="7A7C01D3"/>
    <w:rsid w:val="7A85665E"/>
    <w:rsid w:val="7A862644"/>
    <w:rsid w:val="7A911ED0"/>
    <w:rsid w:val="7A9714CA"/>
    <w:rsid w:val="7A97325F"/>
    <w:rsid w:val="7A9B68AB"/>
    <w:rsid w:val="7A9D6AC7"/>
    <w:rsid w:val="7AA1356C"/>
    <w:rsid w:val="7AA53BCD"/>
    <w:rsid w:val="7AAA4D40"/>
    <w:rsid w:val="7AAB2866"/>
    <w:rsid w:val="7AB83901"/>
    <w:rsid w:val="7AC322A6"/>
    <w:rsid w:val="7AC35E02"/>
    <w:rsid w:val="7AC53928"/>
    <w:rsid w:val="7AC758F2"/>
    <w:rsid w:val="7ACA7190"/>
    <w:rsid w:val="7ACB4CB6"/>
    <w:rsid w:val="7ACD0A2E"/>
    <w:rsid w:val="7ACE4ED2"/>
    <w:rsid w:val="7AD1051F"/>
    <w:rsid w:val="7AD324E9"/>
    <w:rsid w:val="7AD4000F"/>
    <w:rsid w:val="7AD973D3"/>
    <w:rsid w:val="7ADC6EC3"/>
    <w:rsid w:val="7AE06FB3"/>
    <w:rsid w:val="7AE244DA"/>
    <w:rsid w:val="7AEF46D7"/>
    <w:rsid w:val="7AF07139"/>
    <w:rsid w:val="7AF16AD7"/>
    <w:rsid w:val="7B022DCE"/>
    <w:rsid w:val="7B0326A2"/>
    <w:rsid w:val="7B072192"/>
    <w:rsid w:val="7B0C1557"/>
    <w:rsid w:val="7B114DBF"/>
    <w:rsid w:val="7B116B6D"/>
    <w:rsid w:val="7B1B3E90"/>
    <w:rsid w:val="7B1E74DC"/>
    <w:rsid w:val="7B2F16E9"/>
    <w:rsid w:val="7B2F250F"/>
    <w:rsid w:val="7B310FBD"/>
    <w:rsid w:val="7B3659F1"/>
    <w:rsid w:val="7B3960C4"/>
    <w:rsid w:val="7B4128F5"/>
    <w:rsid w:val="7B450F17"/>
    <w:rsid w:val="7B474C85"/>
    <w:rsid w:val="7B4927AB"/>
    <w:rsid w:val="7B524756"/>
    <w:rsid w:val="7B551150"/>
    <w:rsid w:val="7B5A49B8"/>
    <w:rsid w:val="7B5A6766"/>
    <w:rsid w:val="7B65510B"/>
    <w:rsid w:val="7B66335D"/>
    <w:rsid w:val="7B681A01"/>
    <w:rsid w:val="7B7517F2"/>
    <w:rsid w:val="7B77646C"/>
    <w:rsid w:val="7B786BEC"/>
    <w:rsid w:val="7B7A6E08"/>
    <w:rsid w:val="7B86410F"/>
    <w:rsid w:val="7B915F00"/>
    <w:rsid w:val="7B94617F"/>
    <w:rsid w:val="7B9B4B89"/>
    <w:rsid w:val="7BA7127F"/>
    <w:rsid w:val="7BAB0715"/>
    <w:rsid w:val="7BB20608"/>
    <w:rsid w:val="7BB33D05"/>
    <w:rsid w:val="7BBA0FB3"/>
    <w:rsid w:val="7BBD0AA3"/>
    <w:rsid w:val="7BBF4D5C"/>
    <w:rsid w:val="7BC167E5"/>
    <w:rsid w:val="7BCE0F02"/>
    <w:rsid w:val="7BCF5A02"/>
    <w:rsid w:val="7BD3539E"/>
    <w:rsid w:val="7BD5403F"/>
    <w:rsid w:val="7BD77DB7"/>
    <w:rsid w:val="7BE75B20"/>
    <w:rsid w:val="7BEB1AB4"/>
    <w:rsid w:val="7BEB3862"/>
    <w:rsid w:val="7BEB5610"/>
    <w:rsid w:val="7BFA1CF7"/>
    <w:rsid w:val="7C09018C"/>
    <w:rsid w:val="7C0B7A60"/>
    <w:rsid w:val="7C1F175E"/>
    <w:rsid w:val="7C211032"/>
    <w:rsid w:val="7C245596"/>
    <w:rsid w:val="7C286864"/>
    <w:rsid w:val="7C2B3C5E"/>
    <w:rsid w:val="7C321491"/>
    <w:rsid w:val="7C3A20F4"/>
    <w:rsid w:val="7C3E7E36"/>
    <w:rsid w:val="7C47478B"/>
    <w:rsid w:val="7C482A62"/>
    <w:rsid w:val="7C4D0079"/>
    <w:rsid w:val="7C52743D"/>
    <w:rsid w:val="7C570EF7"/>
    <w:rsid w:val="7C574A54"/>
    <w:rsid w:val="7C5B09E8"/>
    <w:rsid w:val="7C5E4034"/>
    <w:rsid w:val="7C6158D2"/>
    <w:rsid w:val="7C7C270C"/>
    <w:rsid w:val="7C7E46D6"/>
    <w:rsid w:val="7C80044E"/>
    <w:rsid w:val="7C815F74"/>
    <w:rsid w:val="7C9020F0"/>
    <w:rsid w:val="7C907F65"/>
    <w:rsid w:val="7C9C1C43"/>
    <w:rsid w:val="7C9C2DAE"/>
    <w:rsid w:val="7C9E08D4"/>
    <w:rsid w:val="7CAB4D9F"/>
    <w:rsid w:val="7CAD4FBB"/>
    <w:rsid w:val="7CB01609"/>
    <w:rsid w:val="7CB02B6A"/>
    <w:rsid w:val="7CB1685A"/>
    <w:rsid w:val="7CB42860"/>
    <w:rsid w:val="7CB504C8"/>
    <w:rsid w:val="7CBC51FE"/>
    <w:rsid w:val="7CBE4AD3"/>
    <w:rsid w:val="7CC059B8"/>
    <w:rsid w:val="7CC3033B"/>
    <w:rsid w:val="7CC40628"/>
    <w:rsid w:val="7CC52305"/>
    <w:rsid w:val="7CC83BA3"/>
    <w:rsid w:val="7CCF0A8E"/>
    <w:rsid w:val="7CD97B5E"/>
    <w:rsid w:val="7CDD764F"/>
    <w:rsid w:val="7CE54755"/>
    <w:rsid w:val="7CEF2EDE"/>
    <w:rsid w:val="7D021F92"/>
    <w:rsid w:val="7D0270B5"/>
    <w:rsid w:val="7D0A5F6A"/>
    <w:rsid w:val="7D0B583E"/>
    <w:rsid w:val="7D1312C2"/>
    <w:rsid w:val="7D142945"/>
    <w:rsid w:val="7D1666BD"/>
    <w:rsid w:val="7D1C7A4B"/>
    <w:rsid w:val="7D1E5E01"/>
    <w:rsid w:val="7D225061"/>
    <w:rsid w:val="7D225E49"/>
    <w:rsid w:val="7D24527D"/>
    <w:rsid w:val="7D284642"/>
    <w:rsid w:val="7D2F777E"/>
    <w:rsid w:val="7D3020BC"/>
    <w:rsid w:val="7D315490"/>
    <w:rsid w:val="7D36003F"/>
    <w:rsid w:val="7D360B0D"/>
    <w:rsid w:val="7D364FB1"/>
    <w:rsid w:val="7D376633"/>
    <w:rsid w:val="7D3923AB"/>
    <w:rsid w:val="7D3B6123"/>
    <w:rsid w:val="7D3D1E9B"/>
    <w:rsid w:val="7D425312"/>
    <w:rsid w:val="7D4E22FA"/>
    <w:rsid w:val="7D4F1BCF"/>
    <w:rsid w:val="7D60202E"/>
    <w:rsid w:val="7D620E6E"/>
    <w:rsid w:val="7D676F18"/>
    <w:rsid w:val="7D6C6CD2"/>
    <w:rsid w:val="7D6E02A7"/>
    <w:rsid w:val="7D6F2271"/>
    <w:rsid w:val="7D715FE9"/>
    <w:rsid w:val="7D7B29C4"/>
    <w:rsid w:val="7D7F0706"/>
    <w:rsid w:val="7D821FA4"/>
    <w:rsid w:val="7D845D1C"/>
    <w:rsid w:val="7D8801A2"/>
    <w:rsid w:val="7D8B58BA"/>
    <w:rsid w:val="7D9D422B"/>
    <w:rsid w:val="7DA10BFA"/>
    <w:rsid w:val="7DA95783"/>
    <w:rsid w:val="7DB163E5"/>
    <w:rsid w:val="7DC124DF"/>
    <w:rsid w:val="7DC46119"/>
    <w:rsid w:val="7DC600E3"/>
    <w:rsid w:val="7DC66335"/>
    <w:rsid w:val="7DC71FDC"/>
    <w:rsid w:val="7DCB56F9"/>
    <w:rsid w:val="7DDB3462"/>
    <w:rsid w:val="7DEC38C1"/>
    <w:rsid w:val="7DED1B13"/>
    <w:rsid w:val="7DF369FE"/>
    <w:rsid w:val="7DFC3B04"/>
    <w:rsid w:val="7E002EC9"/>
    <w:rsid w:val="7E096221"/>
    <w:rsid w:val="7E0B3D48"/>
    <w:rsid w:val="7E0B46AE"/>
    <w:rsid w:val="7E10135E"/>
    <w:rsid w:val="7E1150D6"/>
    <w:rsid w:val="7E176B90"/>
    <w:rsid w:val="7E244E09"/>
    <w:rsid w:val="7E2E3EDA"/>
    <w:rsid w:val="7E307C52"/>
    <w:rsid w:val="7E372D8F"/>
    <w:rsid w:val="7E374B3D"/>
    <w:rsid w:val="7E3A63DB"/>
    <w:rsid w:val="7E3E411D"/>
    <w:rsid w:val="7E53749D"/>
    <w:rsid w:val="7E5B252E"/>
    <w:rsid w:val="7E5C45A3"/>
    <w:rsid w:val="7E663674"/>
    <w:rsid w:val="7E694F12"/>
    <w:rsid w:val="7E6E2E4D"/>
    <w:rsid w:val="7E6F077A"/>
    <w:rsid w:val="7E722019"/>
    <w:rsid w:val="7E7676CE"/>
    <w:rsid w:val="7E7A711F"/>
    <w:rsid w:val="7E8104AE"/>
    <w:rsid w:val="7E81400A"/>
    <w:rsid w:val="7E834226"/>
    <w:rsid w:val="7E837D82"/>
    <w:rsid w:val="7E9B156F"/>
    <w:rsid w:val="7EAF0B77"/>
    <w:rsid w:val="7EB51F05"/>
    <w:rsid w:val="7EB729B4"/>
    <w:rsid w:val="7EBB39C0"/>
    <w:rsid w:val="7EBC7738"/>
    <w:rsid w:val="7EBD6A6B"/>
    <w:rsid w:val="7EBE6F11"/>
    <w:rsid w:val="7EBE700C"/>
    <w:rsid w:val="7EC02D84"/>
    <w:rsid w:val="7EC108AA"/>
    <w:rsid w:val="7EC40A46"/>
    <w:rsid w:val="7EC565EC"/>
    <w:rsid w:val="7EC81C39"/>
    <w:rsid w:val="7ED427A2"/>
    <w:rsid w:val="7ED54355"/>
    <w:rsid w:val="7EE06F82"/>
    <w:rsid w:val="7EE2719E"/>
    <w:rsid w:val="7EE30DF1"/>
    <w:rsid w:val="7EE60311"/>
    <w:rsid w:val="7EED78F1"/>
    <w:rsid w:val="7EEF18BB"/>
    <w:rsid w:val="7EF26CB5"/>
    <w:rsid w:val="7EFC5D86"/>
    <w:rsid w:val="7F01514B"/>
    <w:rsid w:val="7F0215EE"/>
    <w:rsid w:val="7F0F1615"/>
    <w:rsid w:val="7F121106"/>
    <w:rsid w:val="7F17496E"/>
    <w:rsid w:val="7F1B26B0"/>
    <w:rsid w:val="7F1D7197"/>
    <w:rsid w:val="7F1F1200"/>
    <w:rsid w:val="7F272E03"/>
    <w:rsid w:val="7F280929"/>
    <w:rsid w:val="7F2826D7"/>
    <w:rsid w:val="7F3217A8"/>
    <w:rsid w:val="7F364DF4"/>
    <w:rsid w:val="7F3A42DA"/>
    <w:rsid w:val="7F4B32F8"/>
    <w:rsid w:val="7F533BF8"/>
    <w:rsid w:val="7F546400"/>
    <w:rsid w:val="7F596D35"/>
    <w:rsid w:val="7F5B0CFF"/>
    <w:rsid w:val="7F5D6825"/>
    <w:rsid w:val="7F6000C3"/>
    <w:rsid w:val="7F604567"/>
    <w:rsid w:val="7F627118"/>
    <w:rsid w:val="7F6A0F42"/>
    <w:rsid w:val="7F743B6E"/>
    <w:rsid w:val="7F762AF8"/>
    <w:rsid w:val="7F765B38"/>
    <w:rsid w:val="7F784A39"/>
    <w:rsid w:val="7F7D2A23"/>
    <w:rsid w:val="7F7E49ED"/>
    <w:rsid w:val="7F806B50"/>
    <w:rsid w:val="7F833D8D"/>
    <w:rsid w:val="7F89586C"/>
    <w:rsid w:val="7F8A4872"/>
    <w:rsid w:val="7F8B1AD7"/>
    <w:rsid w:val="7F985AAF"/>
    <w:rsid w:val="7F9F0DD2"/>
    <w:rsid w:val="7FA44454"/>
    <w:rsid w:val="7FA91A6A"/>
    <w:rsid w:val="7FB14DC3"/>
    <w:rsid w:val="7FB81CAD"/>
    <w:rsid w:val="7FB83A5B"/>
    <w:rsid w:val="7FBE4DEA"/>
    <w:rsid w:val="7FC225F7"/>
    <w:rsid w:val="7FC22B2C"/>
    <w:rsid w:val="7FC76394"/>
    <w:rsid w:val="7FCB7C32"/>
    <w:rsid w:val="7FCC7507"/>
    <w:rsid w:val="7FCE59B4"/>
    <w:rsid w:val="7FCE7723"/>
    <w:rsid w:val="7FD840FD"/>
    <w:rsid w:val="7FE02FB2"/>
    <w:rsid w:val="7FE23868"/>
    <w:rsid w:val="7FE24F7C"/>
    <w:rsid w:val="7FE42AA2"/>
    <w:rsid w:val="7FE44850"/>
    <w:rsid w:val="7FE50608"/>
    <w:rsid w:val="7FEE56CF"/>
    <w:rsid w:val="7FF30F37"/>
    <w:rsid w:val="7FF802FC"/>
    <w:rsid w:val="7FF8654D"/>
    <w:rsid w:val="7FFA22C6"/>
    <w:rsid w:val="7FFA4074"/>
    <w:rsid w:val="7FFC4290"/>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4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0"/>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52"/>
    <w:autoRedefine/>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53"/>
    <w:autoRedefine/>
    <w:qFormat/>
    <w:uiPriority w:val="0"/>
    <w:pPr>
      <w:keepNext/>
      <w:keepLines/>
      <w:numPr>
        <w:ilvl w:val="5"/>
        <w:numId w:val="1"/>
      </w:numPr>
      <w:spacing w:before="240" w:after="64" w:line="320" w:lineRule="auto"/>
      <w:outlineLvl w:val="5"/>
    </w:pPr>
    <w:rPr>
      <w:rFonts w:ascii="Arial" w:hAnsi="Arial" w:eastAsia="黑体"/>
      <w:b/>
      <w:szCs w:val="20"/>
    </w:rPr>
  </w:style>
  <w:style w:type="character" w:default="1" w:styleId="42">
    <w:name w:val="Default Paragraph Font"/>
    <w:autoRedefine/>
    <w:semiHidden/>
    <w:qFormat/>
    <w:uiPriority w:val="0"/>
  </w:style>
  <w:style w:type="table" w:default="1" w:styleId="40">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Body Text"/>
    <w:basedOn w:val="1"/>
    <w:next w:val="3"/>
    <w:link w:val="56"/>
    <w:autoRedefine/>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line="360" w:lineRule="atLeast"/>
      <w:jc w:val="center"/>
    </w:pPr>
    <w:rPr>
      <w:rFonts w:ascii="仿宋_GB2312" w:hAnsi="Dotum" w:eastAsia="仿宋_GB2312" w:cs="Times New Roman"/>
      <w:sz w:val="28"/>
    </w:rPr>
  </w:style>
  <w:style w:type="paragraph" w:styleId="10">
    <w:name w:val="toc 7"/>
    <w:basedOn w:val="1"/>
    <w:next w:val="1"/>
    <w:link w:val="54"/>
    <w:autoRedefine/>
    <w:qFormat/>
    <w:uiPriority w:val="39"/>
    <w:pPr>
      <w:ind w:left="2520" w:leftChars="1200"/>
    </w:pPr>
  </w:style>
  <w:style w:type="paragraph" w:styleId="11">
    <w:name w:val="Normal Indent"/>
    <w:basedOn w:val="1"/>
    <w:next w:val="12"/>
    <w:autoRedefine/>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autoRedefine/>
    <w:unhideWhenUsed/>
    <w:qFormat/>
    <w:uiPriority w:val="0"/>
    <w:pPr>
      <w:spacing w:before="120" w:beforeLines="0" w:afterLines="0"/>
    </w:pPr>
    <w:rPr>
      <w:rFonts w:hint="default" w:ascii="Cambria" w:hAnsi="Cambria"/>
      <w:sz w:val="24"/>
    </w:rPr>
  </w:style>
  <w:style w:type="paragraph" w:styleId="13">
    <w:name w:val="annotation text"/>
    <w:basedOn w:val="1"/>
    <w:link w:val="55"/>
    <w:autoRedefine/>
    <w:qFormat/>
    <w:uiPriority w:val="99"/>
    <w:pPr>
      <w:jc w:val="left"/>
    </w:pPr>
  </w:style>
  <w:style w:type="paragraph" w:styleId="14">
    <w:name w:val="Body Text Indent"/>
    <w:basedOn w:val="1"/>
    <w:autoRedefine/>
    <w:qFormat/>
    <w:uiPriority w:val="0"/>
    <w:pPr>
      <w:spacing w:line="360" w:lineRule="auto"/>
      <w:ind w:firstLine="570"/>
    </w:pPr>
    <w:rPr>
      <w:sz w:val="2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39"/>
    <w:pPr>
      <w:tabs>
        <w:tab w:val="left" w:pos="1260"/>
        <w:tab w:val="right" w:leader="dot" w:pos="8630"/>
      </w:tabs>
      <w:ind w:left="840" w:leftChars="400"/>
    </w:pPr>
  </w:style>
  <w:style w:type="paragraph" w:styleId="17">
    <w:name w:val="Plain Text"/>
    <w:basedOn w:val="1"/>
    <w:next w:val="11"/>
    <w:link w:val="57"/>
    <w:autoRedefine/>
    <w:qFormat/>
    <w:uiPriority w:val="0"/>
    <w:rPr>
      <w:rFonts w:ascii="宋体" w:hAnsi="Courier New"/>
      <w:szCs w:val="20"/>
    </w:rPr>
  </w:style>
  <w:style w:type="paragraph" w:styleId="18">
    <w:name w:val="toc 8"/>
    <w:basedOn w:val="1"/>
    <w:next w:val="1"/>
    <w:autoRedefine/>
    <w:qFormat/>
    <w:uiPriority w:val="39"/>
    <w:pPr>
      <w:ind w:left="2940" w:leftChars="1400"/>
    </w:pPr>
  </w:style>
  <w:style w:type="paragraph" w:styleId="19">
    <w:name w:val="Date"/>
    <w:basedOn w:val="1"/>
    <w:next w:val="1"/>
    <w:link w:val="58"/>
    <w:autoRedefine/>
    <w:qFormat/>
    <w:uiPriority w:val="0"/>
    <w:pPr>
      <w:ind w:left="100" w:leftChars="2500"/>
    </w:pPr>
    <w:rPr>
      <w:rFonts w:ascii="仿宋_GB2312" w:hAnsi="宋体" w:eastAsia="仿宋_GB2312"/>
      <w:color w:val="000000"/>
      <w:sz w:val="24"/>
    </w:rPr>
  </w:style>
  <w:style w:type="paragraph" w:styleId="20">
    <w:name w:val="Body Text Indent 2"/>
    <w:basedOn w:val="1"/>
    <w:link w:val="59"/>
    <w:autoRedefine/>
    <w:qFormat/>
    <w:uiPriority w:val="0"/>
    <w:pPr>
      <w:ind w:firstLine="480" w:firstLineChars="200"/>
    </w:pPr>
    <w:rPr>
      <w:rFonts w:ascii="仿宋_GB2312" w:eastAsia="仿宋_GB2312"/>
      <w:sz w:val="24"/>
    </w:rPr>
  </w:style>
  <w:style w:type="paragraph" w:styleId="21">
    <w:name w:val="Balloon Text"/>
    <w:basedOn w:val="1"/>
    <w:link w:val="60"/>
    <w:autoRedefine/>
    <w:qFormat/>
    <w:uiPriority w:val="0"/>
    <w:rPr>
      <w:sz w:val="18"/>
      <w:szCs w:val="18"/>
    </w:rPr>
  </w:style>
  <w:style w:type="paragraph" w:styleId="22">
    <w:name w:val="footer"/>
    <w:basedOn w:val="1"/>
    <w:autoRedefine/>
    <w:qFormat/>
    <w:uiPriority w:val="0"/>
    <w:pPr>
      <w:tabs>
        <w:tab w:val="center" w:pos="4153"/>
        <w:tab w:val="right" w:pos="8306"/>
      </w:tabs>
      <w:snapToGrid w:val="0"/>
      <w:jc w:val="left"/>
    </w:pPr>
    <w:rPr>
      <w:sz w:val="18"/>
    </w:rPr>
  </w:style>
  <w:style w:type="paragraph" w:styleId="23">
    <w:name w:val="header"/>
    <w:basedOn w:val="1"/>
    <w:next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List"/>
    <w:basedOn w:val="1"/>
    <w:autoRedefine/>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paragraph" w:styleId="27">
    <w:name w:val="footnote text"/>
    <w:basedOn w:val="1"/>
    <w:link w:val="62"/>
    <w:autoRedefine/>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28">
    <w:name w:val="toc 6"/>
    <w:basedOn w:val="1"/>
    <w:next w:val="1"/>
    <w:autoRedefine/>
    <w:qFormat/>
    <w:uiPriority w:val="39"/>
    <w:pPr>
      <w:ind w:left="2100" w:leftChars="1000"/>
    </w:pPr>
  </w:style>
  <w:style w:type="paragraph" w:styleId="2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39"/>
    <w:pPr>
      <w:ind w:left="3360" w:leftChars="1600"/>
    </w:p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next w:val="34"/>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24"/>
      <w:lang w:val="en-US" w:eastAsia="zh-CN" w:bidi="ar"/>
    </w:rPr>
  </w:style>
  <w:style w:type="paragraph" w:customStyle="1" w:styleId="3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35">
    <w:name w:val="index 1"/>
    <w:basedOn w:val="1"/>
    <w:next w:val="1"/>
    <w:autoRedefine/>
    <w:semiHidden/>
    <w:qFormat/>
    <w:uiPriority w:val="0"/>
    <w:rPr>
      <w:szCs w:val="20"/>
    </w:rPr>
  </w:style>
  <w:style w:type="paragraph" w:styleId="36">
    <w:name w:val="Title"/>
    <w:basedOn w:val="1"/>
    <w:autoRedefine/>
    <w:qFormat/>
    <w:uiPriority w:val="0"/>
    <w:pPr>
      <w:spacing w:before="240" w:after="60"/>
      <w:jc w:val="center"/>
      <w:outlineLvl w:val="0"/>
    </w:pPr>
    <w:rPr>
      <w:rFonts w:ascii="Arial" w:hAnsi="Arial" w:cs="Arial"/>
      <w:b/>
      <w:bCs/>
      <w:sz w:val="32"/>
      <w:szCs w:val="32"/>
    </w:rPr>
  </w:style>
  <w:style w:type="paragraph" w:styleId="37">
    <w:name w:val="annotation subject"/>
    <w:basedOn w:val="13"/>
    <w:next w:val="13"/>
    <w:link w:val="63"/>
    <w:autoRedefine/>
    <w:qFormat/>
    <w:uiPriority w:val="0"/>
    <w:rPr>
      <w:b/>
      <w:bCs/>
    </w:rPr>
  </w:style>
  <w:style w:type="paragraph" w:styleId="38">
    <w:name w:val="Body Text First Indent"/>
    <w:basedOn w:val="2"/>
    <w:next w:val="1"/>
    <w:autoRedefine/>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9">
    <w:name w:val="Body Text First Indent 2"/>
    <w:basedOn w:val="14"/>
    <w:autoRedefine/>
    <w:qFormat/>
    <w:uiPriority w:val="0"/>
    <w:pPr>
      <w:ind w:firstLine="420" w:firstLineChars="200"/>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22"/>
    <w:rPr>
      <w:b/>
    </w:rPr>
  </w:style>
  <w:style w:type="character" w:styleId="44">
    <w:name w:val="page number"/>
    <w:basedOn w:val="42"/>
    <w:autoRedefine/>
    <w:qFormat/>
    <w:uiPriority w:val="0"/>
  </w:style>
  <w:style w:type="character" w:styleId="45">
    <w:name w:val="Emphasis"/>
    <w:basedOn w:val="42"/>
    <w:autoRedefine/>
    <w:qFormat/>
    <w:uiPriority w:val="0"/>
  </w:style>
  <w:style w:type="character" w:styleId="46">
    <w:name w:val="Hyperlink"/>
    <w:basedOn w:val="42"/>
    <w:autoRedefine/>
    <w:qFormat/>
    <w:uiPriority w:val="99"/>
    <w:rPr>
      <w:color w:val="2B2B2B"/>
      <w:u w:val="none"/>
    </w:rPr>
  </w:style>
  <w:style w:type="character" w:styleId="47">
    <w:name w:val="annotation reference"/>
    <w:autoRedefine/>
    <w:qFormat/>
    <w:uiPriority w:val="99"/>
    <w:rPr>
      <w:sz w:val="21"/>
      <w:szCs w:val="21"/>
    </w:rPr>
  </w:style>
  <w:style w:type="character" w:customStyle="1" w:styleId="48">
    <w:name w:val="标题 1 Char"/>
    <w:link w:val="4"/>
    <w:autoRedefine/>
    <w:qFormat/>
    <w:uiPriority w:val="0"/>
    <w:rPr>
      <w:rFonts w:ascii="宋体"/>
      <w:b/>
      <w:kern w:val="44"/>
      <w:sz w:val="32"/>
    </w:rPr>
  </w:style>
  <w:style w:type="character" w:customStyle="1" w:styleId="49">
    <w:name w:val="标题 2 Char"/>
    <w:link w:val="5"/>
    <w:autoRedefine/>
    <w:qFormat/>
    <w:uiPriority w:val="0"/>
    <w:rPr>
      <w:rFonts w:ascii="Arial" w:hAnsi="Arial" w:eastAsia="黑体"/>
      <w:b/>
      <w:sz w:val="30"/>
    </w:rPr>
  </w:style>
  <w:style w:type="character" w:customStyle="1" w:styleId="50">
    <w:name w:val="标题 3 Char"/>
    <w:link w:val="6"/>
    <w:autoRedefine/>
    <w:qFormat/>
    <w:uiPriority w:val="0"/>
    <w:rPr>
      <w:rFonts w:ascii="宋体"/>
      <w:b/>
      <w:sz w:val="24"/>
      <w:u w:val="single"/>
    </w:rPr>
  </w:style>
  <w:style w:type="character" w:customStyle="1" w:styleId="51">
    <w:name w:val="标题 4 Char"/>
    <w:link w:val="7"/>
    <w:autoRedefine/>
    <w:qFormat/>
    <w:uiPriority w:val="0"/>
    <w:rPr>
      <w:rFonts w:ascii="Arial" w:hAnsi="Arial" w:eastAsia="黑体"/>
      <w:b/>
      <w:bCs/>
      <w:sz w:val="28"/>
      <w:szCs w:val="28"/>
    </w:rPr>
  </w:style>
  <w:style w:type="character" w:customStyle="1" w:styleId="52">
    <w:name w:val="标题 5 Char"/>
    <w:link w:val="8"/>
    <w:autoRedefine/>
    <w:qFormat/>
    <w:uiPriority w:val="0"/>
    <w:rPr>
      <w:b/>
      <w:sz w:val="28"/>
      <w:szCs w:val="20"/>
    </w:rPr>
  </w:style>
  <w:style w:type="character" w:customStyle="1" w:styleId="53">
    <w:name w:val="标题 6 Char"/>
    <w:link w:val="9"/>
    <w:autoRedefine/>
    <w:qFormat/>
    <w:uiPriority w:val="0"/>
    <w:rPr>
      <w:rFonts w:ascii="Arial" w:hAnsi="Arial" w:eastAsia="黑体"/>
      <w:b/>
      <w:szCs w:val="20"/>
    </w:rPr>
  </w:style>
  <w:style w:type="character" w:customStyle="1" w:styleId="54">
    <w:name w:val="目录 7 Char"/>
    <w:link w:val="10"/>
    <w:autoRedefine/>
    <w:qFormat/>
    <w:uiPriority w:val="39"/>
  </w:style>
  <w:style w:type="character" w:customStyle="1" w:styleId="55">
    <w:name w:val="批注文字 Char"/>
    <w:link w:val="13"/>
    <w:autoRedefine/>
    <w:qFormat/>
    <w:uiPriority w:val="99"/>
    <w:rPr>
      <w:kern w:val="2"/>
      <w:sz w:val="21"/>
      <w:szCs w:val="24"/>
    </w:rPr>
  </w:style>
  <w:style w:type="character" w:customStyle="1" w:styleId="56">
    <w:name w:val="正文文本 Char"/>
    <w:link w:val="2"/>
    <w:autoRedefine/>
    <w:qFormat/>
    <w:uiPriority w:val="0"/>
    <w:rPr>
      <w:rFonts w:ascii="宋体" w:hAnsi="宋体"/>
      <w:kern w:val="2"/>
      <w:sz w:val="24"/>
      <w:szCs w:val="24"/>
    </w:rPr>
  </w:style>
  <w:style w:type="character" w:customStyle="1" w:styleId="57">
    <w:name w:val="纯文本 Char"/>
    <w:link w:val="17"/>
    <w:autoRedefine/>
    <w:qFormat/>
    <w:uiPriority w:val="0"/>
    <w:rPr>
      <w:rFonts w:ascii="宋体" w:hAnsi="Courier New"/>
      <w:kern w:val="2"/>
      <w:sz w:val="21"/>
    </w:rPr>
  </w:style>
  <w:style w:type="character" w:customStyle="1" w:styleId="58">
    <w:name w:val="日期 Char"/>
    <w:link w:val="19"/>
    <w:autoRedefine/>
    <w:qFormat/>
    <w:uiPriority w:val="0"/>
    <w:rPr>
      <w:rFonts w:ascii="仿宋_GB2312" w:hAnsi="宋体" w:eastAsia="仿宋_GB2312"/>
      <w:color w:val="000000"/>
      <w:kern w:val="2"/>
      <w:sz w:val="24"/>
      <w:szCs w:val="24"/>
    </w:rPr>
  </w:style>
  <w:style w:type="character" w:customStyle="1" w:styleId="59">
    <w:name w:val="正文文本缩进 2 Char"/>
    <w:link w:val="20"/>
    <w:autoRedefine/>
    <w:qFormat/>
    <w:uiPriority w:val="0"/>
    <w:rPr>
      <w:rFonts w:ascii="仿宋_GB2312" w:eastAsia="仿宋_GB2312"/>
      <w:sz w:val="24"/>
    </w:rPr>
  </w:style>
  <w:style w:type="character" w:customStyle="1" w:styleId="60">
    <w:name w:val="批注框文本 Char"/>
    <w:link w:val="21"/>
    <w:autoRedefine/>
    <w:qFormat/>
    <w:uiPriority w:val="0"/>
    <w:rPr>
      <w:kern w:val="2"/>
      <w:sz w:val="18"/>
      <w:szCs w:val="18"/>
    </w:rPr>
  </w:style>
  <w:style w:type="character" w:customStyle="1" w:styleId="61">
    <w:name w:val="页眉 Char"/>
    <w:link w:val="23"/>
    <w:autoRedefine/>
    <w:qFormat/>
    <w:uiPriority w:val="0"/>
    <w:rPr>
      <w:kern w:val="2"/>
      <w:sz w:val="18"/>
      <w:szCs w:val="18"/>
    </w:rPr>
  </w:style>
  <w:style w:type="character" w:customStyle="1" w:styleId="62">
    <w:name w:val="脚注文本 Char"/>
    <w:basedOn w:val="42"/>
    <w:link w:val="27"/>
    <w:autoRedefine/>
    <w:qFormat/>
    <w:uiPriority w:val="0"/>
    <w:rPr>
      <w:rFonts w:hint="default" w:ascii="Times New Roman" w:hAnsi="Times New Roman" w:eastAsia="宋体" w:cs="Times New Roman"/>
      <w:sz w:val="18"/>
      <w:szCs w:val="18"/>
    </w:rPr>
  </w:style>
  <w:style w:type="character" w:customStyle="1" w:styleId="63">
    <w:name w:val="批注主题 Char"/>
    <w:link w:val="37"/>
    <w:autoRedefine/>
    <w:qFormat/>
    <w:uiPriority w:val="0"/>
    <w:rPr>
      <w:b/>
      <w:bCs/>
      <w:kern w:val="2"/>
      <w:sz w:val="21"/>
      <w:szCs w:val="24"/>
    </w:rPr>
  </w:style>
  <w:style w:type="paragraph" w:customStyle="1" w:styleId="64">
    <w:name w:val="表格文字"/>
    <w:basedOn w:val="1"/>
    <w:next w:val="2"/>
    <w:autoRedefine/>
    <w:qFormat/>
    <w:uiPriority w:val="0"/>
    <w:pPr>
      <w:spacing w:before="25" w:after="25"/>
      <w:jc w:val="left"/>
    </w:pPr>
    <w:rPr>
      <w:bCs/>
      <w:spacing w:val="10"/>
      <w:kern w:val="0"/>
      <w:sz w:val="24"/>
      <w:szCs w:val="20"/>
    </w:rPr>
  </w:style>
  <w:style w:type="paragraph" w:customStyle="1" w:styleId="65">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66">
    <w:name w:val="font01"/>
    <w:basedOn w:val="42"/>
    <w:autoRedefine/>
    <w:qFormat/>
    <w:uiPriority w:val="0"/>
    <w:rPr>
      <w:rFonts w:hint="eastAsia" w:ascii="宋体" w:hAnsi="宋体" w:eastAsia="宋体" w:cs="宋体"/>
      <w:color w:val="000000"/>
      <w:sz w:val="24"/>
      <w:szCs w:val="24"/>
      <w:u w:val="none"/>
    </w:rPr>
  </w:style>
  <w:style w:type="character" w:customStyle="1" w:styleId="67">
    <w:name w:val="font61"/>
    <w:basedOn w:val="42"/>
    <w:autoRedefine/>
    <w:qFormat/>
    <w:uiPriority w:val="0"/>
    <w:rPr>
      <w:rFonts w:hint="eastAsia" w:ascii="仿宋" w:hAnsi="仿宋" w:eastAsia="仿宋" w:cs="仿宋"/>
      <w:color w:val="000000"/>
      <w:sz w:val="24"/>
      <w:szCs w:val="24"/>
      <w:u w:val="none"/>
    </w:rPr>
  </w:style>
  <w:style w:type="character" w:customStyle="1" w:styleId="68">
    <w:name w:val="font11"/>
    <w:basedOn w:val="42"/>
    <w:autoRedefine/>
    <w:qFormat/>
    <w:uiPriority w:val="0"/>
    <w:rPr>
      <w:rFonts w:hint="eastAsia" w:ascii="仿宋" w:hAnsi="仿宋" w:eastAsia="仿宋" w:cs="仿宋"/>
      <w:color w:val="000000"/>
      <w:sz w:val="24"/>
      <w:szCs w:val="24"/>
      <w:u w:val="none"/>
    </w:rPr>
  </w:style>
  <w:style w:type="character" w:customStyle="1" w:styleId="69">
    <w:name w:val="正文缩进 Char1"/>
    <w:link w:val="70"/>
    <w:autoRedefine/>
    <w:qFormat/>
    <w:uiPriority w:val="0"/>
    <w:rPr>
      <w:rFonts w:ascii="宋体"/>
      <w:sz w:val="24"/>
    </w:rPr>
  </w:style>
  <w:style w:type="paragraph" w:customStyle="1" w:styleId="70">
    <w:name w:val="正文缩进1"/>
    <w:basedOn w:val="1"/>
    <w:link w:val="69"/>
    <w:autoRedefine/>
    <w:qFormat/>
    <w:uiPriority w:val="0"/>
    <w:pPr>
      <w:autoSpaceDE w:val="0"/>
      <w:autoSpaceDN w:val="0"/>
      <w:adjustRightInd w:val="0"/>
      <w:ind w:firstLine="420"/>
      <w:jc w:val="left"/>
    </w:pPr>
    <w:rPr>
      <w:rFonts w:ascii="宋体"/>
      <w:kern w:val="0"/>
      <w:sz w:val="24"/>
      <w:szCs w:val="20"/>
    </w:rPr>
  </w:style>
  <w:style w:type="character" w:customStyle="1" w:styleId="71">
    <w:name w:val="font31"/>
    <w:basedOn w:val="42"/>
    <w:autoRedefine/>
    <w:qFormat/>
    <w:uiPriority w:val="0"/>
    <w:rPr>
      <w:rFonts w:ascii="Arial" w:hAnsi="Arial" w:cs="Arial"/>
      <w:color w:val="000000"/>
      <w:sz w:val="24"/>
      <w:szCs w:val="24"/>
      <w:u w:val="none"/>
    </w:rPr>
  </w:style>
  <w:style w:type="character" w:customStyle="1" w:styleId="72">
    <w:name w:val="纯文本 Char1"/>
    <w:link w:val="73"/>
    <w:autoRedefine/>
    <w:qFormat/>
    <w:uiPriority w:val="0"/>
    <w:rPr>
      <w:rFonts w:ascii="宋体" w:hAnsi="Courier New"/>
    </w:rPr>
  </w:style>
  <w:style w:type="paragraph" w:customStyle="1" w:styleId="73">
    <w:name w:val="纯文本1"/>
    <w:basedOn w:val="1"/>
    <w:link w:val="72"/>
    <w:autoRedefine/>
    <w:qFormat/>
    <w:uiPriority w:val="0"/>
    <w:rPr>
      <w:rFonts w:ascii="宋体" w:hAnsi="Courier New"/>
      <w:kern w:val="0"/>
      <w:sz w:val="20"/>
      <w:szCs w:val="20"/>
    </w:rPr>
  </w:style>
  <w:style w:type="character" w:customStyle="1" w:styleId="74">
    <w:name w:val="font91"/>
    <w:autoRedefine/>
    <w:qFormat/>
    <w:uiPriority w:val="0"/>
    <w:rPr>
      <w:rFonts w:hint="eastAsia" w:ascii="宋体" w:hAnsi="宋体" w:eastAsia="宋体" w:cs="宋体"/>
      <w:color w:val="000000"/>
      <w:sz w:val="21"/>
      <w:szCs w:val="21"/>
      <w:u w:val="none"/>
    </w:rPr>
  </w:style>
  <w:style w:type="character" w:customStyle="1" w:styleId="75">
    <w:name w:val="批注文字 Char1"/>
    <w:autoRedefine/>
    <w:semiHidden/>
    <w:qFormat/>
    <w:uiPriority w:val="99"/>
    <w:rPr>
      <w:kern w:val="2"/>
      <w:sz w:val="21"/>
      <w:szCs w:val="24"/>
    </w:rPr>
  </w:style>
  <w:style w:type="character" w:customStyle="1" w:styleId="76">
    <w:name w:val="font21"/>
    <w:basedOn w:val="42"/>
    <w:autoRedefine/>
    <w:qFormat/>
    <w:uiPriority w:val="0"/>
    <w:rPr>
      <w:rFonts w:hint="eastAsia" w:ascii="仿宋" w:hAnsi="仿宋" w:eastAsia="仿宋" w:cs="仿宋"/>
      <w:color w:val="000000"/>
      <w:sz w:val="24"/>
      <w:szCs w:val="24"/>
      <w:u w:val="none"/>
    </w:rPr>
  </w:style>
  <w:style w:type="character" w:customStyle="1" w:styleId="77">
    <w:name w:val="font112"/>
    <w:basedOn w:val="42"/>
    <w:autoRedefine/>
    <w:qFormat/>
    <w:uiPriority w:val="0"/>
    <w:rPr>
      <w:rFonts w:hint="eastAsia" w:ascii="宋体" w:hAnsi="宋体" w:eastAsia="宋体" w:cs="宋体"/>
      <w:color w:val="000000"/>
      <w:sz w:val="24"/>
      <w:szCs w:val="24"/>
      <w:u w:val="none"/>
    </w:rPr>
  </w:style>
  <w:style w:type="character" w:customStyle="1" w:styleId="78">
    <w:name w:val="font131"/>
    <w:autoRedefine/>
    <w:qFormat/>
    <w:uiPriority w:val="0"/>
    <w:rPr>
      <w:rFonts w:hint="eastAsia" w:ascii="宋体" w:hAnsi="宋体" w:eastAsia="宋体" w:cs="宋体"/>
      <w:color w:val="000000"/>
      <w:sz w:val="21"/>
      <w:szCs w:val="21"/>
      <w:u w:val="none"/>
    </w:rPr>
  </w:style>
  <w:style w:type="character" w:customStyle="1" w:styleId="79">
    <w:name w:val="批注主题 Char1"/>
    <w:autoRedefine/>
    <w:semiHidden/>
    <w:qFormat/>
    <w:uiPriority w:val="99"/>
    <w:rPr>
      <w:b/>
      <w:bCs/>
      <w:kern w:val="2"/>
      <w:sz w:val="21"/>
      <w:szCs w:val="24"/>
    </w:rPr>
  </w:style>
  <w:style w:type="character" w:customStyle="1" w:styleId="80">
    <w:name w:val="批注框文本 Char1"/>
    <w:autoRedefine/>
    <w:semiHidden/>
    <w:qFormat/>
    <w:uiPriority w:val="99"/>
    <w:rPr>
      <w:kern w:val="2"/>
      <w:sz w:val="18"/>
      <w:szCs w:val="18"/>
    </w:rPr>
  </w:style>
  <w:style w:type="character" w:customStyle="1" w:styleId="81">
    <w:name w:val="font51"/>
    <w:basedOn w:val="42"/>
    <w:autoRedefine/>
    <w:qFormat/>
    <w:uiPriority w:val="0"/>
    <w:rPr>
      <w:rFonts w:ascii="Arial" w:hAnsi="Arial" w:cs="Arial"/>
      <w:color w:val="000000"/>
      <w:sz w:val="24"/>
      <w:szCs w:val="24"/>
      <w:u w:val="none"/>
    </w:rPr>
  </w:style>
  <w:style w:type="character" w:customStyle="1" w:styleId="82">
    <w:name w:val="font81"/>
    <w:basedOn w:val="42"/>
    <w:autoRedefine/>
    <w:qFormat/>
    <w:uiPriority w:val="0"/>
    <w:rPr>
      <w:rFonts w:ascii="Noto Sans Mono CJK JP Regular" w:hAnsi="Noto Sans Mono CJK JP Regular" w:eastAsia="Noto Sans Mono CJK JP Regular" w:cs="Noto Sans Mono CJK JP Regular"/>
      <w:color w:val="000000"/>
      <w:sz w:val="22"/>
      <w:szCs w:val="22"/>
      <w:u w:val="none"/>
    </w:rPr>
  </w:style>
  <w:style w:type="paragraph" w:customStyle="1" w:styleId="83">
    <w:name w:val="列表段落1"/>
    <w:basedOn w:val="1"/>
    <w:autoRedefine/>
    <w:qFormat/>
    <w:uiPriority w:val="34"/>
    <w:pPr>
      <w:ind w:firstLine="420" w:firstLineChars="200"/>
    </w:pPr>
  </w:style>
  <w:style w:type="paragraph" w:customStyle="1" w:styleId="84">
    <w:name w:val="Heading 5"/>
    <w:basedOn w:val="1"/>
    <w:autoRedefine/>
    <w:qFormat/>
    <w:uiPriority w:val="1"/>
    <w:pPr>
      <w:spacing w:before="46"/>
      <w:ind w:left="1146"/>
      <w:jc w:val="center"/>
      <w:outlineLvl w:val="5"/>
    </w:pPr>
    <w:rPr>
      <w:rFonts w:ascii="黑体" w:hAnsi="黑体" w:eastAsia="黑体" w:cs="黑体"/>
      <w:b/>
      <w:bCs/>
      <w:sz w:val="28"/>
      <w:szCs w:val="28"/>
    </w:rPr>
  </w:style>
  <w:style w:type="paragraph" w:customStyle="1" w:styleId="85">
    <w:name w:val="列出段落2"/>
    <w:basedOn w:val="1"/>
    <w:autoRedefine/>
    <w:qFormat/>
    <w:uiPriority w:val="1"/>
    <w:pPr>
      <w:ind w:left="107" w:firstLine="480"/>
    </w:pPr>
  </w:style>
  <w:style w:type="paragraph" w:customStyle="1" w:styleId="86">
    <w:name w:val="_Style 0"/>
    <w:autoRedefine/>
    <w:qFormat/>
    <w:uiPriority w:val="1"/>
    <w:pPr>
      <w:adjustRightInd w:val="0"/>
      <w:snapToGrid w:val="0"/>
    </w:pPr>
    <w:rPr>
      <w:rFonts w:ascii="Tahoma" w:hAnsi="Tahoma" w:eastAsia="宋体" w:cs="Times New Roman"/>
      <w:kern w:val="0"/>
      <w:sz w:val="22"/>
      <w:szCs w:val="22"/>
      <w:lang w:val="en-US" w:eastAsia="zh-CN" w:bidi="ar-SA"/>
    </w:rPr>
  </w:style>
  <w:style w:type="paragraph" w:customStyle="1" w:styleId="87">
    <w:name w:val="索引 11"/>
    <w:basedOn w:val="1"/>
    <w:next w:val="1"/>
    <w:autoRedefine/>
    <w:qFormat/>
    <w:uiPriority w:val="0"/>
    <w:pPr>
      <w:spacing w:line="360" w:lineRule="auto"/>
    </w:pPr>
    <w:rPr>
      <w:rFonts w:ascii="仿宋_GB2312" w:eastAsia="仿宋_GB2312"/>
      <w:sz w:val="24"/>
      <w:szCs w:val="20"/>
    </w:rPr>
  </w:style>
  <w:style w:type="paragraph" w:styleId="88">
    <w:name w:val="List Paragraph"/>
    <w:basedOn w:val="1"/>
    <w:autoRedefine/>
    <w:qFormat/>
    <w:uiPriority w:val="1"/>
    <w:pPr>
      <w:ind w:left="107" w:firstLine="480"/>
    </w:pPr>
  </w:style>
  <w:style w:type="paragraph" w:customStyle="1" w:styleId="89">
    <w:name w:val="标准正文格式"/>
    <w:basedOn w:val="1"/>
    <w:autoRedefine/>
    <w:qFormat/>
    <w:uiPriority w:val="0"/>
    <w:pPr>
      <w:widowControl/>
      <w:adjustRightInd w:val="0"/>
      <w:spacing w:before="60" w:after="120" w:line="360" w:lineRule="auto"/>
      <w:ind w:firstLine="200" w:firstLineChars="200"/>
      <w:textAlignment w:val="baseline"/>
    </w:pPr>
    <w:rPr>
      <w:rFonts w:ascii="宋体" w:hAnsi="Times New Roman" w:eastAsia="仿宋"/>
      <w:color w:val="000000"/>
      <w:kern w:val="0"/>
      <w:sz w:val="24"/>
      <w:szCs w:val="20"/>
      <w:lang w:val="zh-CN"/>
    </w:rPr>
  </w:style>
  <w:style w:type="paragraph" w:customStyle="1" w:styleId="90">
    <w:name w:val="Heading 3"/>
    <w:basedOn w:val="1"/>
    <w:autoRedefine/>
    <w:qFormat/>
    <w:uiPriority w:val="1"/>
    <w:pPr>
      <w:ind w:left="748"/>
      <w:outlineLvl w:val="3"/>
    </w:pPr>
    <w:rPr>
      <w:b/>
      <w:bCs/>
      <w:sz w:val="32"/>
      <w:szCs w:val="32"/>
    </w:rPr>
  </w:style>
  <w:style w:type="paragraph" w:customStyle="1" w:styleId="91">
    <w:name w:val="列出段落1"/>
    <w:basedOn w:val="1"/>
    <w:autoRedefine/>
    <w:qFormat/>
    <w:uiPriority w:val="0"/>
    <w:pPr>
      <w:ind w:firstLine="420" w:firstLineChars="200"/>
    </w:pPr>
    <w:rPr>
      <w:rFonts w:ascii="Calibri" w:hAnsi="Calibri"/>
      <w:szCs w:val="22"/>
    </w:rPr>
  </w:style>
  <w:style w:type="paragraph" w:styleId="92">
    <w:name w:val="No Spacing"/>
    <w:autoRedefine/>
    <w:qFormat/>
    <w:uiPriority w:val="1"/>
    <w:pPr>
      <w:adjustRightInd w:val="0"/>
      <w:snapToGrid w:val="0"/>
    </w:pPr>
    <w:rPr>
      <w:rFonts w:ascii="Tahoma" w:hAnsi="Tahoma" w:eastAsia="宋体" w:cs="Times New Roman"/>
      <w:kern w:val="0"/>
      <w:sz w:val="22"/>
      <w:szCs w:val="22"/>
      <w:lang w:val="en-US" w:eastAsia="zh-CN" w:bidi="ar-SA"/>
    </w:rPr>
  </w:style>
  <w:style w:type="paragraph" w:customStyle="1" w:styleId="93">
    <w:name w:val="p0"/>
    <w:basedOn w:val="1"/>
    <w:autoRedefine/>
    <w:unhideWhenUsed/>
    <w:qFormat/>
    <w:uiPriority w:val="0"/>
    <w:pPr>
      <w:spacing w:beforeLines="0" w:afterLines="0"/>
    </w:pPr>
    <w:rPr>
      <w:rFonts w:hint="default" w:ascii="Times New Roman" w:hAnsi="Times New Roman" w:eastAsia="宋体"/>
      <w:kern w:val="0"/>
      <w:sz w:val="21"/>
    </w:rPr>
  </w:style>
  <w:style w:type="paragraph" w:customStyle="1" w:styleId="94">
    <w:name w:val="Heading 6"/>
    <w:basedOn w:val="1"/>
    <w:autoRedefine/>
    <w:qFormat/>
    <w:uiPriority w:val="1"/>
    <w:pPr>
      <w:ind w:left="950" w:hanging="363"/>
      <w:outlineLvl w:val="6"/>
    </w:pPr>
    <w:rPr>
      <w:b/>
      <w:bCs/>
      <w:sz w:val="24"/>
      <w:szCs w:val="24"/>
    </w:rPr>
  </w:style>
  <w:style w:type="paragraph" w:customStyle="1" w:styleId="95">
    <w:name w:val="Table Paragraph"/>
    <w:basedOn w:val="1"/>
    <w:autoRedefine/>
    <w:qFormat/>
    <w:uiPriority w:val="1"/>
    <w:rPr>
      <w:rFonts w:ascii="宋体" w:hAnsi="宋体" w:cs="宋体"/>
      <w:lang w:val="zh-CN" w:bidi="zh-CN"/>
    </w:rPr>
  </w:style>
  <w:style w:type="paragraph" w:customStyle="1" w:styleId="96">
    <w:name w:val="_Style 3"/>
    <w:basedOn w:val="1"/>
    <w:autoRedefine/>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97">
    <w:name w:val="列出段落"/>
    <w:basedOn w:val="1"/>
    <w:autoRedefine/>
    <w:qFormat/>
    <w:uiPriority w:val="34"/>
    <w:pPr>
      <w:widowControl/>
      <w:ind w:firstLine="420" w:firstLineChars="200"/>
      <w:jc w:val="left"/>
    </w:pPr>
    <w:rPr>
      <w:kern w:val="0"/>
      <w:sz w:val="24"/>
    </w:rPr>
  </w:style>
  <w:style w:type="paragraph" w:customStyle="1" w:styleId="98">
    <w:name w:val="Heading 2"/>
    <w:basedOn w:val="1"/>
    <w:autoRedefine/>
    <w:qFormat/>
    <w:uiPriority w:val="1"/>
    <w:pPr>
      <w:spacing w:before="255"/>
      <w:ind w:left="1146" w:right="1424"/>
      <w:jc w:val="center"/>
      <w:outlineLvl w:val="2"/>
    </w:pPr>
    <w:rPr>
      <w:b/>
      <w:bCs/>
      <w:sz w:val="36"/>
      <w:szCs w:val="36"/>
    </w:rPr>
  </w:style>
  <w:style w:type="paragraph" w:customStyle="1" w:styleId="99">
    <w:name w:val="Char"/>
    <w:basedOn w:val="1"/>
    <w:autoRedefine/>
    <w:qFormat/>
    <w:uiPriority w:val="0"/>
    <w:pPr>
      <w:tabs>
        <w:tab w:val="left" w:pos="360"/>
      </w:tabs>
    </w:pPr>
    <w:rPr>
      <w:sz w:val="24"/>
    </w:rPr>
  </w:style>
  <w:style w:type="paragraph" w:customStyle="1" w:styleId="100">
    <w:name w:val="标题2"/>
    <w:basedOn w:val="5"/>
    <w:next w:val="1"/>
    <w:autoRedefine/>
    <w:qFormat/>
    <w:uiPriority w:val="0"/>
    <w:rPr>
      <w:rFonts w:ascii="仿宋_GB2312" w:hAnsi="Arial" w:eastAsia="仿宋_GB2312" w:cs="Times New Roman"/>
      <w:szCs w:val="28"/>
    </w:rPr>
  </w:style>
  <w:style w:type="table" w:customStyle="1" w:styleId="101">
    <w:name w:val="Table Normal"/>
    <w:autoRedefine/>
    <w:unhideWhenUsed/>
    <w:qFormat/>
    <w:uiPriority w:val="2"/>
    <w:tblPr>
      <w:tblCellMar>
        <w:top w:w="0" w:type="dxa"/>
        <w:left w:w="0" w:type="dxa"/>
        <w:bottom w:w="0" w:type="dxa"/>
        <w:right w:w="0" w:type="dxa"/>
      </w:tblCellMar>
    </w:tblPr>
  </w:style>
  <w:style w:type="character" w:customStyle="1" w:styleId="102">
    <w:name w:val="font41"/>
    <w:basedOn w:val="42"/>
    <w:autoRedefine/>
    <w:qFormat/>
    <w:uiPriority w:val="0"/>
    <w:rPr>
      <w:rFonts w:hint="eastAsia" w:ascii="宋体" w:hAnsi="宋体" w:eastAsia="宋体" w:cs="宋体"/>
      <w:color w:val="000000"/>
      <w:sz w:val="22"/>
      <w:szCs w:val="22"/>
      <w:u w:val="none"/>
    </w:rPr>
  </w:style>
  <w:style w:type="paragraph" w:customStyle="1" w:styleId="103">
    <w:name w:val="List Paragraph_5ac2670b-336d-4e21-832f-f0d58d7dc020"/>
    <w:basedOn w:val="1"/>
    <w:autoRedefine/>
    <w:qFormat/>
    <w:uiPriority w:val="34"/>
    <w:pPr>
      <w:ind w:firstLine="420" w:firstLineChars="200"/>
    </w:pPr>
  </w:style>
  <w:style w:type="paragraph" w:customStyle="1" w:styleId="104">
    <w:name w:val="Body text|3"/>
    <w:basedOn w:val="1"/>
    <w:autoRedefine/>
    <w:qFormat/>
    <w:uiPriority w:val="0"/>
    <w:pPr>
      <w:spacing w:after="340"/>
      <w:jc w:val="center"/>
    </w:pPr>
    <w:rPr>
      <w:rFonts w:ascii="宋体" w:hAnsi="宋体" w:eastAsia="宋体" w:cs="宋体"/>
      <w:sz w:val="32"/>
      <w:szCs w:val="32"/>
      <w:lang w:val="zh-TW" w:eastAsia="zh-TW" w:bidi="zh-TW"/>
    </w:rPr>
  </w:style>
  <w:style w:type="paragraph" w:customStyle="1" w:styleId="105">
    <w:name w:val="Body text|1"/>
    <w:basedOn w:val="1"/>
    <w:autoRedefine/>
    <w:qFormat/>
    <w:uiPriority w:val="0"/>
    <w:pPr>
      <w:spacing w:line="396" w:lineRule="auto"/>
    </w:pPr>
    <w:rPr>
      <w:rFonts w:ascii="宋体" w:hAnsi="宋体" w:eastAsia="宋体" w:cs="宋体"/>
      <w:lang w:val="zh-TW" w:eastAsia="zh-TW" w:bidi="zh-TW"/>
    </w:rPr>
  </w:style>
  <w:style w:type="paragraph" w:customStyle="1" w:styleId="106">
    <w:name w:val="列出段落3"/>
    <w:basedOn w:val="1"/>
    <w:autoRedefine/>
    <w:qFormat/>
    <w:uiPriority w:val="1"/>
    <w:pPr>
      <w:ind w:left="107" w:firstLine="480"/>
    </w:pPr>
  </w:style>
  <w:style w:type="paragraph" w:customStyle="1" w:styleId="107">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kern w:val="2"/>
      <w:sz w:val="24"/>
    </w:rPr>
  </w:style>
  <w:style w:type="paragraph" w:customStyle="1" w:styleId="108">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109">
    <w:name w:val="NormalCharacter"/>
    <w:autoRedefine/>
    <w:semiHidden/>
    <w:qFormat/>
    <w:uiPriority w:val="0"/>
  </w:style>
  <w:style w:type="paragraph" w:customStyle="1" w:styleId="110">
    <w:name w:val="_Style 2"/>
    <w:basedOn w:val="1"/>
    <w:autoRedefine/>
    <w:qFormat/>
    <w:uiPriority w:val="0"/>
    <w:pPr>
      <w:ind w:firstLine="200" w:firstLineChars="200"/>
    </w:pPr>
    <w:rPr>
      <w:rFonts w:ascii="Calibri" w:hAnsi="Calibri"/>
      <w:sz w:val="28"/>
      <w:szCs w:val="22"/>
    </w:rPr>
  </w:style>
  <w:style w:type="character" w:customStyle="1" w:styleId="111">
    <w:name w:val="font71"/>
    <w:basedOn w:val="42"/>
    <w:autoRedefine/>
    <w:qFormat/>
    <w:uiPriority w:val="0"/>
    <w:rPr>
      <w:rFonts w:hint="eastAsia" w:ascii="宋体" w:hAnsi="宋体" w:eastAsia="宋体" w:cs="宋体"/>
      <w:color w:val="000000"/>
      <w:sz w:val="24"/>
      <w:szCs w:val="24"/>
      <w:u w:val="none"/>
    </w:rPr>
  </w:style>
  <w:style w:type="character" w:customStyle="1" w:styleId="112">
    <w:name w:val="font111"/>
    <w:basedOn w:val="42"/>
    <w:autoRedefine/>
    <w:qFormat/>
    <w:uiPriority w:val="0"/>
    <w:rPr>
      <w:rFonts w:hint="eastAsia" w:ascii="宋体" w:hAnsi="宋体" w:eastAsia="宋体" w:cs="宋体"/>
      <w:color w:val="000000"/>
      <w:sz w:val="24"/>
      <w:szCs w:val="24"/>
      <w:u w:val="none"/>
    </w:rPr>
  </w:style>
  <w:style w:type="paragraph" w:customStyle="1" w:styleId="113">
    <w:name w:val="_Style 20"/>
    <w:basedOn w:val="1"/>
    <w:autoRedefine/>
    <w:qFormat/>
    <w:uiPriority w:val="0"/>
    <w:rPr>
      <w:rFonts w:ascii="Tahoma" w:hAnsi="Tahoma"/>
      <w:sz w:val="24"/>
      <w:szCs w:val="20"/>
    </w:rPr>
  </w:style>
  <w:style w:type="paragraph" w:customStyle="1" w:styleId="114">
    <w:name w:val="Table Text"/>
    <w:basedOn w:val="1"/>
    <w:autoRedefine/>
    <w:semiHidden/>
    <w:qFormat/>
    <w:uiPriority w:val="0"/>
    <w:rPr>
      <w:rFonts w:ascii="仿宋" w:hAnsi="仿宋" w:eastAsia="仿宋" w:cs="仿宋"/>
      <w:sz w:val="24"/>
      <w:szCs w:val="24"/>
      <w:lang w:val="en-US" w:eastAsia="en-US" w:bidi="ar-SA"/>
    </w:rPr>
  </w:style>
  <w:style w:type="character" w:customStyle="1" w:styleId="115">
    <w:name w:val="标题 1 字符"/>
    <w:link w:val="4"/>
    <w:qFormat/>
    <w:uiPriority w:val="0"/>
    <w:rPr>
      <w:rFonts w:ascii="宋体"/>
      <w:b/>
      <w:kern w:val="44"/>
      <w:sz w:val="32"/>
    </w:rPr>
  </w:style>
  <w:style w:type="paragraph" w:customStyle="1" w:styleId="116">
    <w:name w:val="File1"/>
    <w:qFormat/>
    <w:uiPriority w:val="0"/>
    <w:pPr>
      <w:tabs>
        <w:tab w:val="left" w:pos="1134"/>
      </w:tabs>
      <w:spacing w:line="360" w:lineRule="exact"/>
      <w:ind w:left="540" w:leftChars="540"/>
    </w:pPr>
    <w:rPr>
      <w:rFonts w:ascii="Arial" w:hAnsi="Arial" w:eastAsia="宋体" w:cs="Times New Roman"/>
      <w:spacing w:val="1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97</Pages>
  <Words>10809</Words>
  <Characters>11953</Characters>
  <Lines>234</Lines>
  <Paragraphs>65</Paragraphs>
  <TotalTime>473</TotalTime>
  <ScaleCrop>false</ScaleCrop>
  <LinksUpToDate>false</LinksUpToDate>
  <CharactersWithSpaces>12560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赵睿 19999458925</cp:lastModifiedBy>
  <cp:lastPrinted>2025-08-14T06:46:00Z</cp:lastPrinted>
  <dcterms:modified xsi:type="dcterms:W3CDTF">2026-06-01T10:22:05Z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989CFC52A0D54F89A7715CC7D34DC483_13</vt:lpwstr>
  </property>
  <property fmtid="{D5CDD505-2E9C-101B-9397-08002B2CF9AE}" pid="4" name="KSOTemplateDocerSaveRecord">
    <vt:lpwstr>eyJoZGlkIjoiNzJmNTU1Y2IwZDg4OTQ3YmIwNjg5NThmMDA5OGYwYWIiLCJ1c2VySWQiOiI1MjYwNTU3NzgifQ==</vt:lpwstr>
  </property>
</Properties>
</file>