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DAB0B9">
      <w:pPr>
        <w:spacing w:line="360" w:lineRule="auto"/>
        <w:jc w:val="center"/>
        <w:rPr>
          <w:rFonts w:asciiTheme="minorEastAsia" w:hAnsiTheme="minorEastAsia" w:eastAsiaTheme="minorEastAsia"/>
          <w:b/>
          <w:bCs/>
          <w:sz w:val="56"/>
          <w:szCs w:val="56"/>
        </w:rPr>
      </w:pPr>
      <w:bookmarkStart w:id="0" w:name="_Toc37603093"/>
      <w:bookmarkStart w:id="1" w:name="_Toc458763736"/>
      <w:bookmarkStart w:id="2" w:name="_Hlk521320756"/>
    </w:p>
    <w:p w14:paraId="04741452">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52"/>
          <w:szCs w:val="52"/>
          <w:lang w:eastAsia="zh-CN"/>
        </w:rPr>
        <w:t>新平县2026年柑桔黄龙病统防统治项目防控药剂采购</w:t>
      </w:r>
    </w:p>
    <w:p w14:paraId="66BD1EF4">
      <w:pPr>
        <w:spacing w:line="360" w:lineRule="auto"/>
        <w:jc w:val="center"/>
        <w:rPr>
          <w:rFonts w:asciiTheme="minorEastAsia" w:hAnsiTheme="minorEastAsia" w:eastAsiaTheme="minorEastAsia"/>
          <w:sz w:val="24"/>
          <w:szCs w:val="24"/>
        </w:rPr>
      </w:pPr>
    </w:p>
    <w:p w14:paraId="1FE39BBE">
      <w:pPr>
        <w:spacing w:line="360" w:lineRule="auto"/>
        <w:jc w:val="center"/>
        <w:rPr>
          <w:rFonts w:asciiTheme="minorEastAsia" w:hAnsiTheme="minorEastAsia" w:eastAsiaTheme="minorEastAsia"/>
          <w:sz w:val="24"/>
          <w:szCs w:val="24"/>
        </w:rPr>
      </w:pPr>
    </w:p>
    <w:p w14:paraId="028AF109">
      <w:pPr>
        <w:spacing w:line="360" w:lineRule="auto"/>
        <w:jc w:val="center"/>
        <w:rPr>
          <w:rFonts w:asciiTheme="minorEastAsia" w:hAnsiTheme="minorEastAsia" w:eastAsiaTheme="minorEastAsia"/>
          <w:sz w:val="24"/>
          <w:szCs w:val="24"/>
        </w:rPr>
      </w:pPr>
    </w:p>
    <w:p w14:paraId="5DD0604F">
      <w:pPr>
        <w:spacing w:line="360" w:lineRule="auto"/>
        <w:jc w:val="center"/>
        <w:rPr>
          <w:rFonts w:asciiTheme="minorEastAsia" w:hAnsiTheme="minorEastAsia" w:eastAsiaTheme="minorEastAsia"/>
          <w:sz w:val="24"/>
          <w:szCs w:val="24"/>
        </w:rPr>
      </w:pPr>
    </w:p>
    <w:p w14:paraId="37118D76">
      <w:pPr>
        <w:spacing w:line="360" w:lineRule="auto"/>
        <w:jc w:val="center"/>
        <w:rPr>
          <w:rFonts w:asciiTheme="minorEastAsia" w:hAnsiTheme="minorEastAsia" w:eastAsiaTheme="minorEastAsia"/>
          <w:sz w:val="24"/>
          <w:szCs w:val="24"/>
        </w:rPr>
      </w:pPr>
    </w:p>
    <w:p w14:paraId="00F0B559">
      <w:pPr>
        <w:spacing w:line="360" w:lineRule="auto"/>
        <w:jc w:val="center"/>
        <w:rPr>
          <w:rFonts w:asciiTheme="minorEastAsia" w:hAnsiTheme="minorEastAsia" w:eastAsiaTheme="minorEastAsia"/>
          <w:sz w:val="24"/>
          <w:szCs w:val="24"/>
        </w:rPr>
      </w:pPr>
    </w:p>
    <w:p w14:paraId="3D7D8D1B">
      <w:pPr>
        <w:spacing w:line="360" w:lineRule="auto"/>
        <w:jc w:val="center"/>
        <w:rPr>
          <w:rFonts w:asciiTheme="minorEastAsia" w:hAnsiTheme="minorEastAsia" w:eastAsiaTheme="minorEastAsia"/>
          <w:sz w:val="24"/>
          <w:szCs w:val="24"/>
        </w:rPr>
      </w:pPr>
    </w:p>
    <w:p w14:paraId="6297C83B">
      <w:pPr>
        <w:jc w:val="center"/>
        <w:rPr>
          <w:rFonts w:asciiTheme="minorEastAsia" w:hAnsiTheme="minorEastAsia" w:eastAsiaTheme="minorEastAsia"/>
        </w:rPr>
      </w:pPr>
      <w:r>
        <w:rPr>
          <w:rFonts w:hint="eastAsia" w:ascii="宋体" w:hAnsi="宋体" w:cs="宋体" w:eastAsiaTheme="minorEastAsia"/>
          <w:b/>
          <w:kern w:val="0"/>
          <w:sz w:val="72"/>
          <w:szCs w:val="72"/>
        </w:rPr>
        <w:t>招 标 文 件</w:t>
      </w:r>
    </w:p>
    <w:p w14:paraId="4A5501DD">
      <w:pPr>
        <w:pStyle w:val="340"/>
        <w:spacing w:before="120" w:beforeLines="50" w:line="360" w:lineRule="auto"/>
        <w:rPr>
          <w:rFonts w:hint="eastAsia" w:eastAsia="宋体" w:asciiTheme="minorEastAsia" w:hAnsiTheme="minorEastAsia"/>
          <w:b/>
          <w:color w:val="auto"/>
          <w:sz w:val="32"/>
          <w:szCs w:val="32"/>
          <w:highlight w:val="none"/>
          <w:lang w:eastAsia="zh-CN"/>
          <w14:shadow w14:blurRad="50800" w14:dist="38100" w14:dir="2700000" w14:sx="100000" w14:sy="100000" w14:kx="0" w14:ky="0" w14:algn="tl">
            <w14:srgbClr w14:val="000000">
              <w14:alpha w14:val="60000"/>
            </w14:srgbClr>
          </w14:shadow>
        </w:rPr>
      </w:pPr>
      <w:r>
        <w:rPr>
          <w:rFonts w:hint="eastAsia" w:ascii="宋体" w:hAnsi="宋体" w:cs="宋体"/>
          <w:b/>
          <w:color w:val="auto"/>
          <w:sz w:val="32"/>
          <w:szCs w:val="32"/>
          <w:highlight w:val="none"/>
        </w:rPr>
        <w:t>项目编号：YZC-2026-063</w:t>
      </w:r>
    </w:p>
    <w:p w14:paraId="65FFD82C">
      <w:pPr>
        <w:pStyle w:val="340"/>
        <w:spacing w:before="120" w:beforeLines="50" w:line="360" w:lineRule="auto"/>
        <w:ind w:left="2244" w:leftChars="304" w:hanging="1606" w:hangingChars="500"/>
        <w:jc w:val="both"/>
        <w:rPr>
          <w:rFonts w:asciiTheme="minorEastAsia" w:hAnsiTheme="minorEastAsia" w:eastAsiaTheme="minorEastAsia"/>
          <w:b/>
          <w:color w:val="auto"/>
          <w:sz w:val="32"/>
          <w:szCs w:val="32"/>
          <w14:shadow w14:blurRad="50800" w14:dist="38100" w14:dir="2700000" w14:sx="100000" w14:sy="100000" w14:kx="0" w14:ky="0" w14:algn="tl">
            <w14:srgbClr w14:val="000000">
              <w14:alpha w14:val="60000"/>
            </w14:srgbClr>
          </w14:shadow>
        </w:rPr>
      </w:pPr>
    </w:p>
    <w:p w14:paraId="06353A73">
      <w:pPr>
        <w:pStyle w:val="340"/>
        <w:spacing w:before="120" w:beforeLines="50" w:line="360" w:lineRule="auto"/>
        <w:ind w:left="2244" w:leftChars="304" w:hanging="1606" w:hangingChars="500"/>
        <w:jc w:val="both"/>
        <w:rPr>
          <w:rFonts w:asciiTheme="minorEastAsia" w:hAnsiTheme="minorEastAsia" w:eastAsiaTheme="minorEastAsia"/>
          <w:b/>
          <w:color w:val="auto"/>
          <w:sz w:val="32"/>
          <w:szCs w:val="32"/>
          <w14:shadow w14:blurRad="50800" w14:dist="38100" w14:dir="2700000" w14:sx="100000" w14:sy="100000" w14:kx="0" w14:ky="0" w14:algn="tl">
            <w14:srgbClr w14:val="000000">
              <w14:alpha w14:val="60000"/>
            </w14:srgbClr>
          </w14:shadow>
        </w:rPr>
      </w:pPr>
    </w:p>
    <w:p w14:paraId="4E08A8B0">
      <w:pPr>
        <w:pStyle w:val="340"/>
        <w:spacing w:before="120" w:beforeLines="50" w:line="360" w:lineRule="auto"/>
        <w:ind w:left="2244" w:leftChars="304" w:hanging="1606" w:hangingChars="500"/>
        <w:jc w:val="both"/>
        <w:rPr>
          <w:rFonts w:asciiTheme="minorEastAsia" w:hAnsiTheme="minorEastAsia" w:eastAsiaTheme="minorEastAsia"/>
          <w:b/>
          <w:color w:val="auto"/>
          <w:sz w:val="32"/>
          <w:szCs w:val="32"/>
          <w14:shadow w14:blurRad="50800" w14:dist="38100" w14:dir="2700000" w14:sx="100000" w14:sy="100000" w14:kx="0" w14:ky="0" w14:algn="tl">
            <w14:srgbClr w14:val="000000">
              <w14:alpha w14:val="60000"/>
            </w14:srgbClr>
          </w14:shadow>
        </w:rPr>
      </w:pPr>
    </w:p>
    <w:p w14:paraId="5A1D4F46">
      <w:pPr>
        <w:pStyle w:val="340"/>
        <w:spacing w:before="120" w:beforeLines="50" w:line="360" w:lineRule="auto"/>
        <w:ind w:left="2244" w:leftChars="304" w:hanging="1606" w:hangingChars="500"/>
        <w:jc w:val="both"/>
        <w:rPr>
          <w:rFonts w:asciiTheme="minorEastAsia" w:hAnsiTheme="minorEastAsia" w:eastAsiaTheme="minorEastAsia"/>
          <w:b/>
          <w:color w:val="auto"/>
          <w:sz w:val="32"/>
          <w:szCs w:val="32"/>
          <w14:shadow w14:blurRad="50800" w14:dist="38100" w14:dir="2700000" w14:sx="100000" w14:sy="100000" w14:kx="0" w14:ky="0" w14:algn="tl">
            <w14:srgbClr w14:val="000000">
              <w14:alpha w14:val="60000"/>
            </w14:srgbClr>
          </w14:shadow>
        </w:rPr>
      </w:pPr>
    </w:p>
    <w:p w14:paraId="326D8DBD">
      <w:r>
        <w:rPr>
          <w:rFonts w:hint="eastAsia"/>
        </w:rPr>
        <w:t xml:space="preserve"> </w:t>
      </w:r>
    </w:p>
    <w:p w14:paraId="5BCFFFE7"/>
    <w:p w14:paraId="6B6CF9C5">
      <w:pPr>
        <w:pStyle w:val="28"/>
        <w:spacing w:line="360" w:lineRule="auto"/>
        <w:jc w:val="center"/>
        <w:rPr>
          <w:rFonts w:hint="eastAsia" w:hAnsi="宋体" w:eastAsia="宋体"/>
          <w:b/>
          <w:bCs/>
          <w:sz w:val="32"/>
          <w:szCs w:val="32"/>
          <w:lang w:eastAsia="zh-CN"/>
        </w:rPr>
      </w:pPr>
      <w:r>
        <w:rPr>
          <w:rFonts w:hint="eastAsia" w:hAnsi="宋体"/>
          <w:b/>
          <w:bCs/>
          <w:sz w:val="32"/>
          <w:szCs w:val="32"/>
        </w:rPr>
        <w:t>采</w:t>
      </w:r>
      <w:r>
        <w:rPr>
          <w:rFonts w:hint="eastAsia" w:hAnsi="宋体" w:cs="微软雅黑"/>
          <w:b/>
          <w:bCs/>
          <w:sz w:val="32"/>
          <w:szCs w:val="32"/>
        </w:rPr>
        <w:t>购</w:t>
      </w:r>
      <w:r>
        <w:rPr>
          <w:rFonts w:hAnsi="宋体"/>
          <w:b/>
          <w:bCs/>
          <w:sz w:val="32"/>
          <w:szCs w:val="32"/>
        </w:rPr>
        <w:t>人</w:t>
      </w:r>
      <w:r>
        <w:rPr>
          <w:rFonts w:hint="eastAsia" w:hAnsi="宋体"/>
          <w:b/>
          <w:bCs/>
          <w:sz w:val="32"/>
          <w:szCs w:val="32"/>
        </w:rPr>
        <w:t>：</w:t>
      </w:r>
      <w:r>
        <w:rPr>
          <w:rFonts w:hint="eastAsia" w:hAnsi="宋体"/>
          <w:b/>
          <w:bCs/>
          <w:sz w:val="32"/>
          <w:szCs w:val="32"/>
          <w:lang w:eastAsia="zh-CN"/>
        </w:rPr>
        <w:t>新平彝族傣族自治县农业农村局</w:t>
      </w:r>
    </w:p>
    <w:p w14:paraId="7DD73B6E">
      <w:pPr>
        <w:pStyle w:val="28"/>
        <w:spacing w:line="360" w:lineRule="auto"/>
        <w:jc w:val="center"/>
        <w:rPr>
          <w:rFonts w:hAnsi="宋体"/>
          <w:b/>
          <w:bCs/>
          <w:sz w:val="32"/>
          <w:szCs w:val="32"/>
        </w:rPr>
      </w:pPr>
      <w:r>
        <w:rPr>
          <w:rFonts w:hint="eastAsia" w:hAnsi="宋体"/>
          <w:b/>
          <w:bCs/>
          <w:sz w:val="32"/>
          <w:szCs w:val="32"/>
        </w:rPr>
        <w:t>采</w:t>
      </w:r>
      <w:r>
        <w:rPr>
          <w:rFonts w:hint="eastAsia" w:hAnsi="宋体" w:cs="微软雅黑"/>
          <w:b/>
          <w:bCs/>
          <w:sz w:val="32"/>
          <w:szCs w:val="32"/>
        </w:rPr>
        <w:t>购</w:t>
      </w:r>
      <w:r>
        <w:rPr>
          <w:rFonts w:hint="eastAsia" w:hAnsi="宋体" w:cs="Malgun Gothic"/>
          <w:b/>
          <w:bCs/>
          <w:sz w:val="32"/>
          <w:szCs w:val="32"/>
        </w:rPr>
        <w:t>代理机</w:t>
      </w:r>
      <w:r>
        <w:rPr>
          <w:rFonts w:hint="eastAsia" w:hAnsi="宋体" w:cs="微软雅黑"/>
          <w:b/>
          <w:bCs/>
          <w:sz w:val="32"/>
          <w:szCs w:val="32"/>
        </w:rPr>
        <w:t>构</w:t>
      </w:r>
      <w:r>
        <w:rPr>
          <w:rFonts w:hint="eastAsia" w:hAnsi="宋体" w:cs="Malgun Gothic"/>
          <w:b/>
          <w:bCs/>
          <w:sz w:val="32"/>
          <w:szCs w:val="32"/>
        </w:rPr>
        <w:t>：云南一之程项目管理有限公司</w:t>
      </w:r>
    </w:p>
    <w:p w14:paraId="6D8A9BA7">
      <w:pPr>
        <w:pStyle w:val="28"/>
        <w:spacing w:line="360" w:lineRule="auto"/>
        <w:jc w:val="center"/>
        <w:rPr>
          <w:rFonts w:hAnsi="宋体"/>
          <w:b/>
          <w:szCs w:val="21"/>
        </w:rPr>
      </w:pPr>
      <w:r>
        <w:rPr>
          <w:rFonts w:hint="eastAsia" w:hAnsi="宋体"/>
          <w:b/>
          <w:bCs/>
          <w:sz w:val="32"/>
          <w:szCs w:val="32"/>
        </w:rPr>
        <w:t>2</w:t>
      </w:r>
      <w:r>
        <w:rPr>
          <w:rFonts w:hAnsi="宋体"/>
          <w:b/>
          <w:bCs/>
          <w:sz w:val="32"/>
          <w:szCs w:val="32"/>
        </w:rPr>
        <w:t>02</w:t>
      </w:r>
      <w:r>
        <w:rPr>
          <w:rFonts w:hint="eastAsia" w:hAnsi="宋体"/>
          <w:b/>
          <w:bCs/>
          <w:sz w:val="32"/>
          <w:szCs w:val="32"/>
        </w:rPr>
        <w:t>6年0</w:t>
      </w:r>
      <w:r>
        <w:rPr>
          <w:rFonts w:hint="eastAsia" w:hAnsi="宋体"/>
          <w:b/>
          <w:bCs/>
          <w:sz w:val="32"/>
          <w:szCs w:val="32"/>
          <w:lang w:val="en-US" w:eastAsia="zh-CN"/>
        </w:rPr>
        <w:t>5</w:t>
      </w:r>
      <w:r>
        <w:rPr>
          <w:rFonts w:hint="eastAsia" w:hAnsi="宋体"/>
          <w:b/>
          <w:bCs/>
          <w:sz w:val="32"/>
          <w:szCs w:val="32"/>
        </w:rPr>
        <w:t>月</w:t>
      </w:r>
    </w:p>
    <w:p w14:paraId="5048937B">
      <w:pPr>
        <w:pStyle w:val="46"/>
        <w:tabs>
          <w:tab w:val="right" w:leader="dot" w:pos="9736"/>
        </w:tabs>
        <w:spacing w:line="360" w:lineRule="auto"/>
        <w:ind w:left="0" w:firstLine="562"/>
        <w:jc w:val="center"/>
        <w:rPr>
          <w:rFonts w:asciiTheme="minorEastAsia" w:hAnsiTheme="minorEastAsia" w:eastAsiaTheme="minorEastAsia"/>
          <w:b/>
          <w:bCs/>
          <w:sz w:val="28"/>
          <w:szCs w:val="28"/>
        </w:rPr>
        <w:sectPr>
          <w:headerReference r:id="rId3" w:type="default"/>
          <w:footerReference r:id="rId4" w:type="default"/>
          <w:pgSz w:w="11910" w:h="16840"/>
          <w:pgMar w:top="1440" w:right="1080" w:bottom="1440" w:left="1080" w:header="755" w:footer="882" w:gutter="0"/>
          <w:pgNumType w:start="1"/>
          <w:cols w:space="708" w:num="1"/>
        </w:sectPr>
      </w:pPr>
    </w:p>
    <w:p w14:paraId="38FBFE07">
      <w:pPr>
        <w:pStyle w:val="46"/>
        <w:tabs>
          <w:tab w:val="right" w:leader="dot" w:pos="9736"/>
        </w:tabs>
        <w:spacing w:line="360" w:lineRule="auto"/>
        <w:ind w:left="0" w:firstLine="562"/>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目 录</w:t>
      </w:r>
    </w:p>
    <w:bookmarkEnd w:id="0"/>
    <w:bookmarkEnd w:id="1"/>
    <w:p w14:paraId="09F044D6">
      <w:pPr>
        <w:pStyle w:val="36"/>
        <w:tabs>
          <w:tab w:val="right" w:leader="dot" w:pos="8958"/>
        </w:tabs>
        <w:spacing w:line="360" w:lineRule="auto"/>
        <w:rPr>
          <w:rFonts w:hint="eastAsia" w:ascii="宋体" w:hAnsi="宋体" w:eastAsia="宋体" w:cs="宋体"/>
          <w:sz w:val="21"/>
          <w:szCs w:val="28"/>
        </w:rPr>
      </w:pPr>
      <w:bookmarkStart w:id="3" w:name="_Toc35393797"/>
      <w:bookmarkStart w:id="4" w:name="_Toc28359011"/>
      <w:bookmarkStart w:id="5" w:name="_Hlk9513089"/>
      <w:r>
        <w:rPr>
          <w:rStyle w:val="63"/>
          <w:rFonts w:hint="eastAsia"/>
          <w:color w:val="auto"/>
        </w:rPr>
        <w:fldChar w:fldCharType="begin"/>
      </w:r>
      <w:r>
        <w:rPr>
          <w:rStyle w:val="63"/>
          <w:rFonts w:hint="eastAsia" w:ascii="宋体" w:hAnsi="宋体" w:cs="宋体"/>
          <w:b w:val="0"/>
          <w:bCs w:val="0"/>
          <w:color w:val="auto"/>
          <w:sz w:val="21"/>
          <w:szCs w:val="21"/>
        </w:rPr>
        <w:instrText xml:space="preserve"> TOC \o "1-2" \h \z \u </w:instrText>
      </w:r>
      <w:r>
        <w:rPr>
          <w:rStyle w:val="63"/>
          <w:rFonts w:hint="eastAsia"/>
          <w:color w:val="auto"/>
        </w:rPr>
        <w:fldChar w:fldCharType="separate"/>
      </w:r>
      <w:r>
        <w:rPr>
          <w:rFonts w:hint="eastAsia" w:ascii="宋体" w:hAnsi="宋体" w:eastAsia="宋体" w:cs="宋体"/>
          <w:color w:val="auto"/>
          <w:sz w:val="21"/>
          <w:szCs w:val="28"/>
        </w:rPr>
        <w:fldChar w:fldCharType="begin"/>
      </w:r>
      <w:r>
        <w:rPr>
          <w:rFonts w:hint="eastAsia" w:ascii="宋体" w:hAnsi="宋体" w:eastAsia="宋体" w:cs="宋体"/>
          <w:sz w:val="21"/>
          <w:szCs w:val="28"/>
        </w:rPr>
        <w:instrText xml:space="preserve"> HYPERLINK \l _Toc21141 </w:instrText>
      </w:r>
      <w:r>
        <w:rPr>
          <w:rFonts w:hint="eastAsia" w:ascii="宋体" w:hAnsi="宋体" w:eastAsia="宋体" w:cs="宋体"/>
          <w:sz w:val="21"/>
          <w:szCs w:val="28"/>
        </w:rPr>
        <w:fldChar w:fldCharType="separate"/>
      </w:r>
      <w:r>
        <w:rPr>
          <w:rFonts w:hint="eastAsia" w:ascii="宋体" w:hAnsi="宋体" w:eastAsia="宋体" w:cs="宋体"/>
          <w:bCs/>
          <w:sz w:val="21"/>
          <w:szCs w:val="36"/>
        </w:rPr>
        <w:t>第一章 招标公告</w:t>
      </w:r>
      <w:r>
        <w:rPr>
          <w:rFonts w:hint="eastAsia" w:ascii="宋体" w:hAnsi="宋体" w:eastAsia="宋体" w:cs="宋体"/>
          <w:sz w:val="21"/>
          <w:szCs w:val="28"/>
        </w:rPr>
        <w:tab/>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PAGEREF _Toc21141 \h </w:instrText>
      </w:r>
      <w:r>
        <w:rPr>
          <w:rFonts w:hint="eastAsia" w:ascii="宋体" w:hAnsi="宋体" w:eastAsia="宋体" w:cs="宋体"/>
          <w:sz w:val="21"/>
          <w:szCs w:val="28"/>
        </w:rPr>
        <w:fldChar w:fldCharType="separate"/>
      </w:r>
      <w:r>
        <w:rPr>
          <w:rFonts w:hint="eastAsia" w:ascii="宋体" w:hAnsi="宋体" w:eastAsia="宋体" w:cs="宋体"/>
          <w:sz w:val="21"/>
          <w:szCs w:val="28"/>
        </w:rPr>
        <w:t>3</w:t>
      </w:r>
      <w:r>
        <w:rPr>
          <w:rFonts w:hint="eastAsia" w:ascii="宋体" w:hAnsi="宋体" w:eastAsia="宋体" w:cs="宋体"/>
          <w:sz w:val="21"/>
          <w:szCs w:val="28"/>
        </w:rPr>
        <w:fldChar w:fldCharType="end"/>
      </w:r>
      <w:r>
        <w:rPr>
          <w:rFonts w:hint="eastAsia" w:ascii="宋体" w:hAnsi="宋体" w:eastAsia="宋体" w:cs="宋体"/>
          <w:color w:val="auto"/>
          <w:sz w:val="21"/>
          <w:szCs w:val="28"/>
        </w:rPr>
        <w:fldChar w:fldCharType="end"/>
      </w:r>
    </w:p>
    <w:p w14:paraId="052F9DF1">
      <w:pPr>
        <w:pStyle w:val="36"/>
        <w:tabs>
          <w:tab w:val="right" w:leader="dot" w:pos="8958"/>
        </w:tabs>
        <w:spacing w:line="360" w:lineRule="auto"/>
        <w:rPr>
          <w:rFonts w:hint="eastAsia" w:ascii="宋体" w:hAnsi="宋体" w:eastAsia="宋体" w:cs="宋体"/>
          <w:sz w:val="21"/>
          <w:szCs w:val="28"/>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_Toc25311 </w:instrText>
      </w:r>
      <w:r>
        <w:rPr>
          <w:rFonts w:hint="eastAsia" w:ascii="宋体" w:hAnsi="宋体" w:eastAsia="宋体" w:cs="宋体"/>
          <w:bCs w:val="0"/>
          <w:sz w:val="21"/>
          <w:szCs w:val="22"/>
        </w:rPr>
        <w:fldChar w:fldCharType="separate"/>
      </w:r>
      <w:r>
        <w:rPr>
          <w:rFonts w:hint="eastAsia" w:ascii="宋体" w:hAnsi="宋体" w:eastAsia="宋体" w:cs="宋体"/>
          <w:bCs/>
          <w:sz w:val="21"/>
          <w:szCs w:val="36"/>
        </w:rPr>
        <w:t>第二章 投标人须知</w:t>
      </w:r>
      <w:r>
        <w:rPr>
          <w:rFonts w:hint="eastAsia" w:ascii="宋体" w:hAnsi="宋体" w:eastAsia="宋体" w:cs="宋体"/>
          <w:sz w:val="21"/>
          <w:szCs w:val="28"/>
        </w:rPr>
        <w:tab/>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PAGEREF _Toc25311 \h </w:instrText>
      </w:r>
      <w:r>
        <w:rPr>
          <w:rFonts w:hint="eastAsia" w:ascii="宋体" w:hAnsi="宋体" w:eastAsia="宋体" w:cs="宋体"/>
          <w:sz w:val="21"/>
          <w:szCs w:val="28"/>
        </w:rPr>
        <w:fldChar w:fldCharType="separate"/>
      </w:r>
      <w:r>
        <w:rPr>
          <w:rFonts w:hint="eastAsia" w:ascii="宋体" w:hAnsi="宋体" w:eastAsia="宋体" w:cs="宋体"/>
          <w:sz w:val="21"/>
          <w:szCs w:val="28"/>
        </w:rPr>
        <w:t>7</w:t>
      </w:r>
      <w:r>
        <w:rPr>
          <w:rFonts w:hint="eastAsia" w:ascii="宋体" w:hAnsi="宋体" w:eastAsia="宋体" w:cs="宋体"/>
          <w:sz w:val="21"/>
          <w:szCs w:val="28"/>
        </w:rPr>
        <w:fldChar w:fldCharType="end"/>
      </w:r>
      <w:r>
        <w:rPr>
          <w:rFonts w:hint="eastAsia" w:ascii="宋体" w:hAnsi="宋体" w:eastAsia="宋体" w:cs="宋体"/>
          <w:bCs w:val="0"/>
          <w:sz w:val="21"/>
          <w:szCs w:val="22"/>
        </w:rPr>
        <w:fldChar w:fldCharType="end"/>
      </w:r>
    </w:p>
    <w:p w14:paraId="10B39D4C">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_Toc8078 </w:instrText>
      </w:r>
      <w:r>
        <w:rPr>
          <w:rFonts w:hint="eastAsia" w:ascii="宋体" w:hAnsi="宋体" w:eastAsia="宋体" w:cs="宋体"/>
          <w:bCs w:val="0"/>
          <w:sz w:val="21"/>
          <w:szCs w:val="22"/>
        </w:rPr>
        <w:fldChar w:fldCharType="separate"/>
      </w:r>
      <w:r>
        <w:rPr>
          <w:rFonts w:hint="eastAsia" w:ascii="宋体" w:hAnsi="宋体" w:eastAsia="宋体" w:cs="宋体"/>
          <w:sz w:val="21"/>
          <w:szCs w:val="21"/>
        </w:rPr>
        <w:t>一、投标人须知前附表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_Toc8078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5F8941FB">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_Toc9997 </w:instrText>
      </w:r>
      <w:r>
        <w:rPr>
          <w:rFonts w:hint="eastAsia" w:ascii="宋体" w:hAnsi="宋体" w:eastAsia="宋体" w:cs="宋体"/>
          <w:bCs w:val="0"/>
          <w:sz w:val="21"/>
          <w:szCs w:val="22"/>
        </w:rPr>
        <w:fldChar w:fldCharType="separate"/>
      </w:r>
      <w:r>
        <w:rPr>
          <w:rFonts w:hint="eastAsia" w:ascii="宋体" w:hAnsi="宋体" w:eastAsia="宋体" w:cs="宋体"/>
          <w:sz w:val="21"/>
          <w:szCs w:val="21"/>
        </w:rPr>
        <w:t>二、投标人须知正文部分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_Toc9997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029F4F86">
      <w:pPr>
        <w:pStyle w:val="36"/>
        <w:tabs>
          <w:tab w:val="right" w:leader="dot" w:pos="8958"/>
        </w:tabs>
        <w:spacing w:line="360" w:lineRule="auto"/>
        <w:rPr>
          <w:rFonts w:hint="eastAsia" w:ascii="宋体" w:hAnsi="宋体" w:eastAsia="宋体" w:cs="宋体"/>
          <w:sz w:val="21"/>
          <w:szCs w:val="28"/>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_Toc1371 </w:instrText>
      </w:r>
      <w:r>
        <w:rPr>
          <w:rFonts w:hint="eastAsia" w:ascii="宋体" w:hAnsi="宋体" w:eastAsia="宋体" w:cs="宋体"/>
          <w:bCs w:val="0"/>
          <w:sz w:val="21"/>
          <w:szCs w:val="22"/>
        </w:rPr>
        <w:fldChar w:fldCharType="separate"/>
      </w:r>
      <w:r>
        <w:rPr>
          <w:rFonts w:hint="eastAsia" w:ascii="宋体" w:hAnsi="宋体" w:eastAsia="宋体" w:cs="宋体"/>
          <w:bCs/>
          <w:sz w:val="21"/>
          <w:szCs w:val="36"/>
        </w:rPr>
        <w:t>第三章 评标办法（综合评分法）</w:t>
      </w:r>
      <w:r>
        <w:rPr>
          <w:rFonts w:hint="eastAsia" w:ascii="宋体" w:hAnsi="宋体" w:eastAsia="宋体" w:cs="宋体"/>
          <w:sz w:val="21"/>
          <w:szCs w:val="28"/>
        </w:rPr>
        <w:tab/>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PAGEREF _Toc1371 \h </w:instrText>
      </w:r>
      <w:r>
        <w:rPr>
          <w:rFonts w:hint="eastAsia" w:ascii="宋体" w:hAnsi="宋体" w:eastAsia="宋体" w:cs="宋体"/>
          <w:sz w:val="21"/>
          <w:szCs w:val="28"/>
        </w:rPr>
        <w:fldChar w:fldCharType="separate"/>
      </w:r>
      <w:r>
        <w:rPr>
          <w:rFonts w:hint="eastAsia" w:ascii="宋体" w:hAnsi="宋体" w:eastAsia="宋体" w:cs="宋体"/>
          <w:sz w:val="21"/>
          <w:szCs w:val="28"/>
        </w:rPr>
        <w:t>22</w:t>
      </w:r>
      <w:r>
        <w:rPr>
          <w:rFonts w:hint="eastAsia" w:ascii="宋体" w:hAnsi="宋体" w:eastAsia="宋体" w:cs="宋体"/>
          <w:sz w:val="21"/>
          <w:szCs w:val="28"/>
        </w:rPr>
        <w:fldChar w:fldCharType="end"/>
      </w:r>
      <w:r>
        <w:rPr>
          <w:rFonts w:hint="eastAsia" w:ascii="宋体" w:hAnsi="宋体" w:eastAsia="宋体" w:cs="宋体"/>
          <w:bCs w:val="0"/>
          <w:sz w:val="21"/>
          <w:szCs w:val="22"/>
        </w:rPr>
        <w:fldChar w:fldCharType="end"/>
      </w:r>
    </w:p>
    <w:p w14:paraId="55653C8F">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_Toc17345 </w:instrText>
      </w:r>
      <w:r>
        <w:rPr>
          <w:rFonts w:hint="eastAsia" w:ascii="宋体" w:hAnsi="宋体" w:eastAsia="宋体" w:cs="宋体"/>
          <w:bCs w:val="0"/>
          <w:sz w:val="21"/>
          <w:szCs w:val="22"/>
        </w:rPr>
        <w:fldChar w:fldCharType="separate"/>
      </w:r>
      <w:r>
        <w:rPr>
          <w:rFonts w:hint="eastAsia" w:ascii="宋体" w:hAnsi="宋体" w:eastAsia="宋体" w:cs="宋体"/>
          <w:sz w:val="21"/>
          <w:szCs w:val="21"/>
        </w:rPr>
        <w:t>一、评标办法前附表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_Toc17345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70B34A99">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_Toc5517 </w:instrText>
      </w:r>
      <w:r>
        <w:rPr>
          <w:rFonts w:hint="eastAsia" w:ascii="宋体" w:hAnsi="宋体" w:eastAsia="宋体" w:cs="宋体"/>
          <w:bCs w:val="0"/>
          <w:sz w:val="21"/>
          <w:szCs w:val="22"/>
        </w:rPr>
        <w:fldChar w:fldCharType="separate"/>
      </w:r>
      <w:r>
        <w:rPr>
          <w:rFonts w:hint="eastAsia" w:ascii="宋体" w:hAnsi="宋体" w:eastAsia="宋体" w:cs="宋体"/>
          <w:sz w:val="21"/>
          <w:szCs w:val="21"/>
        </w:rPr>
        <w:t>二、评标办法正文部分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_Toc5517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62B1CFF9">
      <w:pPr>
        <w:pStyle w:val="36"/>
        <w:tabs>
          <w:tab w:val="right" w:leader="dot" w:pos="8958"/>
        </w:tabs>
        <w:spacing w:line="360" w:lineRule="auto"/>
        <w:rPr>
          <w:rFonts w:hint="eastAsia" w:ascii="宋体" w:hAnsi="宋体" w:eastAsia="宋体" w:cs="宋体"/>
          <w:sz w:val="21"/>
          <w:szCs w:val="28"/>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_Toc28261 </w:instrText>
      </w:r>
      <w:r>
        <w:rPr>
          <w:rFonts w:hint="eastAsia" w:ascii="宋体" w:hAnsi="宋体" w:eastAsia="宋体" w:cs="宋体"/>
          <w:bCs w:val="0"/>
          <w:sz w:val="21"/>
          <w:szCs w:val="22"/>
        </w:rPr>
        <w:fldChar w:fldCharType="separate"/>
      </w:r>
      <w:r>
        <w:rPr>
          <w:rFonts w:hint="eastAsia" w:ascii="宋体" w:hAnsi="宋体" w:eastAsia="宋体" w:cs="宋体"/>
          <w:bCs/>
          <w:sz w:val="21"/>
          <w:szCs w:val="36"/>
        </w:rPr>
        <w:t>第四章 合同条款及格式</w:t>
      </w:r>
      <w:r>
        <w:rPr>
          <w:rFonts w:hint="eastAsia" w:ascii="宋体" w:hAnsi="宋体" w:eastAsia="宋体" w:cs="宋体"/>
          <w:sz w:val="21"/>
          <w:szCs w:val="28"/>
        </w:rPr>
        <w:tab/>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PAGEREF _Toc28261 \h </w:instrText>
      </w:r>
      <w:r>
        <w:rPr>
          <w:rFonts w:hint="eastAsia" w:ascii="宋体" w:hAnsi="宋体" w:eastAsia="宋体" w:cs="宋体"/>
          <w:sz w:val="21"/>
          <w:szCs w:val="28"/>
        </w:rPr>
        <w:fldChar w:fldCharType="separate"/>
      </w:r>
      <w:r>
        <w:rPr>
          <w:rFonts w:hint="eastAsia" w:ascii="宋体" w:hAnsi="宋体" w:eastAsia="宋体" w:cs="宋体"/>
          <w:sz w:val="21"/>
          <w:szCs w:val="28"/>
        </w:rPr>
        <w:t>42</w:t>
      </w:r>
      <w:r>
        <w:rPr>
          <w:rFonts w:hint="eastAsia" w:ascii="宋体" w:hAnsi="宋体" w:eastAsia="宋体" w:cs="宋体"/>
          <w:sz w:val="21"/>
          <w:szCs w:val="28"/>
        </w:rPr>
        <w:fldChar w:fldCharType="end"/>
      </w:r>
      <w:r>
        <w:rPr>
          <w:rFonts w:hint="eastAsia" w:ascii="宋体" w:hAnsi="宋体" w:eastAsia="宋体" w:cs="宋体"/>
          <w:bCs w:val="0"/>
          <w:sz w:val="21"/>
          <w:szCs w:val="22"/>
        </w:rPr>
        <w:fldChar w:fldCharType="end"/>
      </w:r>
    </w:p>
    <w:p w14:paraId="393034DA">
      <w:pPr>
        <w:pStyle w:val="36"/>
        <w:tabs>
          <w:tab w:val="right" w:leader="dot" w:pos="8958"/>
        </w:tabs>
        <w:spacing w:line="360" w:lineRule="auto"/>
        <w:rPr>
          <w:rFonts w:hint="eastAsia" w:ascii="宋体" w:hAnsi="宋体" w:eastAsia="宋体" w:cs="宋体"/>
          <w:sz w:val="21"/>
          <w:szCs w:val="28"/>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_Toc22932 </w:instrText>
      </w:r>
      <w:r>
        <w:rPr>
          <w:rFonts w:hint="eastAsia" w:ascii="宋体" w:hAnsi="宋体" w:eastAsia="宋体" w:cs="宋体"/>
          <w:bCs w:val="0"/>
          <w:sz w:val="21"/>
          <w:szCs w:val="22"/>
        </w:rPr>
        <w:fldChar w:fldCharType="separate"/>
      </w:r>
      <w:r>
        <w:rPr>
          <w:rFonts w:hint="eastAsia" w:ascii="宋体" w:hAnsi="宋体" w:eastAsia="宋体" w:cs="宋体"/>
          <w:bCs/>
          <w:sz w:val="21"/>
          <w:szCs w:val="36"/>
        </w:rPr>
        <w:t>第五章 采购需求</w:t>
      </w:r>
      <w:r>
        <w:rPr>
          <w:rFonts w:hint="eastAsia" w:ascii="宋体" w:hAnsi="宋体" w:eastAsia="宋体" w:cs="宋体"/>
          <w:sz w:val="21"/>
          <w:szCs w:val="28"/>
        </w:rPr>
        <w:tab/>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PAGEREF _Toc22932 \h </w:instrText>
      </w:r>
      <w:r>
        <w:rPr>
          <w:rFonts w:hint="eastAsia" w:ascii="宋体" w:hAnsi="宋体" w:eastAsia="宋体" w:cs="宋体"/>
          <w:sz w:val="21"/>
          <w:szCs w:val="28"/>
        </w:rPr>
        <w:fldChar w:fldCharType="separate"/>
      </w:r>
      <w:r>
        <w:rPr>
          <w:rFonts w:hint="eastAsia" w:ascii="宋体" w:hAnsi="宋体" w:eastAsia="宋体" w:cs="宋体"/>
          <w:sz w:val="21"/>
          <w:szCs w:val="28"/>
        </w:rPr>
        <w:t>53</w:t>
      </w:r>
      <w:r>
        <w:rPr>
          <w:rFonts w:hint="eastAsia" w:ascii="宋体" w:hAnsi="宋体" w:eastAsia="宋体" w:cs="宋体"/>
          <w:sz w:val="21"/>
          <w:szCs w:val="28"/>
        </w:rPr>
        <w:fldChar w:fldCharType="end"/>
      </w:r>
      <w:r>
        <w:rPr>
          <w:rFonts w:hint="eastAsia" w:ascii="宋体" w:hAnsi="宋体" w:eastAsia="宋体" w:cs="宋体"/>
          <w:bCs w:val="0"/>
          <w:sz w:val="21"/>
          <w:szCs w:val="22"/>
        </w:rPr>
        <w:fldChar w:fldCharType="end"/>
      </w:r>
    </w:p>
    <w:p w14:paraId="7C02C6BD">
      <w:pPr>
        <w:pStyle w:val="36"/>
        <w:tabs>
          <w:tab w:val="right" w:leader="dot" w:pos="8958"/>
        </w:tabs>
        <w:spacing w:line="360" w:lineRule="auto"/>
        <w:rPr>
          <w:rFonts w:hint="eastAsia" w:ascii="宋体" w:hAnsi="宋体" w:eastAsia="宋体" w:cs="宋体"/>
          <w:sz w:val="21"/>
          <w:szCs w:val="28"/>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_Toc21904 </w:instrText>
      </w:r>
      <w:r>
        <w:rPr>
          <w:rFonts w:hint="eastAsia" w:ascii="宋体" w:hAnsi="宋体" w:eastAsia="宋体" w:cs="宋体"/>
          <w:bCs w:val="0"/>
          <w:sz w:val="21"/>
          <w:szCs w:val="22"/>
        </w:rPr>
        <w:fldChar w:fldCharType="separate"/>
      </w:r>
      <w:r>
        <w:rPr>
          <w:rFonts w:hint="eastAsia" w:ascii="宋体" w:hAnsi="宋体" w:eastAsia="宋体" w:cs="宋体"/>
          <w:bCs/>
          <w:sz w:val="21"/>
          <w:szCs w:val="36"/>
        </w:rPr>
        <w:t>第六章 投标文件格式</w:t>
      </w:r>
      <w:r>
        <w:rPr>
          <w:rFonts w:hint="eastAsia" w:ascii="宋体" w:hAnsi="宋体" w:eastAsia="宋体" w:cs="宋体"/>
          <w:sz w:val="21"/>
          <w:szCs w:val="28"/>
        </w:rPr>
        <w:tab/>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PAGEREF _Toc21904 \h </w:instrText>
      </w:r>
      <w:r>
        <w:rPr>
          <w:rFonts w:hint="eastAsia" w:ascii="宋体" w:hAnsi="宋体" w:eastAsia="宋体" w:cs="宋体"/>
          <w:sz w:val="21"/>
          <w:szCs w:val="28"/>
        </w:rPr>
        <w:fldChar w:fldCharType="separate"/>
      </w:r>
      <w:r>
        <w:rPr>
          <w:rFonts w:hint="eastAsia" w:ascii="宋体" w:hAnsi="宋体" w:eastAsia="宋体" w:cs="宋体"/>
          <w:sz w:val="21"/>
          <w:szCs w:val="28"/>
        </w:rPr>
        <w:t>54</w:t>
      </w:r>
      <w:r>
        <w:rPr>
          <w:rFonts w:hint="eastAsia" w:ascii="宋体" w:hAnsi="宋体" w:eastAsia="宋体" w:cs="宋体"/>
          <w:sz w:val="21"/>
          <w:szCs w:val="28"/>
        </w:rPr>
        <w:fldChar w:fldCharType="end"/>
      </w:r>
      <w:r>
        <w:rPr>
          <w:rFonts w:hint="eastAsia" w:ascii="宋体" w:hAnsi="宋体" w:eastAsia="宋体" w:cs="宋体"/>
          <w:bCs w:val="0"/>
          <w:sz w:val="21"/>
          <w:szCs w:val="22"/>
        </w:rPr>
        <w:fldChar w:fldCharType="end"/>
      </w:r>
    </w:p>
    <w:p w14:paraId="6E02D231">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_Toc3317 </w:instrText>
      </w:r>
      <w:r>
        <w:rPr>
          <w:rFonts w:hint="eastAsia" w:ascii="宋体" w:hAnsi="宋体" w:eastAsia="宋体" w:cs="宋体"/>
          <w:bCs w:val="0"/>
          <w:sz w:val="21"/>
          <w:szCs w:val="22"/>
        </w:rPr>
        <w:fldChar w:fldCharType="separate"/>
      </w:r>
      <w:r>
        <w:rPr>
          <w:rFonts w:hint="eastAsia" w:ascii="宋体" w:hAnsi="宋体" w:eastAsia="宋体" w:cs="宋体"/>
          <w:sz w:val="21"/>
          <w:szCs w:val="32"/>
        </w:rPr>
        <w:t>一、资格审查部分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_Toc3317 \h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458DA1EF">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_Toc30960 </w:instrText>
      </w:r>
      <w:r>
        <w:rPr>
          <w:rFonts w:hint="eastAsia" w:ascii="宋体" w:hAnsi="宋体" w:eastAsia="宋体" w:cs="宋体"/>
          <w:bCs w:val="0"/>
          <w:sz w:val="21"/>
          <w:szCs w:val="22"/>
        </w:rPr>
        <w:fldChar w:fldCharType="separate"/>
      </w:r>
      <w:r>
        <w:rPr>
          <w:rFonts w:hint="eastAsia" w:ascii="宋体" w:hAnsi="宋体" w:eastAsia="宋体" w:cs="宋体"/>
          <w:sz w:val="21"/>
          <w:szCs w:val="32"/>
        </w:rPr>
        <w:t>二、投标函部分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_Toc30960 \h </w:instrText>
      </w:r>
      <w:r>
        <w:rPr>
          <w:rFonts w:hint="eastAsia" w:ascii="宋体" w:hAnsi="宋体" w:eastAsia="宋体" w:cs="宋体"/>
          <w:sz w:val="21"/>
          <w:szCs w:val="21"/>
        </w:rPr>
        <w:fldChar w:fldCharType="separate"/>
      </w:r>
      <w:r>
        <w:rPr>
          <w:rFonts w:hint="eastAsia" w:ascii="宋体" w:hAnsi="宋体" w:eastAsia="宋体" w:cs="宋体"/>
          <w:sz w:val="21"/>
          <w:szCs w:val="21"/>
        </w:rPr>
        <w:t>62</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687A14DA">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_Toc495 </w:instrText>
      </w:r>
      <w:r>
        <w:rPr>
          <w:rFonts w:hint="eastAsia" w:ascii="宋体" w:hAnsi="宋体" w:eastAsia="宋体" w:cs="宋体"/>
          <w:bCs w:val="0"/>
          <w:sz w:val="21"/>
          <w:szCs w:val="22"/>
        </w:rPr>
        <w:fldChar w:fldCharType="separate"/>
      </w:r>
      <w:r>
        <w:rPr>
          <w:rFonts w:hint="eastAsia" w:ascii="宋体" w:hAnsi="宋体" w:eastAsia="宋体" w:cs="宋体"/>
          <w:sz w:val="21"/>
          <w:szCs w:val="32"/>
        </w:rPr>
        <w:t>三、投标报价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_Toc495 \h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65503E17">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_Toc13772 </w:instrText>
      </w:r>
      <w:r>
        <w:rPr>
          <w:rFonts w:hint="eastAsia" w:ascii="宋体" w:hAnsi="宋体" w:eastAsia="宋体" w:cs="宋体"/>
          <w:bCs w:val="0"/>
          <w:sz w:val="21"/>
          <w:szCs w:val="22"/>
        </w:rPr>
        <w:fldChar w:fldCharType="separate"/>
      </w:r>
      <w:r>
        <w:rPr>
          <w:rFonts w:hint="eastAsia" w:ascii="宋体" w:hAnsi="宋体" w:eastAsia="宋体" w:cs="宋体"/>
          <w:sz w:val="21"/>
          <w:szCs w:val="32"/>
        </w:rPr>
        <w:t>四、技术文件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_Toc13772 \h </w:instrText>
      </w:r>
      <w:r>
        <w:rPr>
          <w:rFonts w:hint="eastAsia" w:ascii="宋体" w:hAnsi="宋体" w:eastAsia="宋体" w:cs="宋体"/>
          <w:sz w:val="21"/>
          <w:szCs w:val="21"/>
        </w:rPr>
        <w:fldChar w:fldCharType="separate"/>
      </w:r>
      <w:r>
        <w:rPr>
          <w:rFonts w:hint="eastAsia" w:ascii="宋体" w:hAnsi="宋体" w:eastAsia="宋体" w:cs="宋体"/>
          <w:sz w:val="21"/>
          <w:szCs w:val="21"/>
        </w:rPr>
        <w:t>73</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7DF87B58">
      <w:pPr>
        <w:pStyle w:val="46"/>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val="0"/>
          <w:sz w:val="21"/>
          <w:szCs w:val="22"/>
        </w:rPr>
        <w:fldChar w:fldCharType="begin"/>
      </w:r>
      <w:r>
        <w:rPr>
          <w:rFonts w:hint="eastAsia" w:ascii="宋体" w:hAnsi="宋体" w:eastAsia="宋体" w:cs="宋体"/>
          <w:bCs w:val="0"/>
          <w:sz w:val="21"/>
          <w:szCs w:val="22"/>
        </w:rPr>
        <w:instrText xml:space="preserve"> HYPERLINK \l _Toc19606 </w:instrText>
      </w:r>
      <w:r>
        <w:rPr>
          <w:rFonts w:hint="eastAsia" w:ascii="宋体" w:hAnsi="宋体" w:eastAsia="宋体" w:cs="宋体"/>
          <w:bCs w:val="0"/>
          <w:sz w:val="21"/>
          <w:szCs w:val="22"/>
        </w:rPr>
        <w:fldChar w:fldCharType="separate"/>
      </w:r>
      <w:r>
        <w:rPr>
          <w:rFonts w:hint="eastAsia" w:ascii="宋体" w:hAnsi="宋体" w:eastAsia="宋体" w:cs="宋体"/>
          <w:kern w:val="2"/>
          <w:sz w:val="21"/>
          <w:szCs w:val="32"/>
          <w:lang w:val="en-US" w:eastAsia="zh-CN" w:bidi="ar-SA"/>
        </w:rPr>
        <w:t>五、</w:t>
      </w:r>
      <w:r>
        <w:rPr>
          <w:rFonts w:hint="eastAsia" w:ascii="宋体" w:hAnsi="宋体" w:eastAsia="宋体" w:cs="宋体"/>
          <w:sz w:val="21"/>
          <w:szCs w:val="32"/>
        </w:rPr>
        <w:t>商务文件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_Toc19606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bCs w:val="0"/>
          <w:sz w:val="21"/>
          <w:szCs w:val="22"/>
        </w:rPr>
        <w:fldChar w:fldCharType="end"/>
      </w:r>
    </w:p>
    <w:p w14:paraId="7881F34E">
      <w:pPr>
        <w:pStyle w:val="36"/>
        <w:tabs>
          <w:tab w:val="right" w:leader="dot" w:pos="8948"/>
        </w:tabs>
        <w:spacing w:before="0" w:after="0" w:line="360" w:lineRule="auto"/>
        <w:rPr>
          <w:rFonts w:ascii="宋体" w:hAnsi="宋体" w:cs="宋体"/>
          <w:b w:val="0"/>
          <w:bCs w:val="0"/>
          <w:sz w:val="21"/>
          <w:szCs w:val="21"/>
        </w:rPr>
      </w:pPr>
      <w:r>
        <w:rPr>
          <w:rFonts w:hint="eastAsia" w:ascii="宋体" w:hAnsi="宋体" w:cs="宋体"/>
          <w:bCs w:val="0"/>
          <w:szCs w:val="21"/>
        </w:rPr>
        <w:fldChar w:fldCharType="end"/>
      </w:r>
    </w:p>
    <w:p w14:paraId="1C4A450D">
      <w:pPr>
        <w:widowControl/>
        <w:spacing w:line="360" w:lineRule="auto"/>
        <w:jc w:val="left"/>
        <w:rPr>
          <w:rFonts w:asciiTheme="minorEastAsia" w:hAnsiTheme="minorEastAsia" w:eastAsiaTheme="minorEastAsia" w:cstheme="minorHAnsi"/>
          <w:bCs/>
          <w:smallCaps/>
          <w:sz w:val="20"/>
          <w:szCs w:val="21"/>
        </w:rPr>
      </w:pPr>
      <w:r>
        <w:rPr>
          <w:rFonts w:asciiTheme="minorEastAsia" w:hAnsiTheme="minorEastAsia" w:eastAsiaTheme="minorEastAsia" w:cstheme="minorHAnsi"/>
          <w:bCs/>
          <w:szCs w:val="21"/>
        </w:rPr>
        <w:br w:type="page"/>
      </w:r>
    </w:p>
    <w:p w14:paraId="1A72E13B">
      <w:pPr>
        <w:pStyle w:val="46"/>
        <w:tabs>
          <w:tab w:val="right" w:leader="dot" w:pos="8948"/>
        </w:tabs>
        <w:spacing w:line="360" w:lineRule="auto"/>
        <w:ind w:left="0" w:firstLine="643"/>
        <w:jc w:val="center"/>
        <w:outlineLvl w:val="0"/>
        <w:rPr>
          <w:rFonts w:asciiTheme="minorEastAsia" w:hAnsiTheme="minorEastAsia" w:eastAsiaTheme="minorEastAsia"/>
          <w:b/>
          <w:bCs/>
          <w:sz w:val="32"/>
          <w:szCs w:val="32"/>
        </w:rPr>
      </w:pPr>
      <w:bookmarkStart w:id="6" w:name="_Toc21141"/>
      <w:r>
        <w:rPr>
          <w:rFonts w:hint="eastAsia" w:asciiTheme="minorEastAsia" w:hAnsiTheme="minorEastAsia" w:eastAsiaTheme="minorEastAsia"/>
          <w:b/>
          <w:bCs/>
          <w:sz w:val="32"/>
          <w:szCs w:val="32"/>
        </w:rPr>
        <w:t xml:space="preserve">第一章 </w:t>
      </w:r>
      <w:bookmarkStart w:id="7" w:name="_Hlk69293590"/>
      <w:r>
        <w:rPr>
          <w:rFonts w:hint="eastAsia" w:asciiTheme="minorEastAsia" w:hAnsiTheme="minorEastAsia" w:eastAsiaTheme="minorEastAsia"/>
          <w:b/>
          <w:bCs/>
          <w:sz w:val="32"/>
          <w:szCs w:val="32"/>
        </w:rPr>
        <w:t>招标公告</w:t>
      </w:r>
      <w:bookmarkEnd w:id="3"/>
      <w:bookmarkEnd w:id="4"/>
      <w:bookmarkEnd w:id="6"/>
    </w:p>
    <w:p w14:paraId="5EA7FB88">
      <w:pPr>
        <w:pBdr>
          <w:top w:val="single" w:color="auto" w:sz="4" w:space="4"/>
          <w:left w:val="single" w:color="auto" w:sz="4" w:space="0"/>
          <w:bottom w:val="single" w:color="auto" w:sz="4" w:space="1"/>
          <w:right w:val="single" w:color="auto" w:sz="4" w:space="0"/>
        </w:pBdr>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项目概况</w:t>
      </w:r>
    </w:p>
    <w:p w14:paraId="4B718262">
      <w:pPr>
        <w:pBdr>
          <w:top w:val="single" w:color="auto" w:sz="4" w:space="4"/>
          <w:left w:val="single" w:color="auto" w:sz="4" w:space="0"/>
          <w:bottom w:val="single" w:color="auto" w:sz="4" w:space="1"/>
          <w:right w:val="single" w:color="auto" w:sz="4" w:space="0"/>
        </w:pBdr>
        <w:wordWrap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lang w:eastAsia="zh-CN"/>
        </w:rPr>
        <w:t>新平县2026年柑桔黄龙病统防统治项目防控药剂采购</w:t>
      </w:r>
      <w:r>
        <w:rPr>
          <w:rFonts w:hint="eastAsia" w:asciiTheme="minorEastAsia" w:hAnsiTheme="minorEastAsia" w:eastAsiaTheme="minorEastAsia"/>
          <w:szCs w:val="21"/>
        </w:rPr>
        <w:t>的潜在投标人应在</w:t>
      </w:r>
      <w:r>
        <w:rPr>
          <w:rFonts w:hint="eastAsia" w:asciiTheme="minorEastAsia" w:hAnsiTheme="minorEastAsia" w:eastAsiaTheme="minorEastAsia"/>
          <w:szCs w:val="21"/>
          <w:u w:val="single"/>
        </w:rPr>
        <w:t>政府采购云平台（网址:</w:t>
      </w:r>
      <w:r>
        <w:rPr>
          <w:rFonts w:asciiTheme="minorEastAsia" w:hAnsiTheme="minorEastAsia" w:eastAsiaTheme="minorEastAsia"/>
          <w:szCs w:val="21"/>
          <w:u w:val="single"/>
        </w:rPr>
        <w:t>https://www.zcygov.cn/</w:t>
      </w:r>
      <w:r>
        <w:rPr>
          <w:rFonts w:hint="eastAsia" w:asciiTheme="minorEastAsia" w:hAnsiTheme="minorEastAsia" w:eastAsiaTheme="minorEastAsia"/>
          <w:szCs w:val="21"/>
          <w:u w:val="single"/>
        </w:rPr>
        <w:t>）</w:t>
      </w:r>
      <w:r>
        <w:rPr>
          <w:rFonts w:hint="eastAsia" w:asciiTheme="minorEastAsia" w:hAnsiTheme="minorEastAsia" w:eastAsiaTheme="minorEastAsia"/>
          <w:szCs w:val="21"/>
        </w:rPr>
        <w:t>获取招标文件，并于</w:t>
      </w:r>
      <w:r>
        <w:rPr>
          <w:rFonts w:hint="eastAsia" w:asciiTheme="minorEastAsia" w:hAnsiTheme="minorEastAsia" w:eastAsiaTheme="minorEastAsia"/>
          <w:szCs w:val="21"/>
          <w:highlight w:val="none"/>
          <w:u w:val="single"/>
          <w:lang w:eastAsia="zh-CN"/>
        </w:rPr>
        <w:t>2026年</w:t>
      </w:r>
      <w:r>
        <w:rPr>
          <w:rFonts w:hint="eastAsia" w:asciiTheme="minorEastAsia" w:hAnsiTheme="minorEastAsia" w:eastAsiaTheme="minorEastAsia"/>
          <w:szCs w:val="21"/>
          <w:highlight w:val="none"/>
          <w:u w:val="single"/>
          <w:lang w:val="en-US" w:eastAsia="zh-CN"/>
        </w:rPr>
        <w:t>06</w:t>
      </w:r>
      <w:r>
        <w:rPr>
          <w:rFonts w:hint="eastAsia" w:asciiTheme="minorEastAsia" w:hAnsiTheme="minorEastAsia" w:eastAsiaTheme="minorEastAsia"/>
          <w:szCs w:val="21"/>
          <w:highlight w:val="none"/>
          <w:u w:val="single"/>
          <w:lang w:eastAsia="zh-CN"/>
        </w:rPr>
        <w:t>月</w:t>
      </w:r>
      <w:r>
        <w:rPr>
          <w:rFonts w:hint="eastAsia" w:asciiTheme="minorEastAsia" w:hAnsiTheme="minorEastAsia" w:eastAsiaTheme="minorEastAsia"/>
          <w:szCs w:val="21"/>
          <w:highlight w:val="none"/>
          <w:u w:val="single"/>
          <w:lang w:val="en-US" w:eastAsia="zh-CN"/>
        </w:rPr>
        <w:t>04</w:t>
      </w:r>
      <w:r>
        <w:rPr>
          <w:rFonts w:hint="eastAsia" w:asciiTheme="minorEastAsia" w:hAnsiTheme="minorEastAsia" w:eastAsiaTheme="minorEastAsia"/>
          <w:szCs w:val="21"/>
          <w:highlight w:val="none"/>
          <w:u w:val="single"/>
          <w:lang w:eastAsia="zh-CN"/>
        </w:rPr>
        <w:t>日14时30分</w:t>
      </w:r>
      <w:r>
        <w:rPr>
          <w:rFonts w:hint="eastAsia" w:asciiTheme="minorEastAsia" w:hAnsiTheme="minorEastAsia" w:eastAsiaTheme="minorEastAsia"/>
          <w:szCs w:val="21"/>
        </w:rPr>
        <w:t>（北京时间）前递交投标文件。</w:t>
      </w:r>
    </w:p>
    <w:p w14:paraId="030257EF">
      <w:pPr>
        <w:spacing w:before="120" w:beforeLines="50" w:line="360" w:lineRule="auto"/>
        <w:rPr>
          <w:rFonts w:asciiTheme="minorEastAsia" w:hAnsiTheme="minorEastAsia" w:eastAsiaTheme="minorEastAsia"/>
          <w:b/>
          <w:bCs/>
          <w:sz w:val="24"/>
          <w:szCs w:val="24"/>
        </w:rPr>
      </w:pPr>
      <w:bookmarkStart w:id="8" w:name="_Toc45791325"/>
      <w:bookmarkStart w:id="9" w:name="_Toc87538346"/>
      <w:bookmarkStart w:id="10" w:name="_Toc45976872"/>
      <w:bookmarkStart w:id="11" w:name="_Toc87543795"/>
      <w:bookmarkStart w:id="12" w:name="_Toc69678406"/>
      <w:bookmarkStart w:id="13" w:name="_Toc98033911"/>
      <w:bookmarkStart w:id="14" w:name="_Toc28359012"/>
      <w:bookmarkStart w:id="15" w:name="_Toc83753869"/>
      <w:bookmarkStart w:id="16" w:name="_Toc109809289"/>
      <w:bookmarkStart w:id="17" w:name="_Toc84356229"/>
      <w:bookmarkStart w:id="18" w:name="_Toc35393629"/>
      <w:bookmarkStart w:id="19" w:name="_Toc28359089"/>
      <w:bookmarkStart w:id="20" w:name="_Toc53412193"/>
      <w:bookmarkStart w:id="21" w:name="_Toc35393798"/>
      <w:bookmarkStart w:id="22" w:name="_Toc98864988"/>
      <w:r>
        <w:rPr>
          <w:rFonts w:hint="eastAsia" w:asciiTheme="minorEastAsia" w:hAnsiTheme="minorEastAsia" w:eastAsiaTheme="minorEastAsia"/>
          <w:b/>
          <w:bCs/>
          <w:sz w:val="24"/>
          <w:szCs w:val="24"/>
        </w:rPr>
        <w:t>一、项目基本情况</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8A42DF0">
      <w:pPr>
        <w:spacing w:line="360" w:lineRule="auto"/>
        <w:ind w:firstLine="420" w:firstLineChars="2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项目编号：YZC-2026-063</w:t>
      </w:r>
    </w:p>
    <w:p w14:paraId="7734AD93">
      <w:pPr>
        <w:spacing w:line="360" w:lineRule="auto"/>
        <w:ind w:firstLine="420" w:firstLineChars="200"/>
        <w:rPr>
          <w:rFonts w:hint="eastAsia" w:asciiTheme="minorEastAsia" w:hAnsiTheme="minorEastAsia" w:eastAsiaTheme="minorEastAsia"/>
          <w:szCs w:val="21"/>
          <w:u w:val="single"/>
          <w:lang w:eastAsia="zh-CN"/>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新平县2026年柑桔黄龙病统防统治项目防控药剂采购</w:t>
      </w:r>
    </w:p>
    <w:p w14:paraId="0A9C3449">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预算金额（万元）：80</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9622</w:t>
      </w:r>
    </w:p>
    <w:p w14:paraId="4111D33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最高限价（万元）：80</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9622</w:t>
      </w:r>
    </w:p>
    <w:p w14:paraId="2B1C0B1F">
      <w:pPr>
        <w:pStyle w:val="6"/>
        <w:spacing w:line="360" w:lineRule="auto"/>
        <w:ind w:firstLineChars="200"/>
        <w:rPr>
          <w:rFonts w:hint="eastAsia" w:asciiTheme="minorEastAsia" w:hAnsiTheme="minorEastAsia" w:eastAsiaTheme="minorEastAsia"/>
          <w:szCs w:val="21"/>
        </w:rPr>
      </w:pPr>
      <w:r>
        <w:rPr>
          <w:rFonts w:hint="eastAsia" w:asciiTheme="minorEastAsia" w:hAnsiTheme="minorEastAsia" w:eastAsiaTheme="minorEastAsia"/>
          <w:szCs w:val="21"/>
        </w:rPr>
        <w:t>采购需求：</w:t>
      </w:r>
    </w:p>
    <w:tbl>
      <w:tblPr>
        <w:tblStyle w:val="56"/>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7"/>
        <w:gridCol w:w="1264"/>
        <w:gridCol w:w="801"/>
        <w:gridCol w:w="775"/>
        <w:gridCol w:w="1142"/>
        <w:gridCol w:w="4074"/>
      </w:tblGrid>
      <w:tr w14:paraId="3C6E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jc w:val="center"/>
        </w:trPr>
        <w:tc>
          <w:tcPr>
            <w:tcW w:w="382" w:type="pct"/>
            <w:tcMar>
              <w:top w:w="0" w:type="dxa"/>
              <w:left w:w="108" w:type="dxa"/>
              <w:bottom w:w="0" w:type="dxa"/>
              <w:right w:w="108" w:type="dxa"/>
            </w:tcMar>
            <w:vAlign w:val="center"/>
          </w:tcPr>
          <w:p w14:paraId="24200E28">
            <w:pPr>
              <w:pageBreakBefore w:val="0"/>
              <w:widowControl/>
              <w:kinsoku/>
              <w:wordWrap/>
              <w:overflowPunct/>
              <w:topLinePunct w:val="0"/>
              <w:autoSpaceDE/>
              <w:autoSpaceDN/>
              <w:bidi w:val="0"/>
              <w:adjustRightInd/>
              <w:snapToGrid/>
              <w:ind w:firstLine="0" w:firstLineChars="0"/>
              <w:jc w:val="center"/>
              <w:rPr>
                <w:rFonts w:ascii="宋体" w:hAnsi="宋体" w:cs="宋体"/>
                <w:b/>
                <w:bCs/>
                <w:color w:val="auto"/>
                <w:kern w:val="0"/>
                <w:sz w:val="21"/>
                <w:szCs w:val="21"/>
              </w:rPr>
            </w:pPr>
            <w:bookmarkStart w:id="23" w:name="OLE_LINK137" w:colFirst="6" w:colLast="6"/>
            <w:r>
              <w:rPr>
                <w:rFonts w:hint="eastAsia" w:ascii="宋体" w:hAnsi="宋体" w:cs="宋体"/>
                <w:b/>
                <w:bCs/>
                <w:color w:val="auto"/>
                <w:kern w:val="0"/>
                <w:sz w:val="21"/>
                <w:szCs w:val="21"/>
              </w:rPr>
              <w:t>序号</w:t>
            </w:r>
          </w:p>
        </w:tc>
        <w:tc>
          <w:tcPr>
            <w:tcW w:w="724" w:type="pct"/>
            <w:tcMar>
              <w:top w:w="0" w:type="dxa"/>
              <w:left w:w="108" w:type="dxa"/>
              <w:bottom w:w="0" w:type="dxa"/>
              <w:right w:w="108" w:type="dxa"/>
            </w:tcMar>
            <w:vAlign w:val="center"/>
          </w:tcPr>
          <w:p w14:paraId="662C36AD">
            <w:pPr>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1"/>
                <w:szCs w:val="21"/>
              </w:rPr>
            </w:pPr>
            <w:r>
              <w:rPr>
                <w:rFonts w:hint="eastAsia" w:ascii="宋体" w:hAnsi="宋体" w:cs="宋体"/>
                <w:b/>
                <w:bCs/>
                <w:color w:val="auto"/>
                <w:kern w:val="0"/>
                <w:sz w:val="21"/>
                <w:szCs w:val="21"/>
                <w:lang w:val="en-US" w:eastAsia="zh-CN"/>
              </w:rPr>
              <w:t>标的</w:t>
            </w:r>
            <w:r>
              <w:rPr>
                <w:rFonts w:hint="eastAsia" w:ascii="宋体" w:hAnsi="宋体" w:cs="宋体"/>
                <w:b/>
                <w:bCs/>
                <w:color w:val="auto"/>
                <w:kern w:val="0"/>
                <w:sz w:val="21"/>
                <w:szCs w:val="21"/>
              </w:rPr>
              <w:t>名称</w:t>
            </w:r>
          </w:p>
        </w:tc>
        <w:tc>
          <w:tcPr>
            <w:tcW w:w="459" w:type="pct"/>
            <w:tcMar>
              <w:top w:w="0" w:type="dxa"/>
              <w:left w:w="108" w:type="dxa"/>
              <w:bottom w:w="0" w:type="dxa"/>
              <w:right w:w="108" w:type="dxa"/>
            </w:tcMar>
            <w:vAlign w:val="center"/>
          </w:tcPr>
          <w:p w14:paraId="3D038504">
            <w:pPr>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1"/>
                <w:szCs w:val="21"/>
              </w:rPr>
            </w:pPr>
            <w:r>
              <w:rPr>
                <w:rFonts w:hint="eastAsia" w:ascii="宋体" w:hAnsi="宋体" w:cs="宋体"/>
                <w:b/>
                <w:bCs/>
                <w:color w:val="auto"/>
                <w:kern w:val="0"/>
                <w:sz w:val="21"/>
                <w:szCs w:val="21"/>
              </w:rPr>
              <w:t>数量</w:t>
            </w:r>
          </w:p>
        </w:tc>
        <w:tc>
          <w:tcPr>
            <w:tcW w:w="444" w:type="pct"/>
            <w:tcMar>
              <w:top w:w="0" w:type="dxa"/>
              <w:left w:w="108" w:type="dxa"/>
              <w:bottom w:w="0" w:type="dxa"/>
              <w:right w:w="108" w:type="dxa"/>
            </w:tcMar>
            <w:vAlign w:val="center"/>
          </w:tcPr>
          <w:p w14:paraId="15D5AB0F">
            <w:pPr>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1"/>
                <w:szCs w:val="21"/>
              </w:rPr>
            </w:pPr>
            <w:r>
              <w:rPr>
                <w:rFonts w:hint="eastAsia" w:ascii="宋体" w:hAnsi="宋体" w:cs="宋体"/>
                <w:b/>
                <w:bCs/>
                <w:color w:val="auto"/>
                <w:kern w:val="0"/>
                <w:sz w:val="21"/>
                <w:szCs w:val="21"/>
              </w:rPr>
              <w:t>计量单位</w:t>
            </w:r>
          </w:p>
        </w:tc>
        <w:tc>
          <w:tcPr>
            <w:tcW w:w="654" w:type="pct"/>
            <w:tcMar>
              <w:top w:w="0" w:type="dxa"/>
              <w:left w:w="108" w:type="dxa"/>
              <w:bottom w:w="0" w:type="dxa"/>
              <w:right w:w="108" w:type="dxa"/>
            </w:tcMar>
            <w:vAlign w:val="center"/>
          </w:tcPr>
          <w:p w14:paraId="11746930">
            <w:pPr>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单价（元）</w:t>
            </w:r>
          </w:p>
        </w:tc>
        <w:tc>
          <w:tcPr>
            <w:tcW w:w="2334" w:type="pct"/>
            <w:tcMar>
              <w:top w:w="0" w:type="dxa"/>
              <w:left w:w="108" w:type="dxa"/>
              <w:bottom w:w="0" w:type="dxa"/>
              <w:right w:w="108" w:type="dxa"/>
            </w:tcMar>
            <w:vAlign w:val="center"/>
          </w:tcPr>
          <w:p w14:paraId="2A950F58">
            <w:pPr>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简要技术（服务）需求</w:t>
            </w:r>
          </w:p>
        </w:tc>
      </w:tr>
      <w:tr w14:paraId="3FEB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jc w:val="center"/>
        </w:trPr>
        <w:tc>
          <w:tcPr>
            <w:tcW w:w="382" w:type="pct"/>
            <w:tcMar>
              <w:top w:w="0" w:type="dxa"/>
              <w:left w:w="108" w:type="dxa"/>
              <w:bottom w:w="0" w:type="dxa"/>
              <w:right w:w="108" w:type="dxa"/>
            </w:tcMar>
            <w:vAlign w:val="center"/>
          </w:tcPr>
          <w:p w14:paraId="392D5BCE">
            <w:pPr>
              <w:pageBreakBefore w:val="0"/>
              <w:widowControl/>
              <w:kinsoku/>
              <w:wordWrap/>
              <w:overflowPunct/>
              <w:topLinePunct w:val="0"/>
              <w:autoSpaceDE/>
              <w:autoSpaceDN/>
              <w:bidi w:val="0"/>
              <w:adjustRightInd/>
              <w:snapToGrid/>
              <w:ind w:firstLine="0" w:firstLineChars="0"/>
              <w:jc w:val="center"/>
              <w:textAlignment w:val="bottom"/>
              <w:rPr>
                <w:rFonts w:ascii="宋体" w:hAnsi="宋体" w:cs="宋体"/>
                <w:color w:val="auto"/>
                <w:kern w:val="0"/>
                <w:sz w:val="21"/>
                <w:szCs w:val="21"/>
              </w:rPr>
            </w:pPr>
            <w:r>
              <w:rPr>
                <w:rFonts w:hint="eastAsia" w:ascii="宋体" w:hAnsi="宋体" w:cs="宋体"/>
                <w:color w:val="auto"/>
                <w:kern w:val="0"/>
                <w:sz w:val="21"/>
                <w:szCs w:val="21"/>
              </w:rPr>
              <w:t>1</w:t>
            </w:r>
          </w:p>
        </w:tc>
        <w:tc>
          <w:tcPr>
            <w:tcW w:w="724" w:type="pct"/>
            <w:tcMar>
              <w:top w:w="0" w:type="dxa"/>
              <w:left w:w="108" w:type="dxa"/>
              <w:bottom w:w="0" w:type="dxa"/>
              <w:right w:w="108" w:type="dxa"/>
            </w:tcMar>
            <w:vAlign w:val="center"/>
          </w:tcPr>
          <w:p w14:paraId="269A6834">
            <w:pPr>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auto"/>
                <w:kern w:val="0"/>
                <w:sz w:val="21"/>
                <w:szCs w:val="21"/>
              </w:rPr>
            </w:pPr>
            <w:r>
              <w:rPr>
                <w:rFonts w:hint="eastAsia" w:ascii="宋体" w:hAnsi="宋体" w:cs="宋体"/>
                <w:color w:val="auto"/>
                <w:kern w:val="0"/>
                <w:sz w:val="21"/>
                <w:szCs w:val="21"/>
                <w:lang w:eastAsia="zh-CN"/>
              </w:rPr>
              <w:t>防控药剂</w:t>
            </w:r>
          </w:p>
        </w:tc>
        <w:tc>
          <w:tcPr>
            <w:tcW w:w="459" w:type="pct"/>
            <w:tcMar>
              <w:top w:w="0" w:type="dxa"/>
              <w:left w:w="108" w:type="dxa"/>
              <w:bottom w:w="0" w:type="dxa"/>
              <w:right w:w="108" w:type="dxa"/>
            </w:tcMar>
            <w:vAlign w:val="center"/>
          </w:tcPr>
          <w:p w14:paraId="5B64397F">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default" w:ascii="宋体" w:hAnsi="宋体" w:cs="宋体"/>
                <w:color w:val="auto"/>
                <w:kern w:val="0"/>
                <w:sz w:val="21"/>
                <w:szCs w:val="21"/>
                <w:lang w:val="en-US" w:eastAsia="zh-CN"/>
              </w:rPr>
              <w:t>8613</w:t>
            </w:r>
          </w:p>
        </w:tc>
        <w:tc>
          <w:tcPr>
            <w:tcW w:w="444" w:type="pct"/>
            <w:tcMar>
              <w:top w:w="0" w:type="dxa"/>
              <w:left w:w="108" w:type="dxa"/>
              <w:bottom w:w="0" w:type="dxa"/>
              <w:right w:w="108" w:type="dxa"/>
            </w:tcMar>
            <w:vAlign w:val="center"/>
          </w:tcPr>
          <w:p w14:paraId="1729A1B6">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瓶</w:t>
            </w:r>
          </w:p>
        </w:tc>
        <w:tc>
          <w:tcPr>
            <w:tcW w:w="654" w:type="pct"/>
            <w:tcMar>
              <w:top w:w="0" w:type="dxa"/>
              <w:left w:w="108" w:type="dxa"/>
              <w:bottom w:w="0" w:type="dxa"/>
              <w:right w:w="108" w:type="dxa"/>
            </w:tcMar>
            <w:vAlign w:val="center"/>
          </w:tcPr>
          <w:p w14:paraId="7660221D">
            <w:pPr>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94</w:t>
            </w:r>
          </w:p>
        </w:tc>
        <w:tc>
          <w:tcPr>
            <w:tcW w:w="2334" w:type="pct"/>
            <w:tcMar>
              <w:top w:w="0" w:type="dxa"/>
              <w:left w:w="108" w:type="dxa"/>
              <w:bottom w:w="0" w:type="dxa"/>
              <w:right w:w="108" w:type="dxa"/>
            </w:tcMar>
            <w:vAlign w:val="center"/>
          </w:tcPr>
          <w:p w14:paraId="08A4916B">
            <w:pPr>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★总有效成分：螺虫·噻虫嗪（30%），其中螺虫乙酯15%，噻虫嗪15%。</w:t>
            </w:r>
          </w:p>
          <w:p w14:paraId="25729C67">
            <w:pPr>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剂型：悬浮剂。</w:t>
            </w:r>
          </w:p>
          <w:p w14:paraId="1640847C">
            <w:pPr>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规格：500g/瓶。</w:t>
            </w:r>
          </w:p>
          <w:p w14:paraId="11502B29">
            <w:pPr>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登记作物：包括柑橘</w:t>
            </w:r>
          </w:p>
          <w:p w14:paraId="22C300D7">
            <w:pPr>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防治对象：包含木虱。</w:t>
            </w:r>
          </w:p>
        </w:tc>
      </w:tr>
      <w:bookmarkEnd w:id="23"/>
    </w:tbl>
    <w:p w14:paraId="2C7FB32B">
      <w:pPr>
        <w:pStyle w:val="6"/>
        <w:spacing w:line="360" w:lineRule="auto"/>
        <w:ind w:firstLineChars="200"/>
        <w:rPr>
          <w:rFonts w:hint="eastAsia" w:asciiTheme="minorEastAsia" w:hAnsiTheme="minorEastAsia" w:eastAsiaTheme="minorEastAsia"/>
          <w:szCs w:val="21"/>
        </w:rPr>
      </w:pPr>
      <w:r>
        <w:rPr>
          <w:rFonts w:hint="eastAsia" w:ascii="宋体" w:hAnsi="宋体" w:cs="宋体"/>
          <w:b/>
          <w:bCs/>
          <w:color w:val="auto"/>
          <w:szCs w:val="21"/>
        </w:rPr>
        <w:t>注：</w:t>
      </w:r>
      <w:r>
        <w:rPr>
          <w:rFonts w:hint="eastAsia" w:ascii="宋体" w:hAnsi="宋体" w:cs="宋体"/>
          <w:bCs/>
          <w:color w:val="auto"/>
          <w:szCs w:val="21"/>
        </w:rPr>
        <w:t>本项目共设</w:t>
      </w:r>
      <w:r>
        <w:rPr>
          <w:rFonts w:hint="eastAsia" w:ascii="宋体" w:hAnsi="宋体" w:cs="宋体"/>
          <w:b/>
          <w:color w:val="auto"/>
          <w:szCs w:val="21"/>
          <w:u w:val="single"/>
        </w:rPr>
        <w:t>1</w:t>
      </w:r>
      <w:r>
        <w:rPr>
          <w:rFonts w:hint="eastAsia" w:ascii="宋体" w:hAnsi="宋体" w:cs="宋体"/>
          <w:bCs/>
          <w:color w:val="auto"/>
          <w:szCs w:val="21"/>
        </w:rPr>
        <w:t>个标段</w:t>
      </w:r>
      <w:r>
        <w:rPr>
          <w:rFonts w:hint="eastAsia" w:ascii="宋体" w:hAnsi="宋体" w:cs="宋体"/>
          <w:bCs/>
          <w:color w:val="auto"/>
          <w:szCs w:val="21"/>
          <w:lang w:eastAsia="zh-CN"/>
        </w:rPr>
        <w:t>。</w:t>
      </w:r>
      <w:r>
        <w:rPr>
          <w:rFonts w:hint="eastAsia" w:ascii="宋体" w:hAnsi="宋体" w:cs="宋体"/>
          <w:bCs/>
          <w:color w:val="auto"/>
          <w:szCs w:val="21"/>
          <w:lang w:val="en-US" w:eastAsia="zh-CN"/>
        </w:rPr>
        <w:t>投标人</w:t>
      </w:r>
      <w:r>
        <w:rPr>
          <w:rFonts w:hint="eastAsia" w:ascii="宋体" w:hAnsi="宋体" w:cs="宋体"/>
          <w:color w:val="auto"/>
          <w:szCs w:val="21"/>
        </w:rPr>
        <w:t>必须对所参与标段内所有内容作出完整唯一的响应报价。</w:t>
      </w:r>
    </w:p>
    <w:p w14:paraId="237D5679">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合同履行期限（交货期）：合同签订后</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日内完成供货。如遇不可抗力影响，交货时间可由双方协商后推延。</w:t>
      </w:r>
    </w:p>
    <w:p w14:paraId="29B790F4">
      <w:pPr>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交付（或实施）地点</w: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eastAsia="zh-CN"/>
        </w:rPr>
        <w:t>采购人指定地点。</w:t>
      </w:r>
    </w:p>
    <w:p w14:paraId="08B20FD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本项目（否）接受联合体投标。</w:t>
      </w:r>
    </w:p>
    <w:p w14:paraId="6FB6EC1A">
      <w:pPr>
        <w:spacing w:line="360" w:lineRule="auto"/>
        <w:rPr>
          <w:rFonts w:asciiTheme="minorEastAsia" w:hAnsiTheme="minorEastAsia" w:eastAsiaTheme="minorEastAsia"/>
          <w:b/>
          <w:bCs/>
          <w:sz w:val="24"/>
          <w:szCs w:val="24"/>
        </w:rPr>
      </w:pPr>
      <w:bookmarkStart w:id="24" w:name="_Toc53412194"/>
      <w:bookmarkStart w:id="25" w:name="_Toc35393630"/>
      <w:bookmarkStart w:id="26" w:name="_Toc98864989"/>
      <w:bookmarkStart w:id="27" w:name="_Toc84356230"/>
      <w:bookmarkStart w:id="28" w:name="_Toc98033912"/>
      <w:bookmarkStart w:id="29" w:name="_Toc28359013"/>
      <w:bookmarkStart w:id="30" w:name="_Toc69678407"/>
      <w:bookmarkStart w:id="31" w:name="_Toc28359090"/>
      <w:bookmarkStart w:id="32" w:name="_Toc109809290"/>
      <w:bookmarkStart w:id="33" w:name="_Toc45791326"/>
      <w:bookmarkStart w:id="34" w:name="_Toc35393799"/>
      <w:bookmarkStart w:id="35" w:name="_Toc45976873"/>
      <w:bookmarkStart w:id="36" w:name="_Toc87538347"/>
      <w:bookmarkStart w:id="37" w:name="_Toc87543796"/>
      <w:bookmarkStart w:id="38" w:name="_Toc83753870"/>
      <w:r>
        <w:rPr>
          <w:rFonts w:hint="eastAsia" w:asciiTheme="minorEastAsia" w:hAnsiTheme="minorEastAsia" w:eastAsiaTheme="minorEastAsia"/>
          <w:b/>
          <w:bCs/>
          <w:sz w:val="24"/>
          <w:szCs w:val="24"/>
        </w:rPr>
        <w:t>二、投标人的资格要求</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8E23C43">
      <w:pPr>
        <w:spacing w:line="360" w:lineRule="auto"/>
        <w:ind w:firstLine="420" w:firstLineChars="200"/>
        <w:rPr>
          <w:rFonts w:asciiTheme="minorEastAsia" w:hAnsiTheme="minorEastAsia" w:eastAsiaTheme="minorEastAsia"/>
          <w:szCs w:val="21"/>
        </w:rPr>
      </w:pPr>
      <w:bookmarkStart w:id="39" w:name="_Hlk109738198"/>
      <w:bookmarkStart w:id="40" w:name="_Toc28359091"/>
      <w:bookmarkStart w:id="41" w:name="_Toc28359014"/>
      <w:r>
        <w:rPr>
          <w:rFonts w:hint="eastAsia" w:asciiTheme="minorEastAsia" w:hAnsiTheme="minorEastAsia" w:eastAsiaTheme="minorEastAsia"/>
          <w:szCs w:val="21"/>
        </w:rPr>
        <w:t>1.满足《中华人民共和国政府采购法》第二十二条规定；</w:t>
      </w:r>
    </w:p>
    <w:p w14:paraId="307E6990">
      <w:pPr>
        <w:pStyle w:val="21"/>
        <w:spacing w:line="360" w:lineRule="auto"/>
        <w:ind w:firstLine="420" w:firstLineChars="200"/>
        <w:rPr>
          <w:sz w:val="21"/>
          <w:szCs w:val="16"/>
        </w:rPr>
      </w:pPr>
      <w:r>
        <w:rPr>
          <w:rFonts w:hint="eastAsia"/>
          <w:sz w:val="21"/>
          <w:szCs w:val="16"/>
        </w:rPr>
        <w:t>1.1具有独立承担民事责任的能力：投标人须在中华人民共和国境内注册，具有独立承担民事责任的能力，具备企业（事业）单位法人或其他组织或自然人资格，提供营业执照或其他类似法定凭证，自然人提供有效的身份证。</w:t>
      </w:r>
    </w:p>
    <w:p w14:paraId="3E80F9E9">
      <w:pPr>
        <w:pStyle w:val="21"/>
        <w:spacing w:line="360" w:lineRule="auto"/>
        <w:ind w:firstLine="420" w:firstLineChars="200"/>
        <w:rPr>
          <w:rFonts w:hint="eastAsia"/>
          <w:sz w:val="21"/>
          <w:szCs w:val="16"/>
          <w:lang w:eastAsia="zh-CN"/>
        </w:rPr>
      </w:pPr>
      <w:r>
        <w:rPr>
          <w:rFonts w:hint="eastAsia"/>
          <w:sz w:val="21"/>
          <w:szCs w:val="16"/>
        </w:rPr>
        <w:t>1.2具有良好的商业信誉和健全的财务会计制度</w:t>
      </w:r>
      <w:r>
        <w:rPr>
          <w:rFonts w:hint="eastAsia"/>
          <w:sz w:val="21"/>
          <w:szCs w:val="16"/>
          <w:lang w:eastAsia="zh-CN"/>
        </w:rPr>
        <w:t>：</w:t>
      </w:r>
    </w:p>
    <w:p w14:paraId="7A5A561F">
      <w:pPr>
        <w:pageBreakBefore w:val="0"/>
        <w:kinsoku/>
        <w:wordWrap/>
        <w:overflowPunct/>
        <w:topLinePunct w:val="0"/>
        <w:autoSpaceDE/>
        <w:autoSpaceDN/>
        <w:bidi w:val="0"/>
        <w:adjustRightInd/>
        <w:snapToGrid/>
        <w:spacing w:line="360" w:lineRule="auto"/>
        <w:ind w:firstLine="420"/>
        <w:rPr>
          <w:rFonts w:hint="eastAsia" w:ascii="宋体" w:hAnsi="宋体" w:cs="宋体"/>
          <w:color w:val="auto"/>
          <w:szCs w:val="21"/>
          <w:lang w:eastAsia="zh-CN"/>
        </w:rPr>
      </w:pPr>
      <w:r>
        <w:rPr>
          <w:rFonts w:hint="eastAsia" w:ascii="宋体" w:hAnsi="宋体" w:cs="宋体"/>
          <w:b w:val="0"/>
          <w:bCs w:val="0"/>
          <w:color w:val="auto"/>
          <w:szCs w:val="21"/>
        </w:rPr>
        <w:t>1.2.1具有良好的商业信誉</w:t>
      </w:r>
      <w:bookmarkStart w:id="42" w:name="OLE_LINK38"/>
      <w:r>
        <w:rPr>
          <w:rFonts w:hint="eastAsia" w:ascii="宋体" w:hAnsi="宋体" w:cs="宋体"/>
          <w:b w:val="0"/>
          <w:bCs w:val="0"/>
          <w:color w:val="auto"/>
          <w:szCs w:val="21"/>
          <w:lang w:eastAsia="zh-CN"/>
        </w:rPr>
        <w:t>：①查询渠道</w:t>
      </w:r>
      <w:bookmarkEnd w:id="42"/>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w:t>
      </w:r>
      <w:r>
        <w:rPr>
          <w:rFonts w:hint="eastAsia" w:ascii="宋体" w:hAnsi="宋体" w:cs="宋体"/>
          <w:color w:val="auto"/>
          <w:szCs w:val="21"/>
          <w:lang w:eastAsia="zh-CN"/>
        </w:rPr>
        <w:t>信用中国</w:t>
      </w:r>
      <w:r>
        <w:rPr>
          <w:rFonts w:hint="eastAsia" w:ascii="宋体" w:hAnsi="宋体" w:cs="宋体"/>
          <w:b w:val="0"/>
          <w:bCs w:val="0"/>
          <w:color w:val="auto"/>
          <w:szCs w:val="21"/>
          <w:lang w:val="en-US" w:eastAsia="zh-CN"/>
        </w:rPr>
        <w:t>”</w:t>
      </w:r>
      <w:r>
        <w:rPr>
          <w:rFonts w:hint="eastAsia" w:ascii="宋体" w:hAnsi="宋体" w:cs="宋体"/>
          <w:color w:val="auto"/>
          <w:szCs w:val="21"/>
          <w:lang w:eastAsia="zh-CN"/>
        </w:rPr>
        <w:t>网站</w:t>
      </w:r>
      <w:r>
        <w:rPr>
          <w:rFonts w:hint="eastAsia" w:ascii="宋体" w:hAnsi="宋体" w:cs="宋体"/>
          <w:b w:val="0"/>
          <w:bCs w:val="0"/>
          <w:color w:val="auto"/>
          <w:szCs w:val="21"/>
        </w:rPr>
        <w:t>（www.creditchina.gov.cn）</w:t>
      </w:r>
      <w:r>
        <w:rPr>
          <w:rFonts w:hint="eastAsia" w:ascii="宋体" w:hAnsi="宋体" w:cs="宋体"/>
          <w:color w:val="auto"/>
          <w:szCs w:val="21"/>
          <w:lang w:eastAsia="zh-CN"/>
        </w:rPr>
        <w:t>和“中国政府采购”网</w:t>
      </w:r>
      <w:r>
        <w:rPr>
          <w:rFonts w:hint="eastAsia" w:ascii="宋体" w:hAnsi="宋体" w:cs="宋体"/>
          <w:color w:val="auto"/>
          <w:szCs w:val="21"/>
          <w:lang w:val="en-US" w:eastAsia="zh-CN"/>
        </w:rPr>
        <w:t>站</w:t>
      </w:r>
      <w:r>
        <w:rPr>
          <w:rFonts w:hint="eastAsia" w:ascii="宋体" w:hAnsi="宋体" w:cs="宋体"/>
          <w:b w:val="0"/>
          <w:bCs w:val="0"/>
          <w:color w:val="auto"/>
          <w:szCs w:val="21"/>
        </w:rPr>
        <w:t>（www.ccgp.gov.cn）</w:t>
      </w:r>
      <w:bookmarkStart w:id="43" w:name="OLE_LINK175"/>
      <w:r>
        <w:rPr>
          <w:rFonts w:hint="eastAsia" w:ascii="宋体" w:hAnsi="宋体" w:cs="宋体"/>
          <w:color w:val="auto"/>
          <w:szCs w:val="21"/>
          <w:lang w:eastAsia="zh-CN"/>
        </w:rPr>
        <w:t>；</w:t>
      </w:r>
      <w:bookmarkEnd w:id="43"/>
      <w:bookmarkStart w:id="44" w:name="OLE_LINK176"/>
      <w:r>
        <w:rPr>
          <w:rFonts w:hint="eastAsia" w:ascii="宋体" w:hAnsi="宋体" w:cs="宋体"/>
          <w:b w:val="0"/>
          <w:bCs w:val="0"/>
          <w:color w:val="auto"/>
          <w:kern w:val="0"/>
          <w:szCs w:val="21"/>
        </w:rPr>
        <w:t>②</w:t>
      </w:r>
      <w:r>
        <w:rPr>
          <w:rFonts w:hint="eastAsia" w:ascii="宋体" w:hAnsi="宋体" w:cs="宋体"/>
          <w:b w:val="0"/>
          <w:bCs w:val="0"/>
          <w:color w:val="auto"/>
          <w:szCs w:val="21"/>
          <w:lang w:eastAsia="zh-CN"/>
        </w:rPr>
        <w:t>截止时点</w:t>
      </w:r>
      <w:bookmarkEnd w:id="44"/>
      <w:bookmarkStart w:id="45" w:name="OLE_LINK174"/>
      <w:r>
        <w:rPr>
          <w:rFonts w:hint="eastAsia" w:ascii="宋体" w:hAnsi="宋体" w:cs="宋体"/>
          <w:b w:val="0"/>
          <w:bCs w:val="0"/>
          <w:color w:val="auto"/>
          <w:szCs w:val="21"/>
          <w:lang w:eastAsia="zh-CN"/>
        </w:rPr>
        <w:t>：</w:t>
      </w:r>
      <w:r>
        <w:rPr>
          <w:rFonts w:hint="eastAsia" w:ascii="宋体" w:hAnsi="宋体" w:cs="宋体"/>
          <w:color w:val="auto"/>
          <w:szCs w:val="21"/>
          <w:lang w:eastAsia="zh-CN"/>
        </w:rPr>
        <w:t>采购人或采购代理机构的实际查询时间</w:t>
      </w:r>
      <w:r>
        <w:rPr>
          <w:rFonts w:hint="eastAsia" w:ascii="宋体" w:hAnsi="宋体" w:cs="宋体"/>
          <w:color w:val="auto"/>
          <w:szCs w:val="21"/>
          <w:lang w:val="en-US" w:eastAsia="zh-CN"/>
        </w:rPr>
        <w:t>为</w:t>
      </w:r>
      <w:r>
        <w:rPr>
          <w:rFonts w:hint="eastAsia" w:ascii="宋体" w:hAnsi="宋体" w:cs="宋体"/>
          <w:color w:val="auto"/>
          <w:szCs w:val="21"/>
          <w:lang w:eastAsia="zh-CN"/>
        </w:rPr>
        <w:t>投标截止时间以后、资格审查阶段</w:t>
      </w:r>
      <w:bookmarkEnd w:id="45"/>
      <w:r>
        <w:rPr>
          <w:rFonts w:hint="eastAsia" w:ascii="宋体" w:hAnsi="宋体" w:cs="宋体"/>
          <w:color w:val="auto"/>
          <w:szCs w:val="21"/>
          <w:lang w:eastAsia="zh-CN"/>
        </w:rPr>
        <w:t>；</w:t>
      </w:r>
      <w:bookmarkStart w:id="46" w:name="OLE_LINK177"/>
      <w:r>
        <w:rPr>
          <w:rFonts w:hint="eastAsia" w:ascii="宋体" w:hAnsi="宋体" w:cs="宋体"/>
          <w:b w:val="0"/>
          <w:bCs w:val="0"/>
          <w:color w:val="auto"/>
          <w:kern w:val="0"/>
          <w:szCs w:val="21"/>
        </w:rPr>
        <w:t>③</w:t>
      </w:r>
      <w:r>
        <w:rPr>
          <w:rFonts w:hint="eastAsia" w:ascii="宋体" w:hAnsi="宋体" w:cs="宋体"/>
          <w:b w:val="0"/>
          <w:bCs w:val="0"/>
          <w:color w:val="auto"/>
          <w:szCs w:val="21"/>
          <w:lang w:val="en-US" w:eastAsia="zh-CN"/>
        </w:rPr>
        <w:t>信用信息查询记录和证据留存具体方式：</w:t>
      </w:r>
      <w:r>
        <w:rPr>
          <w:rFonts w:hint="eastAsia" w:ascii="宋体" w:hAnsi="宋体" w:cs="宋体"/>
          <w:color w:val="auto"/>
          <w:szCs w:val="21"/>
          <w:lang w:val="en-US" w:eastAsia="zh-CN"/>
        </w:rPr>
        <w:t>查询结果网页打印页作为查询记录和证据，与其他采购文件一并保存；④</w:t>
      </w:r>
      <w:r>
        <w:rPr>
          <w:rFonts w:hint="eastAsia" w:ascii="宋体" w:hAnsi="宋体" w:cs="宋体"/>
          <w:b w:val="0"/>
          <w:bCs w:val="0"/>
          <w:color w:val="auto"/>
          <w:szCs w:val="21"/>
          <w:lang w:eastAsia="zh-CN"/>
        </w:rPr>
        <w:t>信用信息的使用原则</w:t>
      </w:r>
      <w:bookmarkEnd w:id="46"/>
      <w:r>
        <w:rPr>
          <w:rFonts w:hint="eastAsia" w:ascii="宋体" w:hAnsi="宋体" w:cs="宋体"/>
          <w:b w:val="0"/>
          <w:bCs w:val="0"/>
          <w:color w:val="auto"/>
          <w:szCs w:val="21"/>
          <w:lang w:eastAsia="zh-CN"/>
        </w:rPr>
        <w:t>：</w:t>
      </w:r>
      <w:r>
        <w:rPr>
          <w:rFonts w:hint="eastAsia" w:ascii="宋体" w:hAnsi="宋体" w:cs="宋体"/>
          <w:color w:val="auto"/>
          <w:szCs w:val="21"/>
          <w:lang w:eastAsia="zh-CN"/>
        </w:rPr>
        <w:t>经认定被列入失信被执行人、重大税收违法案件当事人名单、政府采购严重违法失信行为记录名单的投标人，其投标无效。</w:t>
      </w:r>
      <w:r>
        <w:rPr>
          <w:rFonts w:hint="eastAsia" w:ascii="宋体" w:hAnsi="宋体" w:cs="宋体"/>
          <w:b/>
          <w:color w:val="auto"/>
        </w:rPr>
        <w:t>（此部分不需</w:t>
      </w:r>
      <w:r>
        <w:rPr>
          <w:rFonts w:hint="eastAsia" w:ascii="宋体" w:hAnsi="宋体" w:cs="宋体"/>
          <w:b/>
          <w:color w:val="auto"/>
          <w:highlight w:val="none"/>
        </w:rPr>
        <w:t>要</w:t>
      </w:r>
      <w:r>
        <w:rPr>
          <w:rFonts w:hint="eastAsia" w:ascii="宋体" w:hAnsi="宋体" w:cs="宋体"/>
          <w:b/>
          <w:color w:val="auto"/>
          <w:highlight w:val="none"/>
          <w:lang w:val="en-US" w:eastAsia="zh-CN"/>
        </w:rPr>
        <w:t>投标人</w:t>
      </w:r>
      <w:r>
        <w:rPr>
          <w:rFonts w:hint="eastAsia" w:ascii="宋体" w:hAnsi="宋体" w:cs="宋体"/>
          <w:b/>
          <w:color w:val="auto"/>
        </w:rPr>
        <w:t>提供证明材料）</w:t>
      </w:r>
    </w:p>
    <w:p w14:paraId="22089542">
      <w:pPr>
        <w:pageBreakBefore w:val="0"/>
        <w:kinsoku/>
        <w:wordWrap/>
        <w:overflowPunct/>
        <w:topLinePunct w:val="0"/>
        <w:autoSpaceDE/>
        <w:autoSpaceDN/>
        <w:bidi w:val="0"/>
        <w:adjustRightInd/>
        <w:snapToGrid/>
        <w:spacing w:line="360" w:lineRule="auto"/>
        <w:ind w:firstLine="422"/>
        <w:rPr>
          <w:rFonts w:hint="eastAsia" w:ascii="宋体" w:hAnsi="宋体" w:eastAsia="宋体" w:cs="宋体"/>
          <w:b w:val="0"/>
          <w:bCs w:val="0"/>
          <w:color w:val="auto"/>
          <w:kern w:val="0"/>
          <w:szCs w:val="21"/>
          <w:lang w:eastAsia="zh-CN"/>
        </w:rPr>
      </w:pPr>
      <w:r>
        <w:rPr>
          <w:rFonts w:hint="eastAsia" w:ascii="宋体" w:hAnsi="宋体" w:cs="宋体"/>
          <w:b w:val="0"/>
          <w:bCs w:val="0"/>
          <w:color w:val="auto"/>
          <w:szCs w:val="21"/>
        </w:rPr>
        <w:t>1.2.2</w:t>
      </w:r>
      <w:r>
        <w:rPr>
          <w:rFonts w:hint="eastAsia" w:ascii="宋体" w:hAnsi="宋体" w:cs="宋体"/>
          <w:b w:val="0"/>
          <w:bCs w:val="0"/>
          <w:color w:val="auto"/>
          <w:kern w:val="0"/>
          <w:szCs w:val="21"/>
        </w:rPr>
        <w:t>具有健全的财务会计制度</w:t>
      </w:r>
      <w:r>
        <w:rPr>
          <w:rFonts w:hint="eastAsia" w:ascii="宋体" w:hAnsi="宋体" w:cs="宋体"/>
          <w:b w:val="0"/>
          <w:bCs w:val="0"/>
          <w:color w:val="auto"/>
          <w:kern w:val="0"/>
          <w:szCs w:val="21"/>
          <w:lang w:eastAsia="zh-CN"/>
        </w:rPr>
        <w:t>：</w:t>
      </w:r>
    </w:p>
    <w:p w14:paraId="3B75DA20">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①</w:t>
      </w:r>
      <w:r>
        <w:rPr>
          <w:rFonts w:hint="eastAsia" w:ascii="宋体" w:hAnsi="宋体" w:cs="宋体"/>
          <w:b w:val="0"/>
          <w:bCs w:val="0"/>
          <w:color w:val="auto"/>
          <w:szCs w:val="21"/>
        </w:rPr>
        <w:t>投标人</w:t>
      </w:r>
      <w:r>
        <w:rPr>
          <w:rFonts w:hint="eastAsia" w:ascii="宋体" w:hAnsi="宋体" w:cs="宋体"/>
          <w:color w:val="auto"/>
          <w:szCs w:val="21"/>
        </w:rPr>
        <w:t>须</w:t>
      </w:r>
      <w:r>
        <w:rPr>
          <w:rFonts w:hint="eastAsia" w:ascii="宋体" w:hAnsi="宋体" w:cs="宋体"/>
          <w:color w:val="auto"/>
          <w:kern w:val="0"/>
          <w:szCs w:val="21"/>
        </w:rPr>
        <w:t>提</w:t>
      </w:r>
      <w:r>
        <w:rPr>
          <w:rFonts w:hint="eastAsia" w:ascii="宋体" w:hAnsi="宋体" w:cs="宋体"/>
          <w:color w:val="auto"/>
          <w:kern w:val="0"/>
          <w:szCs w:val="21"/>
          <w:highlight w:val="none"/>
        </w:rPr>
        <w:t>供</w:t>
      </w:r>
      <w:r>
        <w:rPr>
          <w:rFonts w:hint="eastAsia" w:ascii="宋体" w:hAnsi="宋体" w:cs="宋体"/>
          <w:color w:val="auto"/>
          <w:kern w:val="0"/>
          <w:szCs w:val="21"/>
          <w:highlight w:val="none"/>
          <w:lang w:val="en-US" w:eastAsia="zh-CN"/>
        </w:rPr>
        <w:t>2023年至</w:t>
      </w:r>
      <w:r>
        <w:rPr>
          <w:rFonts w:hint="eastAsia" w:ascii="宋体" w:hAnsi="宋体" w:cs="宋体"/>
          <w:color w:val="auto"/>
          <w:szCs w:val="21"/>
          <w:highlight w:val="none"/>
          <w:lang w:val="en-US" w:eastAsia="zh-CN" w:bidi="ar"/>
        </w:rPr>
        <w:t>2025</w:t>
      </w:r>
      <w:r>
        <w:rPr>
          <w:rFonts w:hint="eastAsia" w:ascii="宋体" w:hAnsi="宋体" w:cs="宋体"/>
          <w:color w:val="auto"/>
          <w:szCs w:val="21"/>
          <w:highlight w:val="none"/>
          <w:lang w:bidi="ar"/>
        </w:rPr>
        <w:t>年度</w:t>
      </w:r>
      <w:r>
        <w:rPr>
          <w:rFonts w:hint="eastAsia" w:ascii="宋体" w:hAnsi="宋体" w:cs="宋体"/>
          <w:color w:val="auto"/>
          <w:szCs w:val="21"/>
          <w:highlight w:val="none"/>
          <w:lang w:val="en-US" w:eastAsia="zh-CN" w:bidi="ar"/>
        </w:rPr>
        <w:t>任意一年</w:t>
      </w:r>
      <w:r>
        <w:rPr>
          <w:rFonts w:hint="eastAsia" w:ascii="宋体" w:hAnsi="宋体" w:cs="宋体"/>
          <w:color w:val="auto"/>
          <w:kern w:val="0"/>
          <w:szCs w:val="21"/>
          <w:highlight w:val="none"/>
        </w:rPr>
        <w:t>经</w:t>
      </w:r>
      <w:r>
        <w:rPr>
          <w:rFonts w:hint="eastAsia" w:ascii="宋体" w:hAnsi="宋体" w:cs="宋体"/>
          <w:color w:val="auto"/>
          <w:kern w:val="0"/>
          <w:szCs w:val="21"/>
        </w:rPr>
        <w:t>审计的财务会计报告及报表资料（至少包括：财务审计报告、资产负债表、利润表、现金流量表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事业单位</w:t>
      </w:r>
      <w:r>
        <w:rPr>
          <w:rFonts w:hint="eastAsia" w:ascii="宋体" w:hAnsi="宋体" w:cs="宋体"/>
          <w:color w:val="auto"/>
          <w:kern w:val="0"/>
          <w:szCs w:val="21"/>
          <w:highlight w:val="none"/>
          <w:lang w:val="en-US" w:eastAsia="zh-CN"/>
        </w:rPr>
        <w:t>可</w:t>
      </w:r>
      <w:r>
        <w:rPr>
          <w:rFonts w:hint="eastAsia" w:ascii="宋体" w:hAnsi="宋体" w:cs="宋体"/>
          <w:color w:val="auto"/>
          <w:kern w:val="0"/>
          <w:szCs w:val="21"/>
          <w:highlight w:val="none"/>
          <w:lang w:eastAsia="zh-CN"/>
        </w:rPr>
        <w:t>提供</w:t>
      </w:r>
      <w:r>
        <w:rPr>
          <w:rFonts w:hint="eastAsia" w:ascii="宋体" w:hAnsi="宋体" w:cs="宋体"/>
          <w:color w:val="auto"/>
          <w:kern w:val="0"/>
          <w:szCs w:val="21"/>
          <w:highlight w:val="none"/>
          <w:lang w:val="en-US" w:eastAsia="zh-CN"/>
        </w:rPr>
        <w:t>内部财务报表；新成立企业，</w:t>
      </w:r>
      <w:r>
        <w:rPr>
          <w:rFonts w:ascii="宋体" w:hAnsi="宋体" w:cs="宋体"/>
          <w:color w:val="auto"/>
          <w:kern w:val="0"/>
          <w:szCs w:val="21"/>
        </w:rPr>
        <w:t>若成立</w:t>
      </w:r>
      <w:r>
        <w:rPr>
          <w:rFonts w:hint="eastAsia" w:ascii="宋体" w:hAnsi="宋体" w:cs="宋体"/>
          <w:color w:val="auto"/>
          <w:kern w:val="0"/>
          <w:szCs w:val="21"/>
        </w:rPr>
        <w:t>时</w:t>
      </w:r>
      <w:bookmarkStart w:id="47" w:name="OLE_LINK300"/>
      <w:r>
        <w:rPr>
          <w:rFonts w:hint="eastAsia" w:ascii="宋体" w:hAnsi="宋体" w:cs="宋体"/>
          <w:color w:val="auto"/>
          <w:kern w:val="0"/>
          <w:szCs w:val="21"/>
        </w:rPr>
        <w:t>间至本项目</w:t>
      </w:r>
      <w:bookmarkStart w:id="48" w:name="OLE_LINK299"/>
      <w:r>
        <w:rPr>
          <w:rFonts w:hint="eastAsia" w:ascii="宋体" w:hAnsi="宋体" w:cs="宋体"/>
          <w:color w:val="auto"/>
          <w:kern w:val="0"/>
          <w:szCs w:val="21"/>
        </w:rPr>
        <w:t>提交投标文件</w:t>
      </w:r>
      <w:bookmarkEnd w:id="47"/>
      <w:r>
        <w:rPr>
          <w:rFonts w:hint="eastAsia" w:ascii="宋体" w:hAnsi="宋体" w:cs="宋体"/>
          <w:color w:val="auto"/>
          <w:kern w:val="0"/>
          <w:szCs w:val="21"/>
        </w:rPr>
        <w:t>截止</w:t>
      </w:r>
      <w:r>
        <w:rPr>
          <w:rFonts w:hint="eastAsia" w:ascii="宋体" w:hAnsi="宋体" w:cs="宋体"/>
          <w:color w:val="auto"/>
          <w:kern w:val="0"/>
          <w:szCs w:val="21"/>
          <w:lang w:eastAsia="zh-CN"/>
        </w:rPr>
        <w:t>时间</w:t>
      </w:r>
      <w:r>
        <w:rPr>
          <w:rFonts w:hint="eastAsia" w:ascii="宋体" w:hAnsi="宋体" w:cs="宋体"/>
          <w:color w:val="auto"/>
          <w:kern w:val="0"/>
          <w:szCs w:val="21"/>
          <w:highlight w:val="none"/>
          <w:lang w:eastAsia="zh-CN"/>
        </w:rPr>
        <w:t>不满1年的可提供</w:t>
      </w:r>
      <w:bookmarkEnd w:id="48"/>
      <w:r>
        <w:rPr>
          <w:rFonts w:hint="eastAsia" w:ascii="宋体" w:hAnsi="宋体" w:cs="宋体"/>
          <w:color w:val="auto"/>
          <w:kern w:val="0"/>
          <w:szCs w:val="21"/>
          <w:highlight w:val="none"/>
          <w:lang w:eastAsia="zh-CN"/>
        </w:rPr>
        <w:t>成立至今的财务报表。</w:t>
      </w:r>
      <w:r>
        <w:rPr>
          <w:rFonts w:ascii="宋体" w:hAnsi="宋体" w:cs="宋体"/>
          <w:color w:val="auto"/>
          <w:kern w:val="0"/>
          <w:szCs w:val="21"/>
        </w:rPr>
        <w:t xml:space="preserve"> </w:t>
      </w:r>
    </w:p>
    <w:p w14:paraId="572D28D0">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auto"/>
          <w:kern w:val="0"/>
          <w:szCs w:val="21"/>
          <w:lang w:eastAsia="zh-CN"/>
        </w:rPr>
      </w:pPr>
      <w:r>
        <w:rPr>
          <w:rFonts w:hint="eastAsia" w:ascii="宋体" w:hAnsi="宋体" w:cs="宋体"/>
          <w:color w:val="auto"/>
          <w:kern w:val="0"/>
          <w:szCs w:val="21"/>
        </w:rPr>
        <w:t>②</w:t>
      </w:r>
      <w:r>
        <w:rPr>
          <w:rFonts w:hint="eastAsia" w:ascii="宋体" w:hAnsi="宋体" w:cs="宋体"/>
          <w:b w:val="0"/>
          <w:bCs w:val="0"/>
          <w:color w:val="auto"/>
          <w:szCs w:val="21"/>
        </w:rPr>
        <w:t>投标人</w:t>
      </w:r>
      <w:r>
        <w:rPr>
          <w:rFonts w:hint="eastAsia" w:ascii="宋体" w:hAnsi="宋体" w:cs="宋体"/>
          <w:color w:val="auto"/>
          <w:szCs w:val="21"/>
        </w:rPr>
        <w:t>须</w:t>
      </w:r>
      <w:r>
        <w:rPr>
          <w:rFonts w:hint="eastAsia" w:ascii="宋体" w:hAnsi="宋体" w:cs="宋体"/>
          <w:color w:val="auto"/>
          <w:kern w:val="0"/>
          <w:szCs w:val="21"/>
        </w:rPr>
        <w:t>提供在</w:t>
      </w:r>
      <w:r>
        <w:rPr>
          <w:rFonts w:ascii="宋体" w:hAnsi="宋体" w:cs="宋体"/>
          <w:color w:val="auto"/>
          <w:kern w:val="0"/>
          <w:szCs w:val="21"/>
        </w:rPr>
        <w:t>提交投标文件截止时间</w:t>
      </w:r>
      <w:r>
        <w:rPr>
          <w:rFonts w:hint="eastAsia" w:ascii="宋体" w:hAnsi="宋体" w:cs="宋体"/>
          <w:color w:val="auto"/>
          <w:kern w:val="0"/>
          <w:szCs w:val="21"/>
        </w:rPr>
        <w:t>前三个月内银行开具的资信证明；（银行出具的资信证明无需针对本项目或本项目</w:t>
      </w:r>
      <w:r>
        <w:rPr>
          <w:rFonts w:hint="eastAsia" w:ascii="宋体" w:hAnsi="宋体" w:cs="宋体"/>
          <w:color w:val="auto"/>
          <w:kern w:val="0"/>
          <w:szCs w:val="21"/>
          <w:lang w:val="en-US" w:eastAsia="zh-CN"/>
        </w:rPr>
        <w:t>采购人</w:t>
      </w:r>
      <w:r>
        <w:rPr>
          <w:rFonts w:hint="eastAsia" w:ascii="宋体" w:hAnsi="宋体" w:cs="宋体"/>
          <w:color w:val="auto"/>
          <w:kern w:val="0"/>
          <w:szCs w:val="21"/>
        </w:rPr>
        <w:t>）</w:t>
      </w:r>
      <w:r>
        <w:rPr>
          <w:rFonts w:hint="eastAsia" w:ascii="宋体" w:hAnsi="宋体" w:cs="宋体"/>
          <w:color w:val="auto"/>
          <w:kern w:val="0"/>
          <w:szCs w:val="21"/>
          <w:lang w:eastAsia="zh-CN"/>
        </w:rPr>
        <w:t>。</w:t>
      </w:r>
    </w:p>
    <w:p w14:paraId="4266718C">
      <w:pPr>
        <w:pageBreakBefore w:val="0"/>
        <w:kinsoku/>
        <w:wordWrap/>
        <w:overflowPunct/>
        <w:topLinePunct w:val="0"/>
        <w:autoSpaceDE/>
        <w:autoSpaceDN/>
        <w:bidi w:val="0"/>
        <w:adjustRightInd/>
        <w:snapToGrid/>
        <w:spacing w:line="360" w:lineRule="auto"/>
        <w:ind w:firstLine="420"/>
        <w:rPr>
          <w:rFonts w:ascii="宋体" w:hAnsi="宋体" w:cs="宋体"/>
          <w:color w:val="auto"/>
          <w:kern w:val="0"/>
          <w:szCs w:val="21"/>
        </w:rPr>
      </w:pPr>
      <w:r>
        <w:rPr>
          <w:rFonts w:hint="eastAsia" w:ascii="宋体" w:hAnsi="宋体" w:cs="宋体"/>
          <w:color w:val="auto"/>
          <w:kern w:val="0"/>
          <w:szCs w:val="21"/>
        </w:rPr>
        <w:t>③</w:t>
      </w:r>
      <w:r>
        <w:rPr>
          <w:rFonts w:hint="eastAsia" w:ascii="宋体" w:hAnsi="宋体" w:cs="宋体"/>
          <w:b w:val="0"/>
          <w:bCs w:val="0"/>
          <w:color w:val="auto"/>
          <w:szCs w:val="21"/>
        </w:rPr>
        <w:t>投标人</w:t>
      </w:r>
      <w:r>
        <w:rPr>
          <w:rFonts w:hint="eastAsia" w:ascii="宋体" w:hAnsi="宋体" w:cs="宋体"/>
          <w:color w:val="auto"/>
          <w:szCs w:val="21"/>
        </w:rPr>
        <w:t>须</w:t>
      </w:r>
      <w:r>
        <w:rPr>
          <w:rFonts w:hint="eastAsia" w:ascii="宋体" w:hAnsi="宋体" w:cs="宋体"/>
          <w:color w:val="auto"/>
          <w:kern w:val="0"/>
          <w:szCs w:val="21"/>
        </w:rPr>
        <w:t>提供财政部门认可的政府采购专业担保机构对投标人进行资信审查后出具的投标担保函。</w:t>
      </w:r>
    </w:p>
    <w:p w14:paraId="24AAAEF8">
      <w:pPr>
        <w:pageBreakBefore w:val="0"/>
        <w:kinsoku/>
        <w:wordWrap/>
        <w:overflowPunct/>
        <w:topLinePunct w:val="0"/>
        <w:autoSpaceDE/>
        <w:autoSpaceDN/>
        <w:bidi w:val="0"/>
        <w:adjustRightInd/>
        <w:snapToGrid/>
        <w:spacing w:line="360" w:lineRule="auto"/>
        <w:ind w:firstLine="422"/>
        <w:rPr>
          <w:color w:val="auto"/>
        </w:rPr>
      </w:pPr>
      <w:r>
        <w:rPr>
          <w:rFonts w:hint="eastAsia" w:ascii="宋体" w:hAnsi="宋体" w:cs="宋体"/>
          <w:b/>
          <w:bCs/>
          <w:color w:val="auto"/>
          <w:kern w:val="0"/>
          <w:szCs w:val="21"/>
        </w:rPr>
        <w:t>备注：以上①-③项证明材料具有同等效力，投标人可根据自身情况提供上述任意一种证明材料</w:t>
      </w:r>
      <w:r>
        <w:rPr>
          <w:rFonts w:hint="eastAsia" w:ascii="宋体" w:hAnsi="宋体" w:cs="宋体"/>
          <w:b/>
          <w:bCs/>
          <w:color w:val="auto"/>
          <w:szCs w:val="21"/>
        </w:rPr>
        <w:t>。</w:t>
      </w:r>
    </w:p>
    <w:p w14:paraId="467238CE">
      <w:pPr>
        <w:pStyle w:val="21"/>
        <w:spacing w:line="360" w:lineRule="auto"/>
        <w:ind w:firstLine="420" w:firstLineChars="200"/>
        <w:rPr>
          <w:sz w:val="21"/>
          <w:szCs w:val="16"/>
        </w:rPr>
      </w:pPr>
      <w:r>
        <w:rPr>
          <w:rFonts w:hint="eastAsia"/>
          <w:sz w:val="21"/>
          <w:szCs w:val="16"/>
        </w:rPr>
        <w:t>1.3具有履行合同所必需的设备和专业技术能力：提供具备履行合同所必需的设备和专业技术能力的证明材料或承诺。</w:t>
      </w:r>
    </w:p>
    <w:p w14:paraId="49126167">
      <w:pPr>
        <w:pStyle w:val="21"/>
        <w:spacing w:line="360" w:lineRule="auto"/>
        <w:ind w:firstLine="420" w:firstLineChars="200"/>
        <w:rPr>
          <w:sz w:val="21"/>
          <w:szCs w:val="16"/>
        </w:rPr>
      </w:pPr>
      <w:r>
        <w:rPr>
          <w:rFonts w:hint="eastAsia"/>
          <w:sz w:val="21"/>
          <w:szCs w:val="16"/>
        </w:rPr>
        <w:t>1.4具有依法缴纳税收和社会保障资金的良好记录：提供2025年1月至今任意</w:t>
      </w:r>
      <w:r>
        <w:rPr>
          <w:rFonts w:hint="eastAsia"/>
          <w:sz w:val="21"/>
          <w:szCs w:val="16"/>
          <w:lang w:val="en-US" w:eastAsia="zh-CN"/>
        </w:rPr>
        <w:t>3</w:t>
      </w:r>
      <w:r>
        <w:rPr>
          <w:rFonts w:hint="eastAsia"/>
          <w:sz w:val="21"/>
          <w:szCs w:val="16"/>
        </w:rPr>
        <w:t>个月依法缴纳税收（提供缴纳增值税或企业所得税的凭据）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p w14:paraId="03721AE8">
      <w:pPr>
        <w:pStyle w:val="21"/>
        <w:spacing w:line="360" w:lineRule="auto"/>
        <w:ind w:firstLine="420" w:firstLineChars="200"/>
        <w:rPr>
          <w:sz w:val="21"/>
          <w:szCs w:val="16"/>
        </w:rPr>
      </w:pPr>
      <w:r>
        <w:rPr>
          <w:rFonts w:hint="eastAsia"/>
          <w:sz w:val="21"/>
          <w:szCs w:val="16"/>
        </w:rPr>
        <w:t>1.5参与本次政府采购活动前三年内，投标人参加政府采购活动前三年内，在经营活动中没有重大违法记录（重大违法记录，是指投标人因违法经营受到刑事处罚或者责令停产停业、吊销许可证或者执照、较大数额罚款等行政处罚）</w:t>
      </w:r>
      <w:r>
        <w:rPr>
          <w:rFonts w:hint="eastAsia"/>
          <w:sz w:val="21"/>
          <w:szCs w:val="16"/>
          <w:lang w:eastAsia="zh-CN"/>
        </w:rPr>
        <w:t>（</w:t>
      </w:r>
      <w:r>
        <w:rPr>
          <w:rFonts w:hint="eastAsia"/>
          <w:sz w:val="21"/>
          <w:szCs w:val="16"/>
          <w:lang w:val="en-US" w:eastAsia="zh-CN"/>
        </w:rPr>
        <w:t>提供</w:t>
      </w:r>
      <w:r>
        <w:rPr>
          <w:rFonts w:hint="eastAsia"/>
          <w:sz w:val="21"/>
          <w:szCs w:val="16"/>
        </w:rPr>
        <w:t>承诺</w:t>
      </w:r>
      <w:r>
        <w:rPr>
          <w:rFonts w:hint="eastAsia"/>
          <w:sz w:val="21"/>
          <w:szCs w:val="16"/>
          <w:lang w:val="en-US" w:eastAsia="zh-CN"/>
        </w:rPr>
        <w:t>书</w:t>
      </w:r>
      <w:r>
        <w:rPr>
          <w:rFonts w:hint="eastAsia"/>
          <w:sz w:val="21"/>
          <w:szCs w:val="16"/>
          <w:lang w:eastAsia="zh-CN"/>
        </w:rPr>
        <w:t>）</w:t>
      </w:r>
      <w:r>
        <w:rPr>
          <w:rFonts w:hint="eastAsia"/>
          <w:sz w:val="21"/>
          <w:szCs w:val="16"/>
        </w:rPr>
        <w:t>。</w:t>
      </w:r>
    </w:p>
    <w:p w14:paraId="072CB87A">
      <w:pPr>
        <w:pStyle w:val="21"/>
        <w:spacing w:line="360" w:lineRule="auto"/>
        <w:ind w:firstLine="420" w:firstLineChars="200"/>
        <w:rPr>
          <w:sz w:val="21"/>
          <w:szCs w:val="16"/>
        </w:rPr>
      </w:pPr>
      <w:r>
        <w:rPr>
          <w:rFonts w:hint="eastAsia"/>
          <w:sz w:val="21"/>
          <w:szCs w:val="16"/>
        </w:rPr>
        <w:t>1.6法律、行政法规规定的其他条件。</w:t>
      </w:r>
    </w:p>
    <w:p w14:paraId="751BD9C4">
      <w:pPr>
        <w:pStyle w:val="21"/>
        <w:spacing w:line="360" w:lineRule="auto"/>
        <w:ind w:firstLine="420" w:firstLineChars="200"/>
        <w:rPr>
          <w:rFonts w:hint="eastAsia"/>
          <w:sz w:val="21"/>
          <w:szCs w:val="16"/>
        </w:rPr>
      </w:pPr>
      <w:r>
        <w:rPr>
          <w:rFonts w:hint="eastAsia"/>
          <w:sz w:val="21"/>
          <w:szCs w:val="16"/>
        </w:rPr>
        <w:t>1.6.1单位负责人为同一人或者存在直接控股、管理关系的不同投标人，不得参加同一合同项下的政府采购活动</w:t>
      </w:r>
      <w:r>
        <w:rPr>
          <w:rFonts w:hint="eastAsia" w:ascii="宋体" w:hAnsi="宋体" w:cs="宋体"/>
          <w:color w:val="auto"/>
          <w:kern w:val="2"/>
          <w:sz w:val="21"/>
          <w:szCs w:val="21"/>
          <w:lang w:val="en-US" w:eastAsia="zh-CN" w:bidi="ar"/>
        </w:rPr>
        <w:t>（提供投标人关联企业情况声明）。</w:t>
      </w:r>
    </w:p>
    <w:p w14:paraId="68B213C1">
      <w:pPr>
        <w:pStyle w:val="21"/>
        <w:spacing w:line="360" w:lineRule="auto"/>
        <w:ind w:firstLine="420" w:firstLineChars="200"/>
        <w:rPr>
          <w:rFonts w:hint="default" w:eastAsia="宋体"/>
          <w:sz w:val="21"/>
          <w:szCs w:val="16"/>
          <w:lang w:val="en-US" w:eastAsia="zh-CN"/>
        </w:rPr>
      </w:pPr>
      <w:r>
        <w:rPr>
          <w:rFonts w:hint="eastAsia"/>
          <w:sz w:val="21"/>
          <w:szCs w:val="16"/>
          <w:lang w:val="en-US" w:eastAsia="zh-CN"/>
        </w:rPr>
        <w:t>1.6.2</w:t>
      </w:r>
      <w:r>
        <w:rPr>
          <w:rFonts w:hint="eastAsia" w:ascii="宋体" w:hAnsi="宋体" w:eastAsia="宋体" w:cs="宋体"/>
          <w:color w:val="auto"/>
          <w:kern w:val="2"/>
          <w:sz w:val="21"/>
          <w:szCs w:val="21"/>
          <w:lang w:val="en-US" w:eastAsia="zh-CN" w:bidi="ar"/>
        </w:rPr>
        <w:t>为采购项目提供整体设计、规范编制或者项目管理、监理、检测等服务的投标人，不得再参加该采购项目的其他采购活动（提供承诺书）。</w:t>
      </w:r>
    </w:p>
    <w:p w14:paraId="2A0416F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落实政府采购政策需满足的资格要求：</w:t>
      </w:r>
      <w:r>
        <w:rPr>
          <w:rFonts w:hint="eastAsia" w:asciiTheme="minorEastAsia" w:hAnsiTheme="minorEastAsia" w:eastAsiaTheme="minorEastAsia"/>
          <w:szCs w:val="21"/>
          <w:lang w:val="en-US" w:eastAsia="zh-CN"/>
        </w:rPr>
        <w:t>无，本项目非专门面向中小企业采购项目</w:t>
      </w:r>
      <w:r>
        <w:rPr>
          <w:rFonts w:hint="eastAsia" w:ascii="宋体" w:hAnsi="宋体"/>
        </w:rPr>
        <w:t>。</w:t>
      </w:r>
    </w:p>
    <w:p w14:paraId="18C693A2">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本项目的特定资格要求：</w:t>
      </w:r>
      <w:r>
        <w:rPr>
          <w:rFonts w:hint="eastAsia" w:asciiTheme="minorEastAsia" w:hAnsiTheme="minorEastAsia" w:eastAsiaTheme="minorEastAsia"/>
          <w:szCs w:val="21"/>
          <w:lang w:eastAsia="zh-CN"/>
        </w:rPr>
        <w:t>投标人</w:t>
      </w:r>
      <w:r>
        <w:rPr>
          <w:rFonts w:hint="eastAsia" w:asciiTheme="minorEastAsia" w:hAnsiTheme="minorEastAsia" w:eastAsiaTheme="minorEastAsia"/>
          <w:szCs w:val="21"/>
        </w:rPr>
        <w:t>若为生产厂家的须提供有效的农药生产许可证，并提供所投产品有效的农药三证（即：农药登记证、农药生产许可证或农药生产批准文件、农药质量标准），若为经销商的须提供有效的农药经营许可证，并提供所投产品生产厂家有效的农药三证（即：农药登记证、农药生产许可证或农药生产批准文件、农药质量标准）。</w:t>
      </w:r>
    </w:p>
    <w:bookmarkEnd w:id="39"/>
    <w:p w14:paraId="26CCAF39">
      <w:pPr>
        <w:spacing w:line="360" w:lineRule="auto"/>
        <w:rPr>
          <w:rFonts w:asciiTheme="minorEastAsia" w:hAnsiTheme="minorEastAsia" w:eastAsiaTheme="minorEastAsia"/>
          <w:b/>
          <w:bCs/>
          <w:sz w:val="24"/>
          <w:szCs w:val="24"/>
        </w:rPr>
      </w:pPr>
      <w:bookmarkStart w:id="49" w:name="_Toc69678408"/>
      <w:bookmarkStart w:id="50" w:name="_Toc35393631"/>
      <w:bookmarkStart w:id="51" w:name="_Toc98033913"/>
      <w:bookmarkStart w:id="52" w:name="_Toc87538348"/>
      <w:bookmarkStart w:id="53" w:name="_Toc35393800"/>
      <w:bookmarkStart w:id="54" w:name="_Toc109809291"/>
      <w:bookmarkStart w:id="55" w:name="_Toc45791327"/>
      <w:bookmarkStart w:id="56" w:name="_Toc83753871"/>
      <w:bookmarkStart w:id="57" w:name="_Toc98864990"/>
      <w:bookmarkStart w:id="58" w:name="_Toc53412195"/>
      <w:bookmarkStart w:id="59" w:name="_Toc84356231"/>
      <w:bookmarkStart w:id="60" w:name="_Toc45976874"/>
      <w:bookmarkStart w:id="61" w:name="_Toc87543797"/>
      <w:r>
        <w:rPr>
          <w:rFonts w:hint="eastAsia" w:asciiTheme="minorEastAsia" w:hAnsiTheme="minorEastAsia" w:eastAsiaTheme="minorEastAsia"/>
          <w:b/>
          <w:bCs/>
          <w:sz w:val="24"/>
          <w:szCs w:val="24"/>
        </w:rPr>
        <w:t>三、获取</w:t>
      </w:r>
      <w:bookmarkEnd w:id="40"/>
      <w:bookmarkEnd w:id="41"/>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Theme="minorEastAsia" w:hAnsiTheme="minorEastAsia" w:eastAsiaTheme="minorEastAsia"/>
          <w:b/>
          <w:bCs/>
          <w:sz w:val="24"/>
          <w:szCs w:val="24"/>
        </w:rPr>
        <w:t>招标文件</w:t>
      </w:r>
    </w:p>
    <w:p w14:paraId="16410EBA">
      <w:pPr>
        <w:spacing w:line="360" w:lineRule="auto"/>
        <w:ind w:firstLine="420" w:firstLineChars="200"/>
        <w:rPr>
          <w:rFonts w:asciiTheme="minorEastAsia" w:hAnsiTheme="minorEastAsia" w:eastAsiaTheme="minorEastAsia"/>
          <w:szCs w:val="21"/>
        </w:rPr>
      </w:pPr>
      <w:bookmarkStart w:id="62" w:name="_Toc53412196"/>
      <w:bookmarkStart w:id="63" w:name="_Toc109809292"/>
      <w:bookmarkStart w:id="64" w:name="_Toc87543798"/>
      <w:bookmarkStart w:id="65" w:name="_Toc87538349"/>
      <w:bookmarkStart w:id="66" w:name="_Toc69678409"/>
      <w:bookmarkStart w:id="67" w:name="_Toc84356232"/>
      <w:bookmarkStart w:id="68" w:name="_Toc28359092"/>
      <w:bookmarkStart w:id="69" w:name="_Toc98864991"/>
      <w:bookmarkStart w:id="70" w:name="_Toc45791328"/>
      <w:bookmarkStart w:id="71" w:name="_Toc35393632"/>
      <w:bookmarkStart w:id="72" w:name="_Toc35393801"/>
      <w:bookmarkStart w:id="73" w:name="_Toc83753872"/>
      <w:bookmarkStart w:id="74" w:name="_Toc98033914"/>
      <w:bookmarkStart w:id="75" w:name="_Toc45976875"/>
      <w:bookmarkStart w:id="76" w:name="_Toc28359015"/>
      <w:r>
        <w:rPr>
          <w:rFonts w:hint="eastAsia" w:asciiTheme="minorEastAsia" w:hAnsiTheme="minorEastAsia" w:eastAsiaTheme="minorEastAsia"/>
          <w:szCs w:val="21"/>
        </w:rPr>
        <w:t>时间：</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lang w:val="en-US" w:eastAsia="zh-CN"/>
        </w:rPr>
        <w:t>05</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lang w:val="en-US" w:eastAsia="zh-CN"/>
        </w:rPr>
        <w:t>15</w:t>
      </w:r>
      <w:r>
        <w:rPr>
          <w:rFonts w:hint="eastAsia" w:asciiTheme="minorEastAsia" w:hAnsiTheme="minorEastAsia" w:eastAsiaTheme="minorEastAsia"/>
          <w:szCs w:val="21"/>
          <w:highlight w:val="none"/>
        </w:rPr>
        <w:t>日</w:t>
      </w:r>
      <w:r>
        <w:rPr>
          <w:rFonts w:hint="eastAsia" w:asciiTheme="minorEastAsia" w:hAnsiTheme="minorEastAsia" w:eastAsiaTheme="minorEastAsia"/>
          <w:kern w:val="0"/>
          <w:highlight w:val="none"/>
          <w:u w:val="single"/>
        </w:rPr>
        <w:t>06:</w:t>
      </w:r>
      <w:r>
        <w:rPr>
          <w:rFonts w:asciiTheme="minorEastAsia" w:hAnsiTheme="minorEastAsia" w:eastAsiaTheme="minorEastAsia"/>
          <w:kern w:val="0"/>
          <w:highlight w:val="none"/>
          <w:u w:val="single"/>
        </w:rPr>
        <w:t>00</w:t>
      </w:r>
      <w:r>
        <w:rPr>
          <w:rFonts w:hint="eastAsia" w:asciiTheme="minorEastAsia" w:hAnsiTheme="minorEastAsia" w:eastAsiaTheme="minorEastAsia"/>
          <w:szCs w:val="21"/>
          <w:highlight w:val="none"/>
        </w:rPr>
        <w:t>至</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lang w:val="en-US" w:eastAsia="zh-CN"/>
        </w:rPr>
        <w:t>05</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lang w:val="en-US" w:eastAsia="zh-CN"/>
        </w:rPr>
        <w:t>22</w:t>
      </w:r>
      <w:r>
        <w:rPr>
          <w:rFonts w:hint="eastAsia" w:asciiTheme="minorEastAsia" w:hAnsiTheme="minorEastAsia" w:eastAsiaTheme="minorEastAsia"/>
          <w:szCs w:val="21"/>
          <w:highlight w:val="none"/>
        </w:rPr>
        <w:t>日</w:t>
      </w:r>
      <w:r>
        <w:rPr>
          <w:rFonts w:asciiTheme="minorEastAsia" w:hAnsiTheme="minorEastAsia" w:eastAsiaTheme="minorEastAsia"/>
          <w:highlight w:val="none"/>
          <w:u w:val="single"/>
        </w:rPr>
        <w:t>23</w:t>
      </w:r>
      <w:r>
        <w:rPr>
          <w:rFonts w:hint="eastAsia" w:asciiTheme="minorEastAsia" w:hAnsiTheme="minorEastAsia" w:eastAsiaTheme="minorEastAsia"/>
          <w:highlight w:val="none"/>
          <w:u w:val="single"/>
        </w:rPr>
        <w:t>:</w:t>
      </w:r>
      <w:r>
        <w:rPr>
          <w:rFonts w:asciiTheme="minorEastAsia" w:hAnsiTheme="minorEastAsia" w:eastAsiaTheme="minorEastAsia"/>
          <w:highlight w:val="none"/>
          <w:u w:val="single"/>
        </w:rPr>
        <w:t>59</w:t>
      </w:r>
      <w:r>
        <w:rPr>
          <w:rFonts w:hint="eastAsia" w:asciiTheme="minorEastAsia" w:hAnsiTheme="minorEastAsia" w:eastAsiaTheme="minorEastAsia"/>
          <w:szCs w:val="21"/>
        </w:rPr>
        <w:t>，每天上午</w:t>
      </w:r>
      <w:r>
        <w:rPr>
          <w:rFonts w:hint="eastAsia" w:asciiTheme="minorEastAsia" w:hAnsiTheme="minorEastAsia" w:eastAsiaTheme="minorEastAsia"/>
          <w:szCs w:val="21"/>
          <w:u w:val="single"/>
        </w:rPr>
        <w:t>06:00</w:t>
      </w:r>
      <w:r>
        <w:rPr>
          <w:rFonts w:hint="eastAsia" w:asciiTheme="minorEastAsia" w:hAnsiTheme="minorEastAsia" w:eastAsiaTheme="minorEastAsia"/>
          <w:szCs w:val="21"/>
        </w:rPr>
        <w:t>至</w:t>
      </w:r>
      <w:r>
        <w:rPr>
          <w:rFonts w:hint="eastAsia" w:asciiTheme="minorEastAsia" w:hAnsiTheme="minorEastAsia" w:eastAsiaTheme="minorEastAsia"/>
          <w:szCs w:val="21"/>
          <w:u w:val="single"/>
        </w:rPr>
        <w:t>12:00</w:t>
      </w:r>
      <w:r>
        <w:rPr>
          <w:rFonts w:hint="eastAsia" w:asciiTheme="minorEastAsia" w:hAnsiTheme="minorEastAsia" w:eastAsiaTheme="minorEastAsia"/>
          <w:szCs w:val="21"/>
        </w:rPr>
        <w:t>，下午</w:t>
      </w:r>
      <w:r>
        <w:rPr>
          <w:rFonts w:hint="eastAsia" w:asciiTheme="minorEastAsia" w:hAnsiTheme="minorEastAsia" w:eastAsiaTheme="minorEastAsia"/>
          <w:szCs w:val="21"/>
          <w:u w:val="single"/>
        </w:rPr>
        <w:t>12:00</w:t>
      </w:r>
      <w:r>
        <w:rPr>
          <w:rFonts w:hint="eastAsia" w:asciiTheme="minorEastAsia" w:hAnsiTheme="minorEastAsia" w:eastAsiaTheme="minorEastAsia"/>
          <w:szCs w:val="21"/>
        </w:rPr>
        <w:t>至</w:t>
      </w:r>
      <w:r>
        <w:rPr>
          <w:rFonts w:hint="eastAsia" w:asciiTheme="minorEastAsia" w:hAnsiTheme="minorEastAsia" w:eastAsiaTheme="minorEastAsia"/>
          <w:szCs w:val="21"/>
          <w:u w:val="single"/>
        </w:rPr>
        <w:t>23:59</w:t>
      </w:r>
      <w:r>
        <w:rPr>
          <w:rFonts w:hint="eastAsia" w:asciiTheme="minorEastAsia" w:hAnsiTheme="minorEastAsia" w:eastAsiaTheme="minorEastAsia"/>
          <w:szCs w:val="21"/>
        </w:rPr>
        <w:t>。（北京时间，法定节假日除外）</w:t>
      </w:r>
    </w:p>
    <w:p w14:paraId="32849A5E">
      <w:pPr>
        <w:tabs>
          <w:tab w:val="left" w:pos="360"/>
          <w:tab w:val="left" w:pos="596"/>
        </w:tabs>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地点：投标人可自行在“政采云”平台（http：//www.zcygov.cn）下载招标文件（操作路径：登录“政采云”平台-项目采购-获取招标文件-找到本项目-点击“申请获取招标文件”），电子投标文件制作需要基于“政采云”平台（http：//www.zcygov.cn）获取的招标文件编制。</w:t>
      </w:r>
    </w:p>
    <w:p w14:paraId="4A292794">
      <w:pPr>
        <w:tabs>
          <w:tab w:val="left" w:pos="360"/>
          <w:tab w:val="left" w:pos="596"/>
        </w:tabs>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方式：1.凡有意参加投标者，须在云南省政府采购电子交易平台（政采云）办理数字证书（CA），并在云南省政府采购电子交易平台（政采云）绑定数字证书（CA）后线上获取招标文件及其它采购资料。CA申领链接：https://middle.zcygov.cn/ca/apply/list?_app_=zcy.sys，CA申领后需登录云南省政府采购电子交易平台（政采云）完成数字证书（CA）绑定才可以使用，数字证书（CA）详见其办理流程。</w:t>
      </w:r>
    </w:p>
    <w:p w14:paraId="225FDBA2">
      <w:pPr>
        <w:tabs>
          <w:tab w:val="left" w:pos="360"/>
          <w:tab w:val="left" w:pos="596"/>
        </w:tabs>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2.按上述要求获取文件的投标人视为合法获取了本项目招标文件，具备本项目的投标资格。</w:t>
      </w:r>
    </w:p>
    <w:p w14:paraId="1823675E">
      <w:pPr>
        <w:tabs>
          <w:tab w:val="left" w:pos="360"/>
          <w:tab w:val="left" w:pos="596"/>
        </w:tabs>
        <w:spacing w:line="360" w:lineRule="auto"/>
        <w:ind w:firstLine="420" w:firstLineChars="200"/>
        <w:rPr>
          <w:rFonts w:ascii="宋体" w:hAnsi="宋体" w:cs="宋体"/>
          <w:bCs/>
          <w:sz w:val="24"/>
          <w:szCs w:val="24"/>
        </w:rPr>
      </w:pPr>
      <w:r>
        <w:rPr>
          <w:rFonts w:hint="eastAsia" w:asciiTheme="minorEastAsia" w:hAnsiTheme="minorEastAsia" w:eastAsiaTheme="minorEastAsia" w:cstheme="minorEastAsia"/>
          <w:bCs/>
          <w:szCs w:val="21"/>
        </w:rPr>
        <w:t>注：如果投标人之前已经在云南CA在线数字证书办理网注册并办理了企业数字证书（CA），则可以直接进行绑定，无需重复办理。此外，投标人在政采云平台办理的其他CA也可以直接使用，无需重复办理。如有问题可拨打政采云客户服务热线95763进行咨询，数字证书问题可咨询云南壹证通CA：0871-67276028（紧急可拨19988166369）。</w:t>
      </w:r>
    </w:p>
    <w:p w14:paraId="2896E0E1">
      <w:pPr>
        <w:spacing w:line="360" w:lineRule="auto"/>
        <w:ind w:firstLine="440" w:firstLineChars="200"/>
        <w:rPr>
          <w:rFonts w:ascii="宋体" w:hAnsi="宋体" w:cs="宋体"/>
          <w:bCs/>
          <w:sz w:val="22"/>
          <w:szCs w:val="22"/>
        </w:rPr>
      </w:pPr>
      <w:r>
        <w:rPr>
          <w:rFonts w:hint="eastAsia" w:ascii="宋体" w:hAnsi="宋体" w:cs="宋体"/>
          <w:bCs/>
          <w:sz w:val="22"/>
          <w:szCs w:val="22"/>
        </w:rPr>
        <w:t>售价：0元。</w:t>
      </w:r>
    </w:p>
    <w:p w14:paraId="124DD602">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hint="eastAsia" w:asciiTheme="minorEastAsia" w:hAnsiTheme="minorEastAsia" w:eastAsiaTheme="minorEastAsia"/>
          <w:b/>
          <w:bCs/>
          <w:sz w:val="24"/>
          <w:szCs w:val="24"/>
        </w:rPr>
        <w:t>投标文件提交</w:t>
      </w:r>
    </w:p>
    <w:p w14:paraId="7D029F31">
      <w:pPr>
        <w:spacing w:line="360" w:lineRule="auto"/>
        <w:ind w:firstLine="420"/>
        <w:rPr>
          <w:rFonts w:asciiTheme="minorEastAsia" w:hAnsiTheme="minorEastAsia" w:eastAsiaTheme="minorEastAsia"/>
          <w:szCs w:val="21"/>
          <w:highlight w:val="yellow"/>
        </w:rPr>
      </w:pPr>
      <w:r>
        <w:rPr>
          <w:rFonts w:hint="eastAsia" w:asciiTheme="minorEastAsia" w:hAnsiTheme="minorEastAsia" w:eastAsiaTheme="minorEastAsia"/>
          <w:szCs w:val="21"/>
        </w:rPr>
        <w:t>时间：</w:t>
      </w:r>
      <w:r>
        <w:rPr>
          <w:rFonts w:hint="eastAsia" w:asciiTheme="minorEastAsia" w:hAnsiTheme="minorEastAsia" w:eastAsiaTheme="minorEastAsia"/>
          <w:szCs w:val="21"/>
          <w:highlight w:val="none"/>
          <w:u w:val="single"/>
          <w:lang w:eastAsia="zh-CN"/>
        </w:rPr>
        <w:t>2026年</w:t>
      </w:r>
      <w:r>
        <w:rPr>
          <w:rFonts w:hint="eastAsia" w:asciiTheme="minorEastAsia" w:hAnsiTheme="minorEastAsia" w:eastAsiaTheme="minorEastAsia"/>
          <w:szCs w:val="21"/>
          <w:highlight w:val="none"/>
          <w:u w:val="single"/>
          <w:lang w:val="en-US" w:eastAsia="zh-CN"/>
        </w:rPr>
        <w:t>06</w:t>
      </w:r>
      <w:r>
        <w:rPr>
          <w:rFonts w:hint="eastAsia" w:asciiTheme="minorEastAsia" w:hAnsiTheme="minorEastAsia" w:eastAsiaTheme="minorEastAsia"/>
          <w:szCs w:val="21"/>
          <w:highlight w:val="none"/>
          <w:u w:val="single"/>
          <w:lang w:eastAsia="zh-CN"/>
        </w:rPr>
        <w:t>月</w:t>
      </w:r>
      <w:r>
        <w:rPr>
          <w:rFonts w:hint="eastAsia" w:asciiTheme="minorEastAsia" w:hAnsiTheme="minorEastAsia" w:eastAsiaTheme="minorEastAsia"/>
          <w:szCs w:val="21"/>
          <w:highlight w:val="none"/>
          <w:u w:val="single"/>
          <w:lang w:val="en-US" w:eastAsia="zh-CN"/>
        </w:rPr>
        <w:t>04</w:t>
      </w:r>
      <w:r>
        <w:rPr>
          <w:rFonts w:hint="eastAsia" w:asciiTheme="minorEastAsia" w:hAnsiTheme="minorEastAsia" w:eastAsiaTheme="minorEastAsia"/>
          <w:szCs w:val="21"/>
          <w:highlight w:val="none"/>
          <w:u w:val="single"/>
          <w:lang w:eastAsia="zh-CN"/>
        </w:rPr>
        <w:t>日14时30分</w:t>
      </w:r>
      <w:r>
        <w:rPr>
          <w:rFonts w:hint="eastAsia" w:asciiTheme="minorEastAsia" w:hAnsiTheme="minorEastAsia" w:eastAsiaTheme="minorEastAsia"/>
          <w:bCs/>
          <w:szCs w:val="21"/>
        </w:rPr>
        <w:t>（北京时间）</w:t>
      </w:r>
    </w:p>
    <w:p w14:paraId="0D2BF934">
      <w:pPr>
        <w:spacing w:line="360" w:lineRule="auto"/>
        <w:ind w:firstLine="420"/>
        <w:rPr>
          <w:rFonts w:asciiTheme="minorEastAsia" w:hAnsiTheme="minorEastAsia" w:eastAsiaTheme="minorEastAsia"/>
          <w:bCs/>
          <w:szCs w:val="21"/>
        </w:rPr>
      </w:pPr>
      <w:r>
        <w:rPr>
          <w:rFonts w:hint="eastAsia" w:asciiTheme="minorEastAsia" w:hAnsiTheme="minorEastAsia" w:eastAsiaTheme="minorEastAsia"/>
          <w:bCs/>
          <w:szCs w:val="21"/>
        </w:rPr>
        <w:t>地点：“政采云”平台（网址：</w:t>
      </w:r>
      <w:r>
        <w:fldChar w:fldCharType="begin"/>
      </w:r>
      <w:r>
        <w:instrText xml:space="preserve"> HYPERLINK "https://www.zcygov.cn/" </w:instrText>
      </w:r>
      <w:r>
        <w:fldChar w:fldCharType="separate"/>
      </w:r>
      <w:r>
        <w:rPr>
          <w:rFonts w:hint="eastAsia" w:asciiTheme="minorEastAsia" w:hAnsiTheme="minorEastAsia" w:eastAsiaTheme="minorEastAsia"/>
          <w:bCs/>
          <w:szCs w:val="21"/>
        </w:rPr>
        <w:t>https://www.zcygov.cn/</w:t>
      </w:r>
      <w:r>
        <w:rPr>
          <w:rFonts w:hint="eastAsia" w:asciiTheme="minorEastAsia" w:hAnsiTheme="minorEastAsia" w:eastAsiaTheme="minorEastAsia"/>
          <w:bCs/>
          <w:szCs w:val="21"/>
        </w:rPr>
        <w:fldChar w:fldCharType="end"/>
      </w:r>
      <w:r>
        <w:rPr>
          <w:rFonts w:hint="eastAsia" w:asciiTheme="minorEastAsia" w:hAnsiTheme="minorEastAsia" w:eastAsiaTheme="minorEastAsia"/>
          <w:bCs/>
          <w:szCs w:val="21"/>
        </w:rPr>
        <w:t>）开标大厅。</w:t>
      </w:r>
    </w:p>
    <w:p w14:paraId="224A1D91">
      <w:pPr>
        <w:spacing w:line="360" w:lineRule="auto"/>
        <w:ind w:firstLine="420"/>
        <w:rPr>
          <w:rFonts w:ascii="宋体" w:hAnsi="宋体"/>
          <w:bCs/>
          <w:szCs w:val="21"/>
        </w:rPr>
      </w:pPr>
      <w:r>
        <w:rPr>
          <w:rFonts w:hint="eastAsia" w:asciiTheme="minorEastAsia" w:hAnsiTheme="minorEastAsia" w:eastAsiaTheme="minorEastAsia"/>
          <w:bCs/>
          <w:szCs w:val="21"/>
        </w:rPr>
        <w:t>注：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4DA2D6C9">
      <w:pPr>
        <w:spacing w:line="360" w:lineRule="auto"/>
        <w:rPr>
          <w:rFonts w:asciiTheme="minorEastAsia" w:hAnsiTheme="minorEastAsia" w:eastAsiaTheme="minorEastAsia"/>
          <w:b/>
          <w:bCs/>
          <w:sz w:val="24"/>
          <w:szCs w:val="24"/>
        </w:rPr>
      </w:pPr>
      <w:bookmarkStart w:id="77" w:name="_Toc98864992"/>
      <w:bookmarkStart w:id="78" w:name="_Toc87543799"/>
      <w:bookmarkStart w:id="79" w:name="_Toc98033915"/>
      <w:bookmarkStart w:id="80" w:name="_Toc35393802"/>
      <w:bookmarkStart w:id="81" w:name="_Toc87538350"/>
      <w:bookmarkStart w:id="82" w:name="_Toc28359016"/>
      <w:bookmarkStart w:id="83" w:name="_Toc45976876"/>
      <w:bookmarkStart w:id="84" w:name="_Toc109809293"/>
      <w:bookmarkStart w:id="85" w:name="_Toc83753873"/>
      <w:bookmarkStart w:id="86" w:name="_Toc69678410"/>
      <w:bookmarkStart w:id="87" w:name="_Toc35393633"/>
      <w:bookmarkStart w:id="88" w:name="_Toc53412197"/>
      <w:bookmarkStart w:id="89" w:name="_Toc84356233"/>
      <w:bookmarkStart w:id="90" w:name="_Toc45791329"/>
      <w:bookmarkStart w:id="91" w:name="_Toc28359093"/>
      <w:bookmarkStart w:id="92" w:name="_Toc35393634"/>
      <w:bookmarkStart w:id="93" w:name="_Toc28359094"/>
      <w:bookmarkStart w:id="94" w:name="_Toc45976877"/>
      <w:bookmarkStart w:id="95" w:name="_Toc35393803"/>
      <w:bookmarkStart w:id="96" w:name="_Toc28359017"/>
      <w:bookmarkStart w:id="97" w:name="_Toc45791330"/>
      <w:bookmarkStart w:id="98" w:name="_Toc53412198"/>
      <w:bookmarkStart w:id="99" w:name="_Toc98864993"/>
      <w:bookmarkStart w:id="100" w:name="_Toc87538351"/>
      <w:bookmarkStart w:id="101" w:name="_Toc98033916"/>
      <w:bookmarkStart w:id="102" w:name="_Toc69678411"/>
      <w:bookmarkStart w:id="103" w:name="_Toc87543800"/>
      <w:bookmarkStart w:id="104" w:name="_Toc109809294"/>
      <w:bookmarkStart w:id="105" w:name="_Toc83753874"/>
      <w:bookmarkStart w:id="106" w:name="_Toc84356234"/>
      <w:r>
        <w:rPr>
          <w:rFonts w:hint="eastAsia" w:asciiTheme="minorEastAsia" w:hAnsiTheme="minorEastAsia" w:eastAsiaTheme="minorEastAsia"/>
          <w:b/>
          <w:bCs/>
          <w:sz w:val="24"/>
          <w:szCs w:val="24"/>
        </w:rPr>
        <w:t>五、开启</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6F49DB2">
      <w:pPr>
        <w:spacing w:line="360" w:lineRule="auto"/>
        <w:ind w:firstLine="420" w:firstLineChars="200"/>
        <w:rPr>
          <w:rFonts w:asciiTheme="minorEastAsia" w:hAnsiTheme="minorEastAsia" w:eastAsiaTheme="minorEastAsia"/>
          <w:bCs/>
          <w:szCs w:val="21"/>
          <w:highlight w:val="yellow"/>
          <w:u w:val="single"/>
        </w:rPr>
      </w:pPr>
      <w:r>
        <w:rPr>
          <w:rFonts w:hint="eastAsia" w:asciiTheme="minorEastAsia" w:hAnsiTheme="minorEastAsia" w:eastAsiaTheme="minorEastAsia"/>
          <w:szCs w:val="21"/>
        </w:rPr>
        <w:t>时间：</w:t>
      </w:r>
      <w:r>
        <w:rPr>
          <w:rFonts w:hint="eastAsia" w:asciiTheme="minorEastAsia" w:hAnsiTheme="minorEastAsia" w:eastAsiaTheme="minorEastAsia"/>
          <w:szCs w:val="21"/>
          <w:highlight w:val="none"/>
          <w:u w:val="single"/>
          <w:lang w:eastAsia="zh-CN"/>
        </w:rPr>
        <w:t>2026年</w:t>
      </w:r>
      <w:r>
        <w:rPr>
          <w:rFonts w:hint="eastAsia" w:asciiTheme="minorEastAsia" w:hAnsiTheme="minorEastAsia" w:eastAsiaTheme="minorEastAsia"/>
          <w:szCs w:val="21"/>
          <w:highlight w:val="none"/>
          <w:u w:val="single"/>
          <w:lang w:val="en-US" w:eastAsia="zh-CN"/>
        </w:rPr>
        <w:t>06</w:t>
      </w:r>
      <w:r>
        <w:rPr>
          <w:rFonts w:hint="eastAsia" w:asciiTheme="minorEastAsia" w:hAnsiTheme="minorEastAsia" w:eastAsiaTheme="minorEastAsia"/>
          <w:szCs w:val="21"/>
          <w:highlight w:val="none"/>
          <w:u w:val="single"/>
          <w:lang w:eastAsia="zh-CN"/>
        </w:rPr>
        <w:t>月</w:t>
      </w:r>
      <w:r>
        <w:rPr>
          <w:rFonts w:hint="eastAsia" w:asciiTheme="minorEastAsia" w:hAnsiTheme="minorEastAsia" w:eastAsiaTheme="minorEastAsia"/>
          <w:szCs w:val="21"/>
          <w:highlight w:val="none"/>
          <w:u w:val="single"/>
          <w:lang w:val="en-US" w:eastAsia="zh-CN"/>
        </w:rPr>
        <w:t>04</w:t>
      </w:r>
      <w:r>
        <w:rPr>
          <w:rFonts w:hint="eastAsia" w:asciiTheme="minorEastAsia" w:hAnsiTheme="minorEastAsia" w:eastAsiaTheme="minorEastAsia"/>
          <w:szCs w:val="21"/>
          <w:highlight w:val="none"/>
          <w:u w:val="single"/>
          <w:lang w:eastAsia="zh-CN"/>
        </w:rPr>
        <w:t>日14时30分</w:t>
      </w:r>
      <w:r>
        <w:rPr>
          <w:rFonts w:hint="eastAsia" w:asciiTheme="minorEastAsia" w:hAnsiTheme="minorEastAsia" w:eastAsiaTheme="minorEastAsia"/>
          <w:bCs/>
          <w:szCs w:val="21"/>
        </w:rPr>
        <w:t>（北京时间）</w:t>
      </w:r>
    </w:p>
    <w:p w14:paraId="7C317D09">
      <w:pPr>
        <w:spacing w:line="360" w:lineRule="auto"/>
        <w:ind w:firstLine="420" w:firstLineChars="200"/>
        <w:rPr>
          <w:rFonts w:asciiTheme="minorEastAsia" w:hAnsiTheme="minorEastAsia" w:eastAsiaTheme="minorEastAsia"/>
          <w:b/>
          <w:bCs/>
          <w:sz w:val="24"/>
          <w:szCs w:val="24"/>
        </w:rPr>
      </w:pPr>
      <w:r>
        <w:rPr>
          <w:rFonts w:hint="eastAsia" w:asciiTheme="minorEastAsia" w:hAnsiTheme="minorEastAsia" w:eastAsiaTheme="minorEastAsia"/>
          <w:szCs w:val="21"/>
        </w:rPr>
        <w:t>地点：</w:t>
      </w:r>
      <w:r>
        <w:rPr>
          <w:rFonts w:hint="eastAsia" w:asciiTheme="minorEastAsia" w:hAnsiTheme="minorEastAsia" w:eastAsiaTheme="minorEastAsia"/>
        </w:rPr>
        <w:t>政府采购云平台（</w:t>
      </w:r>
      <w:r>
        <w:rPr>
          <w:rFonts w:hint="eastAsia" w:cs="宋体" w:asciiTheme="minorEastAsia" w:hAnsiTheme="minorEastAsia" w:eastAsiaTheme="minorEastAsia"/>
          <w:kern w:val="0"/>
          <w:szCs w:val="21"/>
        </w:rPr>
        <w:t>网址：https://www.zcygov.cn/</w:t>
      </w:r>
      <w:r>
        <w:rPr>
          <w:rFonts w:hint="eastAsia" w:asciiTheme="minorEastAsia" w:hAnsiTheme="minorEastAsia" w:eastAsiaTheme="minorEastAsia"/>
        </w:rPr>
        <w:t>）</w:t>
      </w:r>
      <w:r>
        <w:rPr>
          <w:rFonts w:hint="eastAsia" w:asciiTheme="minorEastAsia" w:hAnsiTheme="minorEastAsia" w:eastAsiaTheme="minorEastAsia"/>
          <w:bCs/>
          <w:szCs w:val="21"/>
        </w:rPr>
        <w:t>开标大厅。</w:t>
      </w:r>
    </w:p>
    <w:p w14:paraId="02AA25D0">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w:t>
      </w:r>
      <w:bookmarkEnd w:id="92"/>
      <w:bookmarkEnd w:id="93"/>
      <w:bookmarkEnd w:id="94"/>
      <w:bookmarkEnd w:id="95"/>
      <w:bookmarkEnd w:id="96"/>
      <w:bookmarkEnd w:id="97"/>
      <w:r>
        <w:rPr>
          <w:rFonts w:hint="eastAsia" w:asciiTheme="minorEastAsia" w:hAnsiTheme="minorEastAsia" w:eastAsiaTheme="minorEastAsia"/>
          <w:b/>
          <w:bCs/>
          <w:sz w:val="24"/>
          <w:szCs w:val="24"/>
        </w:rPr>
        <w:t>公告期限</w:t>
      </w:r>
      <w:bookmarkEnd w:id="98"/>
      <w:bookmarkEnd w:id="99"/>
      <w:bookmarkEnd w:id="100"/>
      <w:bookmarkEnd w:id="101"/>
      <w:bookmarkEnd w:id="102"/>
      <w:bookmarkEnd w:id="103"/>
      <w:bookmarkEnd w:id="104"/>
      <w:bookmarkEnd w:id="105"/>
      <w:bookmarkEnd w:id="106"/>
    </w:p>
    <w:p w14:paraId="2A79A571">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自本公告发布之日起</w:t>
      </w: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个工作日。</w:t>
      </w:r>
    </w:p>
    <w:p w14:paraId="46485169">
      <w:pPr>
        <w:spacing w:line="360" w:lineRule="auto"/>
        <w:rPr>
          <w:rFonts w:asciiTheme="minorEastAsia" w:hAnsiTheme="minorEastAsia" w:eastAsiaTheme="minorEastAsia"/>
          <w:b/>
          <w:bCs/>
          <w:sz w:val="24"/>
          <w:szCs w:val="24"/>
        </w:rPr>
      </w:pPr>
      <w:bookmarkStart w:id="107" w:name="_Toc35393804"/>
      <w:bookmarkStart w:id="108" w:name="_Toc35393635"/>
      <w:bookmarkStart w:id="109" w:name="_Toc53412199"/>
      <w:bookmarkStart w:id="110" w:name="_Toc45976878"/>
      <w:bookmarkStart w:id="111" w:name="_Toc83753875"/>
      <w:bookmarkStart w:id="112" w:name="_Toc87543801"/>
      <w:bookmarkStart w:id="113" w:name="_Toc84356235"/>
      <w:bookmarkStart w:id="114" w:name="_Toc98864994"/>
      <w:bookmarkStart w:id="115" w:name="_Toc69678412"/>
      <w:bookmarkStart w:id="116" w:name="_Toc45791331"/>
      <w:bookmarkStart w:id="117" w:name="_Toc87538352"/>
      <w:bookmarkStart w:id="118" w:name="_Toc98033917"/>
      <w:bookmarkStart w:id="119" w:name="_Toc109809295"/>
      <w:r>
        <w:rPr>
          <w:rFonts w:hint="eastAsia" w:asciiTheme="minorEastAsia" w:hAnsiTheme="minorEastAsia" w:eastAsiaTheme="minorEastAsia"/>
          <w:b/>
          <w:bCs/>
          <w:sz w:val="24"/>
          <w:szCs w:val="24"/>
        </w:rPr>
        <w:t>七、其他补充事宜</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364B9E13">
      <w:pPr>
        <w:pStyle w:val="55"/>
        <w:spacing w:line="360" w:lineRule="auto"/>
        <w:ind w:firstLine="409" w:firstLineChars="195"/>
        <w:rPr>
          <w:rFonts w:asciiTheme="minorEastAsia" w:hAnsiTheme="minorEastAsia" w:eastAsiaTheme="minorEastAsia"/>
          <w:szCs w:val="21"/>
        </w:rPr>
      </w:pPr>
      <w:r>
        <w:rPr>
          <w:rFonts w:hint="eastAsia" w:asciiTheme="minorEastAsia" w:hAnsiTheme="minorEastAsia" w:eastAsiaTheme="minorEastAsia"/>
          <w:szCs w:val="21"/>
        </w:rPr>
        <w:t>开标方式：网上开标</w:t>
      </w:r>
    </w:p>
    <w:p w14:paraId="0B1AC98F">
      <w:pPr>
        <w:pStyle w:val="55"/>
        <w:spacing w:line="360" w:lineRule="auto"/>
        <w:ind w:firstLine="405" w:firstLineChars="193"/>
        <w:rPr>
          <w:rFonts w:asciiTheme="minorEastAsia" w:hAnsiTheme="minorEastAsia" w:eastAsiaTheme="minorEastAsia"/>
          <w:szCs w:val="21"/>
        </w:rPr>
      </w:pPr>
      <w:r>
        <w:rPr>
          <w:rFonts w:hint="eastAsia" w:asciiTheme="minorEastAsia" w:hAnsiTheme="minorEastAsia" w:eastAsiaTheme="minorEastAsia"/>
          <w:szCs w:val="21"/>
        </w:rPr>
        <w:t>是否需要缴纳投标保证金：否。</w:t>
      </w:r>
    </w:p>
    <w:p w14:paraId="55BBD51F">
      <w:pPr>
        <w:pStyle w:val="6"/>
        <w:spacing w:line="360" w:lineRule="auto"/>
        <w:ind w:firstLineChars="200"/>
        <w:rPr>
          <w:rFonts w:asciiTheme="minorEastAsia" w:hAnsiTheme="minorEastAsia" w:eastAsiaTheme="minorEastAsia"/>
          <w:szCs w:val="21"/>
        </w:rPr>
      </w:pPr>
      <w:r>
        <w:rPr>
          <w:rFonts w:hint="eastAsia" w:asciiTheme="minorEastAsia" w:hAnsiTheme="minorEastAsia" w:eastAsiaTheme="minorEastAsia"/>
          <w:szCs w:val="21"/>
        </w:rPr>
        <w:t>其他：</w:t>
      </w:r>
    </w:p>
    <w:p w14:paraId="338D4F6B">
      <w:pPr>
        <w:wordWrap w:val="0"/>
        <w:spacing w:line="360" w:lineRule="auto"/>
        <w:ind w:firstLine="420" w:firstLineChars="200"/>
        <w:rPr>
          <w:rFonts w:asciiTheme="minorEastAsia" w:hAnsiTheme="minorEastAsia" w:eastAsiaTheme="minorEastAsia"/>
          <w:szCs w:val="21"/>
        </w:rPr>
      </w:pPr>
      <w:r>
        <w:rPr>
          <w:rFonts w:hint="eastAsia" w:ascii="宋体" w:hAnsi="宋体"/>
        </w:rPr>
        <w:t>1</w:t>
      </w:r>
      <w:r>
        <w:rPr>
          <w:rFonts w:ascii="宋体" w:hAnsi="宋体"/>
        </w:rPr>
        <w:t>.</w:t>
      </w:r>
      <w:r>
        <w:rPr>
          <w:rFonts w:hint="eastAsia" w:asciiTheme="minorEastAsia" w:hAnsiTheme="minorEastAsia" w:eastAsiaTheme="minorEastAsia"/>
          <w:szCs w:val="21"/>
        </w:rPr>
        <w:t>公告发布媒介：本云南省政府采购网（网址：</w:t>
      </w:r>
      <w:r>
        <w:fldChar w:fldCharType="begin"/>
      </w:r>
      <w:r>
        <w:instrText xml:space="preserve"> HYPERLINK "http://www.yngp.com/" </w:instrText>
      </w:r>
      <w:r>
        <w:fldChar w:fldCharType="separate"/>
      </w:r>
      <w:r>
        <w:rPr>
          <w:rFonts w:hint="eastAsia" w:asciiTheme="minorEastAsia" w:hAnsiTheme="minorEastAsia" w:eastAsiaTheme="minorEastAsia"/>
          <w:szCs w:val="21"/>
        </w:rPr>
        <w:t>http://www.yngp.com/</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），采购人及采购代理机构对其他网站发布或转载的公告内容不承担任何责任。</w:t>
      </w:r>
    </w:p>
    <w:p w14:paraId="56AEDC2D">
      <w:pPr>
        <w:widowControl/>
        <w:wordWrap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lang w:val="en-US" w:eastAsia="zh-CN"/>
        </w:rPr>
        <w:t>2</w:t>
      </w:r>
      <w:r>
        <w:rPr>
          <w:rFonts w:asciiTheme="minorEastAsia" w:hAnsiTheme="minorEastAsia" w:eastAsiaTheme="minorEastAsia"/>
        </w:rPr>
        <w:t>.</w:t>
      </w:r>
      <w:r>
        <w:rPr>
          <w:rFonts w:hint="eastAsia" w:asciiTheme="minorEastAsia" w:hAnsiTheme="minorEastAsia" w:eastAsiaTheme="minorEastAsia"/>
          <w:szCs w:val="21"/>
        </w:rPr>
        <w:t>投标文件的提交方式：本项目为全流程电子化项目。凡有意参与投标者，请自行前往政府采购云平台“客户端&amp;驱动下载”网页（网址：</w:t>
      </w:r>
      <w:r>
        <w:rPr>
          <w:rFonts w:asciiTheme="minorEastAsia" w:hAnsiTheme="minorEastAsia" w:eastAsiaTheme="minorEastAsia"/>
          <w:szCs w:val="21"/>
        </w:rPr>
        <w:t>https://customer.zcygov.cn/CA-driver-download?utm=web-ca-front.3ddc8fbb.0.0.91c6cff0db1311ec8cfbc9f613d30204</w:t>
      </w:r>
      <w:r>
        <w:rPr>
          <w:rFonts w:hint="eastAsia" w:asciiTheme="minorEastAsia" w:hAnsiTheme="minorEastAsia" w:eastAsiaTheme="minorEastAsia"/>
          <w:szCs w:val="21"/>
        </w:rPr>
        <w:t>）下载并安装“政采云投标客户端”。投标人按照招标文件和政府采购云平台（网址：https://www.zcygov.cn/）的要求编制、加密电子投标文件，投标文件在提交截止时间前未完成上传的，视为撤回投标文件。投标人在政府采购云平台提交电子版投标文件时，请填写参与远程开标活动经办人的联系方式。</w:t>
      </w:r>
    </w:p>
    <w:p w14:paraId="3AAE87A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.投标文件的解密方式：在线解密。投标人须提前在自有场地配置有音视频通话（带摄像头及话筒的电脑）功能的相应设备及稳定网络的环境下，并按政府采购云平台开标大厅中的提示完成投标文件的解密。</w:t>
      </w:r>
    </w:p>
    <w:p w14:paraId="2A23399A">
      <w:pPr>
        <w:spacing w:line="360" w:lineRule="auto"/>
        <w:ind w:firstLine="420" w:firstLineChars="200"/>
        <w:rPr>
          <w:rFonts w:hint="default" w:cs="Times New Roman" w:asciiTheme="minorEastAsia" w:hAnsiTheme="minorEastAsia" w:eastAsiaTheme="minorEastAsia"/>
          <w:lang w:val="en-US" w:eastAsia="zh-CN"/>
        </w:rPr>
      </w:pPr>
      <w:bookmarkStart w:id="120" w:name="_Toc69678413"/>
      <w:bookmarkStart w:id="121" w:name="_Toc28359095"/>
      <w:bookmarkStart w:id="122" w:name="_Toc98864995"/>
      <w:bookmarkStart w:id="123" w:name="_Toc87543802"/>
      <w:bookmarkStart w:id="124" w:name="_Toc83753876"/>
      <w:bookmarkStart w:id="125" w:name="_Toc35393636"/>
      <w:bookmarkStart w:id="126" w:name="_Toc28359018"/>
      <w:bookmarkStart w:id="127" w:name="_Toc109809296"/>
      <w:bookmarkStart w:id="128" w:name="_Toc98033918"/>
      <w:bookmarkStart w:id="129" w:name="_Toc35393805"/>
      <w:bookmarkStart w:id="130" w:name="_Toc45791335"/>
      <w:bookmarkStart w:id="131" w:name="_Toc87538353"/>
      <w:bookmarkStart w:id="132" w:name="_Toc53412200"/>
      <w:bookmarkStart w:id="133" w:name="_Toc45976881"/>
      <w:bookmarkStart w:id="134" w:name="_Toc84356236"/>
      <w:r>
        <w:rPr>
          <w:rFonts w:hint="eastAsia" w:cs="Times New Roman" w:asciiTheme="minorEastAsia" w:hAnsiTheme="minorEastAsia" w:eastAsiaTheme="minorEastAsia"/>
          <w:lang w:val="en-US" w:eastAsia="zh-CN"/>
        </w:rPr>
        <w:t>4.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5504E28A">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八、对本次招标提出询问，请按</w:t>
      </w:r>
      <w:r>
        <w:rPr>
          <w:rFonts w:asciiTheme="minorEastAsia" w:hAnsiTheme="minorEastAsia" w:eastAsiaTheme="minorEastAsia"/>
          <w:b/>
          <w:bCs/>
          <w:sz w:val="24"/>
          <w:szCs w:val="24"/>
        </w:rPr>
        <w:t>以下方式</w:t>
      </w:r>
      <w:r>
        <w:rPr>
          <w:rFonts w:hint="eastAsia" w:asciiTheme="minorEastAsia" w:hAnsiTheme="minorEastAsia" w:eastAsiaTheme="minorEastAsia"/>
          <w:b/>
          <w:bCs/>
          <w:sz w:val="24"/>
          <w:szCs w:val="24"/>
        </w:rPr>
        <w:t>联系。</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bookmarkEnd w:id="2"/>
    <w:bookmarkEnd w:id="5"/>
    <w:bookmarkEnd w:id="7"/>
    <w:p w14:paraId="0CD9693A">
      <w:pPr>
        <w:spacing w:line="360" w:lineRule="auto"/>
        <w:ind w:firstLine="420" w:firstLineChars="200"/>
        <w:rPr>
          <w:rFonts w:cs="宋体" w:asciiTheme="minorEastAsia" w:hAnsiTheme="minorEastAsia" w:eastAsiaTheme="minorEastAsia"/>
          <w:szCs w:val="21"/>
        </w:rPr>
      </w:pPr>
      <w:bookmarkStart w:id="135" w:name="_Toc45900508"/>
      <w:bookmarkStart w:id="136" w:name="_Toc28359096"/>
      <w:bookmarkStart w:id="137" w:name="_Toc35393806"/>
      <w:bookmarkStart w:id="138" w:name="_Toc28359019"/>
      <w:bookmarkStart w:id="139" w:name="_Toc35393637"/>
      <w:bookmarkStart w:id="140" w:name="_Toc45452726"/>
      <w:bookmarkStart w:id="141" w:name="_Toc42204978"/>
      <w:bookmarkStart w:id="142" w:name="_Toc37603101"/>
      <w:r>
        <w:rPr>
          <w:rFonts w:hint="eastAsia" w:asciiTheme="minorEastAsia" w:hAnsiTheme="minorEastAsia" w:eastAsiaTheme="minorEastAsia"/>
          <w:szCs w:val="21"/>
        </w:rPr>
        <w:t>1.采购人信息</w:t>
      </w:r>
      <w:bookmarkEnd w:id="135"/>
      <w:bookmarkEnd w:id="136"/>
      <w:bookmarkEnd w:id="137"/>
      <w:bookmarkEnd w:id="138"/>
      <w:bookmarkEnd w:id="139"/>
      <w:bookmarkEnd w:id="140"/>
    </w:p>
    <w:p w14:paraId="34F5ACA0">
      <w:pPr>
        <w:spacing w:line="360" w:lineRule="auto"/>
        <w:ind w:firstLine="420" w:firstLineChars="200"/>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名    称：</w:t>
      </w:r>
      <w:r>
        <w:rPr>
          <w:rFonts w:hint="eastAsia" w:ascii="宋体" w:hAnsi="宋体" w:eastAsiaTheme="minorEastAsia"/>
          <w:bCs/>
          <w:szCs w:val="21"/>
          <w:lang w:eastAsia="zh-CN"/>
        </w:rPr>
        <w:t>新平彝族傣族自治县农业农村局</w:t>
      </w:r>
    </w:p>
    <w:p w14:paraId="193FE34C">
      <w:pPr>
        <w:spacing w:line="360" w:lineRule="auto"/>
        <w:ind w:firstLine="420" w:firstLineChars="200"/>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地    址：</w:t>
      </w:r>
      <w:r>
        <w:rPr>
          <w:rFonts w:hint="eastAsia" w:asciiTheme="minorEastAsia" w:hAnsiTheme="minorEastAsia" w:eastAsiaTheme="minorEastAsia"/>
          <w:szCs w:val="21"/>
          <w:lang w:eastAsia="zh-CN"/>
        </w:rPr>
        <w:t>云南省玉溪市新平县新平大道28号</w:t>
      </w:r>
    </w:p>
    <w:p w14:paraId="4CAD3983">
      <w:pPr>
        <w:spacing w:line="360" w:lineRule="auto"/>
        <w:ind w:firstLine="420" w:firstLineChars="200"/>
        <w:jc w:val="left"/>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lang w:val="en-US" w:eastAsia="zh-CN"/>
        </w:rPr>
        <w:t>矣师（15912392310）</w:t>
      </w:r>
    </w:p>
    <w:p w14:paraId="5EEF25FD">
      <w:pPr>
        <w:spacing w:line="360" w:lineRule="auto"/>
        <w:ind w:firstLine="420" w:firstLineChars="200"/>
        <w:jc w:val="left"/>
        <w:rPr>
          <w:rFonts w:asciiTheme="minorEastAsia" w:hAnsiTheme="minorEastAsia" w:eastAsiaTheme="minorEastAsia"/>
          <w:szCs w:val="21"/>
          <w:highlight w:val="yellow"/>
        </w:rPr>
      </w:pPr>
    </w:p>
    <w:p w14:paraId="2AEE75E7">
      <w:pPr>
        <w:spacing w:line="360" w:lineRule="auto"/>
        <w:rPr>
          <w:rFonts w:asciiTheme="minorEastAsia" w:hAnsiTheme="minorEastAsia" w:eastAsiaTheme="minorEastAsia"/>
        </w:rPr>
      </w:pPr>
    </w:p>
    <w:p w14:paraId="38C48F42">
      <w:pPr>
        <w:spacing w:line="360" w:lineRule="auto"/>
        <w:ind w:firstLine="420" w:firstLineChars="200"/>
        <w:rPr>
          <w:rFonts w:asciiTheme="minorEastAsia" w:hAnsiTheme="minorEastAsia" w:eastAsiaTheme="minorEastAsia"/>
          <w:szCs w:val="21"/>
        </w:rPr>
      </w:pPr>
      <w:bookmarkStart w:id="143" w:name="_Toc45900509"/>
      <w:bookmarkStart w:id="144" w:name="_Toc28359020"/>
      <w:bookmarkStart w:id="145" w:name="_Toc45452727"/>
      <w:bookmarkStart w:id="146" w:name="_Toc35393638"/>
      <w:bookmarkStart w:id="147" w:name="_Toc28359097"/>
      <w:bookmarkStart w:id="148" w:name="_Toc35393807"/>
      <w:r>
        <w:rPr>
          <w:rFonts w:hint="eastAsia" w:asciiTheme="minorEastAsia" w:hAnsiTheme="minorEastAsia" w:eastAsiaTheme="minorEastAsia"/>
          <w:szCs w:val="21"/>
        </w:rPr>
        <w:t>2.采购代理机构信息</w:t>
      </w:r>
      <w:bookmarkEnd w:id="143"/>
      <w:bookmarkEnd w:id="144"/>
      <w:bookmarkEnd w:id="145"/>
      <w:bookmarkEnd w:id="146"/>
      <w:bookmarkEnd w:id="147"/>
      <w:bookmarkEnd w:id="148"/>
    </w:p>
    <w:p w14:paraId="739EB99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名    称：云南一之程项目管理有限公司</w:t>
      </w:r>
    </w:p>
    <w:p w14:paraId="387F301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　　址：</w:t>
      </w:r>
      <w:r>
        <w:rPr>
          <w:rFonts w:hint="eastAsia" w:ascii="宋体" w:hAnsi="宋体" w:eastAsiaTheme="minorEastAsia"/>
          <w:szCs w:val="21"/>
        </w:rPr>
        <w:t>云南省昆明市五华区普吉街道吉惠园小区12栋1701室</w:t>
      </w:r>
    </w:p>
    <w:p w14:paraId="5C238A7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联系方式：</w:t>
      </w:r>
      <w:r>
        <w:rPr>
          <w:rFonts w:hint="eastAsia" w:asciiTheme="minorEastAsia" w:hAnsiTheme="minorEastAsia" w:eastAsiaTheme="minorEastAsia"/>
        </w:rPr>
        <w:t>18314391642、</w:t>
      </w:r>
      <w:r>
        <w:rPr>
          <w:rFonts w:hint="eastAsia" w:asciiTheme="minorEastAsia" w:hAnsiTheme="minorEastAsia" w:eastAsiaTheme="minorEastAsia"/>
          <w:szCs w:val="21"/>
        </w:rPr>
        <w:t>15969592106</w:t>
      </w:r>
    </w:p>
    <w:p w14:paraId="0DD27CBA">
      <w:pPr>
        <w:spacing w:line="360" w:lineRule="auto"/>
        <w:rPr>
          <w:rFonts w:asciiTheme="minorEastAsia" w:hAnsiTheme="minorEastAsia" w:eastAsiaTheme="minorEastAsia"/>
        </w:rPr>
      </w:pPr>
    </w:p>
    <w:p w14:paraId="74C4254C">
      <w:pPr>
        <w:spacing w:line="360" w:lineRule="auto"/>
        <w:ind w:firstLine="420" w:firstLineChars="200"/>
        <w:rPr>
          <w:rFonts w:asciiTheme="minorEastAsia" w:hAnsiTheme="minorEastAsia" w:eastAsiaTheme="minorEastAsia"/>
          <w:szCs w:val="21"/>
        </w:rPr>
      </w:pPr>
      <w:bookmarkStart w:id="149" w:name="_Toc35393639"/>
      <w:bookmarkStart w:id="150" w:name="_Toc45452728"/>
      <w:bookmarkStart w:id="151" w:name="_Toc28359021"/>
      <w:bookmarkStart w:id="152" w:name="_Toc35393808"/>
      <w:bookmarkStart w:id="153" w:name="_Toc28359098"/>
      <w:bookmarkStart w:id="154" w:name="_Toc45900510"/>
      <w:r>
        <w:rPr>
          <w:rFonts w:hint="eastAsia" w:asciiTheme="minorEastAsia" w:hAnsiTheme="minorEastAsia" w:eastAsiaTheme="minorEastAsia"/>
          <w:szCs w:val="21"/>
        </w:rPr>
        <w:t>3.项目联系</w:t>
      </w:r>
      <w:r>
        <w:rPr>
          <w:rFonts w:asciiTheme="minorEastAsia" w:hAnsiTheme="minorEastAsia" w:eastAsiaTheme="minorEastAsia"/>
          <w:szCs w:val="21"/>
        </w:rPr>
        <w:t>方式</w:t>
      </w:r>
      <w:bookmarkEnd w:id="149"/>
      <w:bookmarkEnd w:id="150"/>
      <w:bookmarkEnd w:id="151"/>
      <w:bookmarkEnd w:id="152"/>
      <w:bookmarkEnd w:id="153"/>
      <w:bookmarkEnd w:id="154"/>
    </w:p>
    <w:p w14:paraId="441F45F5">
      <w:pPr>
        <w:pStyle w:val="28"/>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项目联系人：李志春、周俊吉、田祥兵、宁澍培、李蕊</w:t>
      </w:r>
    </w:p>
    <w:p w14:paraId="6FCA953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电　  话：18314391642、</w:t>
      </w:r>
      <w:r>
        <w:rPr>
          <w:rFonts w:hint="eastAsia" w:asciiTheme="minorEastAsia" w:hAnsiTheme="minorEastAsia" w:eastAsiaTheme="minorEastAsia"/>
          <w:szCs w:val="21"/>
        </w:rPr>
        <w:t>15969592106、0871-68303806</w:t>
      </w:r>
      <w:r>
        <w:rPr>
          <w:rFonts w:asciiTheme="minorEastAsia" w:hAnsiTheme="minorEastAsia" w:eastAsiaTheme="minorEastAsia"/>
          <w:szCs w:val="21"/>
        </w:rPr>
        <w:br w:type="page"/>
      </w:r>
    </w:p>
    <w:p w14:paraId="203585E6">
      <w:pPr>
        <w:spacing w:line="360" w:lineRule="auto"/>
        <w:ind w:firstLine="643"/>
        <w:jc w:val="center"/>
        <w:outlineLvl w:val="0"/>
        <w:rPr>
          <w:rFonts w:asciiTheme="minorEastAsia" w:hAnsiTheme="minorEastAsia" w:eastAsiaTheme="minorEastAsia"/>
          <w:b/>
          <w:bCs/>
          <w:sz w:val="32"/>
          <w:szCs w:val="32"/>
        </w:rPr>
      </w:pPr>
      <w:bookmarkStart w:id="155" w:name="_Toc25311"/>
      <w:r>
        <w:rPr>
          <w:rFonts w:hint="eastAsia" w:asciiTheme="minorEastAsia" w:hAnsiTheme="minorEastAsia" w:eastAsiaTheme="minorEastAsia"/>
          <w:b/>
          <w:bCs/>
          <w:sz w:val="32"/>
          <w:szCs w:val="32"/>
        </w:rPr>
        <w:t>第二章 投标人须知</w:t>
      </w:r>
      <w:bookmarkEnd w:id="141"/>
      <w:bookmarkEnd w:id="142"/>
      <w:bookmarkEnd w:id="155"/>
    </w:p>
    <w:p w14:paraId="5D7DDAB4">
      <w:pPr>
        <w:pStyle w:val="4"/>
      </w:pPr>
      <w:bookmarkStart w:id="156" w:name="_Toc8078"/>
      <w:bookmarkStart w:id="157" w:name="_Toc132362632"/>
      <w:r>
        <w:rPr>
          <w:rFonts w:hint="eastAsia"/>
        </w:rPr>
        <w:t>一、投标人须知前附表</w:t>
      </w:r>
      <w:bookmarkEnd w:id="156"/>
      <w:bookmarkEnd w:id="157"/>
    </w:p>
    <w:tbl>
      <w:tblPr>
        <w:tblStyle w:val="56"/>
        <w:tblW w:w="5012" w:type="pct"/>
        <w:jc w:val="center"/>
        <w:tblLayout w:type="autofit"/>
        <w:tblCellMar>
          <w:top w:w="0" w:type="dxa"/>
          <w:left w:w="0" w:type="dxa"/>
          <w:bottom w:w="0" w:type="dxa"/>
          <w:right w:w="0" w:type="dxa"/>
        </w:tblCellMar>
      </w:tblPr>
      <w:tblGrid>
        <w:gridCol w:w="845"/>
        <w:gridCol w:w="2274"/>
        <w:gridCol w:w="5871"/>
      </w:tblGrid>
      <w:tr w14:paraId="4245A999">
        <w:trPr>
          <w:trHeight w:val="489"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BA4DF61">
            <w:pPr>
              <w:autoSpaceDE w:val="0"/>
              <w:autoSpaceDN w:val="0"/>
              <w:spacing w:before="60" w:after="60"/>
              <w:contextualSpacing/>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1265" w:type="pct"/>
            <w:tcBorders>
              <w:top w:val="single" w:color="auto" w:sz="4" w:space="0"/>
              <w:left w:val="single" w:color="auto" w:sz="4" w:space="0"/>
              <w:bottom w:val="single" w:color="auto" w:sz="4" w:space="0"/>
              <w:right w:val="single" w:color="auto" w:sz="4" w:space="0"/>
            </w:tcBorders>
            <w:vAlign w:val="center"/>
          </w:tcPr>
          <w:p w14:paraId="4B2A0499">
            <w:pPr>
              <w:wordWrap w:val="0"/>
              <w:autoSpaceDE w:val="0"/>
              <w:autoSpaceDN w:val="0"/>
              <w:spacing w:before="60" w:after="60"/>
              <w:ind w:firstLine="422"/>
              <w:contextualSpacing/>
              <w:jc w:val="center"/>
              <w:rPr>
                <w:rFonts w:asciiTheme="minorEastAsia" w:hAnsiTheme="minorEastAsia" w:eastAsiaTheme="minorEastAsia"/>
                <w:b/>
                <w:szCs w:val="21"/>
              </w:rPr>
            </w:pPr>
            <w:r>
              <w:rPr>
                <w:rFonts w:asciiTheme="minorEastAsia" w:hAnsiTheme="minorEastAsia" w:eastAsiaTheme="minorEastAsia"/>
                <w:b/>
                <w:szCs w:val="21"/>
              </w:rPr>
              <w:t>条款名称</w:t>
            </w:r>
          </w:p>
        </w:tc>
        <w:tc>
          <w:tcPr>
            <w:tcW w:w="3264" w:type="pct"/>
            <w:tcBorders>
              <w:top w:val="single" w:color="auto" w:sz="4" w:space="0"/>
              <w:left w:val="single" w:color="auto" w:sz="4" w:space="0"/>
              <w:bottom w:val="single" w:color="auto" w:sz="4" w:space="0"/>
              <w:right w:val="single" w:color="auto" w:sz="4" w:space="0"/>
            </w:tcBorders>
            <w:vAlign w:val="center"/>
          </w:tcPr>
          <w:p w14:paraId="7C7B5BCC">
            <w:pPr>
              <w:wordWrap w:val="0"/>
              <w:autoSpaceDE w:val="0"/>
              <w:autoSpaceDN w:val="0"/>
              <w:spacing w:before="60" w:after="60"/>
              <w:ind w:left="-15" w:leftChars="-7" w:firstLine="15" w:firstLineChars="7"/>
              <w:contextualSpacing/>
              <w:jc w:val="center"/>
              <w:rPr>
                <w:rFonts w:asciiTheme="minorEastAsia" w:hAnsiTheme="minorEastAsia" w:eastAsiaTheme="minorEastAsia"/>
                <w:b/>
                <w:szCs w:val="21"/>
              </w:rPr>
            </w:pPr>
            <w:r>
              <w:rPr>
                <w:rFonts w:hint="eastAsia" w:asciiTheme="minorEastAsia" w:hAnsiTheme="minorEastAsia" w:eastAsiaTheme="minorEastAsia"/>
                <w:b/>
                <w:szCs w:val="21"/>
              </w:rPr>
              <w:t>编列内容</w:t>
            </w:r>
          </w:p>
        </w:tc>
      </w:tr>
      <w:tr w14:paraId="5E311134">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F91C3BE">
            <w:pPr>
              <w:wordWrap w:val="0"/>
              <w:autoSpaceDE w:val="0"/>
              <w:autoSpaceDN w:val="0"/>
              <w:spacing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1.1.2</w:t>
            </w:r>
          </w:p>
        </w:tc>
        <w:tc>
          <w:tcPr>
            <w:tcW w:w="1265" w:type="pct"/>
            <w:tcBorders>
              <w:top w:val="single" w:color="auto" w:sz="4" w:space="0"/>
              <w:left w:val="single" w:color="auto" w:sz="4" w:space="0"/>
              <w:bottom w:val="single" w:color="auto" w:sz="4" w:space="0"/>
              <w:right w:val="single" w:color="auto" w:sz="4" w:space="0"/>
            </w:tcBorders>
            <w:vAlign w:val="center"/>
          </w:tcPr>
          <w:p w14:paraId="22261006">
            <w:pPr>
              <w:wordWrap w:val="0"/>
              <w:autoSpaceDE w:val="0"/>
              <w:autoSpaceDN w:val="0"/>
              <w:spacing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采购人</w:t>
            </w:r>
          </w:p>
        </w:tc>
        <w:tc>
          <w:tcPr>
            <w:tcW w:w="3264" w:type="pct"/>
            <w:tcBorders>
              <w:top w:val="single" w:color="auto" w:sz="4" w:space="0"/>
              <w:left w:val="single" w:color="auto" w:sz="4" w:space="0"/>
              <w:bottom w:val="single" w:color="auto" w:sz="4" w:space="0"/>
              <w:right w:val="single" w:color="auto" w:sz="4" w:space="0"/>
            </w:tcBorders>
          </w:tcPr>
          <w:p w14:paraId="3461FC2A">
            <w:pPr>
              <w:spacing w:before="120" w:beforeLines="50" w:line="360" w:lineRule="auto"/>
              <w:ind w:left="105" w:leftChars="50"/>
              <w:rPr>
                <w:rFonts w:hint="eastAsia" w:asciiTheme="minorEastAsia" w:hAnsiTheme="minorEastAsia" w:eastAsiaTheme="minorEastAsia"/>
                <w:szCs w:val="21"/>
                <w:lang w:eastAsia="zh-CN"/>
              </w:rPr>
            </w:pPr>
            <w:bookmarkStart w:id="158" w:name="_Hlk75780510"/>
            <w:r>
              <w:rPr>
                <w:rFonts w:hint="eastAsia" w:cs="宋体" w:asciiTheme="minorEastAsia" w:hAnsiTheme="minorEastAsia" w:eastAsiaTheme="minorEastAsia"/>
                <w:szCs w:val="21"/>
              </w:rPr>
              <w:t>单位名称：</w:t>
            </w:r>
            <w:r>
              <w:rPr>
                <w:rFonts w:hint="eastAsia" w:ascii="宋体" w:hAnsi="宋体" w:eastAsiaTheme="minorEastAsia"/>
                <w:bCs/>
                <w:szCs w:val="21"/>
                <w:lang w:eastAsia="zh-CN"/>
              </w:rPr>
              <w:t>新平彝族傣族自治县农业农村局</w:t>
            </w:r>
          </w:p>
          <w:p w14:paraId="72E76016">
            <w:pPr>
              <w:spacing w:line="360" w:lineRule="auto"/>
              <w:ind w:left="105" w:leftChars="50"/>
              <w:rPr>
                <w:rFonts w:hint="eastAsia" w:asciiTheme="minorEastAsia" w:hAnsiTheme="minorEastAsia" w:eastAsiaTheme="minorEastAsia"/>
                <w:szCs w:val="21"/>
                <w:lang w:eastAsia="zh-CN"/>
              </w:rPr>
            </w:pPr>
            <w:r>
              <w:rPr>
                <w:rFonts w:hint="eastAsia" w:asciiTheme="minorEastAsia" w:hAnsiTheme="minorEastAsia" w:eastAsiaTheme="minorEastAsia"/>
                <w:szCs w:val="21"/>
              </w:rPr>
              <w:t>单位地址：</w:t>
            </w:r>
            <w:r>
              <w:rPr>
                <w:rFonts w:hint="eastAsia" w:asciiTheme="minorEastAsia" w:hAnsiTheme="minorEastAsia" w:eastAsiaTheme="minorEastAsia"/>
                <w:szCs w:val="21"/>
                <w:lang w:eastAsia="zh-CN"/>
              </w:rPr>
              <w:t>云南省玉溪市新平县新平大道28号</w:t>
            </w:r>
          </w:p>
          <w:p w14:paraId="7B583AD6">
            <w:pPr>
              <w:spacing w:line="360" w:lineRule="auto"/>
              <w:ind w:left="105" w:left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联 系 人：</w:t>
            </w:r>
            <w:r>
              <w:rPr>
                <w:rFonts w:hint="eastAsia" w:asciiTheme="minorEastAsia" w:hAnsiTheme="minorEastAsia" w:eastAsiaTheme="minorEastAsia"/>
                <w:szCs w:val="21"/>
                <w:highlight w:val="none"/>
                <w:lang w:val="en-US" w:eastAsia="zh-CN"/>
              </w:rPr>
              <w:t>矣师</w:t>
            </w:r>
          </w:p>
          <w:p w14:paraId="5207FE59">
            <w:pPr>
              <w:spacing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highlight w:val="none"/>
              </w:rPr>
              <w:t>联系电话：</w:t>
            </w:r>
            <w:bookmarkEnd w:id="158"/>
            <w:r>
              <w:rPr>
                <w:rFonts w:hint="eastAsia" w:asciiTheme="minorEastAsia" w:hAnsiTheme="minorEastAsia" w:eastAsiaTheme="minorEastAsia"/>
                <w:szCs w:val="21"/>
                <w:highlight w:val="none"/>
                <w:lang w:val="en-US" w:eastAsia="zh-CN"/>
              </w:rPr>
              <w:t>15912392310</w:t>
            </w:r>
          </w:p>
        </w:tc>
      </w:tr>
      <w:tr w14:paraId="6EF4E309">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51A5B92B">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1.1.3</w:t>
            </w:r>
          </w:p>
        </w:tc>
        <w:tc>
          <w:tcPr>
            <w:tcW w:w="1265" w:type="pct"/>
            <w:tcBorders>
              <w:top w:val="single" w:color="auto" w:sz="4" w:space="0"/>
              <w:left w:val="single" w:color="auto" w:sz="4" w:space="0"/>
              <w:bottom w:val="single" w:color="auto" w:sz="4" w:space="0"/>
              <w:right w:val="single" w:color="auto" w:sz="4" w:space="0"/>
            </w:tcBorders>
            <w:vAlign w:val="center"/>
          </w:tcPr>
          <w:p w14:paraId="735D5949">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采购代理机构</w:t>
            </w:r>
          </w:p>
        </w:tc>
        <w:tc>
          <w:tcPr>
            <w:tcW w:w="3264" w:type="pct"/>
            <w:tcBorders>
              <w:top w:val="single" w:color="auto" w:sz="4" w:space="0"/>
              <w:left w:val="single" w:color="auto" w:sz="4" w:space="0"/>
              <w:bottom w:val="single" w:color="auto" w:sz="4" w:space="0"/>
              <w:right w:val="single" w:color="auto" w:sz="4" w:space="0"/>
            </w:tcBorders>
          </w:tcPr>
          <w:p w14:paraId="0B38B7EA">
            <w:pPr>
              <w:spacing w:before="120" w:beforeLines="50" w:line="360" w:lineRule="auto"/>
              <w:ind w:left="105" w:leftChars="50"/>
              <w:rPr>
                <w:rFonts w:asciiTheme="minorEastAsia" w:hAnsiTheme="minorEastAsia" w:eastAsiaTheme="minorEastAsia"/>
                <w:szCs w:val="21"/>
              </w:rPr>
            </w:pPr>
            <w:r>
              <w:rPr>
                <w:rFonts w:hint="eastAsia" w:cs="宋体" w:asciiTheme="minorEastAsia" w:hAnsiTheme="minorEastAsia" w:eastAsiaTheme="minorEastAsia"/>
                <w:szCs w:val="21"/>
              </w:rPr>
              <w:t>单位名称：云南一之程项目管理有限公司</w:t>
            </w:r>
          </w:p>
          <w:p w14:paraId="03D88460">
            <w:pPr>
              <w:spacing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单位地址：</w:t>
            </w:r>
            <w:r>
              <w:rPr>
                <w:rFonts w:hint="eastAsia" w:ascii="宋体" w:hAnsi="宋体" w:eastAsiaTheme="minorEastAsia"/>
                <w:szCs w:val="21"/>
              </w:rPr>
              <w:t>云南省昆明市五华区普吉街道吉惠园小区12栋1701室</w:t>
            </w:r>
          </w:p>
          <w:p w14:paraId="7FE87FDC">
            <w:pPr>
              <w:spacing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联 系 人：</w:t>
            </w:r>
            <w:r>
              <w:rPr>
                <w:rFonts w:hint="eastAsia" w:asciiTheme="minorEastAsia" w:hAnsiTheme="minorEastAsia" w:eastAsiaTheme="minorEastAsia"/>
                <w:color w:val="000000" w:themeColor="text1"/>
                <w:szCs w:val="21"/>
                <w14:textFill>
                  <w14:solidFill>
                    <w14:schemeClr w14:val="tx1"/>
                  </w14:solidFill>
                </w14:textFill>
              </w:rPr>
              <w:t>李志春、周俊吉、田祥兵、宁澍培、李蕊</w:t>
            </w:r>
          </w:p>
          <w:p w14:paraId="3F8CD549">
            <w:pPr>
              <w:spacing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联系电话：</w:t>
            </w:r>
            <w:r>
              <w:rPr>
                <w:rFonts w:hint="eastAsia" w:asciiTheme="minorEastAsia" w:hAnsiTheme="minorEastAsia" w:eastAsiaTheme="minorEastAsia"/>
                <w:color w:val="000000" w:themeColor="text1"/>
                <w:szCs w:val="21"/>
                <w14:textFill>
                  <w14:solidFill>
                    <w14:schemeClr w14:val="tx1"/>
                  </w14:solidFill>
                </w14:textFill>
              </w:rPr>
              <w:t>18314391642、</w:t>
            </w:r>
            <w:r>
              <w:rPr>
                <w:rFonts w:hint="eastAsia" w:asciiTheme="minorEastAsia" w:hAnsiTheme="minorEastAsia" w:eastAsiaTheme="minorEastAsia"/>
                <w:szCs w:val="21"/>
              </w:rPr>
              <w:t>15969592106、0871-68303806</w:t>
            </w:r>
          </w:p>
        </w:tc>
      </w:tr>
      <w:tr w14:paraId="37F3C49B">
        <w:tblPrEx>
          <w:tblCellMar>
            <w:top w:w="0" w:type="dxa"/>
            <w:left w:w="0" w:type="dxa"/>
            <w:bottom w:w="0" w:type="dxa"/>
            <w:right w:w="0" w:type="dxa"/>
          </w:tblCellMar>
        </w:tblPrEx>
        <w:trPr>
          <w:trHeight w:val="411"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FD8D72C">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4</w:t>
            </w:r>
          </w:p>
        </w:tc>
        <w:tc>
          <w:tcPr>
            <w:tcW w:w="1265" w:type="pct"/>
            <w:tcBorders>
              <w:top w:val="single" w:color="auto" w:sz="4" w:space="0"/>
              <w:left w:val="single" w:color="auto" w:sz="4" w:space="0"/>
              <w:bottom w:val="single" w:color="auto" w:sz="4" w:space="0"/>
              <w:right w:val="single" w:color="auto" w:sz="4" w:space="0"/>
            </w:tcBorders>
            <w:vAlign w:val="center"/>
          </w:tcPr>
          <w:p w14:paraId="27933277">
            <w:pPr>
              <w:spacing w:before="120" w:beforeLines="50" w:line="360" w:lineRule="auto"/>
              <w:jc w:val="center"/>
              <w:rPr>
                <w:rFonts w:asciiTheme="minorEastAsia" w:hAnsiTheme="minorEastAsia" w:eastAsiaTheme="minorEastAsia"/>
                <w:szCs w:val="21"/>
              </w:rPr>
            </w:pPr>
            <w:r>
              <w:rPr>
                <w:rFonts w:hint="eastAsia" w:ascii="宋体" w:hAnsi="宋体"/>
                <w:szCs w:val="21"/>
              </w:rPr>
              <w:t>项目名称</w:t>
            </w:r>
          </w:p>
        </w:tc>
        <w:tc>
          <w:tcPr>
            <w:tcW w:w="3264" w:type="pct"/>
            <w:tcBorders>
              <w:top w:val="single" w:color="auto" w:sz="4" w:space="0"/>
              <w:left w:val="single" w:color="auto" w:sz="4" w:space="0"/>
              <w:bottom w:val="single" w:color="auto" w:sz="4" w:space="0"/>
              <w:right w:val="single" w:color="auto" w:sz="4" w:space="0"/>
            </w:tcBorders>
            <w:vAlign w:val="center"/>
          </w:tcPr>
          <w:p w14:paraId="03C5EDC1">
            <w:pPr>
              <w:spacing w:before="120" w:beforeLines="50" w:line="360" w:lineRule="auto"/>
              <w:ind w:left="105" w:leftChars="50" w:right="105" w:rightChars="50"/>
              <w:rPr>
                <w:rFonts w:hint="eastAsia" w:asciiTheme="minorEastAsia" w:hAnsiTheme="minorEastAsia" w:eastAsiaTheme="minorEastAsia"/>
                <w:szCs w:val="21"/>
                <w:lang w:eastAsia="zh-CN"/>
              </w:rPr>
            </w:pPr>
            <w:r>
              <w:rPr>
                <w:rFonts w:hint="eastAsia" w:ascii="宋体" w:hAnsi="宋体" w:eastAsiaTheme="minorEastAsia"/>
                <w:szCs w:val="21"/>
                <w:lang w:eastAsia="zh-CN"/>
              </w:rPr>
              <w:t>新平县2026年柑桔黄龙病统防统治项目防控药剂采购</w:t>
            </w:r>
          </w:p>
        </w:tc>
      </w:tr>
      <w:tr w14:paraId="0EC5DE13">
        <w:tblPrEx>
          <w:tblCellMar>
            <w:top w:w="0" w:type="dxa"/>
            <w:left w:w="0" w:type="dxa"/>
            <w:bottom w:w="0" w:type="dxa"/>
            <w:right w:w="0" w:type="dxa"/>
          </w:tblCellMar>
        </w:tblPrEx>
        <w:trPr>
          <w:trHeight w:val="433"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A74DC64">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.1.5</w:t>
            </w:r>
          </w:p>
        </w:tc>
        <w:tc>
          <w:tcPr>
            <w:tcW w:w="1265" w:type="pct"/>
            <w:tcBorders>
              <w:top w:val="single" w:color="auto" w:sz="4" w:space="0"/>
              <w:left w:val="single" w:color="auto" w:sz="4" w:space="0"/>
              <w:bottom w:val="single" w:color="auto" w:sz="4" w:space="0"/>
              <w:right w:val="single" w:color="auto" w:sz="4" w:space="0"/>
            </w:tcBorders>
            <w:vAlign w:val="center"/>
          </w:tcPr>
          <w:p w14:paraId="0B984793">
            <w:pPr>
              <w:spacing w:before="120" w:beforeLines="50" w:line="360" w:lineRule="auto"/>
              <w:jc w:val="center"/>
              <w:rPr>
                <w:rFonts w:asciiTheme="minorEastAsia" w:hAnsiTheme="minorEastAsia" w:eastAsiaTheme="minorEastAsia"/>
                <w:szCs w:val="21"/>
              </w:rPr>
            </w:pPr>
            <w:bookmarkStart w:id="159" w:name="OLE_LINK3"/>
            <w:r>
              <w:rPr>
                <w:rFonts w:hint="eastAsia" w:asciiTheme="minorEastAsia" w:hAnsiTheme="minorEastAsia" w:eastAsiaTheme="minorEastAsia"/>
                <w:szCs w:val="21"/>
                <w:lang w:eastAsia="zh-CN"/>
              </w:rPr>
              <w:t>交付（或实施）地点</w:t>
            </w:r>
            <w:bookmarkEnd w:id="159"/>
          </w:p>
        </w:tc>
        <w:tc>
          <w:tcPr>
            <w:tcW w:w="3264" w:type="pct"/>
            <w:tcBorders>
              <w:top w:val="single" w:color="auto" w:sz="4" w:space="0"/>
              <w:left w:val="single" w:color="auto" w:sz="4" w:space="0"/>
              <w:bottom w:val="single" w:color="auto" w:sz="4" w:space="0"/>
              <w:right w:val="single" w:color="auto" w:sz="4" w:space="0"/>
            </w:tcBorders>
            <w:vAlign w:val="center"/>
          </w:tcPr>
          <w:p w14:paraId="1393353D">
            <w:pPr>
              <w:spacing w:before="120" w:beforeLines="50" w:line="360" w:lineRule="auto"/>
              <w:ind w:left="105" w:leftChars="50" w:right="105" w:rightChars="50"/>
              <w:rPr>
                <w:rFonts w:asciiTheme="minorEastAsia" w:hAnsiTheme="minorEastAsia" w:eastAsiaTheme="minorEastAsia"/>
                <w:szCs w:val="21"/>
              </w:rPr>
            </w:pPr>
            <w:r>
              <w:rPr>
                <w:rFonts w:hint="eastAsia" w:ascii="宋体" w:hAnsi="宋体"/>
              </w:rPr>
              <w:t>采购人指定地点。</w:t>
            </w:r>
          </w:p>
        </w:tc>
      </w:tr>
      <w:tr w14:paraId="683CB5CC">
        <w:tblPrEx>
          <w:tblCellMar>
            <w:top w:w="0" w:type="dxa"/>
            <w:left w:w="0" w:type="dxa"/>
            <w:bottom w:w="0" w:type="dxa"/>
            <w:right w:w="0" w:type="dxa"/>
          </w:tblCellMar>
        </w:tblPrEx>
        <w:trPr>
          <w:trHeight w:val="39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176D66F0">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1.2.1</w:t>
            </w:r>
          </w:p>
        </w:tc>
        <w:tc>
          <w:tcPr>
            <w:tcW w:w="1265" w:type="pct"/>
            <w:tcBorders>
              <w:top w:val="single" w:color="auto" w:sz="4" w:space="0"/>
              <w:left w:val="single" w:color="auto" w:sz="4" w:space="0"/>
              <w:bottom w:val="single" w:color="auto" w:sz="4" w:space="0"/>
              <w:right w:val="single" w:color="auto" w:sz="4" w:space="0"/>
            </w:tcBorders>
            <w:vAlign w:val="center"/>
          </w:tcPr>
          <w:p w14:paraId="77EDBBFE">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资金来源</w:t>
            </w:r>
          </w:p>
        </w:tc>
        <w:tc>
          <w:tcPr>
            <w:tcW w:w="3264" w:type="pct"/>
            <w:tcBorders>
              <w:top w:val="single" w:color="auto" w:sz="4" w:space="0"/>
              <w:left w:val="single" w:color="auto" w:sz="4" w:space="0"/>
              <w:bottom w:val="single" w:color="auto" w:sz="4" w:space="0"/>
              <w:right w:val="single" w:color="auto" w:sz="4" w:space="0"/>
            </w:tcBorders>
            <w:vAlign w:val="center"/>
          </w:tcPr>
          <w:p w14:paraId="7D2238BF">
            <w:pPr>
              <w:spacing w:before="120" w:beforeLines="50"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财政拨款。</w:t>
            </w:r>
          </w:p>
        </w:tc>
      </w:tr>
      <w:tr w14:paraId="287487C9">
        <w:tblPrEx>
          <w:tblCellMar>
            <w:top w:w="0" w:type="dxa"/>
            <w:left w:w="0" w:type="dxa"/>
            <w:bottom w:w="0" w:type="dxa"/>
            <w:right w:w="0" w:type="dxa"/>
          </w:tblCellMar>
        </w:tblPrEx>
        <w:trPr>
          <w:trHeight w:val="416"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1E6A39D3">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1.2.2</w:t>
            </w:r>
          </w:p>
        </w:tc>
        <w:tc>
          <w:tcPr>
            <w:tcW w:w="1265" w:type="pct"/>
            <w:tcBorders>
              <w:top w:val="single" w:color="auto" w:sz="4" w:space="0"/>
              <w:left w:val="single" w:color="auto" w:sz="4" w:space="0"/>
              <w:bottom w:val="single" w:color="auto" w:sz="4" w:space="0"/>
              <w:right w:val="single" w:color="auto" w:sz="4" w:space="0"/>
            </w:tcBorders>
            <w:vAlign w:val="center"/>
          </w:tcPr>
          <w:p w14:paraId="2CB23596">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出资比例</w:t>
            </w:r>
          </w:p>
        </w:tc>
        <w:tc>
          <w:tcPr>
            <w:tcW w:w="3264" w:type="pct"/>
            <w:tcBorders>
              <w:top w:val="single" w:color="auto" w:sz="4" w:space="0"/>
              <w:left w:val="single" w:color="auto" w:sz="4" w:space="0"/>
              <w:bottom w:val="single" w:color="auto" w:sz="4" w:space="0"/>
              <w:right w:val="single" w:color="auto" w:sz="4" w:space="0"/>
            </w:tcBorders>
            <w:vAlign w:val="center"/>
          </w:tcPr>
          <w:p w14:paraId="0BAC12B4">
            <w:pPr>
              <w:spacing w:before="120" w:beforeLines="50"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100%。</w:t>
            </w:r>
          </w:p>
        </w:tc>
      </w:tr>
      <w:tr w14:paraId="7EAAC918">
        <w:tblPrEx>
          <w:tblCellMar>
            <w:top w:w="0" w:type="dxa"/>
            <w:left w:w="0" w:type="dxa"/>
            <w:bottom w:w="0" w:type="dxa"/>
            <w:right w:w="0" w:type="dxa"/>
          </w:tblCellMar>
        </w:tblPrEx>
        <w:trPr>
          <w:trHeight w:val="422"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E4E3CEB">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1.2.3</w:t>
            </w:r>
          </w:p>
        </w:tc>
        <w:tc>
          <w:tcPr>
            <w:tcW w:w="1265" w:type="pct"/>
            <w:tcBorders>
              <w:top w:val="single" w:color="auto" w:sz="4" w:space="0"/>
              <w:left w:val="single" w:color="auto" w:sz="4" w:space="0"/>
              <w:bottom w:val="single" w:color="auto" w:sz="4" w:space="0"/>
              <w:right w:val="single" w:color="auto" w:sz="4" w:space="0"/>
            </w:tcBorders>
            <w:vAlign w:val="center"/>
          </w:tcPr>
          <w:p w14:paraId="7984A965">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资金落实情况</w:t>
            </w:r>
          </w:p>
        </w:tc>
        <w:tc>
          <w:tcPr>
            <w:tcW w:w="3264" w:type="pct"/>
            <w:tcBorders>
              <w:top w:val="single" w:color="auto" w:sz="4" w:space="0"/>
              <w:left w:val="single" w:color="auto" w:sz="4" w:space="0"/>
              <w:bottom w:val="single" w:color="auto" w:sz="4" w:space="0"/>
              <w:right w:val="single" w:color="auto" w:sz="4" w:space="0"/>
            </w:tcBorders>
            <w:vAlign w:val="center"/>
          </w:tcPr>
          <w:p w14:paraId="26E71E10">
            <w:pPr>
              <w:spacing w:before="120" w:beforeLines="50"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已落实。</w:t>
            </w:r>
          </w:p>
        </w:tc>
      </w:tr>
      <w:tr w14:paraId="52D383BB">
        <w:tblPrEx>
          <w:tblCellMar>
            <w:top w:w="0" w:type="dxa"/>
            <w:left w:w="0" w:type="dxa"/>
            <w:bottom w:w="0" w:type="dxa"/>
            <w:right w:w="0" w:type="dxa"/>
          </w:tblCellMar>
        </w:tblPrEx>
        <w:trPr>
          <w:trHeight w:val="5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505EAC92">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1.3.1</w:t>
            </w:r>
          </w:p>
        </w:tc>
        <w:tc>
          <w:tcPr>
            <w:tcW w:w="1265" w:type="pct"/>
            <w:tcBorders>
              <w:top w:val="single" w:color="auto" w:sz="4" w:space="0"/>
              <w:left w:val="single" w:color="auto" w:sz="4" w:space="0"/>
              <w:bottom w:val="single" w:color="auto" w:sz="4" w:space="0"/>
              <w:right w:val="single" w:color="auto" w:sz="4" w:space="0"/>
            </w:tcBorders>
            <w:vAlign w:val="center"/>
          </w:tcPr>
          <w:p w14:paraId="57ACE913">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采购内容</w:t>
            </w:r>
          </w:p>
        </w:tc>
        <w:tc>
          <w:tcPr>
            <w:tcW w:w="3264" w:type="pct"/>
            <w:tcBorders>
              <w:top w:val="single" w:color="auto" w:sz="4" w:space="0"/>
              <w:left w:val="single" w:color="auto" w:sz="4" w:space="0"/>
              <w:bottom w:val="single" w:color="auto" w:sz="4" w:space="0"/>
              <w:right w:val="single" w:color="auto" w:sz="4" w:space="0"/>
            </w:tcBorders>
            <w:vAlign w:val="center"/>
          </w:tcPr>
          <w:p w14:paraId="491DE1F0">
            <w:pPr>
              <w:spacing w:before="120" w:beforeLines="50" w:line="360" w:lineRule="auto"/>
              <w:ind w:left="105" w:leftChars="50" w:right="105" w:rightChars="50"/>
              <w:rPr>
                <w:rFonts w:ascii="宋体" w:hAnsi="宋体"/>
                <w:szCs w:val="21"/>
              </w:rPr>
            </w:pPr>
            <w:r>
              <w:rPr>
                <w:rFonts w:hint="eastAsia" w:ascii="宋体" w:hAnsi="宋体"/>
                <w:szCs w:val="21"/>
              </w:rPr>
              <w:t>详见招标文件第一章《招标公告》，具体要求等详见本招标文件第五章《采购需求》</w:t>
            </w:r>
          </w:p>
        </w:tc>
      </w:tr>
      <w:tr w14:paraId="1FEDB23C">
        <w:tblPrEx>
          <w:tblCellMar>
            <w:top w:w="0" w:type="dxa"/>
            <w:left w:w="0" w:type="dxa"/>
            <w:bottom w:w="0" w:type="dxa"/>
            <w:right w:w="0" w:type="dxa"/>
          </w:tblCellMar>
        </w:tblPrEx>
        <w:trPr>
          <w:trHeight w:val="442"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49F60B7">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r>
              <w:rPr>
                <w:rFonts w:asciiTheme="minorEastAsia" w:hAnsiTheme="minorEastAsia" w:eastAsiaTheme="minorEastAsia"/>
                <w:szCs w:val="21"/>
              </w:rPr>
              <w:t>2</w:t>
            </w:r>
          </w:p>
        </w:tc>
        <w:tc>
          <w:tcPr>
            <w:tcW w:w="1265" w:type="pct"/>
            <w:tcBorders>
              <w:top w:val="single" w:color="auto" w:sz="4" w:space="0"/>
              <w:left w:val="single" w:color="auto" w:sz="4" w:space="0"/>
              <w:bottom w:val="single" w:color="auto" w:sz="4" w:space="0"/>
              <w:right w:val="single" w:color="auto" w:sz="4" w:space="0"/>
            </w:tcBorders>
            <w:vAlign w:val="center"/>
          </w:tcPr>
          <w:p w14:paraId="7EE54FF4">
            <w:pPr>
              <w:pStyle w:val="149"/>
              <w:spacing w:before="120" w:beforeLines="50" w:line="360" w:lineRule="auto"/>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合同履行期限（交货期）</w:t>
            </w:r>
          </w:p>
        </w:tc>
        <w:tc>
          <w:tcPr>
            <w:tcW w:w="3264" w:type="pct"/>
            <w:tcBorders>
              <w:top w:val="single" w:color="auto" w:sz="4" w:space="0"/>
              <w:left w:val="single" w:color="auto" w:sz="4" w:space="0"/>
              <w:bottom w:val="single" w:color="auto" w:sz="4" w:space="0"/>
              <w:right w:val="single" w:color="auto" w:sz="4" w:space="0"/>
            </w:tcBorders>
            <w:vAlign w:val="center"/>
          </w:tcPr>
          <w:p w14:paraId="70B8093A">
            <w:pPr>
              <w:spacing w:before="120" w:beforeLines="50"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合同签订后</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日内完成供货。如遇不可抗力影响，交货时间可由双方协商后推延。</w:t>
            </w:r>
          </w:p>
        </w:tc>
      </w:tr>
      <w:tr w14:paraId="5D74F683">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F5E17F7">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r>
              <w:rPr>
                <w:rFonts w:asciiTheme="minorEastAsia" w:hAnsiTheme="minorEastAsia" w:eastAsiaTheme="minorEastAsia"/>
                <w:szCs w:val="21"/>
              </w:rPr>
              <w:t>3</w:t>
            </w:r>
          </w:p>
        </w:tc>
        <w:tc>
          <w:tcPr>
            <w:tcW w:w="1265" w:type="pct"/>
            <w:tcBorders>
              <w:top w:val="single" w:color="auto" w:sz="4" w:space="0"/>
              <w:left w:val="single" w:color="auto" w:sz="4" w:space="0"/>
              <w:bottom w:val="single" w:color="auto" w:sz="4" w:space="0"/>
              <w:right w:val="single" w:color="auto" w:sz="4" w:space="0"/>
            </w:tcBorders>
            <w:vAlign w:val="center"/>
          </w:tcPr>
          <w:p w14:paraId="4DA29DA1">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质量要求</w:t>
            </w:r>
          </w:p>
        </w:tc>
        <w:tc>
          <w:tcPr>
            <w:tcW w:w="3264" w:type="pct"/>
            <w:tcBorders>
              <w:top w:val="single" w:color="auto" w:sz="4" w:space="0"/>
              <w:left w:val="single" w:color="auto" w:sz="4" w:space="0"/>
              <w:bottom w:val="single" w:color="auto" w:sz="4" w:space="0"/>
              <w:right w:val="single" w:color="auto" w:sz="4" w:space="0"/>
            </w:tcBorders>
            <w:vAlign w:val="center"/>
          </w:tcPr>
          <w:p w14:paraId="4D4E0853">
            <w:pPr>
              <w:pStyle w:val="6"/>
              <w:spacing w:before="120" w:beforeLines="50" w:line="360" w:lineRule="auto"/>
              <w:ind w:left="0" w:leftChars="0" w:right="105" w:rightChars="50" w:firstLine="0" w:firstLineChars="0"/>
              <w:rPr>
                <w:rFonts w:asciiTheme="minorEastAsia" w:hAnsiTheme="minorEastAsia" w:eastAsiaTheme="minorEastAsia"/>
                <w:szCs w:val="21"/>
              </w:rPr>
            </w:pPr>
            <w:r>
              <w:rPr>
                <w:rFonts w:hint="eastAsia" w:ascii="宋体" w:hAnsi="宋体"/>
                <w:szCs w:val="21"/>
                <w:highlight w:val="none"/>
              </w:rPr>
              <w:t>满足国家、行业、招标文件要求</w:t>
            </w:r>
            <w:r>
              <w:rPr>
                <w:rFonts w:hint="eastAsia" w:ascii="宋体" w:hAnsi="宋体"/>
                <w:szCs w:val="21"/>
                <w:highlight w:val="none"/>
                <w:lang w:eastAsia="zh-CN"/>
              </w:rPr>
              <w:t>，</w:t>
            </w:r>
            <w:r>
              <w:rPr>
                <w:rFonts w:hint="eastAsia" w:ascii="宋体" w:hAnsi="宋体"/>
                <w:highlight w:val="none"/>
                <w:lang w:val="en-US" w:eastAsia="zh-CN"/>
              </w:rPr>
              <w:t>所</w:t>
            </w:r>
            <w:r>
              <w:rPr>
                <w:rFonts w:hint="eastAsia" w:ascii="宋体" w:hAnsi="宋体"/>
                <w:highlight w:val="none"/>
              </w:rPr>
              <w:t>提供的产品必须是全新合格正品，</w:t>
            </w:r>
            <w:r>
              <w:rPr>
                <w:rFonts w:hint="eastAsia" w:ascii="宋体" w:hAnsi="宋体"/>
                <w:highlight w:val="none"/>
                <w:lang w:val="en-US" w:eastAsia="zh-CN"/>
              </w:rPr>
              <w:t>具有质检报告，</w:t>
            </w:r>
            <w:r>
              <w:rPr>
                <w:rFonts w:hint="eastAsia" w:ascii="宋体" w:hAnsi="宋体"/>
                <w:highlight w:val="none"/>
              </w:rPr>
              <w:t>满足采购人要求，一次性验收合格</w:t>
            </w:r>
            <w:r>
              <w:rPr>
                <w:rFonts w:hint="eastAsia" w:ascii="宋体" w:hAnsi="宋体" w:cs="宋体"/>
                <w:szCs w:val="21"/>
                <w:highlight w:val="none"/>
              </w:rPr>
              <w:t>。</w:t>
            </w:r>
          </w:p>
        </w:tc>
      </w:tr>
      <w:tr w14:paraId="7EE8F59A">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11BDD03">
            <w:pPr>
              <w:wordWrap w:val="0"/>
              <w:autoSpaceDE w:val="0"/>
              <w:autoSpaceDN w:val="0"/>
              <w:spacing w:after="100" w:afterAutospacing="1"/>
              <w:contextualSpacing/>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r>
              <w:rPr>
                <w:rFonts w:hint="eastAsia" w:asciiTheme="minorEastAsia" w:hAnsiTheme="minorEastAsia" w:eastAsiaTheme="minorEastAsia"/>
                <w:szCs w:val="21"/>
              </w:rPr>
              <w:t>4</w:t>
            </w:r>
          </w:p>
        </w:tc>
        <w:tc>
          <w:tcPr>
            <w:tcW w:w="1265" w:type="pct"/>
            <w:tcBorders>
              <w:top w:val="single" w:color="auto" w:sz="4" w:space="0"/>
              <w:left w:val="single" w:color="auto" w:sz="4" w:space="0"/>
              <w:bottom w:val="single" w:color="auto" w:sz="4" w:space="0"/>
              <w:right w:val="single" w:color="auto" w:sz="4" w:space="0"/>
            </w:tcBorders>
            <w:vAlign w:val="center"/>
          </w:tcPr>
          <w:p w14:paraId="5D10E6AF">
            <w:pPr>
              <w:wordWrap w:val="0"/>
              <w:autoSpaceDE w:val="0"/>
              <w:autoSpaceDN w:val="0"/>
              <w:spacing w:after="100" w:afterAutospacing="1"/>
              <w:contextualSpacing/>
              <w:jc w:val="center"/>
              <w:rPr>
                <w:rFonts w:asciiTheme="minorEastAsia" w:hAnsiTheme="minorEastAsia" w:eastAsiaTheme="minorEastAsia"/>
                <w:szCs w:val="21"/>
              </w:rPr>
            </w:pPr>
            <w:r>
              <w:rPr>
                <w:rFonts w:hint="eastAsia" w:ascii="宋体" w:hAnsi="宋体"/>
              </w:rPr>
              <w:t>是否接受进口产品</w:t>
            </w:r>
          </w:p>
        </w:tc>
        <w:tc>
          <w:tcPr>
            <w:tcW w:w="3264" w:type="pct"/>
            <w:tcBorders>
              <w:top w:val="single" w:color="auto" w:sz="4" w:space="0"/>
              <w:left w:val="single" w:color="auto" w:sz="4" w:space="0"/>
              <w:bottom w:val="single" w:color="auto" w:sz="4" w:space="0"/>
              <w:right w:val="single" w:color="auto" w:sz="4" w:space="0"/>
            </w:tcBorders>
            <w:vAlign w:val="center"/>
          </w:tcPr>
          <w:p w14:paraId="70E84DE4">
            <w:pPr>
              <w:spacing w:before="120" w:beforeLines="50" w:line="360" w:lineRule="auto"/>
              <w:ind w:left="105" w:leftChars="50" w:right="105" w:rightChars="50"/>
              <w:rPr>
                <w:rFonts w:ascii="宋体" w:hAnsi="宋体"/>
              </w:rPr>
            </w:pPr>
            <w:r>
              <w:rPr>
                <w:rFonts w:hint="eastAsia" w:ascii="宋体" w:hAnsi="宋体"/>
              </w:rPr>
              <w:t>不接受。</w:t>
            </w:r>
          </w:p>
          <w:p w14:paraId="05F21391">
            <w:pPr>
              <w:spacing w:line="360" w:lineRule="auto"/>
              <w:ind w:left="105" w:leftChars="50" w:right="105" w:rightChars="50"/>
              <w:rPr>
                <w:rFonts w:ascii="宋体" w:hAnsi="宋体" w:cs="宋体" w:eastAsiaTheme="minorEastAsia"/>
              </w:rPr>
            </w:pPr>
            <w:r>
              <w:rPr>
                <w:rFonts w:hint="eastAsia" w:ascii="宋体" w:hAnsi="宋体"/>
              </w:rPr>
              <w:t>注：</w:t>
            </w:r>
            <w:r>
              <w:rPr>
                <w:rFonts w:hint="eastAsia" w:ascii="宋体" w:hAnsi="宋体"/>
                <w:szCs w:val="21"/>
              </w:rPr>
              <w:t>进口产品是指通过中国海关报关验放进入中国境内且产自关境外的产品。</w:t>
            </w:r>
          </w:p>
        </w:tc>
      </w:tr>
      <w:tr w14:paraId="540F95A6">
        <w:tblPrEx>
          <w:tblCellMar>
            <w:top w:w="0" w:type="dxa"/>
            <w:left w:w="0" w:type="dxa"/>
            <w:bottom w:w="0" w:type="dxa"/>
            <w:right w:w="0" w:type="dxa"/>
          </w:tblCellMar>
        </w:tblPrEx>
        <w:trPr>
          <w:trHeight w:val="469"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388377DC">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1.3.6</w:t>
            </w:r>
          </w:p>
        </w:tc>
        <w:tc>
          <w:tcPr>
            <w:tcW w:w="1265" w:type="pct"/>
            <w:tcBorders>
              <w:top w:val="single" w:color="auto" w:sz="4" w:space="0"/>
              <w:left w:val="single" w:color="auto" w:sz="4" w:space="0"/>
              <w:bottom w:val="single" w:color="auto" w:sz="4" w:space="0"/>
              <w:right w:val="single" w:color="auto" w:sz="4" w:space="0"/>
            </w:tcBorders>
            <w:vAlign w:val="center"/>
          </w:tcPr>
          <w:p w14:paraId="6F47CA68">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包件划分</w:t>
            </w:r>
          </w:p>
        </w:tc>
        <w:tc>
          <w:tcPr>
            <w:tcW w:w="3264" w:type="pct"/>
            <w:tcBorders>
              <w:top w:val="single" w:color="auto" w:sz="4" w:space="0"/>
              <w:left w:val="single" w:color="auto" w:sz="4" w:space="0"/>
              <w:bottom w:val="single" w:color="auto" w:sz="4" w:space="0"/>
              <w:right w:val="single" w:color="auto" w:sz="4" w:space="0"/>
            </w:tcBorders>
            <w:vAlign w:val="center"/>
          </w:tcPr>
          <w:p w14:paraId="2554ADB9">
            <w:pPr>
              <w:spacing w:before="120" w:beforeLines="50" w:line="360" w:lineRule="auto"/>
              <w:ind w:left="105" w:leftChars="50"/>
              <w:rPr>
                <w:rFonts w:asciiTheme="minorEastAsia" w:hAnsiTheme="minorEastAsia" w:eastAsiaTheme="minorEastAsia"/>
                <w:szCs w:val="21"/>
              </w:rPr>
            </w:pPr>
            <w:r>
              <w:rPr>
                <w:rFonts w:hint="eastAsia" w:ascii="宋体" w:hAnsi="宋体"/>
              </w:rPr>
              <w:t>本项目不划分包件。</w:t>
            </w:r>
          </w:p>
        </w:tc>
      </w:tr>
      <w:tr w14:paraId="590CD943">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3806B7D5">
            <w:pPr>
              <w:wordWrap w:val="0"/>
              <w:autoSpaceDE w:val="0"/>
              <w:autoSpaceDN w:val="0"/>
              <w:spacing w:after="100" w:afterAutospacing="1"/>
              <w:contextualSpacing/>
              <w:jc w:val="center"/>
              <w:rPr>
                <w:rFonts w:asciiTheme="minorEastAsia" w:hAnsiTheme="minorEastAsia" w:eastAsiaTheme="minorEastAsia"/>
                <w:szCs w:val="21"/>
              </w:rPr>
            </w:pPr>
            <w:r>
              <w:rPr>
                <w:rFonts w:hint="eastAsia" w:asciiTheme="minorEastAsia" w:hAnsiTheme="minorEastAsia" w:eastAsiaTheme="minorEastAsia"/>
                <w:szCs w:val="21"/>
              </w:rPr>
              <w:t>1.4.1</w:t>
            </w:r>
          </w:p>
        </w:tc>
        <w:tc>
          <w:tcPr>
            <w:tcW w:w="1265" w:type="pct"/>
            <w:tcBorders>
              <w:top w:val="single" w:color="auto" w:sz="4" w:space="0"/>
              <w:left w:val="single" w:color="auto" w:sz="4" w:space="0"/>
              <w:bottom w:val="single" w:color="auto" w:sz="4" w:space="0"/>
              <w:right w:val="single" w:color="auto" w:sz="4" w:space="0"/>
            </w:tcBorders>
            <w:vAlign w:val="center"/>
          </w:tcPr>
          <w:p w14:paraId="5FEEA0B7">
            <w:pPr>
              <w:wordWrap w:val="0"/>
              <w:autoSpaceDE w:val="0"/>
              <w:autoSpaceDN w:val="0"/>
              <w:spacing w:after="100" w:afterAutospacing="1"/>
              <w:contextualSpacing/>
              <w:jc w:val="center"/>
              <w:rPr>
                <w:rFonts w:asciiTheme="minorEastAsia" w:hAnsiTheme="minorEastAsia" w:eastAsiaTheme="minorEastAsia"/>
                <w:szCs w:val="21"/>
              </w:rPr>
            </w:pPr>
            <w:r>
              <w:rPr>
                <w:rFonts w:hint="eastAsia" w:asciiTheme="minorEastAsia" w:hAnsiTheme="minorEastAsia" w:eastAsiaTheme="minorEastAsia"/>
                <w:szCs w:val="21"/>
              </w:rPr>
              <w:t>投标人资格要求</w:t>
            </w:r>
          </w:p>
        </w:tc>
        <w:tc>
          <w:tcPr>
            <w:tcW w:w="3264" w:type="pct"/>
            <w:tcBorders>
              <w:top w:val="single" w:color="auto" w:sz="4" w:space="0"/>
              <w:left w:val="single" w:color="auto" w:sz="4" w:space="0"/>
              <w:bottom w:val="single" w:color="auto" w:sz="4" w:space="0"/>
              <w:right w:val="single" w:color="auto" w:sz="4" w:space="0"/>
            </w:tcBorders>
            <w:vAlign w:val="center"/>
          </w:tcPr>
          <w:p w14:paraId="656AA72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54F54D5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1.1具有独立承担民事责任的能力：投标人须在中华人民共和国境内注册，具有独立承担民事责任的能力，具备企业（事业）单位法人或其他组织或自然人资格，提供营业执照或其他类似法定凭证，自然人提供有效的身份证。</w:t>
            </w:r>
          </w:p>
          <w:p w14:paraId="1C826A5D">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1.2具有良好的商业信誉和健全的财务会计制度</w:t>
            </w:r>
            <w:r>
              <w:rPr>
                <w:rFonts w:hint="eastAsia" w:asciiTheme="minorEastAsia" w:hAnsiTheme="minorEastAsia" w:eastAsiaTheme="minorEastAsia"/>
                <w:szCs w:val="21"/>
                <w:lang w:eastAsia="zh-CN"/>
              </w:rPr>
              <w:t>：</w:t>
            </w:r>
          </w:p>
          <w:p w14:paraId="3B63521C">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1.2.1具有良好的商业信誉</w:t>
            </w:r>
            <w:r>
              <w:rPr>
                <w:rFonts w:hint="eastAsia" w:asciiTheme="minorEastAsia" w:hAnsiTheme="minorEastAsia" w:eastAsiaTheme="minorEastAsia"/>
                <w:szCs w:val="21"/>
                <w:lang w:eastAsia="zh-CN"/>
              </w:rPr>
              <w:t>：①查询渠道：</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信用中国</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网站</w:t>
            </w:r>
            <w:r>
              <w:rPr>
                <w:rFonts w:hint="eastAsia" w:asciiTheme="minorEastAsia" w:hAnsiTheme="minorEastAsia" w:eastAsiaTheme="minorEastAsia"/>
                <w:szCs w:val="21"/>
              </w:rPr>
              <w:t>（www.creditchina.gov.cn）</w:t>
            </w:r>
            <w:r>
              <w:rPr>
                <w:rFonts w:hint="eastAsia" w:asciiTheme="minorEastAsia" w:hAnsiTheme="minorEastAsia" w:eastAsiaTheme="minorEastAsia"/>
                <w:szCs w:val="21"/>
                <w:lang w:eastAsia="zh-CN"/>
              </w:rPr>
              <w:t>和“中国政府采购”网</w:t>
            </w:r>
            <w:r>
              <w:rPr>
                <w:rFonts w:hint="eastAsia" w:asciiTheme="minorEastAsia" w:hAnsiTheme="minorEastAsia" w:eastAsiaTheme="minorEastAsia"/>
                <w:szCs w:val="21"/>
                <w:lang w:val="en-US" w:eastAsia="zh-CN"/>
              </w:rPr>
              <w:t>站</w:t>
            </w:r>
            <w:r>
              <w:rPr>
                <w:rFonts w:hint="eastAsia" w:asciiTheme="minorEastAsia" w:hAnsiTheme="minorEastAsia" w:eastAsiaTheme="minorEastAsia"/>
                <w:szCs w:val="21"/>
              </w:rPr>
              <w:t>（www.ccgp.gov.cn）</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②</w:t>
            </w:r>
            <w:r>
              <w:rPr>
                <w:rFonts w:hint="eastAsia" w:asciiTheme="minorEastAsia" w:hAnsiTheme="minorEastAsia" w:eastAsiaTheme="minorEastAsia"/>
                <w:szCs w:val="21"/>
                <w:lang w:eastAsia="zh-CN"/>
              </w:rPr>
              <w:t>截止时点：采购人或采购代理机构的实际查询时间</w:t>
            </w:r>
            <w:r>
              <w:rPr>
                <w:rFonts w:hint="eastAsia" w:asciiTheme="minorEastAsia" w:hAnsiTheme="minorEastAsia" w:eastAsiaTheme="minorEastAsia"/>
                <w:szCs w:val="21"/>
                <w:lang w:val="en-US" w:eastAsia="zh-CN"/>
              </w:rPr>
              <w:t>为</w:t>
            </w:r>
            <w:r>
              <w:rPr>
                <w:rFonts w:hint="eastAsia" w:asciiTheme="minorEastAsia" w:hAnsiTheme="minorEastAsia" w:eastAsiaTheme="minorEastAsia"/>
                <w:szCs w:val="21"/>
                <w:lang w:eastAsia="zh-CN"/>
              </w:rPr>
              <w:t>投标截止时间以后、资格审查阶段；</w:t>
            </w:r>
            <w:r>
              <w:rPr>
                <w:rFonts w:hint="eastAsia" w:asciiTheme="minorEastAsia" w:hAnsiTheme="minorEastAsia" w:eastAsiaTheme="minorEastAsia"/>
                <w:szCs w:val="21"/>
              </w:rPr>
              <w:t>③</w:t>
            </w:r>
            <w:r>
              <w:rPr>
                <w:rFonts w:hint="eastAsia" w:asciiTheme="minorEastAsia" w:hAnsiTheme="minorEastAsia" w:eastAsiaTheme="minorEastAsia"/>
                <w:szCs w:val="21"/>
                <w:lang w:val="en-US" w:eastAsia="zh-CN"/>
              </w:rPr>
              <w:t>信用信息查询记录和证据留存具体方式：查询结果网页打印页作为查询记录和证据，与其他采购文件一并保存；④</w:t>
            </w:r>
            <w:r>
              <w:rPr>
                <w:rFonts w:hint="eastAsia" w:asciiTheme="minorEastAsia" w:hAnsiTheme="minorEastAsia" w:eastAsiaTheme="minorEastAsia"/>
                <w:szCs w:val="21"/>
                <w:lang w:eastAsia="zh-CN"/>
              </w:rPr>
              <w:t>信用信息的使用原则：经认定被列入失信被执行人、重大税收违法案件当事人名单、政府采购严重违法失信行为记录名单的投标人，其投标无效。</w:t>
            </w:r>
            <w:r>
              <w:rPr>
                <w:rFonts w:hint="eastAsia" w:asciiTheme="minorEastAsia" w:hAnsiTheme="minorEastAsia" w:eastAsiaTheme="minorEastAsia"/>
                <w:szCs w:val="21"/>
              </w:rPr>
              <w:t>（此部分不需要</w:t>
            </w:r>
            <w:r>
              <w:rPr>
                <w:rFonts w:hint="eastAsia" w:asciiTheme="minorEastAsia" w:hAnsiTheme="minorEastAsia" w:eastAsiaTheme="minorEastAsia"/>
                <w:szCs w:val="21"/>
                <w:lang w:val="en-US" w:eastAsia="zh-CN"/>
              </w:rPr>
              <w:t>投标人</w:t>
            </w:r>
            <w:r>
              <w:rPr>
                <w:rFonts w:hint="eastAsia" w:asciiTheme="minorEastAsia" w:hAnsiTheme="minorEastAsia" w:eastAsiaTheme="minorEastAsia"/>
                <w:szCs w:val="21"/>
              </w:rPr>
              <w:t>提供证明材料）</w:t>
            </w:r>
          </w:p>
          <w:p w14:paraId="5E80D853">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1.2.2具有健全的财务会计制度</w:t>
            </w:r>
            <w:r>
              <w:rPr>
                <w:rFonts w:hint="eastAsia" w:asciiTheme="minorEastAsia" w:hAnsiTheme="minorEastAsia" w:eastAsiaTheme="minorEastAsia"/>
                <w:szCs w:val="21"/>
                <w:lang w:eastAsia="zh-CN"/>
              </w:rPr>
              <w:t>：</w:t>
            </w:r>
          </w:p>
          <w:p w14:paraId="1B82686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①投标人须提供</w:t>
            </w:r>
            <w:r>
              <w:rPr>
                <w:rFonts w:hint="eastAsia" w:ascii="宋体" w:hAnsi="宋体" w:cs="宋体"/>
                <w:color w:val="auto"/>
                <w:kern w:val="0"/>
                <w:szCs w:val="21"/>
                <w:highlight w:val="none"/>
                <w:lang w:val="en-US" w:eastAsia="zh-CN"/>
              </w:rPr>
              <w:t>2023年至</w:t>
            </w:r>
            <w:r>
              <w:rPr>
                <w:rFonts w:hint="eastAsia" w:ascii="宋体" w:hAnsi="宋体" w:cs="宋体"/>
                <w:color w:val="auto"/>
                <w:szCs w:val="21"/>
                <w:highlight w:val="none"/>
                <w:lang w:val="en-US" w:eastAsia="zh-CN" w:bidi="ar"/>
              </w:rPr>
              <w:t>2025</w:t>
            </w:r>
            <w:r>
              <w:rPr>
                <w:rFonts w:hint="eastAsia" w:ascii="宋体" w:hAnsi="宋体" w:cs="宋体"/>
                <w:color w:val="auto"/>
                <w:szCs w:val="21"/>
                <w:highlight w:val="none"/>
                <w:lang w:bidi="ar"/>
              </w:rPr>
              <w:t>年度</w:t>
            </w:r>
            <w:r>
              <w:rPr>
                <w:rFonts w:hint="eastAsia" w:ascii="宋体" w:hAnsi="宋体" w:cs="宋体"/>
                <w:color w:val="auto"/>
                <w:szCs w:val="21"/>
                <w:highlight w:val="none"/>
                <w:lang w:val="en-US" w:eastAsia="zh-CN" w:bidi="ar"/>
              </w:rPr>
              <w:t>任意一</w:t>
            </w:r>
            <w:r>
              <w:rPr>
                <w:rFonts w:hint="eastAsia" w:asciiTheme="minorEastAsia" w:hAnsiTheme="minorEastAsia" w:eastAsiaTheme="minorEastAsia"/>
                <w:szCs w:val="21"/>
              </w:rPr>
              <w:t>年经审计的财务会计报告及报表资料（至少包括：财务审计报告、资产负债表、利润表、现金流量表）；</w:t>
            </w:r>
            <w:r>
              <w:rPr>
                <w:rFonts w:hint="eastAsia" w:asciiTheme="minorEastAsia" w:hAnsiTheme="minorEastAsia" w:eastAsiaTheme="minorEastAsia"/>
                <w:szCs w:val="21"/>
                <w:lang w:eastAsia="zh-CN"/>
              </w:rPr>
              <w:t>事业单位</w:t>
            </w:r>
            <w:r>
              <w:rPr>
                <w:rFonts w:hint="eastAsia" w:asciiTheme="minorEastAsia" w:hAnsiTheme="minorEastAsia" w:eastAsiaTheme="minorEastAsia"/>
                <w:szCs w:val="21"/>
                <w:lang w:val="en-US" w:eastAsia="zh-CN"/>
              </w:rPr>
              <w:t>可</w:t>
            </w:r>
            <w:r>
              <w:rPr>
                <w:rFonts w:hint="eastAsia" w:asciiTheme="minorEastAsia" w:hAnsiTheme="minorEastAsia" w:eastAsiaTheme="minorEastAsia"/>
                <w:szCs w:val="21"/>
                <w:lang w:eastAsia="zh-CN"/>
              </w:rPr>
              <w:t>提供</w:t>
            </w:r>
            <w:r>
              <w:rPr>
                <w:rFonts w:hint="eastAsia" w:asciiTheme="minorEastAsia" w:hAnsiTheme="minorEastAsia" w:eastAsiaTheme="minorEastAsia"/>
                <w:szCs w:val="21"/>
                <w:lang w:val="en-US" w:eastAsia="zh-CN"/>
              </w:rPr>
              <w:t>内部财务报表；新成立企业，</w:t>
            </w:r>
            <w:r>
              <w:rPr>
                <w:rFonts w:asciiTheme="minorEastAsia" w:hAnsiTheme="minorEastAsia" w:eastAsiaTheme="minorEastAsia"/>
                <w:szCs w:val="21"/>
              </w:rPr>
              <w:t>若成立</w:t>
            </w:r>
            <w:r>
              <w:rPr>
                <w:rFonts w:hint="eastAsia" w:asciiTheme="minorEastAsia" w:hAnsiTheme="minorEastAsia" w:eastAsiaTheme="minorEastAsia"/>
                <w:szCs w:val="21"/>
              </w:rPr>
              <w:t>时间至本项目提交投标文件截止</w:t>
            </w:r>
            <w:r>
              <w:rPr>
                <w:rFonts w:hint="eastAsia" w:asciiTheme="minorEastAsia" w:hAnsiTheme="minorEastAsia" w:eastAsiaTheme="minorEastAsia"/>
                <w:szCs w:val="21"/>
                <w:lang w:eastAsia="zh-CN"/>
              </w:rPr>
              <w:t>时间不满1年的可提供成立至今的财务报表。</w:t>
            </w:r>
            <w:r>
              <w:rPr>
                <w:rFonts w:asciiTheme="minorEastAsia" w:hAnsiTheme="minorEastAsia" w:eastAsiaTheme="minorEastAsia"/>
                <w:szCs w:val="21"/>
              </w:rPr>
              <w:t xml:space="preserve"> </w:t>
            </w:r>
          </w:p>
          <w:p w14:paraId="76ABCE1A">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②投标人须提供在</w:t>
            </w:r>
            <w:r>
              <w:rPr>
                <w:rFonts w:asciiTheme="minorEastAsia" w:hAnsiTheme="minorEastAsia" w:eastAsiaTheme="minorEastAsia"/>
                <w:szCs w:val="21"/>
              </w:rPr>
              <w:t>提交投标文件截止时间</w:t>
            </w:r>
            <w:r>
              <w:rPr>
                <w:rFonts w:hint="eastAsia" w:asciiTheme="minorEastAsia" w:hAnsiTheme="minorEastAsia" w:eastAsiaTheme="minorEastAsia"/>
                <w:szCs w:val="21"/>
              </w:rPr>
              <w:t>前三个月内银行开具的资信证明；（银行出具的资信证明无需针对本项目或本项目</w:t>
            </w:r>
            <w:r>
              <w:rPr>
                <w:rFonts w:hint="eastAsia" w:asciiTheme="minorEastAsia" w:hAnsiTheme="minorEastAsia" w:eastAsiaTheme="minorEastAsia"/>
                <w:szCs w:val="21"/>
                <w:lang w:val="en-US" w:eastAsia="zh-CN"/>
              </w:rPr>
              <w:t>采购人</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p>
          <w:p w14:paraId="0B2BE2D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③投标人须提供财政部门认可的政府采购专业担保机构对投标人进行资信审查后出具的投标担保函。</w:t>
            </w:r>
          </w:p>
          <w:p w14:paraId="6E9A800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备注：以上①-③项证明材料具有同等效力，投标人可根据自身情况提供上述任意一种证明材料。</w:t>
            </w:r>
          </w:p>
          <w:p w14:paraId="305AA3F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1.3具有履行合同所必需的设备和专业技术能力：提供具备履行合同所必需的设备和专业技术能力的证明材料或承诺。</w:t>
            </w:r>
          </w:p>
          <w:p w14:paraId="4A10F24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1.4具有依法缴纳税收和社会保障资金的良好记录：提供2025年1月至今任意</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个月依法缴纳税收（提供缴纳增值税或企业所得税的凭据）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p w14:paraId="68817A1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1.5参与本次政府采购活动前三年内，投标人参加政府采购活动前三年内，在经营活动中没有重大违法记录（重大违法记录，是指投标人因违法经营受到刑事处罚或者责令停产停业、吊销许可证或者执照、较大数额罚款等行政处罚）</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提供</w:t>
            </w:r>
            <w:r>
              <w:rPr>
                <w:rFonts w:hint="eastAsia" w:asciiTheme="minorEastAsia" w:hAnsiTheme="minorEastAsia" w:eastAsiaTheme="minorEastAsia"/>
                <w:szCs w:val="21"/>
              </w:rPr>
              <w:t>承诺</w:t>
            </w:r>
            <w:r>
              <w:rPr>
                <w:rFonts w:hint="eastAsia" w:asciiTheme="minorEastAsia" w:hAnsiTheme="minorEastAsia" w:eastAsiaTheme="minorEastAsia"/>
                <w:szCs w:val="21"/>
                <w:lang w:val="en-US" w:eastAsia="zh-CN"/>
              </w:rPr>
              <w:t>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p>
          <w:p w14:paraId="08D8BC0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1.6法律、行政法规规定的其他条件。</w:t>
            </w:r>
          </w:p>
          <w:p w14:paraId="315B68B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1.6.1单位负责人为同一人或者存在直接控股、管理关系的不同投标人，不得参加同一合同项下的政府采购活动</w:t>
            </w:r>
            <w:r>
              <w:rPr>
                <w:rFonts w:hint="eastAsia" w:asciiTheme="minorEastAsia" w:hAnsiTheme="minorEastAsia" w:eastAsiaTheme="minorEastAsia"/>
                <w:szCs w:val="21"/>
                <w:lang w:val="en-US" w:eastAsia="zh-CN"/>
              </w:rPr>
              <w:t>（提供投标人关联企业情况声明）。</w:t>
            </w:r>
          </w:p>
          <w:p w14:paraId="04701248">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1.6.2为采购项目提供整体设计、规范编制或者项目管理、 监理、检测等服务的投标人，不得再参加该采购项目的其他采购活动（提供</w:t>
            </w:r>
            <w:r>
              <w:rPr>
                <w:rFonts w:hint="eastAsia" w:asciiTheme="minorEastAsia" w:hAnsiTheme="minorEastAsia" w:eastAsiaTheme="minorEastAsia"/>
                <w:szCs w:val="21"/>
              </w:rPr>
              <w:t>承诺</w:t>
            </w:r>
            <w:r>
              <w:rPr>
                <w:rFonts w:hint="eastAsia" w:asciiTheme="minorEastAsia" w:hAnsiTheme="minorEastAsia" w:eastAsiaTheme="minorEastAsia"/>
                <w:szCs w:val="21"/>
                <w:lang w:val="en-US" w:eastAsia="zh-CN"/>
              </w:rPr>
              <w:t>书）。</w:t>
            </w:r>
          </w:p>
          <w:p w14:paraId="6C16816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落实政府采购政策需满足的资格要求：</w:t>
            </w:r>
            <w:r>
              <w:rPr>
                <w:rFonts w:hint="eastAsia" w:asciiTheme="minorEastAsia" w:hAnsiTheme="minorEastAsia" w:eastAsiaTheme="minorEastAsia"/>
                <w:szCs w:val="21"/>
                <w:lang w:val="en-US" w:eastAsia="zh-CN"/>
              </w:rPr>
              <w:t>无，本项目非专门面向中小企业采购项目</w:t>
            </w:r>
            <w:r>
              <w:rPr>
                <w:rFonts w:hint="eastAsia" w:asciiTheme="minorEastAsia" w:hAnsiTheme="minorEastAsia" w:eastAsiaTheme="minorEastAsia"/>
                <w:szCs w:val="21"/>
              </w:rPr>
              <w:t>。</w:t>
            </w:r>
          </w:p>
          <w:p w14:paraId="77DEEE65">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本项目的特定资格要求：</w:t>
            </w:r>
            <w:r>
              <w:rPr>
                <w:rFonts w:hint="eastAsia" w:asciiTheme="minorEastAsia" w:hAnsiTheme="minorEastAsia" w:eastAsiaTheme="minorEastAsia"/>
                <w:szCs w:val="21"/>
                <w:lang w:eastAsia="zh-CN"/>
              </w:rPr>
              <w:t>投标人</w:t>
            </w:r>
            <w:r>
              <w:rPr>
                <w:rFonts w:hint="eastAsia" w:asciiTheme="minorEastAsia" w:hAnsiTheme="minorEastAsia" w:eastAsiaTheme="minorEastAsia"/>
                <w:szCs w:val="21"/>
              </w:rPr>
              <w:t>若为生产厂家的须提供有效的农药生产许可证，并提供所投产品有效的农药三证（即：农药登记证、农药生产许可证或农药生产批准文件、农药质量标准），若为经销商的须提供有效的农药经营许可证，并提供所投产品生产厂家有效的农药三证（即：农药登记证、农药生产许可证或农药生产批准文件、农药质量标准）。</w:t>
            </w:r>
          </w:p>
        </w:tc>
      </w:tr>
      <w:tr w14:paraId="00F195E9">
        <w:tblPrEx>
          <w:tblCellMar>
            <w:top w:w="0" w:type="dxa"/>
            <w:left w:w="0" w:type="dxa"/>
            <w:bottom w:w="0" w:type="dxa"/>
            <w:right w:w="0" w:type="dxa"/>
          </w:tblCellMar>
        </w:tblPrEx>
        <w:trPr>
          <w:trHeight w:val="416"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363FC60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2</w:t>
            </w:r>
          </w:p>
        </w:tc>
        <w:tc>
          <w:tcPr>
            <w:tcW w:w="1265" w:type="pct"/>
            <w:tcBorders>
              <w:top w:val="single" w:color="auto" w:sz="4" w:space="0"/>
              <w:left w:val="single" w:color="auto" w:sz="4" w:space="0"/>
              <w:bottom w:val="single" w:color="auto" w:sz="4" w:space="0"/>
              <w:right w:val="single" w:color="auto" w:sz="4" w:space="0"/>
            </w:tcBorders>
            <w:vAlign w:val="center"/>
          </w:tcPr>
          <w:p w14:paraId="6B24CB48">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是否接受联</w:t>
            </w:r>
          </w:p>
          <w:p w14:paraId="0806648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合体投标</w:t>
            </w:r>
          </w:p>
        </w:tc>
        <w:tc>
          <w:tcPr>
            <w:tcW w:w="3264" w:type="pct"/>
            <w:tcBorders>
              <w:top w:val="single" w:color="auto" w:sz="4" w:space="0"/>
              <w:left w:val="single" w:color="auto" w:sz="4" w:space="0"/>
              <w:bottom w:val="single" w:color="auto" w:sz="4" w:space="0"/>
              <w:right w:val="single" w:color="auto" w:sz="4" w:space="0"/>
            </w:tcBorders>
            <w:vAlign w:val="center"/>
          </w:tcPr>
          <w:p w14:paraId="698B2511">
            <w:pPr>
              <w:spacing w:before="120" w:beforeLines="50" w:line="360" w:lineRule="auto"/>
              <w:ind w:left="105" w:leftChars="50" w:right="105" w:rightChars="50"/>
              <w:rPr>
                <w:rFonts w:asciiTheme="minorEastAsia" w:hAnsiTheme="minorEastAsia" w:eastAsiaTheme="minorEastAsia"/>
                <w:szCs w:val="21"/>
              </w:rPr>
            </w:pPr>
            <w:r>
              <w:rPr>
                <w:rFonts w:asciiTheme="minorEastAsia" w:hAnsiTheme="minorEastAsia" w:eastAsiaTheme="minorEastAsia"/>
                <w:szCs w:val="21"/>
              </w:rPr>
              <w:t>本项目</w:t>
            </w:r>
            <w:r>
              <w:rPr>
                <w:rFonts w:hint="eastAsia" w:asciiTheme="minorEastAsia" w:hAnsiTheme="minorEastAsia" w:eastAsiaTheme="minorEastAsia"/>
                <w:szCs w:val="21"/>
              </w:rPr>
              <w:t>不</w:t>
            </w:r>
            <w:r>
              <w:rPr>
                <w:rFonts w:asciiTheme="minorEastAsia" w:hAnsiTheme="minorEastAsia" w:eastAsiaTheme="minorEastAsia"/>
                <w:szCs w:val="21"/>
              </w:rPr>
              <w:t>接受联合体投标。</w:t>
            </w:r>
          </w:p>
        </w:tc>
      </w:tr>
      <w:tr w14:paraId="069BBC22">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1ECFB4DB">
            <w:pPr>
              <w:wordWrap w:val="0"/>
              <w:autoSpaceDE w:val="0"/>
              <w:autoSpaceDN w:val="0"/>
              <w:spacing w:before="120" w:beforeLines="5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1265" w:type="pct"/>
            <w:tcBorders>
              <w:top w:val="single" w:color="auto" w:sz="4" w:space="0"/>
              <w:left w:val="single" w:color="auto" w:sz="4" w:space="0"/>
              <w:bottom w:val="single" w:color="auto" w:sz="4" w:space="0"/>
              <w:right w:val="single" w:color="auto" w:sz="4" w:space="0"/>
            </w:tcBorders>
            <w:vAlign w:val="center"/>
          </w:tcPr>
          <w:p w14:paraId="677397CA">
            <w:pPr>
              <w:wordWrap w:val="0"/>
              <w:autoSpaceDE w:val="0"/>
              <w:autoSpaceDN w:val="0"/>
              <w:spacing w:before="120" w:beforeLines="5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费用承担</w:t>
            </w:r>
          </w:p>
        </w:tc>
        <w:tc>
          <w:tcPr>
            <w:tcW w:w="3264" w:type="pct"/>
            <w:tcBorders>
              <w:top w:val="single" w:color="auto" w:sz="4" w:space="0"/>
              <w:left w:val="single" w:color="auto" w:sz="4" w:space="0"/>
              <w:bottom w:val="single" w:color="auto" w:sz="4" w:space="0"/>
              <w:right w:val="single" w:color="auto" w:sz="4" w:space="0"/>
            </w:tcBorders>
            <w:vAlign w:val="center"/>
          </w:tcPr>
          <w:p w14:paraId="6E5004E3">
            <w:pPr>
              <w:spacing w:before="120" w:beforeLines="50" w:line="360" w:lineRule="auto"/>
              <w:ind w:left="105" w:leftChars="50" w:right="105" w:rightChars="50"/>
              <w:rPr>
                <w:rFonts w:cs="宋体" w:asciiTheme="minorEastAsia" w:hAnsiTheme="minorEastAsia" w:eastAsiaTheme="minorEastAsia"/>
                <w:szCs w:val="21"/>
              </w:rPr>
            </w:pPr>
            <w:r>
              <w:rPr>
                <w:rFonts w:hint="eastAsia" w:cs="宋体" w:asciiTheme="minorEastAsia" w:hAnsiTheme="minorEastAsia" w:eastAsiaTheme="minorEastAsia"/>
                <w:szCs w:val="21"/>
              </w:rPr>
              <w:t>1.不论评审结果如何，投标人均应自行承担所有参与本次投标有关的全部费用。</w:t>
            </w:r>
          </w:p>
          <w:p w14:paraId="60884E74">
            <w:pPr>
              <w:spacing w:line="360" w:lineRule="auto"/>
              <w:ind w:left="108" w:right="105" w:rightChars="50"/>
              <w:rPr>
                <w:rFonts w:asciiTheme="minorEastAsia" w:hAnsiTheme="minorEastAsia" w:eastAsiaTheme="minorEastAsia"/>
                <w:szCs w:val="21"/>
              </w:rPr>
            </w:pPr>
            <w:r>
              <w:rPr>
                <w:rFonts w:hint="eastAsia" w:cs="宋体" w:asciiTheme="minorEastAsia" w:hAnsiTheme="minorEastAsia" w:eastAsiaTheme="minorEastAsia"/>
                <w:szCs w:val="21"/>
              </w:rPr>
              <w:t>2.招标代理服务费用参照云南省建设工程招标投标行业协会《关于印发&lt;云南省建设工程及政府采购代理服务收费参考意见》的通知&gt;(云建招协〔202</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11</w:t>
            </w:r>
            <w:r>
              <w:rPr>
                <w:rFonts w:hint="eastAsia" w:cs="宋体" w:asciiTheme="minorEastAsia" w:hAnsiTheme="minorEastAsia" w:eastAsiaTheme="minorEastAsia"/>
                <w:szCs w:val="21"/>
              </w:rPr>
              <w:t>号)收取，由中标人在领取中标通知书前一次性向代理机构支付。</w:t>
            </w:r>
          </w:p>
        </w:tc>
      </w:tr>
      <w:tr w14:paraId="6AA7D1B6">
        <w:tblPrEx>
          <w:tblCellMar>
            <w:top w:w="0" w:type="dxa"/>
            <w:left w:w="0" w:type="dxa"/>
            <w:bottom w:w="0" w:type="dxa"/>
            <w:right w:w="0" w:type="dxa"/>
          </w:tblCellMar>
        </w:tblPrEx>
        <w:trPr>
          <w:trHeight w:val="416"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DAC9244">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.9</w:t>
            </w:r>
          </w:p>
        </w:tc>
        <w:tc>
          <w:tcPr>
            <w:tcW w:w="1265" w:type="pct"/>
            <w:tcBorders>
              <w:top w:val="single" w:color="auto" w:sz="4" w:space="0"/>
              <w:left w:val="single" w:color="auto" w:sz="4" w:space="0"/>
              <w:bottom w:val="single" w:color="auto" w:sz="4" w:space="0"/>
              <w:right w:val="single" w:color="auto" w:sz="4" w:space="0"/>
            </w:tcBorders>
            <w:vAlign w:val="center"/>
          </w:tcPr>
          <w:p w14:paraId="39DFB0BB">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踏勘现场</w:t>
            </w:r>
          </w:p>
        </w:tc>
        <w:tc>
          <w:tcPr>
            <w:tcW w:w="3264" w:type="pct"/>
            <w:tcBorders>
              <w:top w:val="single" w:color="auto" w:sz="4" w:space="0"/>
              <w:left w:val="single" w:color="auto" w:sz="4" w:space="0"/>
              <w:bottom w:val="single" w:color="auto" w:sz="4" w:space="0"/>
              <w:right w:val="single" w:color="auto" w:sz="4" w:space="0"/>
            </w:tcBorders>
            <w:vAlign w:val="center"/>
          </w:tcPr>
          <w:p w14:paraId="4C61C5F9">
            <w:pPr>
              <w:spacing w:before="120" w:beforeLines="50" w:line="360" w:lineRule="auto"/>
              <w:ind w:left="105" w:leftChars="50"/>
              <w:rPr>
                <w:rFonts w:asciiTheme="minorEastAsia" w:hAnsiTheme="minorEastAsia" w:eastAsiaTheme="minorEastAsia"/>
                <w:szCs w:val="21"/>
              </w:rPr>
            </w:pPr>
            <w:r>
              <w:rPr>
                <w:rFonts w:hint="eastAsia" w:asciiTheme="minorEastAsia" w:hAnsiTheme="minorEastAsia" w:eastAsiaTheme="minorEastAsia"/>
                <w:szCs w:val="21"/>
              </w:rPr>
              <w:t>不组织。</w:t>
            </w:r>
          </w:p>
        </w:tc>
      </w:tr>
      <w:tr w14:paraId="6E24B07A">
        <w:tblPrEx>
          <w:tblCellMar>
            <w:top w:w="0" w:type="dxa"/>
            <w:left w:w="0" w:type="dxa"/>
            <w:bottom w:w="0" w:type="dxa"/>
            <w:right w:w="0" w:type="dxa"/>
          </w:tblCellMar>
        </w:tblPrEx>
        <w:trPr>
          <w:trHeight w:val="479"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A34004D">
            <w:pPr>
              <w:wordWrap w:val="0"/>
              <w:autoSpaceDE w:val="0"/>
              <w:autoSpaceDN w:val="0"/>
              <w:spacing w:before="60" w:after="6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1.10.2</w:t>
            </w:r>
          </w:p>
        </w:tc>
        <w:tc>
          <w:tcPr>
            <w:tcW w:w="1265" w:type="pct"/>
            <w:tcBorders>
              <w:top w:val="single" w:color="auto" w:sz="4" w:space="0"/>
              <w:left w:val="single" w:color="auto" w:sz="4" w:space="0"/>
              <w:bottom w:val="single" w:color="auto" w:sz="4" w:space="0"/>
              <w:right w:val="single" w:color="auto" w:sz="4" w:space="0"/>
            </w:tcBorders>
            <w:vAlign w:val="center"/>
          </w:tcPr>
          <w:p w14:paraId="47F9ABE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投标人的询问及</w:t>
            </w:r>
          </w:p>
          <w:p w14:paraId="72E5534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答复的规定</w:t>
            </w:r>
          </w:p>
        </w:tc>
        <w:tc>
          <w:tcPr>
            <w:tcW w:w="3264" w:type="pct"/>
            <w:tcBorders>
              <w:top w:val="single" w:color="auto" w:sz="4" w:space="0"/>
              <w:left w:val="single" w:color="auto" w:sz="4" w:space="0"/>
              <w:bottom w:val="single" w:color="auto" w:sz="4" w:space="0"/>
              <w:right w:val="single" w:color="auto" w:sz="4" w:space="0"/>
            </w:tcBorders>
            <w:vAlign w:val="center"/>
          </w:tcPr>
          <w:p w14:paraId="7BC33276">
            <w:pPr>
              <w:pStyle w:val="141"/>
            </w:pPr>
            <w:r>
              <w:rPr>
                <w:rFonts w:hint="eastAsia"/>
              </w:rPr>
              <w:t>投标人可以向采购人或采购代理机构提出询问或者凭企业数字证书（CA）登录政府采购云平台，通过在线方式提出询问，采购人或者采购代理机构在接到询问后的3个工作日内对投标人依法提出的询问作出答复，但答复的内容不涉及商业秘密。</w:t>
            </w:r>
          </w:p>
        </w:tc>
      </w:tr>
      <w:tr w14:paraId="557D76C9">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34C7BD2">
            <w:pPr>
              <w:wordWrap w:val="0"/>
              <w:autoSpaceDE w:val="0"/>
              <w:autoSpaceDN w:val="0"/>
              <w:contextualSpacing/>
              <w:jc w:val="center"/>
              <w:rPr>
                <w:rFonts w:asciiTheme="minorEastAsia" w:hAnsiTheme="minorEastAsia" w:eastAsiaTheme="minorEastAsia"/>
                <w:szCs w:val="21"/>
              </w:rPr>
            </w:pPr>
            <w:r>
              <w:rPr>
                <w:rFonts w:hint="eastAsia" w:asciiTheme="minorEastAsia" w:hAnsiTheme="minorEastAsia" w:eastAsiaTheme="minorEastAsia"/>
                <w:szCs w:val="21"/>
              </w:rPr>
              <w:t>1.10.3</w:t>
            </w:r>
          </w:p>
        </w:tc>
        <w:tc>
          <w:tcPr>
            <w:tcW w:w="1265" w:type="pct"/>
            <w:tcBorders>
              <w:top w:val="single" w:color="auto" w:sz="4" w:space="0"/>
              <w:left w:val="single" w:color="auto" w:sz="4" w:space="0"/>
              <w:bottom w:val="single" w:color="auto" w:sz="4" w:space="0"/>
              <w:right w:val="single" w:color="auto" w:sz="4" w:space="0"/>
            </w:tcBorders>
            <w:vAlign w:val="center"/>
          </w:tcPr>
          <w:p w14:paraId="4D609936">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采购人澄清的</w:t>
            </w:r>
          </w:p>
          <w:p w14:paraId="13352E9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时间和方法</w:t>
            </w:r>
          </w:p>
        </w:tc>
        <w:tc>
          <w:tcPr>
            <w:tcW w:w="3264" w:type="pct"/>
            <w:tcBorders>
              <w:top w:val="single" w:color="auto" w:sz="4" w:space="0"/>
              <w:left w:val="single" w:color="auto" w:sz="4" w:space="0"/>
              <w:bottom w:val="single" w:color="auto" w:sz="4" w:space="0"/>
              <w:right w:val="single" w:color="auto" w:sz="4" w:space="0"/>
            </w:tcBorders>
            <w:vAlign w:val="center"/>
          </w:tcPr>
          <w:p w14:paraId="78FACA56">
            <w:pPr>
              <w:pStyle w:val="141"/>
            </w:pPr>
            <w:r>
              <w:rPr>
                <w:rFonts w:hint="eastAsia"/>
              </w:rPr>
              <w:t>投标文件递交截止时间前，采购人、采购代理机构可以对已发出的招标文件进行必要的澄清，澄清的内容作为招标文件的组成部分，并具有约束力。澄清的内容可能影响投标文件编制的，采购人、采购代理机构应在投标文件递交截止时间15日前，在政府采购云平台通知所有获取招标文件的投标人，但不指明澄清问题的来源。不足15日的，应当顺延投标文件递交截止时间。</w:t>
            </w:r>
          </w:p>
        </w:tc>
      </w:tr>
      <w:tr w14:paraId="50FD7A5B">
        <w:tblPrEx>
          <w:tblCellMar>
            <w:top w:w="0" w:type="dxa"/>
            <w:left w:w="0" w:type="dxa"/>
            <w:bottom w:w="0" w:type="dxa"/>
            <w:right w:w="0" w:type="dxa"/>
          </w:tblCellMar>
        </w:tblPrEx>
        <w:trPr>
          <w:trHeight w:val="422"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3E3BEAE">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1.11</w:t>
            </w:r>
          </w:p>
        </w:tc>
        <w:tc>
          <w:tcPr>
            <w:tcW w:w="1265" w:type="pct"/>
            <w:tcBorders>
              <w:top w:val="single" w:color="auto" w:sz="4" w:space="0"/>
              <w:left w:val="single" w:color="auto" w:sz="4" w:space="0"/>
              <w:bottom w:val="single" w:color="auto" w:sz="4" w:space="0"/>
              <w:right w:val="single" w:color="auto" w:sz="4" w:space="0"/>
            </w:tcBorders>
            <w:vAlign w:val="center"/>
          </w:tcPr>
          <w:p w14:paraId="5F657536">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分包</w:t>
            </w:r>
          </w:p>
        </w:tc>
        <w:tc>
          <w:tcPr>
            <w:tcW w:w="3264" w:type="pct"/>
            <w:tcBorders>
              <w:top w:val="single" w:color="auto" w:sz="4" w:space="0"/>
              <w:left w:val="single" w:color="auto" w:sz="4" w:space="0"/>
              <w:bottom w:val="single" w:color="auto" w:sz="4" w:space="0"/>
              <w:right w:val="single" w:color="auto" w:sz="4" w:space="0"/>
            </w:tcBorders>
            <w:vAlign w:val="center"/>
          </w:tcPr>
          <w:p w14:paraId="2AD400E8">
            <w:pPr>
              <w:pStyle w:val="141"/>
            </w:pPr>
            <w:r>
              <w:rPr>
                <w:rFonts w:hint="eastAsia"/>
              </w:rPr>
              <w:t>不允许。</w:t>
            </w:r>
          </w:p>
        </w:tc>
      </w:tr>
      <w:tr w14:paraId="69DAC9C2">
        <w:tblPrEx>
          <w:tblCellMar>
            <w:top w:w="0" w:type="dxa"/>
            <w:left w:w="0" w:type="dxa"/>
            <w:bottom w:w="0" w:type="dxa"/>
            <w:right w:w="0" w:type="dxa"/>
          </w:tblCellMar>
        </w:tblPrEx>
        <w:trPr>
          <w:trHeight w:val="413"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742FA97">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1.12</w:t>
            </w:r>
          </w:p>
        </w:tc>
        <w:tc>
          <w:tcPr>
            <w:tcW w:w="1265" w:type="pct"/>
            <w:tcBorders>
              <w:top w:val="single" w:color="auto" w:sz="4" w:space="0"/>
              <w:left w:val="single" w:color="auto" w:sz="4" w:space="0"/>
              <w:bottom w:val="single" w:color="auto" w:sz="4" w:space="0"/>
              <w:right w:val="single" w:color="auto" w:sz="4" w:space="0"/>
            </w:tcBorders>
            <w:vAlign w:val="center"/>
          </w:tcPr>
          <w:p w14:paraId="474FA1C7">
            <w:pPr>
              <w:spacing w:before="120" w:beforeLines="50" w:line="360" w:lineRule="auto"/>
              <w:jc w:val="center"/>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偏离</w:t>
            </w:r>
          </w:p>
        </w:tc>
        <w:tc>
          <w:tcPr>
            <w:tcW w:w="3264" w:type="pct"/>
            <w:tcBorders>
              <w:top w:val="single" w:color="auto" w:sz="4" w:space="0"/>
              <w:left w:val="single" w:color="auto" w:sz="4" w:space="0"/>
              <w:bottom w:val="single" w:color="auto" w:sz="4" w:space="0"/>
              <w:right w:val="single" w:color="auto" w:sz="4" w:space="0"/>
            </w:tcBorders>
            <w:vAlign w:val="center"/>
          </w:tcPr>
          <w:p w14:paraId="0FC5A0EF">
            <w:pPr>
              <w:spacing w:line="360" w:lineRule="auto"/>
              <w:ind w:left="105" w:leftChars="50" w:right="105" w:rightChars="50"/>
              <w:rPr>
                <w:rFonts w:ascii="宋体" w:hAnsi="宋体"/>
                <w:b w:val="0"/>
                <w:bCs w:val="0"/>
                <w:szCs w:val="21"/>
              </w:rPr>
            </w:pPr>
            <w:r>
              <w:rPr>
                <w:rFonts w:hint="eastAsia" w:ascii="宋体" w:hAnsi="宋体"/>
                <w:b w:val="0"/>
                <w:bCs w:val="0"/>
                <w:szCs w:val="21"/>
                <w:lang w:val="en-US" w:eastAsia="zh-CN"/>
              </w:rPr>
              <w:t>关键性技术参数不</w:t>
            </w:r>
            <w:r>
              <w:rPr>
                <w:rFonts w:hint="eastAsia" w:ascii="宋体" w:hAnsi="宋体"/>
                <w:b w:val="0"/>
                <w:bCs w:val="0"/>
                <w:szCs w:val="21"/>
              </w:rPr>
              <w:t>允许</w:t>
            </w:r>
            <w:r>
              <w:rPr>
                <w:rFonts w:hint="eastAsia" w:ascii="宋体" w:hAnsi="宋体"/>
                <w:b w:val="0"/>
                <w:bCs w:val="0"/>
                <w:szCs w:val="21"/>
                <w:lang w:val="en-US" w:eastAsia="zh-CN"/>
              </w:rPr>
              <w:t>负偏离</w:t>
            </w:r>
            <w:r>
              <w:rPr>
                <w:rFonts w:hint="eastAsia" w:ascii="宋体" w:hAnsi="宋体"/>
                <w:b w:val="0"/>
                <w:bCs w:val="0"/>
                <w:szCs w:val="21"/>
              </w:rPr>
              <w:t>。</w:t>
            </w:r>
          </w:p>
        </w:tc>
      </w:tr>
      <w:tr w14:paraId="46A321A8">
        <w:tblPrEx>
          <w:tblCellMar>
            <w:top w:w="0" w:type="dxa"/>
            <w:left w:w="0" w:type="dxa"/>
            <w:bottom w:w="0" w:type="dxa"/>
            <w:right w:w="0" w:type="dxa"/>
          </w:tblCellMar>
        </w:tblPrEx>
        <w:trPr>
          <w:trHeight w:val="416"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E8097C9">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2.2.1</w:t>
            </w:r>
          </w:p>
        </w:tc>
        <w:tc>
          <w:tcPr>
            <w:tcW w:w="1265" w:type="pct"/>
            <w:tcBorders>
              <w:top w:val="single" w:color="auto" w:sz="4" w:space="0"/>
              <w:left w:val="single" w:color="auto" w:sz="4" w:space="0"/>
              <w:bottom w:val="single" w:color="auto" w:sz="4" w:space="0"/>
              <w:right w:val="single" w:color="auto" w:sz="4" w:space="0"/>
            </w:tcBorders>
            <w:vAlign w:val="center"/>
          </w:tcPr>
          <w:p w14:paraId="51717836">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投标人要求澄清招标文件的截止时间和方法</w:t>
            </w:r>
          </w:p>
        </w:tc>
        <w:tc>
          <w:tcPr>
            <w:tcW w:w="3264" w:type="pct"/>
            <w:tcBorders>
              <w:top w:val="single" w:color="auto" w:sz="4" w:space="0"/>
              <w:left w:val="single" w:color="auto" w:sz="4" w:space="0"/>
              <w:bottom w:val="single" w:color="auto" w:sz="4" w:space="0"/>
              <w:right w:val="single" w:color="auto" w:sz="4" w:space="0"/>
            </w:tcBorders>
            <w:vAlign w:val="center"/>
          </w:tcPr>
          <w:p w14:paraId="0DBE3EE8">
            <w:pPr>
              <w:pStyle w:val="141"/>
              <w:rPr>
                <w:rFonts w:cs="宋体"/>
              </w:rPr>
            </w:pPr>
            <w:r>
              <w:rPr>
                <w:rFonts w:hint="eastAsia"/>
              </w:rPr>
              <w:t>同1.10.2的时间要求。投标人应仔细阅读和检查招标文件的全部内容，如发现缺页或附件不全，应及时向采购人提出，以便补齐。如有疑问，应在第1.10.2条规定的时间前，要求采购人或采购代理机构对招标文件予以澄清。</w:t>
            </w:r>
          </w:p>
        </w:tc>
      </w:tr>
      <w:tr w14:paraId="4C9B256C">
        <w:tblPrEx>
          <w:tblCellMar>
            <w:top w:w="0" w:type="dxa"/>
            <w:left w:w="0" w:type="dxa"/>
            <w:bottom w:w="0" w:type="dxa"/>
            <w:right w:w="0" w:type="dxa"/>
          </w:tblCellMar>
        </w:tblPrEx>
        <w:trPr>
          <w:trHeight w:val="49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D1E87D1">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2.2.2</w:t>
            </w:r>
          </w:p>
        </w:tc>
        <w:tc>
          <w:tcPr>
            <w:tcW w:w="1265" w:type="pct"/>
            <w:tcBorders>
              <w:top w:val="single" w:color="auto" w:sz="4" w:space="0"/>
              <w:left w:val="single" w:color="auto" w:sz="4" w:space="0"/>
              <w:bottom w:val="single" w:color="auto" w:sz="4" w:space="0"/>
              <w:right w:val="single" w:color="auto" w:sz="4" w:space="0"/>
            </w:tcBorders>
            <w:vAlign w:val="center"/>
          </w:tcPr>
          <w:p w14:paraId="2EF8F07B">
            <w:pPr>
              <w:spacing w:before="120" w:beforeLines="50" w:line="360" w:lineRule="auto"/>
              <w:jc w:val="center"/>
              <w:rPr>
                <w:rFonts w:asciiTheme="minorEastAsia" w:hAnsiTheme="minorEastAsia" w:eastAsiaTheme="minorEastAsia"/>
                <w:szCs w:val="21"/>
              </w:rPr>
            </w:pPr>
            <w:bookmarkStart w:id="160" w:name="_Hlk152841484"/>
            <w:r>
              <w:rPr>
                <w:rFonts w:hint="eastAsia" w:asciiTheme="minorEastAsia" w:hAnsiTheme="minorEastAsia" w:eastAsiaTheme="minorEastAsia"/>
                <w:szCs w:val="21"/>
              </w:rPr>
              <w:t>投标截止时间</w:t>
            </w:r>
            <w:bookmarkEnd w:id="160"/>
          </w:p>
        </w:tc>
        <w:tc>
          <w:tcPr>
            <w:tcW w:w="3264" w:type="pct"/>
            <w:tcBorders>
              <w:top w:val="single" w:color="auto" w:sz="4" w:space="0"/>
              <w:left w:val="single" w:color="auto" w:sz="4" w:space="0"/>
              <w:bottom w:val="single" w:color="auto" w:sz="4" w:space="0"/>
              <w:right w:val="single" w:color="auto" w:sz="4" w:space="0"/>
            </w:tcBorders>
            <w:vAlign w:val="center"/>
          </w:tcPr>
          <w:p w14:paraId="32E5E960">
            <w:pPr>
              <w:pStyle w:val="141"/>
              <w:rPr>
                <w:rFonts w:cs="宋体"/>
              </w:rPr>
            </w:pPr>
            <w:r>
              <w:rPr>
                <w:rFonts w:hint="eastAsia"/>
              </w:rPr>
              <w:t>以云南省政府采购网发布的时间为准。</w:t>
            </w:r>
          </w:p>
        </w:tc>
      </w:tr>
      <w:tr w14:paraId="574A4B36">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541E96B8">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2.2.3</w:t>
            </w:r>
          </w:p>
        </w:tc>
        <w:tc>
          <w:tcPr>
            <w:tcW w:w="1265" w:type="pct"/>
            <w:tcBorders>
              <w:top w:val="single" w:color="auto" w:sz="4" w:space="0"/>
              <w:left w:val="single" w:color="auto" w:sz="4" w:space="0"/>
              <w:bottom w:val="single" w:color="auto" w:sz="4" w:space="0"/>
              <w:right w:val="single" w:color="auto" w:sz="4" w:space="0"/>
            </w:tcBorders>
            <w:vAlign w:val="center"/>
          </w:tcPr>
          <w:p w14:paraId="114AFF9F">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投标人确认收到采购</w:t>
            </w:r>
          </w:p>
          <w:p w14:paraId="124ED72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文件澄清的时间</w:t>
            </w:r>
          </w:p>
        </w:tc>
        <w:tc>
          <w:tcPr>
            <w:tcW w:w="3264" w:type="pct"/>
            <w:tcBorders>
              <w:top w:val="single" w:color="auto" w:sz="4" w:space="0"/>
              <w:left w:val="single" w:color="auto" w:sz="4" w:space="0"/>
              <w:bottom w:val="single" w:color="auto" w:sz="4" w:space="0"/>
              <w:right w:val="single" w:color="auto" w:sz="4" w:space="0"/>
            </w:tcBorders>
            <w:vAlign w:val="center"/>
          </w:tcPr>
          <w:p w14:paraId="4FAD4638">
            <w:pPr>
              <w:wordWrap w:val="0"/>
              <w:autoSpaceDE w:val="0"/>
              <w:autoSpaceDN w:val="0"/>
              <w:ind w:left="105" w:leftChars="50"/>
              <w:contextualSpacing/>
              <w:rPr>
                <w:rFonts w:cs="宋体" w:asciiTheme="minorEastAsia" w:hAnsiTheme="minorEastAsia" w:eastAsiaTheme="minorEastAsia"/>
                <w:szCs w:val="21"/>
              </w:rPr>
            </w:pPr>
            <w:r>
              <w:rPr>
                <w:rFonts w:hint="eastAsia" w:asciiTheme="minorEastAsia" w:hAnsiTheme="minorEastAsia" w:eastAsiaTheme="minorEastAsia"/>
                <w:szCs w:val="21"/>
              </w:rPr>
              <w:t>收到当天。</w:t>
            </w:r>
          </w:p>
        </w:tc>
      </w:tr>
      <w:tr w14:paraId="50D28F2A">
        <w:tblPrEx>
          <w:tblCellMar>
            <w:top w:w="0" w:type="dxa"/>
            <w:left w:w="0" w:type="dxa"/>
            <w:bottom w:w="0" w:type="dxa"/>
            <w:right w:w="0" w:type="dxa"/>
          </w:tblCellMar>
        </w:tblPrEx>
        <w:trPr>
          <w:trHeight w:val="132"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1896BDAF">
            <w:pPr>
              <w:wordWrap w:val="0"/>
              <w:autoSpaceDE w:val="0"/>
              <w:autoSpaceDN w:val="0"/>
              <w:spacing w:before="60" w:after="6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3.2.1</w:t>
            </w:r>
          </w:p>
        </w:tc>
        <w:tc>
          <w:tcPr>
            <w:tcW w:w="1265" w:type="pct"/>
            <w:tcBorders>
              <w:top w:val="single" w:color="auto" w:sz="4" w:space="0"/>
              <w:left w:val="single" w:color="auto" w:sz="4" w:space="0"/>
              <w:bottom w:val="single" w:color="auto" w:sz="4" w:space="0"/>
              <w:right w:val="single" w:color="auto" w:sz="4" w:space="0"/>
            </w:tcBorders>
            <w:vAlign w:val="center"/>
          </w:tcPr>
          <w:p w14:paraId="1DD45D32">
            <w:pPr>
              <w:autoSpaceDE w:val="0"/>
              <w:autoSpaceDN w:val="0"/>
              <w:spacing w:after="60" w:line="360" w:lineRule="auto"/>
              <w:contextualSpacing/>
              <w:jc w:val="center"/>
              <w:rPr>
                <w:rFonts w:ascii="宋体" w:hAnsi="宋体"/>
                <w:szCs w:val="21"/>
              </w:rPr>
            </w:pPr>
            <w:r>
              <w:rPr>
                <w:rFonts w:hint="eastAsia" w:ascii="宋体" w:hAnsi="宋体"/>
                <w:szCs w:val="21"/>
              </w:rPr>
              <w:t>最高限价</w:t>
            </w:r>
          </w:p>
        </w:tc>
        <w:tc>
          <w:tcPr>
            <w:tcW w:w="3264" w:type="pct"/>
            <w:tcBorders>
              <w:top w:val="single" w:color="auto" w:sz="4" w:space="0"/>
              <w:left w:val="single" w:color="auto" w:sz="4" w:space="0"/>
              <w:bottom w:val="single" w:color="auto" w:sz="4" w:space="0"/>
              <w:right w:val="single" w:color="auto" w:sz="4" w:space="0"/>
            </w:tcBorders>
            <w:vAlign w:val="center"/>
          </w:tcPr>
          <w:p w14:paraId="2CF85BCB">
            <w:pPr>
              <w:pStyle w:val="141"/>
              <w:spacing w:before="0" w:beforeLines="0"/>
              <w:rPr>
                <w:rFonts w:ascii="宋体" w:hAnsi="宋体"/>
              </w:rPr>
            </w:pPr>
            <w:r>
              <w:rPr>
                <w:rFonts w:hint="eastAsia" w:ascii="宋体" w:hAnsi="宋体"/>
              </w:rPr>
              <w:t>最高限价：¥</w:t>
            </w:r>
            <w:r>
              <w:rPr>
                <w:rFonts w:hint="eastAsia" w:ascii="宋体" w:hAnsi="宋体"/>
                <w:lang w:val="en-US" w:eastAsia="zh-CN"/>
              </w:rPr>
              <w:t>80.9622</w:t>
            </w:r>
            <w:r>
              <w:rPr>
                <w:rFonts w:hint="eastAsia" w:ascii="宋体" w:hAnsi="宋体"/>
              </w:rPr>
              <w:t>元（大写：</w:t>
            </w:r>
            <w:r>
              <w:rPr>
                <w:rFonts w:hint="eastAsia" w:ascii="宋体" w:hAnsi="宋体"/>
                <w:lang w:val="en-US" w:eastAsia="zh-CN"/>
              </w:rPr>
              <w:t>捌拾万玖仟陆佰贰拾贰元整</w:t>
            </w:r>
            <w:r>
              <w:rPr>
                <w:rFonts w:hint="eastAsia" w:ascii="宋体" w:hAnsi="宋体"/>
              </w:rPr>
              <w:t>）。</w:t>
            </w:r>
          </w:p>
          <w:p w14:paraId="51C89998">
            <w:pPr>
              <w:pStyle w:val="141"/>
              <w:spacing w:before="0" w:beforeLines="0"/>
              <w:rPr>
                <w:rFonts w:ascii="宋体" w:hAnsi="宋体"/>
              </w:rPr>
            </w:pPr>
            <w:r>
              <w:rPr>
                <w:rFonts w:hint="eastAsia" w:ascii="宋体" w:hAnsi="宋体"/>
              </w:rPr>
              <w:t>注：投标人的投标报价不得高于以上的最高限价，否则按否决投标处理。</w:t>
            </w:r>
          </w:p>
        </w:tc>
      </w:tr>
      <w:tr w14:paraId="401393DE">
        <w:tblPrEx>
          <w:tblCellMar>
            <w:top w:w="0" w:type="dxa"/>
            <w:left w:w="0" w:type="dxa"/>
            <w:bottom w:w="0" w:type="dxa"/>
            <w:right w:w="0" w:type="dxa"/>
          </w:tblCellMar>
        </w:tblPrEx>
        <w:trPr>
          <w:trHeight w:val="132"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3DE0C97">
            <w:pPr>
              <w:wordWrap w:val="0"/>
              <w:autoSpaceDE w:val="0"/>
              <w:autoSpaceDN w:val="0"/>
              <w:spacing w:before="60" w:after="60" w:line="360" w:lineRule="auto"/>
              <w:contextualSpacing/>
              <w:jc w:val="center"/>
              <w:rPr>
                <w:rFonts w:asciiTheme="minorEastAsia" w:hAnsiTheme="minorEastAsia" w:eastAsiaTheme="minorEastAsia"/>
                <w:szCs w:val="21"/>
              </w:rPr>
            </w:pPr>
            <w:r>
              <w:rPr>
                <w:rFonts w:ascii="宋体" w:hAnsi="宋体"/>
                <w:szCs w:val="21"/>
              </w:rPr>
              <w:t>3.2.2</w:t>
            </w:r>
          </w:p>
        </w:tc>
        <w:tc>
          <w:tcPr>
            <w:tcW w:w="1265" w:type="pct"/>
            <w:tcBorders>
              <w:top w:val="single" w:color="auto" w:sz="4" w:space="0"/>
              <w:left w:val="single" w:color="auto" w:sz="4" w:space="0"/>
              <w:bottom w:val="single" w:color="auto" w:sz="4" w:space="0"/>
              <w:right w:val="single" w:color="auto" w:sz="4" w:space="0"/>
            </w:tcBorders>
            <w:vAlign w:val="center"/>
          </w:tcPr>
          <w:p w14:paraId="163D8AB2">
            <w:pPr>
              <w:autoSpaceDE w:val="0"/>
              <w:autoSpaceDN w:val="0"/>
              <w:spacing w:before="120" w:beforeLines="50" w:line="360" w:lineRule="auto"/>
              <w:contextualSpacing/>
              <w:jc w:val="center"/>
              <w:rPr>
                <w:rFonts w:asciiTheme="minorEastAsia" w:hAnsiTheme="minorEastAsia" w:eastAsiaTheme="minorEastAsia"/>
                <w:szCs w:val="21"/>
              </w:rPr>
            </w:pPr>
            <w:r>
              <w:rPr>
                <w:rFonts w:hint="eastAsia" w:ascii="宋体" w:hAnsi="宋体"/>
                <w:szCs w:val="21"/>
              </w:rPr>
              <w:t>报价方式</w:t>
            </w:r>
          </w:p>
        </w:tc>
        <w:tc>
          <w:tcPr>
            <w:tcW w:w="3264" w:type="pct"/>
            <w:tcBorders>
              <w:top w:val="single" w:color="auto" w:sz="4" w:space="0"/>
              <w:left w:val="single" w:color="auto" w:sz="4" w:space="0"/>
              <w:bottom w:val="single" w:color="auto" w:sz="4" w:space="0"/>
              <w:right w:val="single" w:color="auto" w:sz="4" w:space="0"/>
            </w:tcBorders>
            <w:vAlign w:val="center"/>
          </w:tcPr>
          <w:p w14:paraId="080F6E00">
            <w:pPr>
              <w:pStyle w:val="141"/>
              <w:spacing w:before="0" w:beforeLines="0"/>
              <w:rPr>
                <w:highlight w:val="none"/>
              </w:rPr>
            </w:pPr>
            <w:r>
              <w:rPr>
                <w:rFonts w:hint="eastAsia"/>
                <w:highlight w:val="none"/>
              </w:rPr>
              <w:t>本项目采用</w:t>
            </w:r>
            <w:r>
              <w:rPr>
                <w:rFonts w:hint="eastAsia"/>
                <w:b/>
                <w:bCs/>
                <w:highlight w:val="none"/>
                <w:u w:val="single"/>
              </w:rPr>
              <w:t>总价包干</w:t>
            </w:r>
            <w:r>
              <w:rPr>
                <w:rFonts w:hint="eastAsia"/>
                <w:highlight w:val="none"/>
              </w:rPr>
              <w:t>的方式进行报价。</w:t>
            </w:r>
          </w:p>
          <w:p w14:paraId="1BF876BD">
            <w:pPr>
              <w:pStyle w:val="141"/>
              <w:spacing w:before="0" w:beforeLines="0"/>
            </w:pPr>
            <w:r>
              <w:rPr>
                <w:rFonts w:hint="eastAsia"/>
                <w:lang w:val="en-US" w:eastAsia="zh-CN"/>
              </w:rPr>
              <w:t>注：</w:t>
            </w:r>
            <w:r>
              <w:rPr>
                <w:rFonts w:hint="eastAsia"/>
                <w:lang w:eastAsia="zh-CN"/>
              </w:rPr>
              <w:t>投标人</w:t>
            </w:r>
            <w:r>
              <w:rPr>
                <w:rFonts w:hint="eastAsia"/>
              </w:rPr>
              <w:t>的投标报价为完成采购范围及合同委托范围内的所有工作内容所需的全部费用，包含但不限于运输、售后服务、人工、利润、税金等所有费用。</w:t>
            </w:r>
            <w:r>
              <w:rPr>
                <w:rFonts w:hint="eastAsia"/>
                <w:lang w:eastAsia="zh-CN"/>
              </w:rPr>
              <w:t>投标人</w:t>
            </w:r>
            <w:r>
              <w:rPr>
                <w:rFonts w:hint="eastAsia"/>
              </w:rPr>
              <w:t>应充分考虑交货期内可能发生的各种风险因素。</w:t>
            </w:r>
          </w:p>
        </w:tc>
      </w:tr>
      <w:tr w14:paraId="153AFD56">
        <w:tblPrEx>
          <w:tblCellMar>
            <w:top w:w="0" w:type="dxa"/>
            <w:left w:w="0" w:type="dxa"/>
            <w:bottom w:w="0" w:type="dxa"/>
            <w:right w:w="0" w:type="dxa"/>
          </w:tblCellMar>
        </w:tblPrEx>
        <w:trPr>
          <w:trHeight w:val="416"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B3D0EFE">
            <w:pPr>
              <w:spacing w:before="120" w:beforeLines="50" w:line="360" w:lineRule="auto"/>
              <w:jc w:val="center"/>
              <w:rPr>
                <w:rFonts w:asciiTheme="minorEastAsia" w:hAnsiTheme="minorEastAsia" w:eastAsiaTheme="minorEastAsia"/>
                <w:szCs w:val="21"/>
              </w:rPr>
            </w:pPr>
            <w:r>
              <w:rPr>
                <w:rFonts w:hint="eastAsia" w:ascii="宋体" w:hAnsi="宋体"/>
                <w:szCs w:val="21"/>
              </w:rPr>
              <w:t>3.2.</w:t>
            </w:r>
            <w:r>
              <w:rPr>
                <w:rFonts w:ascii="宋体" w:hAnsi="宋体"/>
                <w:szCs w:val="21"/>
              </w:rPr>
              <w:t>3</w:t>
            </w:r>
          </w:p>
        </w:tc>
        <w:tc>
          <w:tcPr>
            <w:tcW w:w="1265" w:type="pct"/>
            <w:tcBorders>
              <w:top w:val="single" w:color="auto" w:sz="4" w:space="0"/>
              <w:left w:val="single" w:color="auto" w:sz="4" w:space="0"/>
              <w:bottom w:val="single" w:color="auto" w:sz="4" w:space="0"/>
              <w:right w:val="single" w:color="auto" w:sz="4" w:space="0"/>
            </w:tcBorders>
            <w:vAlign w:val="center"/>
          </w:tcPr>
          <w:p w14:paraId="11BBDC39">
            <w:pPr>
              <w:jc w:val="center"/>
              <w:rPr>
                <w:rFonts w:asciiTheme="minorEastAsia" w:hAnsiTheme="minorEastAsia" w:eastAsiaTheme="minorEastAsia"/>
                <w:szCs w:val="21"/>
              </w:rPr>
            </w:pPr>
            <w:r>
              <w:rPr>
                <w:rFonts w:hint="eastAsia" w:ascii="宋体" w:hAnsi="宋体"/>
                <w:szCs w:val="21"/>
              </w:rPr>
              <w:t>结算方式</w:t>
            </w:r>
          </w:p>
        </w:tc>
        <w:tc>
          <w:tcPr>
            <w:tcW w:w="3264" w:type="pct"/>
            <w:tcBorders>
              <w:top w:val="single" w:color="auto" w:sz="4" w:space="0"/>
              <w:left w:val="single" w:color="auto" w:sz="4" w:space="0"/>
              <w:bottom w:val="single" w:color="auto" w:sz="4" w:space="0"/>
              <w:right w:val="single" w:color="auto" w:sz="4" w:space="0"/>
            </w:tcBorders>
            <w:vAlign w:val="center"/>
          </w:tcPr>
          <w:p w14:paraId="10C1D7E2">
            <w:pPr>
              <w:spacing w:line="360" w:lineRule="auto"/>
              <w:ind w:left="105" w:leftChars="50"/>
              <w:jc w:val="left"/>
              <w:rPr>
                <w:szCs w:val="21"/>
              </w:rPr>
            </w:pPr>
            <w:r>
              <w:rPr>
                <w:rFonts w:hint="eastAsia"/>
                <w:szCs w:val="21"/>
              </w:rPr>
              <w:t>结算时，按照中标投标人的中标价进行结算。合同履行期间，采购人不再支付其它任何费用。</w:t>
            </w:r>
          </w:p>
          <w:p w14:paraId="7325CAC1">
            <w:pPr>
              <w:spacing w:line="360" w:lineRule="auto"/>
              <w:ind w:left="105" w:leftChars="50"/>
              <w:jc w:val="left"/>
            </w:pPr>
            <w:r>
              <w:rPr>
                <w:rFonts w:hint="eastAsia"/>
              </w:rPr>
              <w:t>注：</w:t>
            </w:r>
            <w:r>
              <w:rPr>
                <w:rFonts w:hint="eastAsia" w:ascii="宋体" w:hAnsi="宋体"/>
                <w:szCs w:val="21"/>
              </w:rPr>
              <w:t>投标人的报价需根据本招标文件的要求规范和标准，以及</w:t>
            </w:r>
            <w:r>
              <w:rPr>
                <w:rFonts w:hint="eastAsia" w:asciiTheme="minorEastAsia" w:hAnsiTheme="minorEastAsia" w:eastAsiaTheme="minorEastAsia"/>
                <w:szCs w:val="21"/>
              </w:rPr>
              <w:t>投标人</w:t>
            </w:r>
            <w:r>
              <w:rPr>
                <w:rFonts w:hint="eastAsia" w:ascii="宋体" w:hAnsi="宋体"/>
                <w:szCs w:val="21"/>
              </w:rPr>
              <w:t>对现场实际情况的了解和市场竞争因素，并结合企业实力自行确定。合同一旦签订，在合同履行期间，中标投标人的</w:t>
            </w:r>
            <w:r>
              <w:rPr>
                <w:rFonts w:hint="eastAsia" w:ascii="宋体" w:hAnsi="宋体"/>
              </w:rPr>
              <w:t>中标单价</w:t>
            </w:r>
            <w:r>
              <w:rPr>
                <w:rFonts w:hint="eastAsia" w:ascii="宋体" w:hAnsi="宋体"/>
                <w:szCs w:val="21"/>
              </w:rPr>
              <w:t>将不因售后服务及市场行情的变化而调整。</w:t>
            </w:r>
          </w:p>
        </w:tc>
      </w:tr>
      <w:tr w14:paraId="75354F13">
        <w:tblPrEx>
          <w:tblCellMar>
            <w:top w:w="0" w:type="dxa"/>
            <w:left w:w="0" w:type="dxa"/>
            <w:bottom w:w="0" w:type="dxa"/>
            <w:right w:w="0" w:type="dxa"/>
          </w:tblCellMar>
        </w:tblPrEx>
        <w:trPr>
          <w:trHeight w:val="462"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6EF6F03">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3.3.1</w:t>
            </w:r>
          </w:p>
        </w:tc>
        <w:tc>
          <w:tcPr>
            <w:tcW w:w="1265" w:type="pct"/>
            <w:tcBorders>
              <w:top w:val="single" w:color="auto" w:sz="4" w:space="0"/>
              <w:left w:val="single" w:color="auto" w:sz="4" w:space="0"/>
              <w:bottom w:val="single" w:color="auto" w:sz="4" w:space="0"/>
              <w:right w:val="single" w:color="auto" w:sz="4" w:space="0"/>
            </w:tcBorders>
            <w:vAlign w:val="center"/>
          </w:tcPr>
          <w:p w14:paraId="5ECE31B4">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3264" w:type="pct"/>
            <w:tcBorders>
              <w:top w:val="single" w:color="auto" w:sz="4" w:space="0"/>
              <w:left w:val="single" w:color="auto" w:sz="4" w:space="0"/>
              <w:bottom w:val="single" w:color="auto" w:sz="4" w:space="0"/>
              <w:right w:val="single" w:color="auto" w:sz="4" w:space="0"/>
            </w:tcBorders>
            <w:vAlign w:val="center"/>
          </w:tcPr>
          <w:p w14:paraId="42FECD10">
            <w:pPr>
              <w:spacing w:before="120" w:beforeLines="50" w:line="360" w:lineRule="auto"/>
              <w:ind w:left="105" w:leftChars="50"/>
              <w:jc w:val="left"/>
              <w:rPr>
                <w:rFonts w:asciiTheme="minorEastAsia" w:hAnsiTheme="minorEastAsia" w:eastAsiaTheme="minorEastAsia"/>
                <w:szCs w:val="21"/>
              </w:rPr>
            </w:pPr>
            <w:r>
              <w:rPr>
                <w:rFonts w:asciiTheme="minorEastAsia" w:hAnsiTheme="minorEastAsia" w:eastAsiaTheme="minorEastAsia"/>
                <w:szCs w:val="21"/>
              </w:rPr>
              <w:t>90</w:t>
            </w:r>
            <w:r>
              <w:rPr>
                <w:rFonts w:hint="eastAsia" w:asciiTheme="minorEastAsia" w:hAnsiTheme="minorEastAsia" w:eastAsiaTheme="minorEastAsia"/>
                <w:szCs w:val="21"/>
              </w:rPr>
              <w:t>日历天（从投标文件递交截止之日算起）。</w:t>
            </w:r>
          </w:p>
        </w:tc>
      </w:tr>
      <w:tr w14:paraId="4690AE62">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35BAB2C7">
            <w:pPr>
              <w:jc w:val="center"/>
              <w:rPr>
                <w:rFonts w:ascii="宋体" w:hAnsi="宋体"/>
              </w:rPr>
            </w:pPr>
            <w:r>
              <w:rPr>
                <w:rFonts w:hint="eastAsia" w:ascii="宋体" w:hAnsi="宋体"/>
              </w:rPr>
              <w:t>3.4</w:t>
            </w:r>
            <w:r>
              <w:rPr>
                <w:rFonts w:ascii="宋体" w:hAnsi="宋体"/>
              </w:rPr>
              <w:t>.1</w:t>
            </w:r>
          </w:p>
        </w:tc>
        <w:tc>
          <w:tcPr>
            <w:tcW w:w="1265" w:type="pct"/>
            <w:tcBorders>
              <w:top w:val="single" w:color="auto" w:sz="4" w:space="0"/>
              <w:left w:val="single" w:color="auto" w:sz="4" w:space="0"/>
              <w:bottom w:val="single" w:color="auto" w:sz="4" w:space="0"/>
              <w:right w:val="single" w:color="auto" w:sz="4" w:space="0"/>
            </w:tcBorders>
            <w:vAlign w:val="center"/>
          </w:tcPr>
          <w:p w14:paraId="73120CB4">
            <w:pPr>
              <w:pStyle w:val="28"/>
              <w:wordWrap w:val="0"/>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3264" w:type="pct"/>
            <w:tcBorders>
              <w:top w:val="single" w:color="auto" w:sz="4" w:space="0"/>
              <w:left w:val="single" w:color="auto" w:sz="4" w:space="0"/>
              <w:bottom w:val="single" w:color="auto" w:sz="4" w:space="0"/>
              <w:right w:val="single" w:color="auto" w:sz="4" w:space="0"/>
            </w:tcBorders>
            <w:vAlign w:val="center"/>
          </w:tcPr>
          <w:p w14:paraId="5EC123E6">
            <w:pPr>
              <w:spacing w:before="120" w:beforeLines="50"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本项目不要求投标人递交投标保证金。</w:t>
            </w:r>
          </w:p>
        </w:tc>
      </w:tr>
      <w:tr w14:paraId="69C81C9E">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09B57C94">
            <w:pPr>
              <w:wordWrap w:val="0"/>
              <w:autoSpaceDE w:val="0"/>
              <w:autoSpaceDN w:val="0"/>
              <w:spacing w:before="60" w:after="60"/>
              <w:contextualSpacing/>
              <w:jc w:val="center"/>
              <w:rPr>
                <w:rFonts w:asciiTheme="minorEastAsia" w:hAnsiTheme="minorEastAsia" w:eastAsiaTheme="minorEastAsia"/>
                <w:szCs w:val="21"/>
              </w:rPr>
            </w:pPr>
            <w:r>
              <w:rPr>
                <w:rFonts w:hint="eastAsia" w:asciiTheme="minorEastAsia" w:hAnsiTheme="minorEastAsia" w:eastAsiaTheme="minorEastAsia"/>
                <w:szCs w:val="21"/>
              </w:rPr>
              <w:t>3.5.1</w:t>
            </w:r>
          </w:p>
        </w:tc>
        <w:tc>
          <w:tcPr>
            <w:tcW w:w="1265" w:type="pct"/>
            <w:tcBorders>
              <w:top w:val="single" w:color="auto" w:sz="4" w:space="0"/>
              <w:left w:val="single" w:color="auto" w:sz="4" w:space="0"/>
              <w:bottom w:val="single" w:color="auto" w:sz="4" w:space="0"/>
              <w:right w:val="single" w:color="auto" w:sz="4" w:space="0"/>
            </w:tcBorders>
            <w:vAlign w:val="center"/>
          </w:tcPr>
          <w:p w14:paraId="254D2FB0">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近年财务状况的</w:t>
            </w:r>
          </w:p>
          <w:p w14:paraId="462A0E2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年份要求</w:t>
            </w:r>
          </w:p>
        </w:tc>
        <w:tc>
          <w:tcPr>
            <w:tcW w:w="3264" w:type="pct"/>
            <w:tcBorders>
              <w:top w:val="single" w:color="auto" w:sz="4" w:space="0"/>
              <w:left w:val="single" w:color="auto" w:sz="4" w:space="0"/>
              <w:bottom w:val="single" w:color="auto" w:sz="4" w:space="0"/>
              <w:right w:val="single" w:color="auto" w:sz="4" w:space="0"/>
            </w:tcBorders>
            <w:vAlign w:val="center"/>
          </w:tcPr>
          <w:p w14:paraId="24FF1CF9">
            <w:pPr>
              <w:wordWrap w:val="0"/>
              <w:autoSpaceDE w:val="0"/>
              <w:autoSpaceDN w:val="0"/>
              <w:spacing w:before="60" w:after="60"/>
              <w:ind w:left="105" w:leftChars="50" w:firstLine="14" w:firstLineChars="7"/>
              <w:contextualSpacing/>
              <w:rPr>
                <w:rFonts w:asciiTheme="minorEastAsia" w:hAnsiTheme="minorEastAsia" w:eastAsiaTheme="minorEastAsia"/>
                <w:szCs w:val="21"/>
              </w:rPr>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至202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年任意一年。</w:t>
            </w:r>
          </w:p>
        </w:tc>
      </w:tr>
      <w:tr w14:paraId="7807B3F4">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601B594">
            <w:pPr>
              <w:wordWrap w:val="0"/>
              <w:autoSpaceDE w:val="0"/>
              <w:autoSpaceDN w:val="0"/>
              <w:spacing w:before="60" w:after="60"/>
              <w:contextualSpacing/>
              <w:jc w:val="center"/>
              <w:rPr>
                <w:rFonts w:asciiTheme="minorEastAsia" w:hAnsiTheme="minorEastAsia" w:eastAsiaTheme="minorEastAsia"/>
                <w:szCs w:val="21"/>
              </w:rPr>
            </w:pPr>
            <w:r>
              <w:rPr>
                <w:rFonts w:hint="eastAsia" w:asciiTheme="minorEastAsia" w:hAnsiTheme="minorEastAsia" w:eastAsiaTheme="minorEastAsia"/>
                <w:szCs w:val="21"/>
              </w:rPr>
              <w:t>3.5.2</w:t>
            </w:r>
          </w:p>
        </w:tc>
        <w:tc>
          <w:tcPr>
            <w:tcW w:w="1265" w:type="pct"/>
            <w:tcBorders>
              <w:top w:val="single" w:color="auto" w:sz="4" w:space="0"/>
              <w:left w:val="single" w:color="auto" w:sz="4" w:space="0"/>
              <w:bottom w:val="single" w:color="auto" w:sz="4" w:space="0"/>
              <w:right w:val="single" w:color="auto" w:sz="4" w:space="0"/>
            </w:tcBorders>
            <w:vAlign w:val="center"/>
          </w:tcPr>
          <w:p w14:paraId="71244586">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没有重大违法记录的</w:t>
            </w:r>
          </w:p>
          <w:p w14:paraId="52C7E4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年份要求</w:t>
            </w:r>
          </w:p>
        </w:tc>
        <w:tc>
          <w:tcPr>
            <w:tcW w:w="3264" w:type="pct"/>
            <w:tcBorders>
              <w:top w:val="single" w:color="auto" w:sz="4" w:space="0"/>
              <w:left w:val="single" w:color="auto" w:sz="4" w:space="0"/>
              <w:bottom w:val="single" w:color="auto" w:sz="4" w:space="0"/>
              <w:right w:val="single" w:color="auto" w:sz="4" w:space="0"/>
            </w:tcBorders>
            <w:vAlign w:val="center"/>
          </w:tcPr>
          <w:p w14:paraId="57731430">
            <w:pPr>
              <w:wordWrap w:val="0"/>
              <w:autoSpaceDE w:val="0"/>
              <w:autoSpaceDN w:val="0"/>
              <w:ind w:left="105" w:leftChars="50"/>
              <w:contextualSpacing/>
              <w:rPr>
                <w:rFonts w:asciiTheme="minorEastAsia" w:hAnsiTheme="minorEastAsia" w:eastAsiaTheme="minorEastAsia"/>
                <w:szCs w:val="21"/>
              </w:rPr>
            </w:pPr>
            <w:r>
              <w:rPr>
                <w:rFonts w:hint="eastAsia" w:asciiTheme="minorEastAsia" w:hAnsiTheme="minorEastAsia" w:eastAsiaTheme="minorEastAsia"/>
                <w:szCs w:val="21"/>
              </w:rPr>
              <w:t>投标文件递交截止时间前三年内。</w:t>
            </w:r>
          </w:p>
        </w:tc>
      </w:tr>
      <w:tr w14:paraId="16AA05E2">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32BDA7C8">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3.7.1</w:t>
            </w:r>
          </w:p>
        </w:tc>
        <w:tc>
          <w:tcPr>
            <w:tcW w:w="1265" w:type="pct"/>
            <w:tcBorders>
              <w:top w:val="single" w:color="auto" w:sz="4" w:space="0"/>
              <w:left w:val="single" w:color="auto" w:sz="4" w:space="0"/>
              <w:bottom w:val="single" w:color="auto" w:sz="4" w:space="0"/>
              <w:right w:val="single" w:color="auto" w:sz="4" w:space="0"/>
            </w:tcBorders>
            <w:vAlign w:val="center"/>
          </w:tcPr>
          <w:p w14:paraId="4CCE9C50">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投标文件的格式</w:t>
            </w:r>
          </w:p>
        </w:tc>
        <w:tc>
          <w:tcPr>
            <w:tcW w:w="3264" w:type="pct"/>
            <w:tcBorders>
              <w:top w:val="single" w:color="auto" w:sz="4" w:space="0"/>
              <w:left w:val="single" w:color="auto" w:sz="4" w:space="0"/>
              <w:bottom w:val="single" w:color="auto" w:sz="4" w:space="0"/>
              <w:right w:val="single" w:color="auto" w:sz="4" w:space="0"/>
            </w:tcBorders>
            <w:vAlign w:val="center"/>
          </w:tcPr>
          <w:p w14:paraId="169B8394">
            <w:pPr>
              <w:spacing w:before="120" w:beforeLines="50"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1.投标文件全部采用电子文档，必须使用政府采购云平台下载的政采云电子投标客户端制作，并进行电子签章及加密后上传至政府采购云平台。编制要求见《电子投标文件编制要求》。</w:t>
            </w:r>
          </w:p>
          <w:p w14:paraId="539CEC73">
            <w:pPr>
              <w:spacing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如投标人递交的投标文件不符合以上要求的或开标时无法读取导入或解密的，其投标文件将不予受理。</w:t>
            </w:r>
          </w:p>
        </w:tc>
      </w:tr>
      <w:tr w14:paraId="2210A647">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251F74F">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3.7.3</w:t>
            </w:r>
          </w:p>
        </w:tc>
        <w:tc>
          <w:tcPr>
            <w:tcW w:w="1265" w:type="pct"/>
            <w:tcBorders>
              <w:top w:val="single" w:color="auto" w:sz="4" w:space="0"/>
              <w:left w:val="single" w:color="auto" w:sz="4" w:space="0"/>
              <w:bottom w:val="single" w:color="auto" w:sz="4" w:space="0"/>
              <w:right w:val="single" w:color="auto" w:sz="4" w:space="0"/>
            </w:tcBorders>
            <w:vAlign w:val="center"/>
          </w:tcPr>
          <w:p w14:paraId="19652175">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投标文件的签署</w:t>
            </w:r>
          </w:p>
        </w:tc>
        <w:tc>
          <w:tcPr>
            <w:tcW w:w="3264" w:type="pct"/>
            <w:tcBorders>
              <w:top w:val="single" w:color="auto" w:sz="4" w:space="0"/>
              <w:left w:val="single" w:color="auto" w:sz="4" w:space="0"/>
              <w:bottom w:val="single" w:color="auto" w:sz="4" w:space="0"/>
              <w:right w:val="single" w:color="auto" w:sz="4" w:space="0"/>
            </w:tcBorders>
          </w:tcPr>
          <w:p w14:paraId="2A3ECB51">
            <w:pPr>
              <w:spacing w:before="120" w:beforeLines="50" w:line="360" w:lineRule="auto"/>
              <w:ind w:left="105" w:leftChars="50" w:right="105" w:rightChars="5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按照第六章“投标文件格式”的要求，采用单位和个人数字证书电子签章，需要企业、法定代表人电子签章，相关声明及承诺需由法定代表人本人签署或电子签章，只需要在要求电子签章的地方进行电子签章，无需逐页电子签章。</w:t>
            </w:r>
          </w:p>
          <w:p w14:paraId="0D6D1D22">
            <w:pPr>
              <w:spacing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注：投标文件格式中的《中小企业声明函》、《残疾人福利性单位声明函》，</w:t>
            </w:r>
            <w:r>
              <w:rPr>
                <w:rFonts w:hint="eastAsia" w:ascii="宋体" w:hAnsi="宋体"/>
                <w:b/>
                <w:bCs/>
                <w:szCs w:val="21"/>
              </w:rPr>
              <w:t>非此类单位的，投标人无需填写及电子签章。</w:t>
            </w:r>
          </w:p>
        </w:tc>
      </w:tr>
      <w:tr w14:paraId="319CDDD2">
        <w:tblPrEx>
          <w:tblCellMar>
            <w:top w:w="0" w:type="dxa"/>
            <w:left w:w="0" w:type="dxa"/>
            <w:bottom w:w="0" w:type="dxa"/>
            <w:right w:w="0" w:type="dxa"/>
          </w:tblCellMar>
        </w:tblPrEx>
        <w:trPr>
          <w:trHeight w:val="411"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0B5DB67D">
            <w:pPr>
              <w:wordWrap w:val="0"/>
              <w:autoSpaceDE w:val="0"/>
              <w:autoSpaceDN w:val="0"/>
              <w:spacing w:before="60" w:after="60"/>
              <w:contextualSpacing/>
              <w:jc w:val="center"/>
              <w:rPr>
                <w:rFonts w:asciiTheme="minorEastAsia" w:hAnsiTheme="minorEastAsia" w:eastAsiaTheme="minorEastAsia"/>
                <w:szCs w:val="21"/>
              </w:rPr>
            </w:pPr>
            <w:r>
              <w:rPr>
                <w:rFonts w:asciiTheme="minorEastAsia" w:hAnsiTheme="minorEastAsia" w:eastAsiaTheme="minorEastAsia"/>
                <w:szCs w:val="21"/>
              </w:rPr>
              <w:t>4.1.1</w:t>
            </w:r>
          </w:p>
        </w:tc>
        <w:tc>
          <w:tcPr>
            <w:tcW w:w="1265" w:type="pct"/>
            <w:tcBorders>
              <w:top w:val="single" w:color="auto" w:sz="4" w:space="0"/>
              <w:left w:val="single" w:color="auto" w:sz="4" w:space="0"/>
              <w:bottom w:val="single" w:color="auto" w:sz="4" w:space="0"/>
              <w:right w:val="single" w:color="auto" w:sz="4" w:space="0"/>
            </w:tcBorders>
            <w:vAlign w:val="center"/>
          </w:tcPr>
          <w:p w14:paraId="4B372170">
            <w:pPr>
              <w:jc w:val="center"/>
              <w:rPr>
                <w:rFonts w:asciiTheme="minorEastAsia" w:hAnsiTheme="minorEastAsia" w:eastAsiaTheme="minorEastAsia"/>
                <w:szCs w:val="21"/>
              </w:rPr>
            </w:pPr>
            <w:r>
              <w:rPr>
                <w:rFonts w:hint="eastAsia" w:asciiTheme="minorEastAsia" w:hAnsiTheme="minorEastAsia" w:eastAsiaTheme="minorEastAsia"/>
                <w:szCs w:val="21"/>
              </w:rPr>
              <w:t>投标文件的加密</w:t>
            </w:r>
          </w:p>
        </w:tc>
        <w:tc>
          <w:tcPr>
            <w:tcW w:w="3264" w:type="pct"/>
            <w:tcBorders>
              <w:top w:val="single" w:color="auto" w:sz="4" w:space="0"/>
              <w:left w:val="single" w:color="auto" w:sz="4" w:space="0"/>
              <w:bottom w:val="single" w:color="auto" w:sz="4" w:space="0"/>
              <w:right w:val="single" w:color="auto" w:sz="4" w:space="0"/>
            </w:tcBorders>
          </w:tcPr>
          <w:p w14:paraId="7B561B04">
            <w:pPr>
              <w:spacing w:before="120" w:beforeLines="50" w:line="360" w:lineRule="auto"/>
              <w:ind w:left="105" w:leftChars="50"/>
              <w:jc w:val="left"/>
              <w:rPr>
                <w:rFonts w:asciiTheme="minorEastAsia" w:hAnsiTheme="minorEastAsia" w:eastAsiaTheme="minorEastAsia"/>
                <w:szCs w:val="21"/>
              </w:rPr>
            </w:pPr>
            <w:r>
              <w:rPr>
                <w:rFonts w:hint="eastAsia" w:asciiTheme="minorEastAsia" w:hAnsiTheme="minorEastAsia" w:eastAsiaTheme="minorEastAsia"/>
                <w:szCs w:val="21"/>
              </w:rPr>
              <w:t>网上递交的投标文件</w:t>
            </w:r>
            <w:r>
              <w:rPr>
                <w:rFonts w:asciiTheme="minorEastAsia" w:hAnsiTheme="minorEastAsia" w:eastAsiaTheme="minorEastAsia"/>
                <w:szCs w:val="21"/>
              </w:rPr>
              <w:t>应</w:t>
            </w:r>
            <w:r>
              <w:rPr>
                <w:rFonts w:hint="eastAsia" w:asciiTheme="minorEastAsia" w:hAnsiTheme="minorEastAsia" w:eastAsiaTheme="minorEastAsia"/>
                <w:szCs w:val="21"/>
              </w:rPr>
              <w:t>使用</w:t>
            </w:r>
            <w:r>
              <w:rPr>
                <w:rFonts w:asciiTheme="minorEastAsia" w:hAnsiTheme="minorEastAsia" w:eastAsiaTheme="minorEastAsia"/>
                <w:szCs w:val="21"/>
              </w:rPr>
              <w:t>数</w:t>
            </w:r>
            <w:r>
              <w:rPr>
                <w:rFonts w:hint="eastAsia" w:asciiTheme="minorEastAsia" w:hAnsiTheme="minorEastAsia" w:eastAsiaTheme="minorEastAsia"/>
                <w:szCs w:val="21"/>
              </w:rPr>
              <w:t>字</w:t>
            </w:r>
            <w:r>
              <w:rPr>
                <w:rFonts w:asciiTheme="minorEastAsia" w:hAnsiTheme="minorEastAsia" w:eastAsiaTheme="minorEastAsia"/>
                <w:szCs w:val="21"/>
              </w:rPr>
              <w:t>证书</w:t>
            </w:r>
            <w:r>
              <w:rPr>
                <w:rFonts w:hint="eastAsia" w:asciiTheme="minorEastAsia" w:hAnsiTheme="minorEastAsia" w:eastAsiaTheme="minorEastAsia"/>
                <w:szCs w:val="21"/>
              </w:rPr>
              <w:t>（CA）进行加密。</w:t>
            </w:r>
          </w:p>
        </w:tc>
      </w:tr>
      <w:tr w14:paraId="3C1BD924">
        <w:tblPrEx>
          <w:tblCellMar>
            <w:top w:w="0" w:type="dxa"/>
            <w:left w:w="0" w:type="dxa"/>
            <w:bottom w:w="0" w:type="dxa"/>
            <w:right w:w="0" w:type="dxa"/>
          </w:tblCellMar>
        </w:tblPrEx>
        <w:trPr>
          <w:trHeight w:val="132"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1762ACC2">
            <w:pPr>
              <w:wordWrap w:val="0"/>
              <w:autoSpaceDE w:val="0"/>
              <w:autoSpaceDN w:val="0"/>
              <w:spacing w:before="60" w:after="6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4.2.1</w:t>
            </w:r>
          </w:p>
        </w:tc>
        <w:tc>
          <w:tcPr>
            <w:tcW w:w="1265" w:type="pct"/>
            <w:tcBorders>
              <w:top w:val="single" w:color="auto" w:sz="4" w:space="0"/>
              <w:left w:val="single" w:color="auto" w:sz="4" w:space="0"/>
              <w:bottom w:val="single" w:color="auto" w:sz="4" w:space="0"/>
              <w:right w:val="single" w:color="auto" w:sz="4" w:space="0"/>
            </w:tcBorders>
            <w:vAlign w:val="center"/>
          </w:tcPr>
          <w:p w14:paraId="34F97CEF">
            <w:pPr>
              <w:wordWrap w:val="0"/>
              <w:autoSpaceDE w:val="0"/>
              <w:autoSpaceDN w:val="0"/>
              <w:spacing w:before="120" w:after="6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投标文件的递交</w:t>
            </w:r>
          </w:p>
        </w:tc>
        <w:tc>
          <w:tcPr>
            <w:tcW w:w="3264" w:type="pct"/>
            <w:tcBorders>
              <w:top w:val="single" w:color="auto" w:sz="4" w:space="0"/>
              <w:left w:val="single" w:color="auto" w:sz="4" w:space="0"/>
              <w:bottom w:val="single" w:color="auto" w:sz="4" w:space="0"/>
              <w:right w:val="single" w:color="auto" w:sz="4" w:space="0"/>
            </w:tcBorders>
          </w:tcPr>
          <w:p w14:paraId="2FF1151A">
            <w:pPr>
              <w:widowControl/>
              <w:wordWrap w:val="0"/>
              <w:spacing w:before="120" w:beforeLines="50" w:line="360" w:lineRule="auto"/>
              <w:ind w:left="105" w:leftChars="50" w:right="105" w:rightChars="50"/>
              <w:jc w:val="left"/>
              <w:rPr>
                <w:rFonts w:asciiTheme="minorEastAsia" w:hAnsiTheme="minorEastAsia" w:eastAsiaTheme="minorEastAsia"/>
                <w:szCs w:val="21"/>
              </w:rPr>
            </w:pPr>
            <w:r>
              <w:rPr>
                <w:rFonts w:hint="eastAsia" w:asciiTheme="minorEastAsia" w:hAnsiTheme="minorEastAsia" w:eastAsiaTheme="minorEastAsia"/>
                <w:szCs w:val="21"/>
              </w:rPr>
              <w:t>本项目为全流程电子化项目。凡有意参与投标者，请自行前往政府采购云平台“客户端&amp;驱动下载”网页（网址：https://customer.zcygov.cn/CA-driver-download?utm=web-ca-front.3ddc8fbb.0.0.91c6cff0db1311ec8cfbc9f613d30204）下载并安装“政采云投标客户端”。投标人按照招标文件和政府采购云平台的要求编制、加密电子投标文件，投标文件在递交截止时间前未完成上传的，视为撤回投标文件。投标人在政府采购云平台递交电子版投标文件时，请填写参与远程开标活动经办人的联系方式。</w:t>
            </w:r>
          </w:p>
          <w:p w14:paraId="622C9093">
            <w:pPr>
              <w:widowControl/>
              <w:wordWrap w:val="0"/>
              <w:spacing w:line="360" w:lineRule="auto"/>
              <w:ind w:left="105" w:leftChars="50" w:right="105" w:rightChars="50"/>
              <w:jc w:val="left"/>
              <w:rPr>
                <w:rFonts w:asciiTheme="minorEastAsia" w:hAnsiTheme="minorEastAsia" w:eastAsiaTheme="minorEastAsia"/>
                <w:szCs w:val="21"/>
              </w:rPr>
            </w:pPr>
            <w:r>
              <w:rPr>
                <w:rFonts w:hint="eastAsia" w:asciiTheme="minorEastAsia" w:hAnsiTheme="minorEastAsia" w:eastAsiaTheme="minorEastAsia"/>
                <w:bCs/>
                <w:szCs w:val="21"/>
              </w:rPr>
              <w:t>注：投标人应在投标文件递交截止时间前完成电子投标文件的上传、递交，投标文件递交截止时间前可以补充、修改或者撤回电子投标文件。补充或者修改投标文件的，应当先行撤回原文件，补充、修改后重新上传、递交。投标文件递交截止时间前未完成上传、递交的，视为撤回投标文件。投标文件递交截止时间以后上传递交的，视为无效。纸质投标文件投标时不提交，中标人在签订合同前应提交纸质投标文件贰份。</w:t>
            </w:r>
          </w:p>
        </w:tc>
      </w:tr>
      <w:tr w14:paraId="7BC93406">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0C10BBA4">
            <w:pPr>
              <w:spacing w:before="120" w:beforeLines="50" w:line="360" w:lineRule="auto"/>
              <w:jc w:val="center"/>
              <w:rPr>
                <w:rFonts w:asciiTheme="minorEastAsia" w:hAnsiTheme="minorEastAsia" w:eastAsiaTheme="minorEastAsia"/>
                <w:szCs w:val="21"/>
              </w:rPr>
            </w:pPr>
            <w:r>
              <w:rPr>
                <w:rFonts w:asciiTheme="minorEastAsia" w:hAnsiTheme="minorEastAsia" w:eastAsiaTheme="minorEastAsia"/>
                <w:szCs w:val="21"/>
              </w:rPr>
              <w:t>4.2.2</w:t>
            </w:r>
          </w:p>
        </w:tc>
        <w:tc>
          <w:tcPr>
            <w:tcW w:w="1265" w:type="pct"/>
            <w:tcBorders>
              <w:top w:val="single" w:color="auto" w:sz="4" w:space="0"/>
              <w:left w:val="single" w:color="auto" w:sz="4" w:space="0"/>
              <w:bottom w:val="single" w:color="auto" w:sz="4" w:space="0"/>
              <w:right w:val="single" w:color="auto" w:sz="4" w:space="0"/>
            </w:tcBorders>
            <w:vAlign w:val="center"/>
          </w:tcPr>
          <w:p w14:paraId="2DF0451B">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是否退还投标文件</w:t>
            </w:r>
          </w:p>
        </w:tc>
        <w:tc>
          <w:tcPr>
            <w:tcW w:w="3264" w:type="pct"/>
            <w:tcBorders>
              <w:top w:val="single" w:color="auto" w:sz="4" w:space="0"/>
              <w:left w:val="single" w:color="auto" w:sz="4" w:space="0"/>
              <w:bottom w:val="single" w:color="auto" w:sz="4" w:space="0"/>
              <w:right w:val="single" w:color="auto" w:sz="4" w:space="0"/>
            </w:tcBorders>
            <w:vAlign w:val="center"/>
          </w:tcPr>
          <w:p w14:paraId="20050607">
            <w:pPr>
              <w:spacing w:before="120" w:beforeLines="50" w:line="360"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否。</w:t>
            </w:r>
          </w:p>
        </w:tc>
      </w:tr>
      <w:tr w14:paraId="4CF43072">
        <w:tblPrEx>
          <w:tblCellMar>
            <w:top w:w="0" w:type="dxa"/>
            <w:left w:w="0" w:type="dxa"/>
            <w:bottom w:w="0" w:type="dxa"/>
            <w:right w:w="0" w:type="dxa"/>
          </w:tblCellMar>
        </w:tblPrEx>
        <w:trPr>
          <w:trHeight w:val="5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AE27566">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5.1</w:t>
            </w:r>
          </w:p>
        </w:tc>
        <w:tc>
          <w:tcPr>
            <w:tcW w:w="1265" w:type="pct"/>
            <w:tcBorders>
              <w:top w:val="single" w:color="auto" w:sz="4" w:space="0"/>
              <w:left w:val="single" w:color="auto" w:sz="4" w:space="0"/>
              <w:bottom w:val="single" w:color="auto" w:sz="4" w:space="0"/>
              <w:right w:val="single" w:color="auto" w:sz="4" w:space="0"/>
            </w:tcBorders>
            <w:vAlign w:val="center"/>
          </w:tcPr>
          <w:p w14:paraId="7C978248">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3264" w:type="pct"/>
            <w:tcBorders>
              <w:top w:val="single" w:color="auto" w:sz="4" w:space="0"/>
              <w:left w:val="single" w:color="auto" w:sz="4" w:space="0"/>
              <w:bottom w:val="single" w:color="auto" w:sz="4" w:space="0"/>
              <w:right w:val="single" w:color="auto" w:sz="4" w:space="0"/>
            </w:tcBorders>
          </w:tcPr>
          <w:p w14:paraId="75C3909C">
            <w:pPr>
              <w:spacing w:before="120" w:beforeLines="50"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开标时间：同投标截止时间；</w:t>
            </w:r>
          </w:p>
          <w:p w14:paraId="0F39300C">
            <w:pPr>
              <w:autoSpaceDE w:val="0"/>
              <w:autoSpaceDN w:val="0"/>
              <w:spacing w:before="60" w:after="60" w:line="360" w:lineRule="auto"/>
              <w:ind w:left="105" w:leftChars="50" w:right="105" w:rightChars="50" w:firstLine="14" w:firstLineChars="7"/>
              <w:contextualSpacing/>
              <w:rPr>
                <w:rFonts w:asciiTheme="minorEastAsia" w:hAnsiTheme="minorEastAsia" w:eastAsiaTheme="minorEastAsia"/>
                <w:szCs w:val="21"/>
              </w:rPr>
            </w:pPr>
            <w:r>
              <w:rPr>
                <w:rFonts w:hint="eastAsia" w:asciiTheme="minorEastAsia" w:hAnsiTheme="minorEastAsia" w:eastAsiaTheme="minorEastAsia"/>
                <w:szCs w:val="21"/>
              </w:rPr>
              <w:t>开标地点：政府采购云平台（网址：https://www.zcygov.cn/）。</w:t>
            </w:r>
          </w:p>
        </w:tc>
      </w:tr>
      <w:tr w14:paraId="20B73BA9">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036B2F9E">
            <w:pPr>
              <w:wordWrap w:val="0"/>
              <w:autoSpaceDE w:val="0"/>
              <w:autoSpaceDN w:val="0"/>
              <w:spacing w:before="60" w:after="6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5.2</w:t>
            </w:r>
          </w:p>
        </w:tc>
        <w:tc>
          <w:tcPr>
            <w:tcW w:w="1265" w:type="pct"/>
            <w:tcBorders>
              <w:top w:val="single" w:color="auto" w:sz="4" w:space="0"/>
              <w:left w:val="single" w:color="auto" w:sz="4" w:space="0"/>
              <w:bottom w:val="single" w:color="auto" w:sz="4" w:space="0"/>
              <w:right w:val="single" w:color="auto" w:sz="4" w:space="0"/>
            </w:tcBorders>
            <w:vAlign w:val="center"/>
          </w:tcPr>
          <w:p w14:paraId="53AE07E9">
            <w:pPr>
              <w:wordWrap w:val="0"/>
              <w:autoSpaceDE w:val="0"/>
              <w:autoSpaceDN w:val="0"/>
              <w:spacing w:before="60" w:after="60"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开标程序</w:t>
            </w:r>
          </w:p>
        </w:tc>
        <w:tc>
          <w:tcPr>
            <w:tcW w:w="3264" w:type="pct"/>
            <w:tcBorders>
              <w:top w:val="single" w:color="auto" w:sz="4" w:space="0"/>
              <w:left w:val="single" w:color="auto" w:sz="4" w:space="0"/>
              <w:bottom w:val="single" w:color="auto" w:sz="4" w:space="0"/>
              <w:right w:val="single" w:color="auto" w:sz="4" w:space="0"/>
            </w:tcBorders>
          </w:tcPr>
          <w:p w14:paraId="2C613D4C">
            <w:pPr>
              <w:spacing w:before="120" w:beforeLines="50" w:line="360" w:lineRule="auto"/>
              <w:ind w:left="105" w:leftChars="50" w:right="105" w:rightChars="50"/>
              <w:jc w:val="left"/>
              <w:rPr>
                <w:rFonts w:asciiTheme="minorEastAsia" w:hAnsiTheme="minorEastAsia" w:eastAsiaTheme="minorEastAsia"/>
                <w:szCs w:val="21"/>
              </w:rPr>
            </w:pPr>
            <w:r>
              <w:rPr>
                <w:rFonts w:hint="eastAsia" w:asciiTheme="minorEastAsia" w:hAnsiTheme="minorEastAsia" w:eastAsiaTheme="minorEastAsia"/>
                <w:szCs w:val="21"/>
              </w:rPr>
              <w:t>本项目的开标程序如下：</w:t>
            </w:r>
          </w:p>
          <w:p w14:paraId="4900C9CA">
            <w:pPr>
              <w:spacing w:line="360" w:lineRule="auto"/>
              <w:ind w:left="105" w:leftChars="50" w:right="105" w:rightChars="50"/>
              <w:jc w:val="left"/>
              <w:rPr>
                <w:rFonts w:asciiTheme="minorEastAsia" w:hAnsiTheme="minorEastAsia" w:eastAsiaTheme="minorEastAsia"/>
                <w:szCs w:val="21"/>
              </w:rPr>
            </w:pPr>
            <w:r>
              <w:rPr>
                <w:rFonts w:hint="eastAsia" w:asciiTheme="minorEastAsia" w:hAnsiTheme="minorEastAsia" w:eastAsiaTheme="minorEastAsia"/>
                <w:szCs w:val="21"/>
              </w:rPr>
              <w:t>至投标文件递交截止时间止，采购代理机构的工作人员登录进入政府采购云平台，按照政府采购云平台的操作流程完成开标程序。</w:t>
            </w:r>
          </w:p>
          <w:p w14:paraId="23B05156">
            <w:pPr>
              <w:spacing w:line="360" w:lineRule="auto"/>
              <w:ind w:left="105" w:leftChars="50" w:right="105" w:rightChars="50"/>
              <w:jc w:val="left"/>
              <w:rPr>
                <w:rFonts w:asciiTheme="minorEastAsia" w:hAnsiTheme="minorEastAsia" w:eastAsiaTheme="minorEastAsia"/>
                <w:szCs w:val="21"/>
              </w:rPr>
            </w:pPr>
            <w:r>
              <w:rPr>
                <w:rFonts w:hint="eastAsia" w:asciiTheme="minorEastAsia" w:hAnsiTheme="minorEastAsia" w:eastAsiaTheme="minorEastAsia"/>
                <w:szCs w:val="21"/>
              </w:rPr>
              <w:t>注：因投标人原因造成投标文件未解密的，视为撤销其投标文件。</w:t>
            </w:r>
          </w:p>
        </w:tc>
      </w:tr>
      <w:tr w14:paraId="51078EE3">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DCEA723">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5.3</w:t>
            </w:r>
          </w:p>
        </w:tc>
        <w:tc>
          <w:tcPr>
            <w:tcW w:w="1265" w:type="pct"/>
            <w:tcBorders>
              <w:top w:val="single" w:color="auto" w:sz="4" w:space="0"/>
              <w:left w:val="single" w:color="auto" w:sz="4" w:space="0"/>
              <w:bottom w:val="single" w:color="auto" w:sz="4" w:space="0"/>
              <w:right w:val="single" w:color="auto" w:sz="4" w:space="0"/>
            </w:tcBorders>
            <w:vAlign w:val="center"/>
          </w:tcPr>
          <w:p w14:paraId="76C54936">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投标文件的解密方式</w:t>
            </w:r>
          </w:p>
        </w:tc>
        <w:tc>
          <w:tcPr>
            <w:tcW w:w="3264" w:type="pct"/>
            <w:tcBorders>
              <w:top w:val="single" w:color="auto" w:sz="4" w:space="0"/>
              <w:left w:val="single" w:color="auto" w:sz="4" w:space="0"/>
              <w:bottom w:val="single" w:color="auto" w:sz="4" w:space="0"/>
              <w:right w:val="single" w:color="auto" w:sz="4" w:space="0"/>
            </w:tcBorders>
          </w:tcPr>
          <w:p w14:paraId="67434B56">
            <w:pPr>
              <w:spacing w:before="120" w:beforeLines="50" w:line="360" w:lineRule="auto"/>
              <w:ind w:left="105" w:leftChars="50" w:right="105" w:rightChars="50"/>
              <w:jc w:val="left"/>
              <w:rPr>
                <w:rFonts w:asciiTheme="minorEastAsia" w:hAnsiTheme="minorEastAsia" w:eastAsiaTheme="minorEastAsia"/>
                <w:szCs w:val="21"/>
              </w:rPr>
            </w:pPr>
            <w:r>
              <w:rPr>
                <w:rFonts w:hint="eastAsia" w:asciiTheme="minorEastAsia" w:hAnsiTheme="minorEastAsia" w:eastAsiaTheme="minorEastAsia"/>
                <w:bCs/>
                <w:szCs w:val="21"/>
              </w:rPr>
              <w:t>在线解密。投标人须提前在自有场地配置有音视频通话（带摄像头及话筒的电脑）功能的相应设备及稳定网络的环境下，并按政府采购云平台开标大厅中的提示完成采购活动</w:t>
            </w:r>
            <w:r>
              <w:rPr>
                <w:rFonts w:hint="eastAsia" w:asciiTheme="minorEastAsia" w:hAnsiTheme="minorEastAsia" w:eastAsiaTheme="minorEastAsia"/>
                <w:bCs/>
                <w:snapToGrid w:val="0"/>
                <w:szCs w:val="21"/>
              </w:rPr>
              <w:t>。</w:t>
            </w:r>
          </w:p>
        </w:tc>
      </w:tr>
      <w:tr w14:paraId="5EB6B8DE">
        <w:tblPrEx>
          <w:tblCellMar>
            <w:top w:w="0" w:type="dxa"/>
            <w:left w:w="0" w:type="dxa"/>
            <w:bottom w:w="0" w:type="dxa"/>
            <w:right w:w="0" w:type="dxa"/>
          </w:tblCellMar>
        </w:tblPrEx>
        <w:trPr>
          <w:trHeight w:val="27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87834FE">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6.1.1</w:t>
            </w:r>
          </w:p>
        </w:tc>
        <w:tc>
          <w:tcPr>
            <w:tcW w:w="1265" w:type="pct"/>
            <w:tcBorders>
              <w:top w:val="single" w:color="auto" w:sz="4" w:space="0"/>
              <w:left w:val="single" w:color="auto" w:sz="4" w:space="0"/>
              <w:bottom w:val="single" w:color="auto" w:sz="4" w:space="0"/>
              <w:right w:val="single" w:color="auto" w:sz="4" w:space="0"/>
            </w:tcBorders>
            <w:vAlign w:val="center"/>
          </w:tcPr>
          <w:p w14:paraId="5FC00EFA">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评标委员会</w:t>
            </w:r>
            <w:r>
              <w:rPr>
                <w:rFonts w:asciiTheme="minorEastAsia" w:hAnsiTheme="minorEastAsia" w:eastAsiaTheme="minorEastAsia"/>
                <w:szCs w:val="21"/>
              </w:rPr>
              <w:t>的组建</w:t>
            </w:r>
          </w:p>
        </w:tc>
        <w:tc>
          <w:tcPr>
            <w:tcW w:w="3264" w:type="pct"/>
            <w:tcBorders>
              <w:top w:val="single" w:color="auto" w:sz="4" w:space="0"/>
              <w:left w:val="single" w:color="auto" w:sz="4" w:space="0"/>
              <w:bottom w:val="single" w:color="auto" w:sz="4" w:space="0"/>
              <w:right w:val="single" w:color="auto" w:sz="4" w:space="0"/>
            </w:tcBorders>
            <w:vAlign w:val="center"/>
          </w:tcPr>
          <w:p w14:paraId="4F9967B6">
            <w:pPr>
              <w:spacing w:before="120" w:beforeLines="50"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评标委员会</w:t>
            </w:r>
            <w:r>
              <w:rPr>
                <w:rFonts w:asciiTheme="minorEastAsia" w:hAnsiTheme="minorEastAsia" w:eastAsiaTheme="minorEastAsia"/>
                <w:szCs w:val="21"/>
              </w:rPr>
              <w:t>人数：</w:t>
            </w:r>
            <w:r>
              <w:rPr>
                <w:rFonts w:hint="eastAsia" w:asciiTheme="minorEastAsia" w:hAnsiTheme="minorEastAsia" w:eastAsiaTheme="minorEastAsia"/>
                <w:szCs w:val="21"/>
              </w:rPr>
              <w:t>5</w:t>
            </w:r>
            <w:r>
              <w:rPr>
                <w:rFonts w:asciiTheme="minorEastAsia" w:hAnsiTheme="minorEastAsia" w:eastAsiaTheme="minorEastAsia"/>
                <w:szCs w:val="21"/>
              </w:rPr>
              <w:t>人</w:t>
            </w:r>
            <w:r>
              <w:rPr>
                <w:rFonts w:hint="eastAsia" w:asciiTheme="minorEastAsia" w:hAnsiTheme="minorEastAsia" w:eastAsiaTheme="minorEastAsia"/>
                <w:szCs w:val="21"/>
              </w:rPr>
              <w:t>及</w:t>
            </w:r>
            <w:r>
              <w:rPr>
                <w:rFonts w:asciiTheme="minorEastAsia" w:hAnsiTheme="minorEastAsia" w:eastAsiaTheme="minorEastAsia"/>
                <w:szCs w:val="21"/>
              </w:rPr>
              <w:t>以上单数。</w:t>
            </w:r>
          </w:p>
          <w:p w14:paraId="1F98E5F5">
            <w:pPr>
              <w:spacing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评审成员</w:t>
            </w:r>
            <w:r>
              <w:rPr>
                <w:rFonts w:asciiTheme="minorEastAsia" w:hAnsiTheme="minorEastAsia" w:eastAsiaTheme="minorEastAsia"/>
                <w:szCs w:val="21"/>
              </w:rPr>
              <w:t>确定方式：</w:t>
            </w:r>
            <w:r>
              <w:rPr>
                <w:rFonts w:hint="eastAsia" w:asciiTheme="minorEastAsia" w:hAnsiTheme="minorEastAsia" w:eastAsiaTheme="minorEastAsia"/>
                <w:szCs w:val="21"/>
              </w:rPr>
              <w:t>由采购人代表和“云南省政府采购评标专家库”中随机抽取的技术、经济方面的专家组成</w:t>
            </w:r>
            <w:r>
              <w:rPr>
                <w:rFonts w:asciiTheme="minorEastAsia" w:hAnsiTheme="minorEastAsia" w:eastAsiaTheme="minorEastAsia"/>
                <w:szCs w:val="21"/>
              </w:rPr>
              <w:t>。</w:t>
            </w:r>
          </w:p>
        </w:tc>
      </w:tr>
      <w:tr w14:paraId="0DA6143F">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2BF2995">
            <w:pPr>
              <w:wordWrap w:val="0"/>
              <w:autoSpaceDE w:val="0"/>
              <w:autoSpaceDN w:val="0"/>
              <w:spacing w:line="360" w:lineRule="auto"/>
              <w:contextualSpacing/>
              <w:jc w:val="center"/>
              <w:rPr>
                <w:rFonts w:asciiTheme="minorEastAsia" w:hAnsiTheme="minorEastAsia" w:eastAsiaTheme="minorEastAsia"/>
                <w:szCs w:val="21"/>
              </w:rPr>
            </w:pPr>
            <w:r>
              <w:rPr>
                <w:rFonts w:hint="eastAsia" w:asciiTheme="minorEastAsia" w:hAnsiTheme="minorEastAsia" w:eastAsiaTheme="minorEastAsia"/>
                <w:szCs w:val="21"/>
              </w:rPr>
              <w:t>7.1</w:t>
            </w:r>
          </w:p>
        </w:tc>
        <w:tc>
          <w:tcPr>
            <w:tcW w:w="1265" w:type="pct"/>
            <w:tcBorders>
              <w:top w:val="single" w:color="auto" w:sz="4" w:space="0"/>
              <w:left w:val="single" w:color="auto" w:sz="4" w:space="0"/>
              <w:bottom w:val="single" w:color="auto" w:sz="4" w:space="0"/>
              <w:right w:val="single" w:color="auto" w:sz="4" w:space="0"/>
            </w:tcBorders>
            <w:vAlign w:val="center"/>
          </w:tcPr>
          <w:p w14:paraId="41A2922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w:t>
            </w:r>
          </w:p>
          <w:p w14:paraId="4386F00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确定中标投标人</w:t>
            </w:r>
          </w:p>
        </w:tc>
        <w:tc>
          <w:tcPr>
            <w:tcW w:w="3264" w:type="pct"/>
            <w:tcBorders>
              <w:top w:val="single" w:color="auto" w:sz="4" w:space="0"/>
              <w:left w:val="single" w:color="auto" w:sz="4" w:space="0"/>
              <w:bottom w:val="single" w:color="auto" w:sz="4" w:space="0"/>
              <w:right w:val="single" w:color="auto" w:sz="4" w:space="0"/>
            </w:tcBorders>
            <w:vAlign w:val="center"/>
          </w:tcPr>
          <w:p w14:paraId="5D21B876">
            <w:pPr>
              <w:spacing w:before="120" w:beforeLines="50"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否。由评标委员会根据第三章“评标办法”的相关规定推荐1～3名中标候选人，采购人根据评标委员会的推荐顺序确定中标投标人。</w:t>
            </w:r>
          </w:p>
        </w:tc>
      </w:tr>
      <w:tr w14:paraId="4F05C179">
        <w:tblPrEx>
          <w:tblCellMar>
            <w:top w:w="0" w:type="dxa"/>
            <w:left w:w="0" w:type="dxa"/>
            <w:bottom w:w="0" w:type="dxa"/>
            <w:right w:w="0" w:type="dxa"/>
          </w:tblCellMar>
        </w:tblPrEx>
        <w:trPr>
          <w:trHeight w:val="567"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183D5C9">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7.3</w:t>
            </w:r>
          </w:p>
        </w:tc>
        <w:tc>
          <w:tcPr>
            <w:tcW w:w="1265" w:type="pct"/>
            <w:tcBorders>
              <w:top w:val="single" w:color="auto" w:sz="4" w:space="0"/>
              <w:left w:val="single" w:color="auto" w:sz="4" w:space="0"/>
              <w:bottom w:val="single" w:color="auto" w:sz="4" w:space="0"/>
              <w:right w:val="single" w:color="auto" w:sz="4" w:space="0"/>
            </w:tcBorders>
            <w:vAlign w:val="center"/>
          </w:tcPr>
          <w:p w14:paraId="134FB125">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履约担保</w:t>
            </w:r>
          </w:p>
        </w:tc>
        <w:tc>
          <w:tcPr>
            <w:tcW w:w="3264" w:type="pct"/>
            <w:tcBorders>
              <w:top w:val="single" w:color="auto" w:sz="4" w:space="0"/>
              <w:left w:val="single" w:color="auto" w:sz="4" w:space="0"/>
              <w:bottom w:val="single" w:color="auto" w:sz="4" w:space="0"/>
              <w:right w:val="single" w:color="auto" w:sz="4" w:space="0"/>
            </w:tcBorders>
            <w:vAlign w:val="center"/>
          </w:tcPr>
          <w:p w14:paraId="44487A9B">
            <w:pPr>
              <w:keepNext w:val="0"/>
              <w:keepLines w:val="0"/>
              <w:pageBreakBefore w:val="0"/>
              <w:kinsoku/>
              <w:wordWrap/>
              <w:overflowPunct/>
              <w:topLinePunct/>
              <w:autoSpaceDE w:val="0"/>
              <w:autoSpaceDN w:val="0"/>
              <w:bidi w:val="0"/>
              <w:adjustRightInd w:val="0"/>
              <w:snapToGrid w:val="0"/>
              <w:spacing w:after="0" w:line="360" w:lineRule="auto"/>
              <w:ind w:left="0" w:leftChars="0" w:firstLine="0" w:firstLineChars="0"/>
              <w:textAlignment w:val="auto"/>
              <w:rPr>
                <w:rFonts w:hint="eastAsia" w:ascii="宋体" w:hAnsi="宋体" w:eastAsia="宋体" w:cs="宋体"/>
                <w:b w:val="0"/>
                <w:bCs w:val="0"/>
                <w:snapToGrid w:val="0"/>
                <w:color w:val="auto"/>
                <w:sz w:val="21"/>
                <w:szCs w:val="21"/>
                <w:highlight w:val="none"/>
                <w:lang w:val="zh-CN"/>
              </w:rPr>
            </w:pPr>
            <w:r>
              <w:rPr>
                <w:rFonts w:hint="eastAsia" w:ascii="宋体" w:hAnsi="宋体" w:eastAsia="宋体" w:cs="宋体"/>
                <w:b w:val="0"/>
                <w:bCs w:val="0"/>
                <w:color w:val="auto"/>
                <w:sz w:val="21"/>
                <w:szCs w:val="21"/>
                <w:highlight w:val="none"/>
              </w:rPr>
              <w:sym w:font="Wingdings 2" w:char="0052"/>
            </w:r>
            <w:r>
              <w:rPr>
                <w:rFonts w:hint="eastAsia" w:ascii="宋体" w:hAnsi="宋体" w:eastAsia="宋体" w:cs="宋体"/>
                <w:b w:val="0"/>
                <w:bCs w:val="0"/>
                <w:color w:val="auto"/>
                <w:sz w:val="21"/>
                <w:szCs w:val="21"/>
                <w:highlight w:val="none"/>
              </w:rPr>
              <w:t>不要求提供</w:t>
            </w:r>
          </w:p>
          <w:p w14:paraId="0A2EF1AD">
            <w:pPr>
              <w:pStyle w:val="51"/>
              <w:keepNext w:val="0"/>
              <w:keepLines w:val="0"/>
              <w:pageBreakBefore w:val="0"/>
              <w:widowControl/>
              <w:kinsoku/>
              <w:wordWrap/>
              <w:overflowPunct/>
              <w:bidi w:val="0"/>
              <w:spacing w:beforeAutospacing="0" w:afterAutospacing="0" w:line="360" w:lineRule="auto"/>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sym w:font="Wingdings 2" w:char="00A3"/>
            </w:r>
            <w:r>
              <w:rPr>
                <w:rFonts w:hint="eastAsia" w:ascii="宋体" w:hAnsi="宋体" w:eastAsia="宋体" w:cs="宋体"/>
                <w:b w:val="0"/>
                <w:bCs w:val="0"/>
                <w:color w:val="auto"/>
                <w:sz w:val="21"/>
                <w:szCs w:val="21"/>
                <w:highlight w:val="none"/>
              </w:rPr>
              <w:t>要求提供：</w:t>
            </w:r>
          </w:p>
          <w:p w14:paraId="47F78843">
            <w:pPr>
              <w:pStyle w:val="51"/>
              <w:keepNext w:val="0"/>
              <w:keepLines w:val="0"/>
              <w:pageBreakBefore w:val="0"/>
              <w:widowControl/>
              <w:kinsoku/>
              <w:wordWrap/>
              <w:overflowPunct/>
              <w:bidi w:val="0"/>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履约保证金金额：</w:t>
            </w:r>
            <w:r>
              <w:rPr>
                <w:rFonts w:hint="eastAsia" w:ascii="宋体" w:hAnsi="宋体" w:cs="宋体"/>
                <w:b/>
                <w:bCs/>
                <w:color w:val="auto"/>
                <w:sz w:val="21"/>
                <w:szCs w:val="21"/>
                <w:u w:val="single"/>
                <w:lang w:val="en-US" w:eastAsia="zh-CN" w:bidi="ar"/>
              </w:rPr>
              <w:t xml:space="preserve">           </w:t>
            </w:r>
            <w:r>
              <w:rPr>
                <w:rFonts w:hint="eastAsia" w:ascii="宋体" w:hAnsi="宋体" w:eastAsia="宋体" w:cs="宋体"/>
                <w:color w:val="auto"/>
                <w:sz w:val="21"/>
                <w:szCs w:val="21"/>
                <w:lang w:bidi="ar"/>
              </w:rPr>
              <w:t>；</w:t>
            </w:r>
          </w:p>
          <w:p w14:paraId="306243E5">
            <w:pPr>
              <w:pStyle w:val="51"/>
              <w:keepNext w:val="0"/>
              <w:keepLines w:val="0"/>
              <w:pageBreakBefore w:val="0"/>
              <w:widowControl/>
              <w:kinsoku/>
              <w:wordWrap/>
              <w:overflowPunct/>
              <w:bidi w:val="0"/>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履约保证金形式：</w:t>
            </w:r>
            <w:r>
              <w:rPr>
                <w:rFonts w:hint="eastAsia" w:ascii="宋体" w:hAnsi="宋体" w:eastAsia="宋体" w:cs="宋体"/>
                <w:color w:val="auto"/>
                <w:sz w:val="21"/>
                <w:szCs w:val="21"/>
                <w:lang w:val="en-US" w:eastAsia="zh-CN" w:bidi="ar"/>
              </w:rPr>
              <w:t>投标人</w:t>
            </w:r>
            <w:r>
              <w:rPr>
                <w:rFonts w:hint="eastAsia" w:ascii="宋体" w:hAnsi="宋体" w:eastAsia="宋体" w:cs="宋体"/>
                <w:color w:val="auto"/>
                <w:sz w:val="21"/>
                <w:szCs w:val="21"/>
                <w:lang w:bidi="ar"/>
              </w:rPr>
              <w:t>应当以支票、汇票、本票或者金融机构、担保机构出具的保函等非现金形式提交。</w:t>
            </w:r>
          </w:p>
          <w:p w14:paraId="5F9EF134">
            <w:pPr>
              <w:spacing w:line="360" w:lineRule="auto"/>
              <w:ind w:right="105" w:rightChars="50"/>
              <w:jc w:val="left"/>
              <w:rPr>
                <w:rFonts w:ascii="宋体" w:hAnsi="宋体" w:cs="宋体"/>
                <w:szCs w:val="21"/>
              </w:rPr>
            </w:pPr>
            <w:r>
              <w:rPr>
                <w:rFonts w:hint="eastAsia" w:ascii="宋体" w:hAnsi="宋体" w:eastAsia="宋体" w:cs="宋体"/>
                <w:color w:val="auto"/>
                <w:sz w:val="21"/>
                <w:szCs w:val="21"/>
                <w:shd w:val="clear" w:color="auto" w:fill="FFFFFF"/>
                <w:lang w:bidi="ar"/>
              </w:rPr>
              <w:t>履约担保期限</w:t>
            </w:r>
            <w:r>
              <w:rPr>
                <w:rFonts w:hint="eastAsia" w:ascii="宋体" w:hAnsi="宋体" w:eastAsia="宋体" w:cs="宋体"/>
                <w:color w:val="auto"/>
                <w:sz w:val="21"/>
                <w:szCs w:val="21"/>
                <w:shd w:val="clear" w:color="auto" w:fill="FFFFFF"/>
                <w:lang w:val="en-US" w:eastAsia="zh-CN" w:bidi="ar"/>
              </w:rPr>
              <w:t>及退还</w:t>
            </w:r>
            <w:r>
              <w:rPr>
                <w:rFonts w:hint="eastAsia" w:ascii="宋体" w:hAnsi="宋体" w:eastAsia="宋体" w:cs="宋体"/>
                <w:color w:val="auto"/>
                <w:sz w:val="21"/>
                <w:szCs w:val="21"/>
                <w:shd w:val="clear" w:color="auto" w:fill="FFFFFF"/>
                <w:lang w:bidi="ar"/>
              </w:rPr>
              <w:t>：担保期限自合同生效之日起至合同履行完毕止，</w:t>
            </w:r>
            <w:bookmarkStart w:id="161" w:name="OLE_LINK27"/>
            <w:r>
              <w:rPr>
                <w:rFonts w:hint="eastAsia" w:ascii="宋体" w:hAnsi="宋体" w:eastAsia="宋体" w:cs="宋体"/>
                <w:color w:val="auto"/>
                <w:sz w:val="21"/>
                <w:szCs w:val="21"/>
                <w:shd w:val="clear" w:color="auto" w:fill="FFFFFF"/>
                <w:lang w:bidi="ar"/>
              </w:rPr>
              <w:t>待合同履行完毕后根据履约情况无息退还</w:t>
            </w:r>
            <w:bookmarkEnd w:id="161"/>
            <w:r>
              <w:rPr>
                <w:rFonts w:hint="eastAsia" w:ascii="宋体" w:hAnsi="宋体" w:eastAsia="宋体" w:cs="宋体"/>
                <w:color w:val="auto"/>
                <w:sz w:val="21"/>
                <w:szCs w:val="21"/>
                <w:shd w:val="clear" w:color="auto" w:fill="FFFFFF"/>
                <w:lang w:bidi="ar"/>
              </w:rPr>
              <w:t>。若本项目提前终止，担保期限自合同生效之日起至提前终止之日。</w:t>
            </w:r>
          </w:p>
        </w:tc>
      </w:tr>
      <w:tr w14:paraId="0D6F8844">
        <w:tblPrEx>
          <w:tblCellMar>
            <w:top w:w="0" w:type="dxa"/>
            <w:left w:w="0" w:type="dxa"/>
            <w:bottom w:w="0" w:type="dxa"/>
            <w:right w:w="0" w:type="dxa"/>
          </w:tblCellMar>
        </w:tblPrEx>
        <w:trPr>
          <w:trHeight w:val="448"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A2119D5">
            <w:pPr>
              <w:spacing w:before="120" w:beforeLines="50" w:line="360" w:lineRule="auto"/>
              <w:ind w:firstLine="422"/>
              <w:jc w:val="center"/>
              <w:rPr>
                <w:rFonts w:asciiTheme="minorEastAsia" w:hAnsiTheme="minorEastAsia" w:eastAsiaTheme="minorEastAsia"/>
                <w:b/>
                <w:bCs/>
                <w:szCs w:val="21"/>
              </w:rPr>
            </w:pPr>
            <w:r>
              <w:rPr>
                <w:rFonts w:hint="eastAsia" w:asciiTheme="minorEastAsia" w:hAnsiTheme="minorEastAsia" w:eastAsiaTheme="minorEastAsia"/>
                <w:b/>
                <w:bCs/>
                <w:szCs w:val="21"/>
              </w:rPr>
              <w:t>10.需要补充的其他内容</w:t>
            </w:r>
          </w:p>
        </w:tc>
      </w:tr>
      <w:tr w14:paraId="785BC507">
        <w:trPr>
          <w:trHeight w:val="27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25ECC2B">
            <w:pPr>
              <w:spacing w:before="120" w:beforeLines="50" w:line="360" w:lineRule="auto"/>
              <w:ind w:left="105" w:leftChars="50" w:right="105" w:rightChars="50"/>
              <w:rPr>
                <w:rFonts w:asciiTheme="minorEastAsia" w:hAnsiTheme="minorEastAsia" w:eastAsiaTheme="minorEastAsia"/>
                <w:szCs w:val="21"/>
              </w:rPr>
            </w:pPr>
            <w:r>
              <w:rPr>
                <w:rFonts w:hint="eastAsia" w:asciiTheme="minorEastAsia" w:hAnsiTheme="minorEastAsia" w:eastAsiaTheme="minorEastAsia"/>
                <w:szCs w:val="21"/>
              </w:rPr>
              <w:t>1.投标人</w:t>
            </w:r>
            <w:r>
              <w:rPr>
                <w:rFonts w:asciiTheme="minorEastAsia" w:hAnsiTheme="minorEastAsia" w:eastAsiaTheme="minorEastAsia"/>
                <w:szCs w:val="21"/>
              </w:rPr>
              <w:t>的</w:t>
            </w:r>
            <w:r>
              <w:rPr>
                <w:rFonts w:hint="eastAsia" w:asciiTheme="minorEastAsia" w:hAnsiTheme="minorEastAsia" w:eastAsiaTheme="minorEastAsia"/>
                <w:szCs w:val="21"/>
              </w:rPr>
              <w:t>投标文件</w:t>
            </w:r>
            <w:r>
              <w:rPr>
                <w:rFonts w:asciiTheme="minorEastAsia" w:hAnsiTheme="minorEastAsia" w:eastAsiaTheme="minorEastAsia"/>
                <w:szCs w:val="21"/>
              </w:rPr>
              <w:t>必须是在接受</w:t>
            </w:r>
            <w:r>
              <w:rPr>
                <w:rFonts w:hint="eastAsia" w:asciiTheme="minorEastAsia" w:hAnsiTheme="minorEastAsia" w:eastAsiaTheme="minorEastAsia"/>
                <w:szCs w:val="21"/>
              </w:rPr>
              <w:t>采购</w:t>
            </w:r>
            <w:r>
              <w:rPr>
                <w:rFonts w:asciiTheme="minorEastAsia" w:hAnsiTheme="minorEastAsia" w:eastAsiaTheme="minorEastAsia"/>
                <w:szCs w:val="21"/>
              </w:rPr>
              <w:t>人</w:t>
            </w:r>
            <w:r>
              <w:rPr>
                <w:rFonts w:hint="eastAsia" w:asciiTheme="minorEastAsia" w:hAnsiTheme="minorEastAsia" w:eastAsiaTheme="minorEastAsia"/>
                <w:szCs w:val="21"/>
              </w:rPr>
              <w:t>的</w:t>
            </w:r>
            <w:r>
              <w:rPr>
                <w:rFonts w:hint="eastAsia" w:asciiTheme="minorEastAsia" w:hAnsiTheme="minorEastAsia" w:eastAsiaTheme="minorEastAsia"/>
                <w:snapToGrid w:val="0"/>
                <w:kern w:val="0"/>
                <w:szCs w:val="21"/>
              </w:rPr>
              <w:t>招标文件（</w:t>
            </w:r>
            <w:r>
              <w:rPr>
                <w:rFonts w:asciiTheme="minorEastAsia" w:hAnsiTheme="minorEastAsia" w:eastAsiaTheme="minorEastAsia"/>
                <w:szCs w:val="21"/>
              </w:rPr>
              <w:t>含合同条款等）的基础上作出的承诺，若</w:t>
            </w:r>
            <w:r>
              <w:rPr>
                <w:rFonts w:hint="eastAsia" w:asciiTheme="minorEastAsia" w:hAnsiTheme="minorEastAsia" w:eastAsiaTheme="minorEastAsia"/>
                <w:szCs w:val="21"/>
              </w:rPr>
              <w:t>中标投标人</w:t>
            </w:r>
            <w:r>
              <w:rPr>
                <w:rFonts w:asciiTheme="minorEastAsia" w:hAnsiTheme="minorEastAsia" w:eastAsiaTheme="minorEastAsia"/>
                <w:szCs w:val="21"/>
              </w:rPr>
              <w:t>对</w:t>
            </w:r>
            <w:r>
              <w:rPr>
                <w:rFonts w:hint="eastAsia" w:asciiTheme="minorEastAsia" w:hAnsiTheme="minorEastAsia" w:eastAsiaTheme="minorEastAsia"/>
                <w:snapToGrid w:val="0"/>
                <w:kern w:val="0"/>
                <w:szCs w:val="21"/>
              </w:rPr>
              <w:t>招标文件</w:t>
            </w:r>
            <w:r>
              <w:rPr>
                <w:rFonts w:asciiTheme="minorEastAsia" w:hAnsiTheme="minorEastAsia" w:eastAsiaTheme="minorEastAsia"/>
                <w:szCs w:val="21"/>
              </w:rPr>
              <w:t>（含合同条款等）提出修改要求，</w:t>
            </w:r>
            <w:r>
              <w:rPr>
                <w:rFonts w:hint="eastAsia" w:asciiTheme="minorEastAsia" w:hAnsiTheme="minorEastAsia" w:eastAsiaTheme="minorEastAsia"/>
                <w:szCs w:val="21"/>
              </w:rPr>
              <w:t>采购</w:t>
            </w:r>
            <w:r>
              <w:rPr>
                <w:rFonts w:asciiTheme="minorEastAsia" w:hAnsiTheme="minorEastAsia" w:eastAsiaTheme="minorEastAsia"/>
                <w:szCs w:val="21"/>
              </w:rPr>
              <w:t>人可视为其不响应</w:t>
            </w:r>
            <w:r>
              <w:rPr>
                <w:rFonts w:hint="eastAsia" w:asciiTheme="minorEastAsia" w:hAnsiTheme="minorEastAsia" w:eastAsiaTheme="minorEastAsia"/>
                <w:snapToGrid w:val="0"/>
                <w:kern w:val="0"/>
                <w:szCs w:val="21"/>
              </w:rPr>
              <w:t>招标文件</w:t>
            </w:r>
            <w:r>
              <w:rPr>
                <w:rFonts w:asciiTheme="minorEastAsia" w:hAnsiTheme="minorEastAsia" w:eastAsiaTheme="minorEastAsia"/>
                <w:szCs w:val="21"/>
              </w:rPr>
              <w:t>的实质性条款，取消其</w:t>
            </w:r>
            <w:r>
              <w:rPr>
                <w:rFonts w:hint="eastAsia" w:asciiTheme="minorEastAsia" w:hAnsiTheme="minorEastAsia" w:eastAsiaTheme="minorEastAsia"/>
                <w:szCs w:val="21"/>
              </w:rPr>
              <w:t>中标资格</w:t>
            </w:r>
            <w:r>
              <w:rPr>
                <w:rFonts w:asciiTheme="minorEastAsia" w:hAnsiTheme="minorEastAsia" w:eastAsiaTheme="minorEastAsia"/>
                <w:szCs w:val="21"/>
              </w:rPr>
              <w:t>。</w:t>
            </w:r>
          </w:p>
          <w:p w14:paraId="5A6C484D">
            <w:pPr>
              <w:spacing w:line="360" w:lineRule="auto"/>
              <w:ind w:left="108" w:right="105" w:rightChars="50"/>
              <w:rPr>
                <w:rFonts w:asciiTheme="minorEastAsia" w:hAnsiTheme="minorEastAsia" w:eastAsiaTheme="minorEastAsia"/>
                <w:szCs w:val="21"/>
              </w:rPr>
            </w:pPr>
            <w:r>
              <w:rPr>
                <w:rFonts w:hint="eastAsia" w:asciiTheme="minorEastAsia" w:hAnsiTheme="minorEastAsia" w:eastAsiaTheme="minorEastAsia"/>
                <w:szCs w:val="21"/>
              </w:rPr>
              <w:t>2.中标投标人无故</w:t>
            </w:r>
            <w:r>
              <w:rPr>
                <w:rFonts w:asciiTheme="minorEastAsia" w:hAnsiTheme="minorEastAsia" w:eastAsiaTheme="minorEastAsia"/>
                <w:szCs w:val="21"/>
              </w:rPr>
              <w:t>不与</w:t>
            </w:r>
            <w:r>
              <w:rPr>
                <w:rFonts w:hint="eastAsia" w:asciiTheme="minorEastAsia" w:hAnsiTheme="minorEastAsia" w:eastAsiaTheme="minorEastAsia"/>
                <w:szCs w:val="21"/>
              </w:rPr>
              <w:t>采购人</w:t>
            </w:r>
            <w:r>
              <w:rPr>
                <w:rFonts w:asciiTheme="minorEastAsia" w:hAnsiTheme="minorEastAsia" w:eastAsiaTheme="minorEastAsia"/>
                <w:szCs w:val="21"/>
              </w:rPr>
              <w:t>签订合同的，或在合同签订中无故要求变更</w:t>
            </w:r>
            <w:r>
              <w:rPr>
                <w:rFonts w:hint="eastAsia" w:asciiTheme="minorEastAsia" w:hAnsiTheme="minorEastAsia" w:eastAsiaTheme="minorEastAsia"/>
                <w:szCs w:val="21"/>
              </w:rPr>
              <w:t>承诺或报价</w:t>
            </w:r>
            <w:r>
              <w:rPr>
                <w:rFonts w:asciiTheme="minorEastAsia" w:hAnsiTheme="minorEastAsia" w:eastAsiaTheme="minorEastAsia"/>
                <w:szCs w:val="21"/>
              </w:rPr>
              <w:t>的，</w:t>
            </w:r>
            <w:r>
              <w:rPr>
                <w:rFonts w:hint="eastAsia" w:asciiTheme="minorEastAsia" w:hAnsiTheme="minorEastAsia" w:eastAsiaTheme="minorEastAsia"/>
                <w:szCs w:val="21"/>
              </w:rPr>
              <w:t>采购</w:t>
            </w:r>
            <w:r>
              <w:rPr>
                <w:rFonts w:asciiTheme="minorEastAsia" w:hAnsiTheme="minorEastAsia" w:eastAsiaTheme="minorEastAsia"/>
                <w:szCs w:val="21"/>
              </w:rPr>
              <w:t>人</w:t>
            </w:r>
            <w:r>
              <w:rPr>
                <w:rFonts w:hint="eastAsia" w:asciiTheme="minorEastAsia" w:hAnsiTheme="minorEastAsia" w:eastAsiaTheme="minorEastAsia"/>
                <w:szCs w:val="21"/>
              </w:rPr>
              <w:t>将</w:t>
            </w:r>
            <w:r>
              <w:rPr>
                <w:rFonts w:asciiTheme="minorEastAsia" w:hAnsiTheme="minorEastAsia" w:eastAsiaTheme="minorEastAsia"/>
                <w:szCs w:val="21"/>
              </w:rPr>
              <w:t>取消其</w:t>
            </w:r>
            <w:r>
              <w:rPr>
                <w:rFonts w:hint="eastAsia" w:asciiTheme="minorEastAsia" w:hAnsiTheme="minorEastAsia" w:eastAsiaTheme="minorEastAsia"/>
                <w:szCs w:val="21"/>
              </w:rPr>
              <w:t>中标资格，其保证金不予退还（若有）</w:t>
            </w:r>
            <w:r>
              <w:rPr>
                <w:rFonts w:asciiTheme="minorEastAsia" w:hAnsiTheme="minorEastAsia" w:eastAsiaTheme="minorEastAsia"/>
                <w:szCs w:val="21"/>
              </w:rPr>
              <w:t>；给</w:t>
            </w:r>
            <w:r>
              <w:rPr>
                <w:rFonts w:hint="eastAsia" w:asciiTheme="minorEastAsia" w:hAnsiTheme="minorEastAsia" w:eastAsiaTheme="minorEastAsia"/>
                <w:szCs w:val="21"/>
              </w:rPr>
              <w:t>采购</w:t>
            </w:r>
            <w:r>
              <w:rPr>
                <w:rFonts w:asciiTheme="minorEastAsia" w:hAnsiTheme="minorEastAsia" w:eastAsiaTheme="minorEastAsia"/>
                <w:szCs w:val="21"/>
              </w:rPr>
              <w:t>人</w:t>
            </w:r>
            <w:r>
              <w:rPr>
                <w:rFonts w:hint="eastAsia" w:asciiTheme="minorEastAsia" w:hAnsiTheme="minorEastAsia" w:eastAsiaTheme="minorEastAsia"/>
                <w:szCs w:val="21"/>
              </w:rPr>
              <w:t>造成损失的，中标投标人还应当赔偿损失</w:t>
            </w:r>
            <w:r>
              <w:rPr>
                <w:rFonts w:asciiTheme="minorEastAsia" w:hAnsiTheme="minorEastAsia" w:eastAsiaTheme="minorEastAsia"/>
                <w:szCs w:val="21"/>
              </w:rPr>
              <w:t>，</w:t>
            </w:r>
            <w:r>
              <w:rPr>
                <w:rFonts w:hint="eastAsia" w:asciiTheme="minorEastAsia" w:hAnsiTheme="minorEastAsia" w:eastAsiaTheme="minorEastAsia"/>
                <w:szCs w:val="21"/>
              </w:rPr>
              <w:t>并且采购人将上报采购监督管理</w:t>
            </w:r>
            <w:r>
              <w:rPr>
                <w:rFonts w:asciiTheme="minorEastAsia" w:hAnsiTheme="minorEastAsia" w:eastAsiaTheme="minorEastAsia"/>
                <w:szCs w:val="21"/>
              </w:rPr>
              <w:t>部门给予</w:t>
            </w:r>
            <w:r>
              <w:rPr>
                <w:rFonts w:hint="eastAsia" w:asciiTheme="minorEastAsia" w:hAnsiTheme="minorEastAsia" w:eastAsiaTheme="minorEastAsia"/>
                <w:szCs w:val="21"/>
              </w:rPr>
              <w:t>其</w:t>
            </w:r>
            <w:r>
              <w:rPr>
                <w:rFonts w:asciiTheme="minorEastAsia" w:hAnsiTheme="minorEastAsia" w:eastAsiaTheme="minorEastAsia"/>
                <w:szCs w:val="21"/>
              </w:rPr>
              <w:t>不良市场行为记录。</w:t>
            </w:r>
          </w:p>
          <w:p w14:paraId="2062A81C">
            <w:pPr>
              <w:spacing w:line="360" w:lineRule="auto"/>
              <w:ind w:left="108" w:right="105" w:rightChars="50"/>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.根据《政府采购促进中小企业发展管理办法》（财库〔2020〕46号）和《关于进一步加大政府采购支持中小企业力度的通知》（财库〔20</w:t>
            </w:r>
            <w:r>
              <w:rPr>
                <w:rFonts w:asciiTheme="minorEastAsia" w:hAnsiTheme="minorEastAsia" w:eastAsiaTheme="minorEastAsia"/>
                <w:szCs w:val="21"/>
              </w:rPr>
              <w:t>22</w:t>
            </w:r>
            <w:r>
              <w:rPr>
                <w:rFonts w:hint="eastAsia" w:asciiTheme="minorEastAsia" w:hAnsiTheme="minorEastAsia" w:eastAsiaTheme="minorEastAsia"/>
                <w:szCs w:val="21"/>
              </w:rPr>
              <w:t>〕</w:t>
            </w:r>
            <w:r>
              <w:rPr>
                <w:rFonts w:asciiTheme="minorEastAsia" w:hAnsiTheme="minorEastAsia" w:eastAsiaTheme="minorEastAsia"/>
                <w:szCs w:val="21"/>
              </w:rPr>
              <w:t>19</w:t>
            </w:r>
            <w:r>
              <w:rPr>
                <w:rFonts w:hint="eastAsia" w:asciiTheme="minorEastAsia" w:hAnsiTheme="minorEastAsia" w:eastAsiaTheme="minorEastAsia"/>
                <w:szCs w:val="21"/>
              </w:rPr>
              <w:t>号）第十二条规定：</w:t>
            </w:r>
          </w:p>
          <w:p w14:paraId="083A6673">
            <w:pPr>
              <w:spacing w:line="360" w:lineRule="auto"/>
              <w:ind w:left="105" w:leftChars="50" w:right="105" w:rightChars="50" w:firstLine="420" w:firstLineChars="200"/>
              <w:rPr>
                <w:rFonts w:asciiTheme="minorEastAsia" w:hAnsiTheme="minorEastAsia" w:eastAsiaTheme="minorEastAsia"/>
                <w:szCs w:val="21"/>
              </w:rPr>
            </w:pPr>
            <w:r>
              <w:rPr>
                <w:rFonts w:hint="eastAsia" w:asciiTheme="minorEastAsia" w:hAnsiTheme="minorEastAsia" w:eastAsiaTheme="minorEastAsia"/>
                <w:szCs w:val="21"/>
              </w:rPr>
              <w:t>（1）依据《办法》规定享受扶持政策获得政府采购合同的小微企业不得将合同分包给大中型企业，中型企业不得将合同分包给大型企业。若中标投标人违反规定，则依法承担相关责任。</w:t>
            </w:r>
          </w:p>
          <w:p w14:paraId="18665939">
            <w:pPr>
              <w:spacing w:line="360" w:lineRule="auto"/>
              <w:ind w:left="105" w:leftChars="50" w:right="105" w:rightChars="50" w:firstLine="420" w:firstLineChars="200"/>
              <w:rPr>
                <w:rFonts w:asciiTheme="minorEastAsia" w:hAnsiTheme="minorEastAsia" w:eastAsiaTheme="minorEastAsia"/>
                <w:szCs w:val="21"/>
              </w:rPr>
            </w:pPr>
            <w:r>
              <w:rPr>
                <w:rFonts w:hint="eastAsia" w:asciiTheme="minorEastAsia" w:hAnsiTheme="minorEastAsia" w:eastAsiaTheme="minorEastAsia"/>
                <w:szCs w:val="21"/>
              </w:rPr>
              <w:t>（2）对具备享受扶持政策的中小企业，在资金支付期限上的优惠措施为：根据《保障中小企业款项支付条例》（中华人民共和国国务院令第728号）第八条规定，服务期结束之日起30日内支付款项；合同另有约定的，付款期限最长不超过60日。</w:t>
            </w:r>
          </w:p>
          <w:p w14:paraId="5131D287">
            <w:pPr>
              <w:spacing w:line="360" w:lineRule="auto"/>
              <w:ind w:left="105" w:leftChars="50" w:right="105" w:rightChars="50" w:firstLine="420" w:firstLineChars="200"/>
              <w:rPr>
                <w:rFonts w:asciiTheme="minorEastAsia" w:hAnsiTheme="minorEastAsia" w:eastAsiaTheme="minorEastAsia"/>
                <w:b/>
                <w:bCs/>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）根据《统计上大中小微型企业划分办法（2017）》规定，本项目属于</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工业</w:t>
            </w:r>
            <w:r>
              <w:rPr>
                <w:rFonts w:hint="eastAsia" w:asciiTheme="minorEastAsia" w:hAnsiTheme="minorEastAsia" w:eastAsiaTheme="minorEastAsia"/>
                <w:b/>
                <w:bCs/>
                <w:szCs w:val="21"/>
              </w:rPr>
              <w:t>”</w:t>
            </w:r>
            <w:r>
              <w:rPr>
                <w:rFonts w:hint="eastAsia" w:asciiTheme="minorEastAsia" w:hAnsiTheme="minorEastAsia" w:eastAsiaTheme="minorEastAsia"/>
                <w:szCs w:val="21"/>
              </w:rPr>
              <w:t>行业。</w:t>
            </w:r>
          </w:p>
        </w:tc>
      </w:tr>
    </w:tbl>
    <w:p w14:paraId="637042B4">
      <w:bookmarkStart w:id="162" w:name="_Toc132362633"/>
      <w:r>
        <w:rPr>
          <w:rFonts w:hint="eastAsia"/>
        </w:rPr>
        <w:br w:type="page"/>
      </w:r>
    </w:p>
    <w:p w14:paraId="121EC68C">
      <w:pPr>
        <w:pStyle w:val="4"/>
      </w:pPr>
      <w:bookmarkStart w:id="163" w:name="_Toc9997"/>
      <w:r>
        <w:rPr>
          <w:rFonts w:hint="eastAsia"/>
        </w:rPr>
        <w:t>二、投标人须知正文部分</w:t>
      </w:r>
      <w:bookmarkEnd w:id="162"/>
      <w:bookmarkEnd w:id="163"/>
    </w:p>
    <w:p w14:paraId="7CE69BDA">
      <w:pPr>
        <w:spacing w:line="360" w:lineRule="auto"/>
        <w:ind w:firstLine="562"/>
        <w:jc w:val="center"/>
        <w:outlineLvl w:val="2"/>
        <w:rPr>
          <w:rFonts w:asciiTheme="minorEastAsia" w:hAnsiTheme="minorEastAsia" w:eastAsiaTheme="minorEastAsia"/>
          <w:b/>
          <w:bCs/>
          <w:sz w:val="28"/>
          <w:szCs w:val="28"/>
        </w:rPr>
      </w:pPr>
      <w:bookmarkStart w:id="164" w:name="_Toc108"/>
      <w:bookmarkStart w:id="165" w:name="_Toc84356238"/>
      <w:bookmarkStart w:id="166" w:name="_Toc116583986"/>
      <w:bookmarkStart w:id="167" w:name="_Toc42204979"/>
      <w:bookmarkStart w:id="168" w:name="_Toc98864997"/>
      <w:bookmarkStart w:id="169" w:name="_Toc110405120"/>
      <w:bookmarkStart w:id="170" w:name="_Toc109809298"/>
      <w:bookmarkStart w:id="171" w:name="_Toc42267618"/>
      <w:bookmarkStart w:id="172" w:name="_Toc87543804"/>
      <w:bookmarkStart w:id="173" w:name="_Toc45791340"/>
      <w:bookmarkStart w:id="174" w:name="_Toc83753878"/>
      <w:bookmarkStart w:id="175" w:name="_Toc45976886"/>
      <w:bookmarkStart w:id="176" w:name="_Toc98033920"/>
      <w:bookmarkStart w:id="177" w:name="_Toc87538355"/>
      <w:r>
        <w:rPr>
          <w:rFonts w:hint="eastAsia" w:asciiTheme="minorEastAsia" w:hAnsiTheme="minorEastAsia" w:eastAsiaTheme="minorEastAsia"/>
          <w:b/>
          <w:bCs/>
          <w:sz w:val="28"/>
          <w:szCs w:val="28"/>
        </w:rPr>
        <w:t>1.总则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322F411">
      <w:pPr>
        <w:spacing w:line="360" w:lineRule="auto"/>
        <w:ind w:firstLine="482"/>
        <w:outlineLvl w:val="3"/>
        <w:rPr>
          <w:rFonts w:ascii="宋体" w:hAnsi="宋体"/>
          <w:b/>
          <w:bCs/>
          <w:sz w:val="24"/>
          <w:szCs w:val="24"/>
        </w:rPr>
      </w:pPr>
      <w:bookmarkStart w:id="178" w:name="_Toc45976887"/>
      <w:bookmarkStart w:id="179" w:name="_Toc45791341"/>
      <w:bookmarkStart w:id="180" w:name="_Toc42204980"/>
      <w:bookmarkStart w:id="181" w:name="_Toc42267619"/>
      <w:bookmarkStart w:id="182" w:name="_Toc83753879"/>
      <w:bookmarkStart w:id="183" w:name="_Toc98864998"/>
      <w:bookmarkStart w:id="184" w:name="_Toc13886"/>
      <w:bookmarkStart w:id="185" w:name="_Toc81330926"/>
      <w:bookmarkStart w:id="186" w:name="_Toc98033921"/>
      <w:bookmarkStart w:id="187" w:name="_Toc53412203"/>
      <w:bookmarkStart w:id="188" w:name="_Toc87538356"/>
      <w:bookmarkStart w:id="189" w:name="_Toc87543805"/>
      <w:bookmarkStart w:id="190" w:name="_Toc116583987"/>
      <w:bookmarkStart w:id="191" w:name="_Toc110405121"/>
      <w:bookmarkStart w:id="192" w:name="_Toc69678416"/>
      <w:bookmarkStart w:id="193" w:name="_Toc75783518"/>
      <w:bookmarkStart w:id="194" w:name="_Toc109809299"/>
      <w:bookmarkStart w:id="195" w:name="_Toc84356239"/>
      <w:r>
        <w:rPr>
          <w:rFonts w:hint="eastAsia" w:ascii="宋体" w:hAnsi="宋体"/>
          <w:b/>
          <w:bCs/>
          <w:sz w:val="24"/>
          <w:szCs w:val="24"/>
        </w:rPr>
        <w:t>1.1项目概况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3B5A890">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8"/>
        </w:rPr>
        <w:t>1.1.1</w:t>
      </w:r>
      <w:r>
        <w:rPr>
          <w:rFonts w:hint="eastAsia" w:asciiTheme="minorEastAsia" w:hAnsiTheme="minorEastAsia" w:eastAsiaTheme="minorEastAsia"/>
          <w:szCs w:val="21"/>
        </w:rPr>
        <w:t>根据《中华人民共和国政府采购法》、《中华人民共和国政府采购法实施条例》（国务院令第658号）、《政府采购货物和服务招标投标管理办法》（财政部令第87号）等相关法律法规的规定</w:t>
      </w:r>
      <w:r>
        <w:rPr>
          <w:rFonts w:asciiTheme="minorEastAsia" w:hAnsiTheme="minorEastAsia" w:eastAsiaTheme="minorEastAsia"/>
          <w:szCs w:val="21"/>
        </w:rPr>
        <w:t>，本项目已具备</w:t>
      </w:r>
      <w:r>
        <w:rPr>
          <w:rFonts w:hint="eastAsia" w:asciiTheme="minorEastAsia" w:hAnsiTheme="minorEastAsia" w:eastAsiaTheme="minorEastAsia"/>
          <w:szCs w:val="21"/>
        </w:rPr>
        <w:t>招标</w:t>
      </w:r>
      <w:r>
        <w:rPr>
          <w:rFonts w:asciiTheme="minorEastAsia" w:hAnsiTheme="minorEastAsia" w:eastAsiaTheme="minorEastAsia"/>
          <w:szCs w:val="21"/>
        </w:rPr>
        <w:t>条件，现对本</w:t>
      </w:r>
      <w:r>
        <w:rPr>
          <w:rFonts w:hint="eastAsia" w:asciiTheme="minorEastAsia" w:hAnsiTheme="minorEastAsia" w:eastAsiaTheme="minorEastAsia"/>
          <w:szCs w:val="21"/>
        </w:rPr>
        <w:t>项目</w:t>
      </w:r>
      <w:r>
        <w:rPr>
          <w:rFonts w:asciiTheme="minorEastAsia" w:hAnsiTheme="minorEastAsia" w:eastAsiaTheme="minorEastAsia"/>
          <w:szCs w:val="21"/>
        </w:rPr>
        <w:t>进行</w:t>
      </w:r>
      <w:r>
        <w:rPr>
          <w:rFonts w:hint="eastAsia" w:asciiTheme="minorEastAsia" w:hAnsiTheme="minorEastAsia" w:eastAsiaTheme="minorEastAsia"/>
          <w:szCs w:val="21"/>
        </w:rPr>
        <w:t>公开招标</w:t>
      </w:r>
      <w:r>
        <w:rPr>
          <w:rFonts w:asciiTheme="minorEastAsia" w:hAnsiTheme="minorEastAsia" w:eastAsiaTheme="minorEastAsia"/>
          <w:szCs w:val="21"/>
        </w:rPr>
        <w:t>。</w:t>
      </w:r>
    </w:p>
    <w:p w14:paraId="7646A28D">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1.1.2采购人名称：见投标人须知前附表。</w:t>
      </w:r>
    </w:p>
    <w:p w14:paraId="3D49E16C">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1.1.3采购代理机构名称：见投标人须知前附表。</w:t>
      </w:r>
    </w:p>
    <w:p w14:paraId="1DB32BB3">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4</w:t>
      </w:r>
      <w:r>
        <w:rPr>
          <w:rFonts w:hint="eastAsia" w:asciiTheme="minorEastAsia" w:hAnsiTheme="minorEastAsia" w:eastAsiaTheme="minorEastAsia"/>
          <w:szCs w:val="21"/>
        </w:rPr>
        <w:t>项目名称：见投标人须知前附表。</w:t>
      </w:r>
    </w:p>
    <w:p w14:paraId="460ABA88">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.1.5</w:t>
      </w:r>
      <w:r>
        <w:rPr>
          <w:rFonts w:hint="eastAsia" w:asciiTheme="minorEastAsia" w:hAnsiTheme="minorEastAsia" w:eastAsiaTheme="minorEastAsia"/>
          <w:szCs w:val="21"/>
          <w:lang w:eastAsia="zh-CN"/>
        </w:rPr>
        <w:t>交付（或实施）地点</w:t>
      </w:r>
      <w:r>
        <w:rPr>
          <w:rFonts w:hint="eastAsia" w:asciiTheme="minorEastAsia" w:hAnsiTheme="minorEastAsia" w:eastAsiaTheme="minorEastAsia"/>
          <w:szCs w:val="21"/>
        </w:rPr>
        <w:t>：见投标人须知前附表。</w:t>
      </w:r>
    </w:p>
    <w:p w14:paraId="33540A97">
      <w:pPr>
        <w:spacing w:line="360" w:lineRule="auto"/>
        <w:ind w:firstLine="482"/>
        <w:outlineLvl w:val="3"/>
        <w:rPr>
          <w:rFonts w:ascii="宋体" w:hAnsi="宋体"/>
          <w:b/>
          <w:bCs/>
          <w:sz w:val="24"/>
          <w:szCs w:val="24"/>
        </w:rPr>
      </w:pPr>
      <w:bookmarkStart w:id="196" w:name="_Toc81330927"/>
      <w:bookmarkStart w:id="197" w:name="_Toc42204981"/>
      <w:bookmarkStart w:id="198" w:name="_Toc110405122"/>
      <w:bookmarkStart w:id="199" w:name="_Toc87538357"/>
      <w:bookmarkStart w:id="200" w:name="_Toc87543806"/>
      <w:bookmarkStart w:id="201" w:name="_Toc98864999"/>
      <w:bookmarkStart w:id="202" w:name="_Toc53412204"/>
      <w:bookmarkStart w:id="203" w:name="_Toc84356240"/>
      <w:bookmarkStart w:id="204" w:name="_Toc42267620"/>
      <w:bookmarkStart w:id="205" w:name="_Toc45976888"/>
      <w:bookmarkStart w:id="206" w:name="_Toc98033922"/>
      <w:bookmarkStart w:id="207" w:name="_Toc75783519"/>
      <w:bookmarkStart w:id="208" w:name="_Toc83753880"/>
      <w:bookmarkStart w:id="209" w:name="_Toc25268"/>
      <w:bookmarkStart w:id="210" w:name="_Toc45791342"/>
      <w:bookmarkStart w:id="211" w:name="_Toc116583988"/>
      <w:bookmarkStart w:id="212" w:name="_Toc69678417"/>
      <w:bookmarkStart w:id="213" w:name="_Toc109809300"/>
      <w:r>
        <w:rPr>
          <w:rFonts w:hint="eastAsia" w:ascii="宋体" w:hAnsi="宋体"/>
          <w:b/>
          <w:bCs/>
          <w:sz w:val="24"/>
          <w:szCs w:val="24"/>
        </w:rPr>
        <w:t>1.2 资金来源、出资比例和资金落实情况</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5058215">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1.2.1资金来源：见投标人须知前附表。</w:t>
      </w:r>
    </w:p>
    <w:p w14:paraId="7163A60B">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1.2.2</w:t>
      </w:r>
      <w:r>
        <w:rPr>
          <w:rFonts w:hint="eastAsia" w:asciiTheme="minorEastAsia" w:hAnsiTheme="minorEastAsia" w:eastAsiaTheme="minorEastAsia"/>
          <w:bCs/>
          <w:szCs w:val="21"/>
        </w:rPr>
        <w:t>出资比例：</w:t>
      </w:r>
      <w:r>
        <w:rPr>
          <w:rFonts w:hint="eastAsia" w:asciiTheme="minorEastAsia" w:hAnsiTheme="minorEastAsia" w:eastAsiaTheme="minorEastAsia"/>
          <w:szCs w:val="21"/>
        </w:rPr>
        <w:t>见投标人须知前附表。</w:t>
      </w:r>
    </w:p>
    <w:p w14:paraId="019638C3">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1.2.3</w:t>
      </w:r>
      <w:r>
        <w:rPr>
          <w:rFonts w:hint="eastAsia" w:asciiTheme="minorEastAsia" w:hAnsiTheme="minorEastAsia" w:eastAsiaTheme="minorEastAsia"/>
          <w:szCs w:val="21"/>
        </w:rPr>
        <w:t>资金落实情况：见投标人须知前附表。</w:t>
      </w:r>
    </w:p>
    <w:p w14:paraId="3E199B56">
      <w:pPr>
        <w:spacing w:line="360" w:lineRule="auto"/>
        <w:ind w:firstLine="482"/>
        <w:outlineLvl w:val="3"/>
        <w:rPr>
          <w:rFonts w:ascii="宋体" w:hAnsi="宋体"/>
          <w:b/>
          <w:bCs/>
          <w:sz w:val="24"/>
          <w:szCs w:val="24"/>
        </w:rPr>
      </w:pPr>
      <w:bookmarkStart w:id="214" w:name="_Toc98033923"/>
      <w:bookmarkStart w:id="215" w:name="_Toc42267621"/>
      <w:bookmarkStart w:id="216" w:name="_Toc45791343"/>
      <w:bookmarkStart w:id="217" w:name="_Toc87543807"/>
      <w:bookmarkStart w:id="218" w:name="_Toc83753881"/>
      <w:bookmarkStart w:id="219" w:name="_Toc109809301"/>
      <w:bookmarkStart w:id="220" w:name="_Toc69678418"/>
      <w:bookmarkStart w:id="221" w:name="_Toc84356241"/>
      <w:bookmarkStart w:id="222" w:name="_Toc53412205"/>
      <w:bookmarkStart w:id="223" w:name="_Toc87538358"/>
      <w:bookmarkStart w:id="224" w:name="_Toc42204982"/>
      <w:bookmarkStart w:id="225" w:name="_Toc98865000"/>
      <w:bookmarkStart w:id="226" w:name="_Toc45976889"/>
      <w:bookmarkStart w:id="227" w:name="_Toc81330928"/>
      <w:bookmarkStart w:id="228" w:name="_Toc75783520"/>
      <w:bookmarkStart w:id="229" w:name="_Toc110405123"/>
      <w:bookmarkStart w:id="230" w:name="_Toc27136"/>
      <w:bookmarkStart w:id="231" w:name="_Toc116583989"/>
      <w:r>
        <w:rPr>
          <w:rFonts w:hint="eastAsia" w:ascii="宋体" w:hAnsi="宋体"/>
          <w:b/>
          <w:bCs/>
          <w:sz w:val="24"/>
          <w:szCs w:val="24"/>
        </w:rPr>
        <w:t>1.3 采购内容、合同履行期限（交货期）、质量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b/>
          <w:bCs/>
          <w:sz w:val="24"/>
          <w:szCs w:val="24"/>
        </w:rPr>
        <w:t>要求</w:t>
      </w:r>
      <w:bookmarkEnd w:id="231"/>
      <w:r>
        <w:rPr>
          <w:rFonts w:hint="eastAsia" w:ascii="宋体" w:hAnsi="宋体"/>
          <w:b/>
          <w:bCs/>
          <w:sz w:val="24"/>
          <w:szCs w:val="24"/>
        </w:rPr>
        <w:t>、是否接受进口产品</w:t>
      </w:r>
      <w:r>
        <w:rPr>
          <w:rFonts w:hint="eastAsia" w:ascii="宋体" w:hAnsi="宋体"/>
          <w:szCs w:val="21"/>
        </w:rPr>
        <w:t>、</w:t>
      </w:r>
      <w:r>
        <w:rPr>
          <w:rFonts w:hint="eastAsia" w:ascii="宋体" w:hAnsi="宋体"/>
          <w:b/>
          <w:bCs/>
          <w:sz w:val="24"/>
          <w:szCs w:val="24"/>
        </w:rPr>
        <w:t>包件划分</w:t>
      </w:r>
    </w:p>
    <w:p w14:paraId="0E4A99AD">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1.3.1采购内容</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见投标人须知前附表。</w:t>
      </w:r>
    </w:p>
    <w:p w14:paraId="2A71AA3E">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w:t>
      </w:r>
      <w:r>
        <w:rPr>
          <w:rFonts w:asciiTheme="minorEastAsia" w:hAnsiTheme="minorEastAsia" w:eastAsiaTheme="minorEastAsia"/>
          <w:szCs w:val="21"/>
        </w:rPr>
        <w:t>2</w:t>
      </w:r>
      <w:r>
        <w:rPr>
          <w:rFonts w:hint="eastAsia" w:asciiTheme="minorEastAsia" w:hAnsiTheme="minorEastAsia" w:eastAsiaTheme="minorEastAsia"/>
          <w:szCs w:val="21"/>
        </w:rPr>
        <w:t>合同履行期限（交货期）：见投标人须知前附表。</w:t>
      </w:r>
    </w:p>
    <w:p w14:paraId="241FEB78">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bookmarkStart w:id="232" w:name="OLE_LINK1"/>
      <w:bookmarkStart w:id="233" w:name="OLE_LINK2"/>
      <w:r>
        <w:rPr>
          <w:rFonts w:hint="eastAsia" w:asciiTheme="minorEastAsia" w:hAnsiTheme="minorEastAsia" w:eastAsiaTheme="minorEastAsia"/>
          <w:szCs w:val="21"/>
        </w:rPr>
        <w:t>3.3质量要求：</w:t>
      </w:r>
      <w:bookmarkEnd w:id="232"/>
      <w:bookmarkEnd w:id="233"/>
      <w:r>
        <w:rPr>
          <w:rFonts w:hint="eastAsia" w:asciiTheme="minorEastAsia" w:hAnsiTheme="minorEastAsia" w:eastAsiaTheme="minorEastAsia"/>
          <w:szCs w:val="21"/>
        </w:rPr>
        <w:t>见投标人须知前附表。</w:t>
      </w:r>
    </w:p>
    <w:p w14:paraId="26321CA1">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1.3.4是否接受进口产品：见投标人须知前附表。</w:t>
      </w:r>
    </w:p>
    <w:p w14:paraId="362725F2">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1.3.6包件划分：见投标人须知前附表。</w:t>
      </w:r>
    </w:p>
    <w:p w14:paraId="1311937E">
      <w:pPr>
        <w:spacing w:line="360" w:lineRule="auto"/>
        <w:ind w:firstLine="482"/>
        <w:outlineLvl w:val="3"/>
        <w:rPr>
          <w:rFonts w:ascii="宋体" w:hAnsi="宋体"/>
          <w:b/>
          <w:bCs/>
          <w:sz w:val="24"/>
          <w:szCs w:val="24"/>
        </w:rPr>
      </w:pPr>
      <w:bookmarkStart w:id="234" w:name="_Toc110405124"/>
      <w:bookmarkStart w:id="235" w:name="_Toc98865001"/>
      <w:bookmarkStart w:id="236" w:name="_Toc98033924"/>
      <w:bookmarkStart w:id="237" w:name="_Toc81330929"/>
      <w:bookmarkStart w:id="238" w:name="_Toc69678419"/>
      <w:bookmarkStart w:id="239" w:name="_Toc42204983"/>
      <w:bookmarkStart w:id="240" w:name="_Toc109809302"/>
      <w:bookmarkStart w:id="241" w:name="_Toc53412206"/>
      <w:bookmarkStart w:id="242" w:name="_Toc45791344"/>
      <w:bookmarkStart w:id="243" w:name="_Toc45976890"/>
      <w:bookmarkStart w:id="244" w:name="_Toc75783521"/>
      <w:bookmarkStart w:id="245" w:name="_Toc84356242"/>
      <w:bookmarkStart w:id="246" w:name="_Toc83753882"/>
      <w:bookmarkStart w:id="247" w:name="_Toc87538359"/>
      <w:bookmarkStart w:id="248" w:name="_Toc42267622"/>
      <w:bookmarkStart w:id="249" w:name="_Toc87543808"/>
      <w:r>
        <w:rPr>
          <w:rFonts w:hint="eastAsia" w:ascii="宋体" w:hAnsi="宋体"/>
          <w:b/>
          <w:bCs/>
          <w:sz w:val="24"/>
          <w:szCs w:val="24"/>
        </w:rPr>
        <w:t xml:space="preserve"> </w:t>
      </w:r>
      <w:bookmarkStart w:id="250" w:name="_Toc2751"/>
      <w:bookmarkStart w:id="251" w:name="_Toc116583990"/>
      <w:r>
        <w:rPr>
          <w:rFonts w:hint="eastAsia" w:ascii="宋体" w:hAnsi="宋体"/>
          <w:b/>
          <w:bCs/>
          <w:sz w:val="24"/>
          <w:szCs w:val="24"/>
        </w:rPr>
        <w:t>1.4 投标人资格要求</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91E05B6">
      <w:pPr>
        <w:autoSpaceDE w:val="0"/>
        <w:autoSpaceDN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1.4.1 投标人资格要求：见投标人须知前附表。</w:t>
      </w:r>
    </w:p>
    <w:p w14:paraId="2C814D32">
      <w:pPr>
        <w:autoSpaceDE w:val="0"/>
        <w:autoSpaceDN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2</w:t>
      </w:r>
      <w:r>
        <w:rPr>
          <w:rFonts w:hint="eastAsia" w:asciiTheme="minorEastAsia" w:hAnsiTheme="minorEastAsia" w:eastAsiaTheme="minorEastAsia"/>
          <w:szCs w:val="21"/>
        </w:rPr>
        <w:t xml:space="preserve"> 是否接受联合体投标：见投标人须知前附表。</w:t>
      </w:r>
    </w:p>
    <w:p w14:paraId="00296735">
      <w:pPr>
        <w:tabs>
          <w:tab w:val="left" w:pos="900"/>
        </w:tabs>
        <w:autoSpaceDE w:val="0"/>
        <w:autoSpaceDN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3</w:t>
      </w:r>
      <w:r>
        <w:rPr>
          <w:rFonts w:hint="eastAsia" w:asciiTheme="minorEastAsia" w:hAnsiTheme="minorEastAsia" w:eastAsiaTheme="minorEastAsia"/>
          <w:szCs w:val="21"/>
        </w:rPr>
        <w:t xml:space="preserve"> 投标人不得存在下列情形之一：</w:t>
      </w:r>
    </w:p>
    <w:p w14:paraId="3A4BEDE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（1）被责令停业的；</w:t>
      </w:r>
    </w:p>
    <w:p w14:paraId="76A8A17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（2）被暂停或取消投标资格的；</w:t>
      </w:r>
    </w:p>
    <w:p w14:paraId="76C1F5D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（3）财产被接管或冻结的；</w:t>
      </w:r>
    </w:p>
    <w:p w14:paraId="6D8B5CC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（4）在最近三年内有骗取中标或严重违约或重大质量问题的；</w:t>
      </w:r>
    </w:p>
    <w:p w14:paraId="0FAD18B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（5）提供虚假材料谋取中标的；</w:t>
      </w:r>
    </w:p>
    <w:p w14:paraId="594B489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（6）采取不正当手段诋毁、排挤其他投标人的；</w:t>
      </w:r>
    </w:p>
    <w:p w14:paraId="6806A77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（7）与采购人、其他投标人或者采购代理机构恶意串通的；</w:t>
      </w:r>
    </w:p>
    <w:p w14:paraId="2B95525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（8）向采购人、采购代理机构行贿或者提供其他不正当利益的；</w:t>
      </w:r>
    </w:p>
    <w:p w14:paraId="7F72C9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（9）在招标投标过程中与采购人进行协商投标的；</w:t>
      </w:r>
    </w:p>
    <w:p w14:paraId="7F474AF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（10）拒绝有关部门监督检查或者提供虚假情况的。</w:t>
      </w:r>
    </w:p>
    <w:p w14:paraId="6F626CA9">
      <w:pPr>
        <w:tabs>
          <w:tab w:val="left" w:pos="900"/>
        </w:tabs>
        <w:autoSpaceDE w:val="0"/>
        <w:autoSpaceDN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投标人有第（5）至（9）项情形之一的，中标无效。 </w:t>
      </w:r>
    </w:p>
    <w:p w14:paraId="5F0B397D">
      <w:pPr>
        <w:spacing w:line="360" w:lineRule="auto"/>
        <w:ind w:firstLine="482"/>
        <w:outlineLvl w:val="3"/>
        <w:rPr>
          <w:rFonts w:ascii="宋体" w:hAnsi="宋体"/>
          <w:b/>
          <w:bCs/>
          <w:sz w:val="24"/>
          <w:szCs w:val="24"/>
        </w:rPr>
      </w:pPr>
      <w:bookmarkStart w:id="252" w:name="_Toc75783522"/>
      <w:bookmarkStart w:id="253" w:name="_Toc109809303"/>
      <w:bookmarkStart w:id="254" w:name="_Toc87538360"/>
      <w:bookmarkStart w:id="255" w:name="_Toc98033925"/>
      <w:bookmarkStart w:id="256" w:name="_Toc84356243"/>
      <w:bookmarkStart w:id="257" w:name="_Toc81330930"/>
      <w:bookmarkStart w:id="258" w:name="_Toc53412207"/>
      <w:bookmarkStart w:id="259" w:name="_Toc42204984"/>
      <w:bookmarkStart w:id="260" w:name="_Toc110405125"/>
      <w:bookmarkStart w:id="261" w:name="_Toc83753883"/>
      <w:bookmarkStart w:id="262" w:name="_Toc11916"/>
      <w:bookmarkStart w:id="263" w:name="_Toc116583991"/>
      <w:bookmarkStart w:id="264" w:name="_Toc69678420"/>
      <w:bookmarkStart w:id="265" w:name="_Toc98865002"/>
      <w:bookmarkStart w:id="266" w:name="_Toc42267623"/>
      <w:bookmarkStart w:id="267" w:name="_Toc45791345"/>
      <w:bookmarkStart w:id="268" w:name="_Toc45976891"/>
      <w:bookmarkStart w:id="269" w:name="_Toc87543809"/>
      <w:r>
        <w:rPr>
          <w:rFonts w:hint="eastAsia" w:ascii="宋体" w:hAnsi="宋体"/>
          <w:b/>
          <w:bCs/>
          <w:sz w:val="24"/>
          <w:szCs w:val="24"/>
        </w:rPr>
        <w:t>1.5 费用承担</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DDD720C">
      <w:pPr>
        <w:adjustRightInd w:val="0"/>
        <w:snapToGrid w:val="0"/>
        <w:spacing w:line="360" w:lineRule="auto"/>
        <w:ind w:firstLine="420" w:firstLineChars="200"/>
        <w:rPr>
          <w:rFonts w:asciiTheme="minorEastAsia" w:hAnsiTheme="minorEastAsia" w:eastAsiaTheme="minorEastAsia"/>
          <w:szCs w:val="21"/>
        </w:rPr>
      </w:pPr>
      <w:bookmarkStart w:id="270" w:name="_Toc53412208"/>
      <w:bookmarkStart w:id="271" w:name="_Toc42267624"/>
      <w:bookmarkStart w:id="272" w:name="_Toc45791346"/>
      <w:bookmarkStart w:id="273" w:name="_Toc45976892"/>
      <w:bookmarkStart w:id="274" w:name="_Toc42204985"/>
      <w:r>
        <w:rPr>
          <w:rFonts w:hint="eastAsia" w:asciiTheme="minorEastAsia" w:hAnsiTheme="minorEastAsia" w:eastAsiaTheme="minorEastAsia"/>
          <w:szCs w:val="21"/>
        </w:rPr>
        <w:t>见投标人须知前附表。</w:t>
      </w:r>
    </w:p>
    <w:p w14:paraId="64BF02B0">
      <w:pPr>
        <w:spacing w:line="360" w:lineRule="auto"/>
        <w:ind w:firstLine="482"/>
        <w:outlineLvl w:val="3"/>
        <w:rPr>
          <w:rFonts w:ascii="宋体" w:hAnsi="宋体"/>
          <w:b/>
          <w:bCs/>
          <w:sz w:val="24"/>
          <w:szCs w:val="24"/>
        </w:rPr>
      </w:pPr>
      <w:bookmarkStart w:id="275" w:name="_Toc116583992"/>
      <w:bookmarkStart w:id="276" w:name="_Toc69678421"/>
      <w:bookmarkStart w:id="277" w:name="_Toc87538361"/>
      <w:bookmarkStart w:id="278" w:name="_Toc75783523"/>
      <w:bookmarkStart w:id="279" w:name="_Toc81330931"/>
      <w:bookmarkStart w:id="280" w:name="_Toc98033926"/>
      <w:bookmarkStart w:id="281" w:name="_Toc110405126"/>
      <w:bookmarkStart w:id="282" w:name="_Toc109809304"/>
      <w:bookmarkStart w:id="283" w:name="_Toc87543810"/>
      <w:bookmarkStart w:id="284" w:name="_Toc83753884"/>
      <w:bookmarkStart w:id="285" w:name="_Toc29495"/>
      <w:bookmarkStart w:id="286" w:name="_Toc84356244"/>
      <w:bookmarkStart w:id="287" w:name="_Toc98865003"/>
      <w:r>
        <w:rPr>
          <w:rFonts w:hint="eastAsia" w:ascii="宋体" w:hAnsi="宋体"/>
          <w:b/>
          <w:bCs/>
          <w:sz w:val="24"/>
          <w:szCs w:val="24"/>
        </w:rPr>
        <w:t>1.6 保密</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D6D9977">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参与投标的各方应对</w:t>
      </w:r>
      <w:r>
        <w:rPr>
          <w:rFonts w:hint="eastAsia" w:asciiTheme="minorEastAsia" w:hAnsiTheme="minorEastAsia" w:eastAsiaTheme="minorEastAsia"/>
          <w:snapToGrid w:val="0"/>
          <w:kern w:val="0"/>
          <w:szCs w:val="21"/>
        </w:rPr>
        <w:t>招标文件</w:t>
      </w:r>
      <w:r>
        <w:rPr>
          <w:rFonts w:hint="eastAsia" w:asciiTheme="minorEastAsia" w:hAnsiTheme="minorEastAsia" w:eastAsiaTheme="minorEastAsia"/>
          <w:szCs w:val="21"/>
        </w:rPr>
        <w:t>和投标文件中的商业、技术等秘密保密，违者应对由此造成的后果承担法律责任。</w:t>
      </w:r>
    </w:p>
    <w:p w14:paraId="6E96525D">
      <w:pPr>
        <w:spacing w:line="360" w:lineRule="auto"/>
        <w:ind w:firstLine="482"/>
        <w:outlineLvl w:val="3"/>
        <w:rPr>
          <w:rFonts w:ascii="宋体" w:hAnsi="宋体"/>
          <w:b/>
          <w:bCs/>
          <w:sz w:val="24"/>
          <w:szCs w:val="24"/>
        </w:rPr>
      </w:pPr>
      <w:bookmarkStart w:id="288" w:name="_Toc69678422"/>
      <w:bookmarkStart w:id="289" w:name="_Toc83753885"/>
      <w:bookmarkStart w:id="290" w:name="_Toc81330932"/>
      <w:bookmarkStart w:id="291" w:name="_Toc84356245"/>
      <w:bookmarkStart w:id="292" w:name="_Toc42267625"/>
      <w:bookmarkStart w:id="293" w:name="_Toc45976893"/>
      <w:bookmarkStart w:id="294" w:name="_Toc87538362"/>
      <w:bookmarkStart w:id="295" w:name="_Toc98033927"/>
      <w:bookmarkStart w:id="296" w:name="_Toc98865004"/>
      <w:bookmarkStart w:id="297" w:name="_Toc3702"/>
      <w:bookmarkStart w:id="298" w:name="_Toc45791347"/>
      <w:bookmarkStart w:id="299" w:name="_Toc109809305"/>
      <w:bookmarkStart w:id="300" w:name="_Toc75783524"/>
      <w:bookmarkStart w:id="301" w:name="_Toc116583993"/>
      <w:bookmarkStart w:id="302" w:name="_Toc87543811"/>
      <w:bookmarkStart w:id="303" w:name="_Toc42204986"/>
      <w:bookmarkStart w:id="304" w:name="_Toc110405127"/>
      <w:bookmarkStart w:id="305" w:name="_Toc53412209"/>
      <w:r>
        <w:rPr>
          <w:rFonts w:hint="eastAsia" w:ascii="宋体" w:hAnsi="宋体"/>
          <w:b/>
          <w:bCs/>
          <w:sz w:val="24"/>
          <w:szCs w:val="24"/>
        </w:rPr>
        <w:t>1.7 语言文字</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2FEEBB3">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除专用术语外，与投标有关的语言均使用中文。必要时专用术语应附有中文注释。</w:t>
      </w:r>
    </w:p>
    <w:p w14:paraId="43E6E84F">
      <w:pPr>
        <w:spacing w:line="360" w:lineRule="auto"/>
        <w:ind w:firstLine="482"/>
        <w:outlineLvl w:val="3"/>
        <w:rPr>
          <w:rFonts w:ascii="宋体" w:hAnsi="宋体"/>
          <w:b/>
          <w:bCs/>
          <w:sz w:val="24"/>
          <w:szCs w:val="24"/>
        </w:rPr>
      </w:pPr>
      <w:bookmarkStart w:id="306" w:name="_Toc98865005"/>
      <w:bookmarkStart w:id="307" w:name="_Toc21668"/>
      <w:bookmarkStart w:id="308" w:name="_Toc69678423"/>
      <w:bookmarkStart w:id="309" w:name="_Toc116583994"/>
      <w:bookmarkStart w:id="310" w:name="_Toc81330933"/>
      <w:bookmarkStart w:id="311" w:name="_Toc87543812"/>
      <w:bookmarkStart w:id="312" w:name="_Toc87538363"/>
      <w:bookmarkStart w:id="313" w:name="_Toc53412210"/>
      <w:bookmarkStart w:id="314" w:name="_Toc75783525"/>
      <w:bookmarkStart w:id="315" w:name="_Toc45791348"/>
      <w:bookmarkStart w:id="316" w:name="_Toc83753886"/>
      <w:bookmarkStart w:id="317" w:name="_Toc42204987"/>
      <w:bookmarkStart w:id="318" w:name="_Toc109809306"/>
      <w:bookmarkStart w:id="319" w:name="_Toc42267626"/>
      <w:bookmarkStart w:id="320" w:name="_Toc84356246"/>
      <w:bookmarkStart w:id="321" w:name="_Toc98033928"/>
      <w:bookmarkStart w:id="322" w:name="_Toc110405128"/>
      <w:bookmarkStart w:id="323" w:name="_Toc45976894"/>
      <w:r>
        <w:rPr>
          <w:rFonts w:hint="eastAsia" w:ascii="宋体" w:hAnsi="宋体"/>
          <w:b/>
          <w:bCs/>
          <w:sz w:val="24"/>
          <w:szCs w:val="24"/>
        </w:rPr>
        <w:t>1.8 计量单位</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EAB2A9F">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所有计量均采用中华人民共和国法定计量单位。</w:t>
      </w:r>
    </w:p>
    <w:p w14:paraId="5814A5E3">
      <w:pPr>
        <w:spacing w:line="360" w:lineRule="auto"/>
        <w:ind w:firstLine="482"/>
        <w:outlineLvl w:val="3"/>
        <w:rPr>
          <w:rFonts w:ascii="宋体" w:hAnsi="宋体"/>
          <w:b/>
          <w:bCs/>
          <w:sz w:val="24"/>
          <w:szCs w:val="24"/>
        </w:rPr>
      </w:pPr>
      <w:bookmarkStart w:id="324" w:name="_Toc87538364"/>
      <w:bookmarkStart w:id="325" w:name="_Toc53412211"/>
      <w:bookmarkStart w:id="326" w:name="_Toc42267627"/>
      <w:bookmarkStart w:id="327" w:name="_Toc83753887"/>
      <w:bookmarkStart w:id="328" w:name="_Toc45791349"/>
      <w:bookmarkStart w:id="329" w:name="_Toc69678424"/>
      <w:bookmarkStart w:id="330" w:name="_Toc98865006"/>
      <w:bookmarkStart w:id="331" w:name="_Toc81330934"/>
      <w:bookmarkStart w:id="332" w:name="_Toc87543813"/>
      <w:bookmarkStart w:id="333" w:name="_Toc75783526"/>
      <w:bookmarkStart w:id="334" w:name="_Toc45976895"/>
      <w:bookmarkStart w:id="335" w:name="_Toc110405129"/>
      <w:bookmarkStart w:id="336" w:name="_Toc84356247"/>
      <w:bookmarkStart w:id="337" w:name="_Toc42204988"/>
      <w:bookmarkStart w:id="338" w:name="_Toc116583995"/>
      <w:bookmarkStart w:id="339" w:name="_Toc109809307"/>
      <w:bookmarkStart w:id="340" w:name="_Toc98033929"/>
      <w:bookmarkStart w:id="341" w:name="_Toc32582"/>
      <w:r>
        <w:rPr>
          <w:rFonts w:hint="eastAsia" w:ascii="宋体" w:hAnsi="宋体"/>
          <w:b/>
          <w:bCs/>
          <w:sz w:val="24"/>
          <w:szCs w:val="24"/>
        </w:rPr>
        <w:t>1.9 踏勘现场</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C9C34F0">
      <w:pPr>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见投标人须知前附表。</w:t>
      </w:r>
    </w:p>
    <w:p w14:paraId="6F0BAFB3">
      <w:pPr>
        <w:spacing w:line="360" w:lineRule="auto"/>
        <w:ind w:firstLine="482"/>
        <w:outlineLvl w:val="3"/>
        <w:rPr>
          <w:rFonts w:ascii="宋体" w:hAnsi="宋体"/>
          <w:b/>
          <w:bCs/>
          <w:sz w:val="24"/>
          <w:szCs w:val="24"/>
        </w:rPr>
      </w:pPr>
      <w:bookmarkStart w:id="342" w:name="_Toc42267628"/>
      <w:bookmarkStart w:id="343" w:name="_Toc116583996"/>
      <w:bookmarkStart w:id="344" w:name="_Toc87538365"/>
      <w:bookmarkStart w:id="345" w:name="_Toc98033930"/>
      <w:bookmarkStart w:id="346" w:name="_Toc69678425"/>
      <w:bookmarkStart w:id="347" w:name="_Toc53412212"/>
      <w:bookmarkStart w:id="348" w:name="_Toc98865007"/>
      <w:bookmarkStart w:id="349" w:name="_Toc81330935"/>
      <w:bookmarkStart w:id="350" w:name="_Toc45791350"/>
      <w:bookmarkStart w:id="351" w:name="_Toc87543814"/>
      <w:bookmarkStart w:id="352" w:name="_Toc110405130"/>
      <w:bookmarkStart w:id="353" w:name="_Toc109809308"/>
      <w:bookmarkStart w:id="354" w:name="_Toc45976896"/>
      <w:bookmarkStart w:id="355" w:name="_Toc42204989"/>
      <w:bookmarkStart w:id="356" w:name="_Toc30991"/>
      <w:bookmarkStart w:id="357" w:name="_Toc75783527"/>
      <w:bookmarkStart w:id="358" w:name="_Toc84356248"/>
      <w:bookmarkStart w:id="359" w:name="_Toc83753888"/>
      <w:r>
        <w:rPr>
          <w:rFonts w:hint="eastAsia" w:ascii="宋体" w:hAnsi="宋体"/>
          <w:b/>
          <w:bCs/>
          <w:sz w:val="24"/>
          <w:szCs w:val="24"/>
        </w:rPr>
        <w:t>1.10 投标预备会</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42A58B3">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1.10.1本次投标不组织投标预备会。</w:t>
      </w:r>
    </w:p>
    <w:p w14:paraId="12059AE6">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1.10.2投标人的询问及答复的规定：见投标人须知前附表。</w:t>
      </w:r>
    </w:p>
    <w:p w14:paraId="08856674">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1.10.3采购人澄清的时间和方法：见投标人须知前附表。</w:t>
      </w:r>
    </w:p>
    <w:p w14:paraId="69D03C25">
      <w:pPr>
        <w:spacing w:line="360" w:lineRule="auto"/>
        <w:ind w:firstLine="482"/>
        <w:outlineLvl w:val="3"/>
        <w:rPr>
          <w:rFonts w:ascii="宋体" w:hAnsi="宋体"/>
          <w:b/>
          <w:bCs/>
          <w:sz w:val="24"/>
          <w:szCs w:val="24"/>
        </w:rPr>
      </w:pPr>
      <w:bookmarkStart w:id="360" w:name="_Toc98865008"/>
      <w:bookmarkStart w:id="361" w:name="_Toc75783528"/>
      <w:bookmarkStart w:id="362" w:name="_Toc81330936"/>
      <w:bookmarkStart w:id="363" w:name="_Toc87538366"/>
      <w:bookmarkStart w:id="364" w:name="_Toc98033931"/>
      <w:bookmarkStart w:id="365" w:name="_Toc84356249"/>
      <w:bookmarkStart w:id="366" w:name="_Toc116583997"/>
      <w:bookmarkStart w:id="367" w:name="_Toc45976897"/>
      <w:bookmarkStart w:id="368" w:name="_Toc110405131"/>
      <w:bookmarkStart w:id="369" w:name="_Toc2836"/>
      <w:bookmarkStart w:id="370" w:name="_Toc42267629"/>
      <w:bookmarkStart w:id="371" w:name="_Toc109809309"/>
      <w:bookmarkStart w:id="372" w:name="_Toc69678426"/>
      <w:bookmarkStart w:id="373" w:name="_Toc53412213"/>
      <w:bookmarkStart w:id="374" w:name="_Toc83753889"/>
      <w:bookmarkStart w:id="375" w:name="_Toc87543815"/>
      <w:bookmarkStart w:id="376" w:name="_Toc42204990"/>
      <w:bookmarkStart w:id="377" w:name="_Toc45791351"/>
      <w:r>
        <w:rPr>
          <w:rFonts w:hint="eastAsia" w:ascii="宋体" w:hAnsi="宋体"/>
          <w:b/>
          <w:bCs/>
          <w:sz w:val="24"/>
          <w:szCs w:val="24"/>
        </w:rPr>
        <w:t>1.11 分包</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D5BE465">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见投标人须知前附表。</w:t>
      </w:r>
    </w:p>
    <w:p w14:paraId="27AD4BBB">
      <w:pPr>
        <w:spacing w:line="360" w:lineRule="auto"/>
        <w:ind w:firstLine="482"/>
        <w:outlineLvl w:val="3"/>
        <w:rPr>
          <w:rFonts w:ascii="宋体" w:hAnsi="宋体"/>
          <w:b/>
          <w:bCs/>
          <w:sz w:val="24"/>
          <w:szCs w:val="24"/>
        </w:rPr>
      </w:pPr>
      <w:bookmarkStart w:id="378" w:name="_Toc42204991"/>
      <w:bookmarkStart w:id="379" w:name="_Toc42267630"/>
      <w:bookmarkStart w:id="380" w:name="_Toc87543816"/>
      <w:bookmarkStart w:id="381" w:name="_Toc84356250"/>
      <w:bookmarkStart w:id="382" w:name="_Toc81330937"/>
      <w:bookmarkStart w:id="383" w:name="_Toc53412214"/>
      <w:bookmarkStart w:id="384" w:name="_Toc75783529"/>
      <w:bookmarkStart w:id="385" w:name="_Toc98865009"/>
      <w:bookmarkStart w:id="386" w:name="_Toc109809310"/>
      <w:bookmarkStart w:id="387" w:name="_Toc45976898"/>
      <w:bookmarkStart w:id="388" w:name="_Toc83753890"/>
      <w:bookmarkStart w:id="389" w:name="_Toc110405132"/>
      <w:bookmarkStart w:id="390" w:name="_Toc87538367"/>
      <w:bookmarkStart w:id="391" w:name="_Toc69678427"/>
      <w:bookmarkStart w:id="392" w:name="_Toc45791352"/>
      <w:bookmarkStart w:id="393" w:name="_Toc98033932"/>
      <w:bookmarkStart w:id="394" w:name="_Toc116583998"/>
      <w:bookmarkStart w:id="395" w:name="_Toc20888"/>
      <w:r>
        <w:rPr>
          <w:rFonts w:hint="eastAsia" w:ascii="宋体" w:hAnsi="宋体"/>
          <w:b/>
          <w:bCs/>
          <w:sz w:val="24"/>
          <w:szCs w:val="24"/>
        </w:rPr>
        <w:t>1.12 偏离</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54BFF7F">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见投标人须知前附表。</w:t>
      </w:r>
    </w:p>
    <w:p w14:paraId="5F0E5FD6">
      <w:pPr>
        <w:spacing w:line="360" w:lineRule="auto"/>
        <w:ind w:firstLine="562"/>
        <w:jc w:val="center"/>
        <w:outlineLvl w:val="2"/>
        <w:rPr>
          <w:rFonts w:asciiTheme="minorEastAsia" w:hAnsiTheme="minorEastAsia" w:eastAsiaTheme="minorEastAsia"/>
          <w:b/>
          <w:bCs/>
          <w:sz w:val="28"/>
          <w:szCs w:val="28"/>
        </w:rPr>
      </w:pPr>
      <w:bookmarkStart w:id="396" w:name="_Toc83753891"/>
      <w:bookmarkStart w:id="397" w:name="_Toc87543817"/>
      <w:bookmarkStart w:id="398" w:name="_Toc22595"/>
      <w:bookmarkStart w:id="399" w:name="_Toc45791353"/>
      <w:bookmarkStart w:id="400" w:name="_Toc42267631"/>
      <w:bookmarkStart w:id="401" w:name="_Toc42204992"/>
      <w:bookmarkStart w:id="402" w:name="_Toc116583999"/>
      <w:bookmarkStart w:id="403" w:name="_Toc84356251"/>
      <w:bookmarkStart w:id="404" w:name="_Toc45976899"/>
      <w:bookmarkStart w:id="405" w:name="_Toc87538368"/>
      <w:bookmarkStart w:id="406" w:name="_Toc109809311"/>
      <w:bookmarkStart w:id="407" w:name="_Toc98865010"/>
      <w:bookmarkStart w:id="408" w:name="_Toc110405133"/>
      <w:bookmarkStart w:id="409" w:name="_Toc98033933"/>
      <w:r>
        <w:rPr>
          <w:rFonts w:hint="eastAsia" w:asciiTheme="minorEastAsia" w:hAnsiTheme="minorEastAsia" w:eastAsiaTheme="minorEastAsia"/>
          <w:b/>
          <w:bCs/>
          <w:sz w:val="28"/>
          <w:szCs w:val="28"/>
        </w:rPr>
        <w:t>2.</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asciiTheme="minorEastAsia" w:hAnsiTheme="minorEastAsia" w:eastAsiaTheme="minorEastAsia"/>
          <w:b/>
          <w:bCs/>
          <w:sz w:val="28"/>
          <w:szCs w:val="28"/>
        </w:rPr>
        <w:t>招标文件</w:t>
      </w:r>
    </w:p>
    <w:p w14:paraId="42DD548C">
      <w:pPr>
        <w:spacing w:line="360" w:lineRule="auto"/>
        <w:ind w:firstLine="482"/>
        <w:outlineLvl w:val="3"/>
        <w:rPr>
          <w:rFonts w:ascii="宋体" w:hAnsi="宋体"/>
          <w:b/>
          <w:bCs/>
          <w:sz w:val="24"/>
          <w:szCs w:val="24"/>
        </w:rPr>
      </w:pPr>
      <w:bookmarkStart w:id="410" w:name="_Toc87543818"/>
      <w:bookmarkStart w:id="411" w:name="_Toc98865011"/>
      <w:bookmarkStart w:id="412" w:name="_Toc98033934"/>
      <w:bookmarkStart w:id="413" w:name="_Toc42204993"/>
      <w:bookmarkStart w:id="414" w:name="_Toc81330939"/>
      <w:bookmarkStart w:id="415" w:name="_Toc84356252"/>
      <w:bookmarkStart w:id="416" w:name="_Toc75783531"/>
      <w:bookmarkStart w:id="417" w:name="_Toc42267632"/>
      <w:bookmarkStart w:id="418" w:name="_Toc110405134"/>
      <w:bookmarkStart w:id="419" w:name="_Toc45976900"/>
      <w:bookmarkStart w:id="420" w:name="_Toc69678429"/>
      <w:bookmarkStart w:id="421" w:name="_Toc1486"/>
      <w:bookmarkStart w:id="422" w:name="_Toc53412216"/>
      <w:bookmarkStart w:id="423" w:name="_Toc87538369"/>
      <w:bookmarkStart w:id="424" w:name="_Toc116584000"/>
      <w:bookmarkStart w:id="425" w:name="_Toc83753892"/>
      <w:bookmarkStart w:id="426" w:name="_Toc45791354"/>
      <w:bookmarkStart w:id="427" w:name="_Toc109809312"/>
      <w:r>
        <w:rPr>
          <w:rFonts w:hint="eastAsia" w:ascii="宋体" w:hAnsi="宋体"/>
          <w:b/>
          <w:bCs/>
          <w:sz w:val="24"/>
          <w:szCs w:val="24"/>
        </w:rPr>
        <w:t>2.1招标文件的构成</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C1774F3">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招标文件包括以下内容：</w:t>
      </w:r>
    </w:p>
    <w:p w14:paraId="4489F04F">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第一章 招标公告</w:t>
      </w:r>
    </w:p>
    <w:p w14:paraId="2BCCD238">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第二章 投标人须知</w:t>
      </w:r>
    </w:p>
    <w:p w14:paraId="67706178">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第三章 评标办法（综合评分法）</w:t>
      </w:r>
    </w:p>
    <w:p w14:paraId="1D96D371">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第四章 合同条款及格式</w:t>
      </w:r>
    </w:p>
    <w:p w14:paraId="27DF5A12">
      <w:pPr>
        <w:adjustRightInd w:val="0"/>
        <w:snapToGrid w:val="0"/>
        <w:spacing w:line="360" w:lineRule="auto"/>
        <w:ind w:firstLine="420" w:firstLineChars="200"/>
        <w:rPr>
          <w:rFonts w:asciiTheme="minorEastAsia" w:hAnsiTheme="minorEastAsia" w:eastAsiaTheme="minorEastAsia"/>
          <w:szCs w:val="32"/>
        </w:rPr>
      </w:pPr>
      <w:r>
        <w:rPr>
          <w:rFonts w:hint="eastAsia" w:asciiTheme="minorEastAsia" w:hAnsiTheme="minorEastAsia" w:eastAsiaTheme="minorEastAsia"/>
          <w:szCs w:val="21"/>
        </w:rPr>
        <w:t>第五章 采购需求</w:t>
      </w:r>
    </w:p>
    <w:p w14:paraId="5996B13F">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第六章 投标文件格式</w:t>
      </w:r>
    </w:p>
    <w:p w14:paraId="41CBB30E">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2.1.1构成招标文件的其他文件：根据本章第1.10款、第2.2 款和第2.3 款采购人对</w:t>
      </w:r>
      <w:r>
        <w:rPr>
          <w:rFonts w:hint="eastAsia" w:asciiTheme="minorEastAsia" w:hAnsiTheme="minorEastAsia" w:eastAsiaTheme="minorEastAsia"/>
          <w:snapToGrid w:val="0"/>
          <w:kern w:val="0"/>
          <w:szCs w:val="21"/>
        </w:rPr>
        <w:t>招标文件</w:t>
      </w:r>
      <w:r>
        <w:rPr>
          <w:rFonts w:hint="eastAsia" w:asciiTheme="minorEastAsia" w:hAnsiTheme="minorEastAsia" w:eastAsiaTheme="minorEastAsia"/>
          <w:szCs w:val="28"/>
        </w:rPr>
        <w:t>所作的澄清、修改，构成招标文件的组成部分。</w:t>
      </w:r>
    </w:p>
    <w:p w14:paraId="71C87B0C">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2.1.2投标过程中可能实质性变动的内容：在投标过程中，评标委员会可以根据</w:t>
      </w:r>
      <w:r>
        <w:rPr>
          <w:rFonts w:hint="eastAsia" w:asciiTheme="minorEastAsia" w:hAnsiTheme="minorEastAsia" w:eastAsiaTheme="minorEastAsia"/>
          <w:snapToGrid w:val="0"/>
          <w:kern w:val="0"/>
          <w:szCs w:val="21"/>
        </w:rPr>
        <w:t>招标文件</w:t>
      </w:r>
      <w:r>
        <w:rPr>
          <w:rFonts w:hint="eastAsia" w:asciiTheme="minorEastAsia" w:hAnsiTheme="minorEastAsia" w:eastAsiaTheme="minorEastAsia"/>
          <w:szCs w:val="21"/>
        </w:rPr>
        <w:t>和投标情况实质性变动采购需求中的技术要求、质量标准以及合同条款，但不得变动</w:t>
      </w:r>
      <w:r>
        <w:rPr>
          <w:rFonts w:hint="eastAsia" w:asciiTheme="minorEastAsia" w:hAnsiTheme="minorEastAsia" w:eastAsiaTheme="minorEastAsia"/>
          <w:snapToGrid w:val="0"/>
          <w:kern w:val="0"/>
          <w:szCs w:val="21"/>
        </w:rPr>
        <w:t>招标文件</w:t>
      </w:r>
      <w:r>
        <w:rPr>
          <w:rFonts w:hint="eastAsia" w:asciiTheme="minorEastAsia" w:hAnsiTheme="minorEastAsia" w:eastAsiaTheme="minorEastAsia"/>
          <w:szCs w:val="21"/>
        </w:rPr>
        <w:t>中的其他内容。实质性变动的内容，须经采购人代表确认。</w:t>
      </w:r>
    </w:p>
    <w:p w14:paraId="1ADB8E09">
      <w:pPr>
        <w:spacing w:line="360" w:lineRule="auto"/>
        <w:ind w:firstLine="482"/>
        <w:outlineLvl w:val="3"/>
        <w:rPr>
          <w:rFonts w:ascii="宋体" w:hAnsi="宋体"/>
          <w:b/>
          <w:bCs/>
          <w:sz w:val="24"/>
          <w:szCs w:val="24"/>
        </w:rPr>
      </w:pPr>
      <w:bookmarkStart w:id="428" w:name="_Toc81330940"/>
      <w:bookmarkStart w:id="429" w:name="_Toc84356253"/>
      <w:bookmarkStart w:id="430" w:name="_Toc45976901"/>
      <w:bookmarkStart w:id="431" w:name="_Toc87538370"/>
      <w:bookmarkStart w:id="432" w:name="_Toc53412217"/>
      <w:bookmarkStart w:id="433" w:name="_Toc110405135"/>
      <w:bookmarkStart w:id="434" w:name="_Toc83753893"/>
      <w:bookmarkStart w:id="435" w:name="_Toc42267633"/>
      <w:bookmarkStart w:id="436" w:name="_Toc69678430"/>
      <w:bookmarkStart w:id="437" w:name="_Toc116584001"/>
      <w:bookmarkStart w:id="438" w:name="_Toc75783532"/>
      <w:bookmarkStart w:id="439" w:name="_Toc109809313"/>
      <w:bookmarkStart w:id="440" w:name="_Toc2038"/>
      <w:bookmarkStart w:id="441" w:name="_Toc98033935"/>
      <w:bookmarkStart w:id="442" w:name="_Toc98865012"/>
      <w:bookmarkStart w:id="443" w:name="_Toc42204994"/>
      <w:bookmarkStart w:id="444" w:name="_Toc45791355"/>
      <w:bookmarkStart w:id="445" w:name="_Toc87543819"/>
      <w:r>
        <w:rPr>
          <w:rFonts w:hint="eastAsia" w:ascii="宋体" w:hAnsi="宋体"/>
          <w:b/>
          <w:bCs/>
          <w:sz w:val="24"/>
          <w:szCs w:val="24"/>
        </w:rPr>
        <w:t>2.2招标文件的澄清</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634104A">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2.2.1投标人要求澄清招标文件的截止时间和方法：同1.10.2的时间要求。投标人应仔细阅读和检查招标文件的全部内容，如发现缺页或附件不全，应及时向采购人提出，以便补齐。如有疑问，应在投标人须知前附表规定的时间前，要求采购人对招标文件予以澄清。</w:t>
      </w:r>
    </w:p>
    <w:p w14:paraId="29DA786B">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2.2.2投标截止时间：见投标人须知前附表。</w:t>
      </w:r>
    </w:p>
    <w:p w14:paraId="6846AF3A">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2.2.3投标人确认收到</w:t>
      </w:r>
      <w:r>
        <w:rPr>
          <w:rFonts w:hint="eastAsia" w:asciiTheme="minorEastAsia" w:hAnsiTheme="minorEastAsia" w:eastAsiaTheme="minorEastAsia"/>
          <w:snapToGrid w:val="0"/>
          <w:kern w:val="0"/>
          <w:szCs w:val="21"/>
        </w:rPr>
        <w:t>招标文件</w:t>
      </w:r>
      <w:r>
        <w:rPr>
          <w:rFonts w:hint="eastAsia" w:asciiTheme="minorEastAsia" w:hAnsiTheme="minorEastAsia" w:eastAsiaTheme="minorEastAsia"/>
          <w:szCs w:val="21"/>
        </w:rPr>
        <w:t>澄清的时间：见投标人须知前附表。</w:t>
      </w:r>
    </w:p>
    <w:p w14:paraId="7F2FDE81">
      <w:pPr>
        <w:spacing w:line="360" w:lineRule="auto"/>
        <w:ind w:firstLine="482"/>
        <w:outlineLvl w:val="3"/>
        <w:rPr>
          <w:rFonts w:ascii="宋体" w:hAnsi="宋体"/>
          <w:b/>
          <w:bCs/>
          <w:sz w:val="24"/>
          <w:szCs w:val="24"/>
        </w:rPr>
      </w:pPr>
      <w:bookmarkStart w:id="446" w:name="_Toc13012"/>
      <w:bookmarkStart w:id="447" w:name="_Toc45791356"/>
      <w:bookmarkStart w:id="448" w:name="_Toc45976902"/>
      <w:bookmarkStart w:id="449" w:name="_Toc116584002"/>
      <w:bookmarkStart w:id="450" w:name="_Toc42267634"/>
      <w:bookmarkStart w:id="451" w:name="_Toc83753894"/>
      <w:bookmarkStart w:id="452" w:name="_Toc98865013"/>
      <w:bookmarkStart w:id="453" w:name="_Toc69678431"/>
      <w:bookmarkStart w:id="454" w:name="_Toc98033936"/>
      <w:bookmarkStart w:id="455" w:name="_Toc84356254"/>
      <w:bookmarkStart w:id="456" w:name="_Toc109809314"/>
      <w:bookmarkStart w:id="457" w:name="_Toc42204995"/>
      <w:bookmarkStart w:id="458" w:name="_Toc87538371"/>
      <w:bookmarkStart w:id="459" w:name="_Toc53412218"/>
      <w:bookmarkStart w:id="460" w:name="_Toc81330941"/>
      <w:bookmarkStart w:id="461" w:name="_Toc75783533"/>
      <w:bookmarkStart w:id="462" w:name="_Toc110405136"/>
      <w:bookmarkStart w:id="463" w:name="_Toc87543820"/>
      <w:r>
        <w:rPr>
          <w:rFonts w:hint="eastAsia" w:ascii="宋体" w:hAnsi="宋体"/>
          <w:b/>
          <w:bCs/>
          <w:sz w:val="24"/>
          <w:szCs w:val="24"/>
        </w:rPr>
        <w:t>2.3招标文件的修改</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395B574B">
      <w:pPr>
        <w:adjustRightInd w:val="0"/>
        <w:snapToGrid w:val="0"/>
        <w:spacing w:line="360" w:lineRule="auto"/>
        <w:ind w:firstLine="420" w:firstLineChars="200"/>
        <w:jc w:val="left"/>
        <w:rPr>
          <w:rFonts w:asciiTheme="minorEastAsia" w:hAnsiTheme="minorEastAsia" w:eastAsiaTheme="minorEastAsia"/>
          <w:szCs w:val="21"/>
        </w:rPr>
      </w:pPr>
      <w:bookmarkStart w:id="464" w:name="_Toc292983019"/>
      <w:bookmarkStart w:id="465" w:name="_Toc381796409"/>
      <w:r>
        <w:rPr>
          <w:rFonts w:hint="eastAsia" w:asciiTheme="minorEastAsia" w:hAnsiTheme="minorEastAsia" w:eastAsiaTheme="minorEastAsia"/>
          <w:szCs w:val="21"/>
        </w:rPr>
        <w:t>2.3.1</w:t>
      </w:r>
      <w:r>
        <w:rPr>
          <w:rFonts w:hint="eastAsia" w:asciiTheme="minorEastAsia" w:hAnsiTheme="minorEastAsia" w:eastAsiaTheme="minorEastAsia"/>
        </w:rPr>
        <w:t>投标文件</w:t>
      </w:r>
      <w:r>
        <w:rPr>
          <w:rFonts w:hint="eastAsia" w:asciiTheme="minorEastAsia" w:hAnsiTheme="minorEastAsia" w:eastAsiaTheme="minorEastAsia"/>
          <w:szCs w:val="21"/>
        </w:rPr>
        <w:t>递交</w:t>
      </w:r>
      <w:r>
        <w:rPr>
          <w:rFonts w:hint="eastAsia" w:asciiTheme="minorEastAsia" w:hAnsiTheme="minorEastAsia" w:eastAsiaTheme="minorEastAsia"/>
        </w:rPr>
        <w:t>截止时间前，采购人、采购代理机构可以对已发出的招标文件进行必要的澄清，澄清的内容作为招标文件的组成部分</w:t>
      </w:r>
      <w:r>
        <w:rPr>
          <w:rFonts w:hint="eastAsia" w:asciiTheme="minorEastAsia" w:hAnsiTheme="minorEastAsia" w:eastAsiaTheme="minorEastAsia"/>
          <w:szCs w:val="21"/>
        </w:rPr>
        <w:t>并具有约束力。</w:t>
      </w:r>
      <w:r>
        <w:rPr>
          <w:rFonts w:hint="eastAsia" w:asciiTheme="minorEastAsia" w:hAnsiTheme="minorEastAsia" w:eastAsiaTheme="minorEastAsia"/>
        </w:rPr>
        <w:t>澄清的内容可能影响投标文件编制的，采购人、采购代理机构应在投标文件</w:t>
      </w:r>
      <w:r>
        <w:rPr>
          <w:rFonts w:hint="eastAsia" w:asciiTheme="minorEastAsia" w:hAnsiTheme="minorEastAsia" w:eastAsiaTheme="minorEastAsia"/>
          <w:szCs w:val="21"/>
        </w:rPr>
        <w:t>递交</w:t>
      </w:r>
      <w:r>
        <w:rPr>
          <w:rFonts w:hint="eastAsia" w:asciiTheme="minorEastAsia" w:hAnsiTheme="minorEastAsia" w:eastAsiaTheme="minorEastAsia"/>
        </w:rPr>
        <w:t>截止时间15日前，在政府采购云平台通知所有获取招标文件的投标人，但不指明澄清问题的来源。不足15日的，应当顺延投标文件</w:t>
      </w:r>
      <w:r>
        <w:rPr>
          <w:rFonts w:hint="eastAsia" w:asciiTheme="minorEastAsia" w:hAnsiTheme="minorEastAsia" w:eastAsiaTheme="minorEastAsia"/>
          <w:szCs w:val="21"/>
        </w:rPr>
        <w:t>递交</w:t>
      </w:r>
      <w:r>
        <w:rPr>
          <w:rFonts w:hint="eastAsia" w:asciiTheme="minorEastAsia" w:hAnsiTheme="minorEastAsia" w:eastAsiaTheme="minorEastAsia"/>
        </w:rPr>
        <w:t>截止时间。</w:t>
      </w:r>
    </w:p>
    <w:p w14:paraId="6ABEE4A1">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2.3.2投标人应在投标文件递交截止时间前随时查看有关该项目招标文件的答疑、补遗内容。否则，由此引起的损失由投标人自负。</w:t>
      </w:r>
    </w:p>
    <w:p w14:paraId="71C9622D">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2.3.3招标文件、招标文件澄清、招标文件修改文件内容均以网上发布的为准，当招标文件、招标文件澄清、招标文件修改文件内容相互矛盾时，以最后发出的为准</w:t>
      </w:r>
      <w:r>
        <w:rPr>
          <w:rFonts w:asciiTheme="minorEastAsia" w:hAnsiTheme="minorEastAsia" w:eastAsiaTheme="minorEastAsia"/>
          <w:szCs w:val="21"/>
        </w:rPr>
        <w:t>。</w:t>
      </w:r>
    </w:p>
    <w:p w14:paraId="5B3D02E0">
      <w:pPr>
        <w:spacing w:line="360" w:lineRule="auto"/>
        <w:ind w:firstLine="562"/>
        <w:jc w:val="center"/>
        <w:outlineLvl w:val="2"/>
        <w:rPr>
          <w:rFonts w:asciiTheme="minorEastAsia" w:hAnsiTheme="minorEastAsia" w:eastAsiaTheme="minorEastAsia"/>
          <w:b/>
          <w:bCs/>
          <w:sz w:val="28"/>
          <w:szCs w:val="28"/>
        </w:rPr>
      </w:pPr>
      <w:bookmarkStart w:id="466" w:name="_Toc116584003"/>
      <w:bookmarkStart w:id="467" w:name="_Toc110405137"/>
      <w:bookmarkStart w:id="468" w:name="_Toc84356255"/>
      <w:bookmarkStart w:id="469" w:name="_Toc42204996"/>
      <w:bookmarkStart w:id="470" w:name="_Toc87543821"/>
      <w:bookmarkStart w:id="471" w:name="_Toc109809315"/>
      <w:bookmarkStart w:id="472" w:name="_Toc98033937"/>
      <w:bookmarkStart w:id="473" w:name="_Toc98865014"/>
      <w:bookmarkStart w:id="474" w:name="_Toc83753895"/>
      <w:bookmarkStart w:id="475" w:name="_Toc87538372"/>
      <w:bookmarkStart w:id="476" w:name="_Toc26920"/>
      <w:bookmarkStart w:id="477" w:name="_Toc45976903"/>
      <w:bookmarkStart w:id="478" w:name="_Toc37603104"/>
      <w:bookmarkStart w:id="479" w:name="_Toc42267635"/>
      <w:bookmarkStart w:id="480" w:name="_Toc45791357"/>
      <w:r>
        <w:rPr>
          <w:rFonts w:hint="eastAsia" w:asciiTheme="minorEastAsia" w:hAnsiTheme="minorEastAsia" w:eastAsiaTheme="minorEastAsia"/>
          <w:b/>
          <w:bCs/>
          <w:sz w:val="28"/>
          <w:szCs w:val="28"/>
        </w:rPr>
        <w:t>3.投标文件</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4BF645C5">
      <w:pPr>
        <w:spacing w:line="360" w:lineRule="auto"/>
        <w:ind w:firstLine="482"/>
        <w:outlineLvl w:val="3"/>
        <w:rPr>
          <w:rFonts w:ascii="宋体" w:hAnsi="宋体"/>
          <w:b/>
          <w:bCs/>
          <w:sz w:val="24"/>
          <w:szCs w:val="24"/>
        </w:rPr>
      </w:pPr>
      <w:bookmarkStart w:id="481" w:name="_Toc87543822"/>
      <w:bookmarkStart w:id="482" w:name="_Toc145"/>
      <w:bookmarkStart w:id="483" w:name="_Toc42204997"/>
      <w:bookmarkStart w:id="484" w:name="_Toc83753896"/>
      <w:bookmarkStart w:id="485" w:name="_Toc84356256"/>
      <w:bookmarkStart w:id="486" w:name="_Toc81330943"/>
      <w:bookmarkStart w:id="487" w:name="_Toc42267636"/>
      <w:bookmarkStart w:id="488" w:name="_Toc110405138"/>
      <w:bookmarkStart w:id="489" w:name="_Toc116584004"/>
      <w:bookmarkStart w:id="490" w:name="_Toc98865015"/>
      <w:bookmarkStart w:id="491" w:name="_Toc45976904"/>
      <w:bookmarkStart w:id="492" w:name="_Toc87538373"/>
      <w:bookmarkStart w:id="493" w:name="_Toc69678433"/>
      <w:bookmarkStart w:id="494" w:name="_Toc98033938"/>
      <w:bookmarkStart w:id="495" w:name="_Toc53412220"/>
      <w:bookmarkStart w:id="496" w:name="_Toc109809316"/>
      <w:bookmarkStart w:id="497" w:name="_Toc45791358"/>
      <w:bookmarkStart w:id="498" w:name="_Toc75783535"/>
      <w:r>
        <w:rPr>
          <w:rFonts w:hint="eastAsia" w:ascii="宋体" w:hAnsi="宋体"/>
          <w:b/>
          <w:bCs/>
          <w:sz w:val="24"/>
          <w:szCs w:val="24"/>
        </w:rPr>
        <w:t>3.1 投标文件的组成</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48E52F89">
      <w:pPr>
        <w:pStyle w:val="6"/>
        <w:spacing w:line="360" w:lineRule="auto"/>
        <w:rPr>
          <w:rFonts w:asciiTheme="minorEastAsia" w:hAnsiTheme="minorEastAsia" w:eastAsiaTheme="minorEastAsia"/>
          <w:szCs w:val="21"/>
        </w:rPr>
      </w:pPr>
      <w:r>
        <w:rPr>
          <w:rFonts w:hint="eastAsia" w:asciiTheme="minorEastAsia" w:hAnsiTheme="minorEastAsia" w:eastAsiaTheme="minorEastAsia"/>
          <w:szCs w:val="21"/>
        </w:rPr>
        <w:t>见第六章“投标文件格式”部分。</w:t>
      </w:r>
    </w:p>
    <w:p w14:paraId="290ECD05">
      <w:pPr>
        <w:spacing w:line="360" w:lineRule="auto"/>
        <w:ind w:firstLine="482"/>
        <w:outlineLvl w:val="3"/>
        <w:rPr>
          <w:rFonts w:ascii="宋体" w:hAnsi="宋体"/>
          <w:b/>
          <w:bCs/>
          <w:sz w:val="24"/>
          <w:szCs w:val="24"/>
        </w:rPr>
      </w:pPr>
      <w:bookmarkStart w:id="499" w:name="_Toc109809317"/>
      <w:bookmarkStart w:id="500" w:name="_Toc69678434"/>
      <w:bookmarkStart w:id="501" w:name="_Toc110405139"/>
      <w:bookmarkStart w:id="502" w:name="_Toc81330944"/>
      <w:bookmarkStart w:id="503" w:name="_Toc84356257"/>
      <w:bookmarkStart w:id="504" w:name="_Toc11669"/>
      <w:bookmarkStart w:id="505" w:name="_Toc83753897"/>
      <w:bookmarkStart w:id="506" w:name="_Toc45976905"/>
      <w:bookmarkStart w:id="507" w:name="_Toc98865016"/>
      <w:bookmarkStart w:id="508" w:name="_Toc116584005"/>
      <w:bookmarkStart w:id="509" w:name="_Toc53412221"/>
      <w:bookmarkStart w:id="510" w:name="_Toc42267637"/>
      <w:bookmarkStart w:id="511" w:name="_Toc87543823"/>
      <w:bookmarkStart w:id="512" w:name="_Toc98033939"/>
      <w:bookmarkStart w:id="513" w:name="_Toc87538374"/>
      <w:bookmarkStart w:id="514" w:name="_Toc42204998"/>
      <w:bookmarkStart w:id="515" w:name="_Toc45791359"/>
      <w:bookmarkStart w:id="516" w:name="_Toc75783536"/>
      <w:r>
        <w:rPr>
          <w:rFonts w:hint="eastAsia" w:ascii="宋体" w:hAnsi="宋体"/>
          <w:b/>
          <w:bCs/>
          <w:sz w:val="24"/>
          <w:szCs w:val="24"/>
        </w:rPr>
        <w:t>3.2 投标报价</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26659C9">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.2.1</w:t>
      </w:r>
      <w:r>
        <w:rPr>
          <w:rFonts w:hint="eastAsia" w:asciiTheme="minorEastAsia" w:hAnsiTheme="minorEastAsia" w:eastAsiaTheme="minorEastAsia"/>
          <w:szCs w:val="21"/>
        </w:rPr>
        <w:t>最高限价：见投标人须知前附表。</w:t>
      </w:r>
    </w:p>
    <w:p w14:paraId="37291BED">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w:t>
      </w:r>
      <w:r>
        <w:rPr>
          <w:rFonts w:asciiTheme="minorEastAsia" w:hAnsiTheme="minorEastAsia" w:eastAsiaTheme="minorEastAsia"/>
          <w:szCs w:val="21"/>
        </w:rPr>
        <w:t>2</w:t>
      </w:r>
      <w:r>
        <w:rPr>
          <w:rFonts w:hint="eastAsia" w:asciiTheme="minorEastAsia" w:hAnsiTheme="minorEastAsia" w:eastAsiaTheme="minorEastAsia"/>
          <w:szCs w:val="21"/>
        </w:rPr>
        <w:t>报价方式：见投标人须知前附表。</w:t>
      </w:r>
    </w:p>
    <w:p w14:paraId="2E9846EF">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w:t>
      </w:r>
      <w:r>
        <w:rPr>
          <w:rFonts w:asciiTheme="minorEastAsia" w:hAnsiTheme="minorEastAsia" w:eastAsiaTheme="minorEastAsia"/>
          <w:szCs w:val="21"/>
        </w:rPr>
        <w:t>3</w:t>
      </w:r>
      <w:r>
        <w:rPr>
          <w:rFonts w:hint="eastAsia" w:asciiTheme="minorEastAsia" w:hAnsiTheme="minorEastAsia" w:eastAsiaTheme="minorEastAsia"/>
          <w:szCs w:val="21"/>
        </w:rPr>
        <w:t>结算方式：见投标人须知前附表。</w:t>
      </w:r>
    </w:p>
    <w:p w14:paraId="49888EA3">
      <w:pPr>
        <w:spacing w:line="360" w:lineRule="auto"/>
        <w:ind w:firstLine="482"/>
        <w:outlineLvl w:val="3"/>
        <w:rPr>
          <w:rFonts w:ascii="宋体" w:hAnsi="宋体"/>
          <w:b/>
          <w:bCs/>
          <w:sz w:val="24"/>
          <w:szCs w:val="24"/>
        </w:rPr>
      </w:pPr>
      <w:bookmarkStart w:id="517" w:name="_Toc87543824"/>
      <w:bookmarkStart w:id="518" w:name="_Toc42204999"/>
      <w:bookmarkStart w:id="519" w:name="_Toc84356258"/>
      <w:bookmarkStart w:id="520" w:name="_Toc109809318"/>
      <w:bookmarkStart w:id="521" w:name="_Toc53412222"/>
      <w:bookmarkStart w:id="522" w:name="_Toc81330945"/>
      <w:bookmarkStart w:id="523" w:name="_Toc116584006"/>
      <w:bookmarkStart w:id="524" w:name="_Toc45791360"/>
      <w:bookmarkStart w:id="525" w:name="_Toc9599"/>
      <w:bookmarkStart w:id="526" w:name="_Toc110405140"/>
      <w:bookmarkStart w:id="527" w:name="_Toc45976906"/>
      <w:bookmarkStart w:id="528" w:name="_Toc98865017"/>
      <w:bookmarkStart w:id="529" w:name="_Toc75783537"/>
      <w:bookmarkStart w:id="530" w:name="_Toc87538375"/>
      <w:bookmarkStart w:id="531" w:name="_Toc98033940"/>
      <w:bookmarkStart w:id="532" w:name="_Toc42267638"/>
      <w:bookmarkStart w:id="533" w:name="_Toc83753898"/>
      <w:bookmarkStart w:id="534" w:name="_Toc69678435"/>
      <w:r>
        <w:rPr>
          <w:rFonts w:hint="eastAsia" w:ascii="宋体" w:hAnsi="宋体"/>
          <w:b/>
          <w:bCs/>
          <w:sz w:val="24"/>
          <w:szCs w:val="24"/>
        </w:rPr>
        <w:t>3.3 投标有效期</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1A385629">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3.3.1在投标人须知前附表规定的</w:t>
      </w:r>
      <w:r>
        <w:rPr>
          <w:rFonts w:hint="eastAsia" w:asciiTheme="minorEastAsia" w:hAnsiTheme="minorEastAsia" w:eastAsiaTheme="minorEastAsia"/>
          <w:szCs w:val="24"/>
        </w:rPr>
        <w:t>投标</w:t>
      </w:r>
      <w:r>
        <w:rPr>
          <w:rFonts w:hint="eastAsia" w:asciiTheme="minorEastAsia" w:hAnsiTheme="minorEastAsia" w:eastAsiaTheme="minorEastAsia"/>
          <w:szCs w:val="28"/>
        </w:rPr>
        <w:t>有效期内，投标人不得要求撤销或修改其投标文件。</w:t>
      </w:r>
    </w:p>
    <w:p w14:paraId="618F132E">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8"/>
        </w:rPr>
        <w:t>3.3.2出现特殊情况需要延长</w:t>
      </w:r>
      <w:r>
        <w:rPr>
          <w:rFonts w:hint="eastAsia" w:asciiTheme="minorEastAsia" w:hAnsiTheme="minorEastAsia" w:eastAsiaTheme="minorEastAsia"/>
          <w:szCs w:val="24"/>
        </w:rPr>
        <w:t>投标</w:t>
      </w:r>
      <w:r>
        <w:rPr>
          <w:rFonts w:hint="eastAsia" w:asciiTheme="minorEastAsia" w:hAnsiTheme="minorEastAsia" w:eastAsiaTheme="minorEastAsia"/>
          <w:szCs w:val="28"/>
        </w:rPr>
        <w:t>有效期的，采购人将通知所有投标人延长</w:t>
      </w:r>
      <w:r>
        <w:rPr>
          <w:rFonts w:hint="eastAsia" w:asciiTheme="minorEastAsia" w:hAnsiTheme="minorEastAsia" w:eastAsiaTheme="minorEastAsia"/>
          <w:szCs w:val="24"/>
        </w:rPr>
        <w:t>投标</w:t>
      </w:r>
      <w:r>
        <w:rPr>
          <w:rFonts w:hint="eastAsia" w:asciiTheme="minorEastAsia" w:hAnsiTheme="minorEastAsia" w:eastAsiaTheme="minorEastAsia"/>
          <w:szCs w:val="28"/>
        </w:rPr>
        <w:t>有效期。投标人同意延长的，不得要求或被允许修改或撤销其投标文件；投标人拒绝延长的，其</w:t>
      </w:r>
      <w:r>
        <w:rPr>
          <w:rFonts w:hint="eastAsia" w:asciiTheme="minorEastAsia" w:hAnsiTheme="minorEastAsia" w:eastAsiaTheme="minorEastAsia"/>
          <w:szCs w:val="24"/>
        </w:rPr>
        <w:t>投标</w:t>
      </w:r>
      <w:r>
        <w:rPr>
          <w:rFonts w:hint="eastAsia" w:asciiTheme="minorEastAsia" w:hAnsiTheme="minorEastAsia" w:eastAsiaTheme="minorEastAsia"/>
          <w:szCs w:val="28"/>
        </w:rPr>
        <w:t>失效。</w:t>
      </w:r>
    </w:p>
    <w:p w14:paraId="03DD2FC0">
      <w:pPr>
        <w:spacing w:line="360" w:lineRule="auto"/>
        <w:ind w:firstLine="482"/>
        <w:outlineLvl w:val="3"/>
        <w:rPr>
          <w:rFonts w:ascii="宋体" w:hAnsi="宋体"/>
          <w:b/>
          <w:bCs/>
          <w:sz w:val="24"/>
          <w:szCs w:val="24"/>
        </w:rPr>
      </w:pPr>
      <w:bookmarkStart w:id="535" w:name="_Toc98033941"/>
      <w:bookmarkStart w:id="536" w:name="_Toc87543825"/>
      <w:bookmarkStart w:id="537" w:name="_Toc69678436"/>
      <w:bookmarkStart w:id="538" w:name="_Toc30417"/>
      <w:bookmarkStart w:id="539" w:name="_Toc42267639"/>
      <w:bookmarkStart w:id="540" w:name="_Toc81330946"/>
      <w:bookmarkStart w:id="541" w:name="_Toc109809319"/>
      <w:bookmarkStart w:id="542" w:name="_Toc42205000"/>
      <w:bookmarkStart w:id="543" w:name="_Toc110405141"/>
      <w:bookmarkStart w:id="544" w:name="_Toc53412223"/>
      <w:bookmarkStart w:id="545" w:name="_Toc75783538"/>
      <w:bookmarkStart w:id="546" w:name="_Toc116584007"/>
      <w:bookmarkStart w:id="547" w:name="_Toc45976907"/>
      <w:bookmarkStart w:id="548" w:name="_Toc45791361"/>
      <w:bookmarkStart w:id="549" w:name="_Toc87538376"/>
      <w:bookmarkStart w:id="550" w:name="_Toc98865018"/>
      <w:bookmarkStart w:id="551" w:name="_Toc83753899"/>
      <w:bookmarkStart w:id="552" w:name="_Toc84356259"/>
      <w:r>
        <w:rPr>
          <w:rFonts w:hint="eastAsia" w:ascii="宋体" w:hAnsi="宋体"/>
          <w:b/>
          <w:bCs/>
          <w:sz w:val="24"/>
          <w:szCs w:val="24"/>
        </w:rPr>
        <w:t>3.4 投标保证金</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0B06D56">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本项目不要求投标人递交投标保证金。</w:t>
      </w:r>
    </w:p>
    <w:p w14:paraId="28A673F7">
      <w:pPr>
        <w:spacing w:line="360" w:lineRule="auto"/>
        <w:ind w:firstLine="482"/>
        <w:outlineLvl w:val="3"/>
        <w:rPr>
          <w:rFonts w:ascii="宋体" w:hAnsi="宋体"/>
          <w:b/>
          <w:bCs/>
          <w:sz w:val="24"/>
          <w:szCs w:val="24"/>
        </w:rPr>
      </w:pPr>
      <w:bookmarkStart w:id="553" w:name="_Toc42205001"/>
      <w:bookmarkStart w:id="554" w:name="_Toc45976908"/>
      <w:bookmarkStart w:id="555" w:name="_Toc98865019"/>
      <w:bookmarkStart w:id="556" w:name="_Toc30166"/>
      <w:bookmarkStart w:id="557" w:name="_Toc81330947"/>
      <w:bookmarkStart w:id="558" w:name="_Toc83753900"/>
      <w:bookmarkStart w:id="559" w:name="_Toc42267640"/>
      <w:bookmarkStart w:id="560" w:name="_Toc110405142"/>
      <w:bookmarkStart w:id="561" w:name="_Toc109809320"/>
      <w:bookmarkStart w:id="562" w:name="_Toc53412224"/>
      <w:bookmarkStart w:id="563" w:name="_Toc87538377"/>
      <w:bookmarkStart w:id="564" w:name="_Toc84356260"/>
      <w:bookmarkStart w:id="565" w:name="_Toc45791362"/>
      <w:bookmarkStart w:id="566" w:name="_Toc87543826"/>
      <w:bookmarkStart w:id="567" w:name="_Toc69678437"/>
      <w:bookmarkStart w:id="568" w:name="_Toc98033942"/>
      <w:bookmarkStart w:id="569" w:name="_Toc75783539"/>
      <w:bookmarkStart w:id="570" w:name="_Toc116584008"/>
      <w:r>
        <w:rPr>
          <w:rFonts w:hint="eastAsia" w:ascii="宋体" w:hAnsi="宋体"/>
          <w:b/>
          <w:bCs/>
          <w:sz w:val="24"/>
          <w:szCs w:val="24"/>
        </w:rPr>
        <w:t>3.5 资格审查资料</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684ABBE6">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3.5.1近年财务状况的年份要求：见投标人须知前附表。</w:t>
      </w:r>
    </w:p>
    <w:p w14:paraId="35B80E00">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3.5.2没有重大违法记录的年份要求：见投标人须知前附表。</w:t>
      </w:r>
    </w:p>
    <w:p w14:paraId="06E889C7">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3.5.3其他资格审查资料：见第六章“投标文件格式”资格文件部分中的内容。</w:t>
      </w:r>
    </w:p>
    <w:p w14:paraId="7FE0B94B">
      <w:pPr>
        <w:spacing w:line="360" w:lineRule="auto"/>
        <w:ind w:firstLine="482"/>
        <w:outlineLvl w:val="3"/>
        <w:rPr>
          <w:rFonts w:ascii="宋体" w:hAnsi="宋体"/>
          <w:b/>
          <w:bCs/>
          <w:sz w:val="24"/>
          <w:szCs w:val="24"/>
        </w:rPr>
      </w:pPr>
      <w:bookmarkStart w:id="571" w:name="_Toc42205002"/>
      <w:bookmarkStart w:id="572" w:name="_Toc81330948"/>
      <w:bookmarkStart w:id="573" w:name="_Toc87538378"/>
      <w:bookmarkStart w:id="574" w:name="_Toc110405143"/>
      <w:bookmarkStart w:id="575" w:name="_Toc98865020"/>
      <w:bookmarkStart w:id="576" w:name="_Toc45976909"/>
      <w:bookmarkStart w:id="577" w:name="_Toc1352"/>
      <w:bookmarkStart w:id="578" w:name="_Toc75783540"/>
      <w:bookmarkStart w:id="579" w:name="_Toc83753901"/>
      <w:bookmarkStart w:id="580" w:name="_Toc69678438"/>
      <w:bookmarkStart w:id="581" w:name="_Toc116584009"/>
      <w:bookmarkStart w:id="582" w:name="_Toc98033943"/>
      <w:bookmarkStart w:id="583" w:name="_Toc109809321"/>
      <w:bookmarkStart w:id="584" w:name="_Toc42267641"/>
      <w:bookmarkStart w:id="585" w:name="_Toc87543827"/>
      <w:bookmarkStart w:id="586" w:name="_Toc45791363"/>
      <w:bookmarkStart w:id="587" w:name="_Toc53412225"/>
      <w:bookmarkStart w:id="588" w:name="_Toc84356261"/>
      <w:r>
        <w:rPr>
          <w:rFonts w:hint="eastAsia" w:ascii="宋体" w:hAnsi="宋体"/>
          <w:b/>
          <w:bCs/>
          <w:sz w:val="24"/>
          <w:szCs w:val="24"/>
        </w:rPr>
        <w:t>3.6 备选投标方案</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070E10E5">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除投标人须知前附表另有规定外，投标人不得</w:t>
      </w:r>
      <w:r>
        <w:rPr>
          <w:rFonts w:hint="eastAsia" w:asciiTheme="minorEastAsia" w:hAnsiTheme="minorEastAsia" w:eastAsiaTheme="minorEastAsia"/>
          <w:szCs w:val="28"/>
        </w:rPr>
        <w:t>递交</w:t>
      </w:r>
      <w:r>
        <w:rPr>
          <w:rFonts w:hint="eastAsia" w:asciiTheme="minorEastAsia" w:hAnsiTheme="minorEastAsia" w:eastAsiaTheme="minorEastAsia"/>
          <w:szCs w:val="21"/>
        </w:rPr>
        <w:t>备选投标方案。允许投标人</w:t>
      </w:r>
      <w:r>
        <w:rPr>
          <w:rFonts w:hint="eastAsia" w:asciiTheme="minorEastAsia" w:hAnsiTheme="minorEastAsia" w:eastAsiaTheme="minorEastAsia"/>
          <w:szCs w:val="28"/>
        </w:rPr>
        <w:t>递交</w:t>
      </w:r>
      <w:r>
        <w:rPr>
          <w:rFonts w:hint="eastAsia" w:asciiTheme="minorEastAsia" w:hAnsiTheme="minorEastAsia" w:eastAsiaTheme="minorEastAsia"/>
          <w:szCs w:val="21"/>
        </w:rPr>
        <w:t>备选投标方案的，只有中标投标人所</w:t>
      </w:r>
      <w:r>
        <w:rPr>
          <w:rFonts w:hint="eastAsia" w:asciiTheme="minorEastAsia" w:hAnsiTheme="minorEastAsia" w:eastAsiaTheme="minorEastAsia"/>
          <w:szCs w:val="28"/>
        </w:rPr>
        <w:t>递交</w:t>
      </w:r>
      <w:r>
        <w:rPr>
          <w:rFonts w:hint="eastAsia" w:asciiTheme="minorEastAsia" w:hAnsiTheme="minorEastAsia" w:eastAsiaTheme="minorEastAsia"/>
          <w:szCs w:val="21"/>
        </w:rPr>
        <w:t>的备选投标方案方可予以考虑。评标委员会认为中标投标人的备选投标方案优于其按照招标文件要求编制的投标方案的，采购人可以接受该备选投标方案。</w:t>
      </w:r>
    </w:p>
    <w:p w14:paraId="4DADCF06">
      <w:pPr>
        <w:spacing w:line="360" w:lineRule="auto"/>
        <w:ind w:firstLine="482"/>
        <w:outlineLvl w:val="3"/>
        <w:rPr>
          <w:rFonts w:ascii="宋体" w:hAnsi="宋体"/>
          <w:b/>
          <w:bCs/>
          <w:sz w:val="24"/>
          <w:szCs w:val="24"/>
        </w:rPr>
      </w:pPr>
      <w:bookmarkStart w:id="589" w:name="_Toc110405144"/>
      <w:bookmarkStart w:id="590" w:name="_Toc69678439"/>
      <w:bookmarkStart w:id="591" w:name="_Toc116584010"/>
      <w:bookmarkStart w:id="592" w:name="_Toc81330949"/>
      <w:bookmarkStart w:id="593" w:name="_Toc42267642"/>
      <w:bookmarkStart w:id="594" w:name="_Toc84356262"/>
      <w:bookmarkStart w:id="595" w:name="_Toc16675"/>
      <w:bookmarkStart w:id="596" w:name="_Toc53412226"/>
      <w:bookmarkStart w:id="597" w:name="_Toc42205003"/>
      <w:bookmarkStart w:id="598" w:name="_Toc83753902"/>
      <w:bookmarkStart w:id="599" w:name="_Toc109809322"/>
      <w:bookmarkStart w:id="600" w:name="_Toc98033944"/>
      <w:bookmarkStart w:id="601" w:name="_Toc98865021"/>
      <w:bookmarkStart w:id="602" w:name="_Toc45791364"/>
      <w:bookmarkStart w:id="603" w:name="_Toc87538379"/>
      <w:bookmarkStart w:id="604" w:name="_Toc75783541"/>
      <w:bookmarkStart w:id="605" w:name="_Toc45976910"/>
      <w:bookmarkStart w:id="606" w:name="_Toc87543828"/>
      <w:r>
        <w:rPr>
          <w:rFonts w:hint="eastAsia" w:ascii="宋体" w:hAnsi="宋体"/>
          <w:b/>
          <w:bCs/>
          <w:sz w:val="24"/>
          <w:szCs w:val="24"/>
        </w:rPr>
        <w:t>3.7 投标文件的编制</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6A8688A">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3.7.1投标文件的</w:t>
      </w:r>
      <w:r>
        <w:rPr>
          <w:rFonts w:asciiTheme="minorEastAsia" w:hAnsiTheme="minorEastAsia" w:eastAsiaTheme="minorEastAsia"/>
          <w:szCs w:val="21"/>
        </w:rPr>
        <w:t>格式：见</w:t>
      </w:r>
      <w:r>
        <w:rPr>
          <w:rFonts w:hint="eastAsia" w:asciiTheme="minorEastAsia" w:hAnsiTheme="minorEastAsia" w:eastAsiaTheme="minorEastAsia"/>
          <w:szCs w:val="21"/>
        </w:rPr>
        <w:t>投标人</w:t>
      </w:r>
      <w:r>
        <w:rPr>
          <w:rFonts w:asciiTheme="minorEastAsia" w:hAnsiTheme="minorEastAsia" w:eastAsiaTheme="minorEastAsia"/>
          <w:szCs w:val="21"/>
        </w:rPr>
        <w:t>须知前附表。</w:t>
      </w:r>
    </w:p>
    <w:p w14:paraId="6B69DF63">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3.7.2投标文件应当对招标文件中有关采购内容、合同履行期限（交货期）、投标有效期、质量要求、等实质性内容作出响应。</w:t>
      </w:r>
    </w:p>
    <w:p w14:paraId="0B0BDF7E">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3.7.3投标文件的签署：</w:t>
      </w:r>
      <w:r>
        <w:rPr>
          <w:rFonts w:hint="eastAsia" w:asciiTheme="minorEastAsia" w:hAnsiTheme="minorEastAsia" w:eastAsiaTheme="minorEastAsia"/>
        </w:rPr>
        <w:t>见投标人须知前附表。</w:t>
      </w:r>
    </w:p>
    <w:p w14:paraId="04588C5B">
      <w:pPr>
        <w:spacing w:line="360" w:lineRule="auto"/>
        <w:ind w:firstLine="562"/>
        <w:jc w:val="center"/>
        <w:outlineLvl w:val="2"/>
        <w:rPr>
          <w:rFonts w:asciiTheme="minorEastAsia" w:hAnsiTheme="minorEastAsia" w:eastAsiaTheme="minorEastAsia"/>
          <w:b/>
          <w:bCs/>
          <w:sz w:val="28"/>
          <w:szCs w:val="28"/>
        </w:rPr>
      </w:pPr>
      <w:bookmarkStart w:id="607" w:name="_Toc381796410"/>
      <w:bookmarkStart w:id="608" w:name="_Toc292983020"/>
      <w:bookmarkStart w:id="609" w:name="_Toc98033945"/>
      <w:bookmarkStart w:id="610" w:name="_Toc83753903"/>
      <w:bookmarkStart w:id="611" w:name="_Toc42267643"/>
      <w:bookmarkStart w:id="612" w:name="_Toc84356263"/>
      <w:bookmarkStart w:id="613" w:name="_Toc87543829"/>
      <w:bookmarkStart w:id="614" w:name="_Toc45791365"/>
      <w:bookmarkStart w:id="615" w:name="_Toc37603105"/>
      <w:bookmarkStart w:id="616" w:name="_Toc87538380"/>
      <w:bookmarkStart w:id="617" w:name="_Toc109809323"/>
      <w:bookmarkStart w:id="618" w:name="_Toc98865022"/>
      <w:bookmarkStart w:id="619" w:name="_Toc45976911"/>
      <w:bookmarkStart w:id="620" w:name="_Toc110405145"/>
      <w:bookmarkStart w:id="621" w:name="_Toc24563"/>
      <w:bookmarkStart w:id="622" w:name="_Toc42205004"/>
      <w:bookmarkStart w:id="623" w:name="_Toc116584011"/>
      <w:r>
        <w:rPr>
          <w:rFonts w:hint="eastAsia" w:asciiTheme="minorEastAsia" w:hAnsiTheme="minorEastAsia" w:eastAsiaTheme="minorEastAsia"/>
          <w:b/>
          <w:bCs/>
          <w:sz w:val="28"/>
          <w:szCs w:val="28"/>
        </w:rPr>
        <w:t>4.投标文件的</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eastAsia" w:asciiTheme="minorEastAsia" w:hAnsiTheme="minorEastAsia" w:eastAsiaTheme="minorEastAsia"/>
          <w:b/>
          <w:bCs/>
          <w:sz w:val="28"/>
          <w:szCs w:val="28"/>
        </w:rPr>
        <w:t>递交</w:t>
      </w:r>
      <w:bookmarkEnd w:id="623"/>
    </w:p>
    <w:p w14:paraId="2D8F80AD">
      <w:pPr>
        <w:spacing w:line="360" w:lineRule="auto"/>
        <w:ind w:firstLine="482"/>
        <w:outlineLvl w:val="3"/>
        <w:rPr>
          <w:rFonts w:ascii="宋体" w:hAnsi="宋体"/>
          <w:b/>
          <w:bCs/>
          <w:sz w:val="24"/>
          <w:szCs w:val="24"/>
        </w:rPr>
      </w:pPr>
      <w:bookmarkStart w:id="624" w:name="_Toc69678441"/>
      <w:bookmarkStart w:id="625" w:name="_Toc42205005"/>
      <w:bookmarkStart w:id="626" w:name="_Toc42267644"/>
      <w:bookmarkStart w:id="627" w:name="_Toc110405146"/>
      <w:bookmarkStart w:id="628" w:name="_Toc87538381"/>
      <w:bookmarkStart w:id="629" w:name="_Toc84356264"/>
      <w:bookmarkStart w:id="630" w:name="_Toc81330951"/>
      <w:bookmarkStart w:id="631" w:name="_Toc45791366"/>
      <w:bookmarkStart w:id="632" w:name="_Toc6542"/>
      <w:bookmarkStart w:id="633" w:name="_Toc98033946"/>
      <w:bookmarkStart w:id="634" w:name="_Toc98865023"/>
      <w:bookmarkStart w:id="635" w:name="_Toc83753904"/>
      <w:bookmarkStart w:id="636" w:name="_Toc45976912"/>
      <w:bookmarkStart w:id="637" w:name="_Toc109809324"/>
      <w:bookmarkStart w:id="638" w:name="_Toc116584012"/>
      <w:bookmarkStart w:id="639" w:name="_Toc87543830"/>
      <w:bookmarkStart w:id="640" w:name="_Toc53412228"/>
      <w:bookmarkStart w:id="641" w:name="_Toc75783543"/>
      <w:r>
        <w:rPr>
          <w:rFonts w:hint="eastAsia" w:ascii="宋体" w:hAnsi="宋体"/>
          <w:b/>
          <w:bCs/>
          <w:sz w:val="24"/>
          <w:szCs w:val="24"/>
        </w:rPr>
        <w:t>4.1投标文件的</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rFonts w:hint="eastAsia" w:ascii="宋体" w:hAnsi="宋体"/>
          <w:b/>
          <w:bCs/>
          <w:sz w:val="24"/>
          <w:szCs w:val="24"/>
        </w:rPr>
        <w:t>加密</w:t>
      </w:r>
    </w:p>
    <w:p w14:paraId="264649FA">
      <w:pPr>
        <w:spacing w:line="360" w:lineRule="auto"/>
        <w:ind w:firstLine="420" w:firstLineChars="200"/>
        <w:jc w:val="left"/>
        <w:rPr>
          <w:rFonts w:asciiTheme="minorEastAsia" w:hAnsiTheme="minorEastAsia" w:eastAsiaTheme="minorEastAsia"/>
          <w:szCs w:val="28"/>
        </w:rPr>
      </w:pPr>
      <w:bookmarkStart w:id="642" w:name="_Toc81330952"/>
      <w:bookmarkStart w:id="643" w:name="_Toc53412229"/>
      <w:bookmarkStart w:id="644" w:name="_Toc110405147"/>
      <w:bookmarkStart w:id="645" w:name="_Toc17162"/>
      <w:bookmarkStart w:id="646" w:name="_Toc45791367"/>
      <w:bookmarkStart w:id="647" w:name="_Toc45976913"/>
      <w:bookmarkStart w:id="648" w:name="_Toc109809325"/>
      <w:bookmarkStart w:id="649" w:name="_Toc84356265"/>
      <w:bookmarkStart w:id="650" w:name="_Toc98865024"/>
      <w:bookmarkStart w:id="651" w:name="_Toc98033947"/>
      <w:bookmarkStart w:id="652" w:name="_Toc42267645"/>
      <w:bookmarkStart w:id="653" w:name="_Toc42205006"/>
      <w:bookmarkStart w:id="654" w:name="_Toc69678442"/>
      <w:bookmarkStart w:id="655" w:name="_Toc75783544"/>
      <w:bookmarkStart w:id="656" w:name="_Toc83753905"/>
      <w:bookmarkStart w:id="657" w:name="_Toc87538382"/>
      <w:bookmarkStart w:id="658" w:name="_Toc87543831"/>
      <w:r>
        <w:rPr>
          <w:rFonts w:hint="eastAsia" w:asciiTheme="minorEastAsia" w:hAnsiTheme="minorEastAsia" w:eastAsiaTheme="minorEastAsia"/>
          <w:szCs w:val="28"/>
        </w:rPr>
        <w:t>4.1.1投标文件的加密：见投标人须知前附表。</w:t>
      </w:r>
    </w:p>
    <w:p w14:paraId="34FA39CA">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4.1.2未按本章第4.1.1项要求加密的投标文件，采购人不予受理。</w:t>
      </w:r>
    </w:p>
    <w:p w14:paraId="6FE2AC9D">
      <w:pPr>
        <w:spacing w:line="360" w:lineRule="auto"/>
        <w:ind w:firstLine="482"/>
        <w:outlineLvl w:val="3"/>
        <w:rPr>
          <w:rFonts w:ascii="宋体" w:hAnsi="宋体"/>
          <w:b/>
          <w:bCs/>
          <w:sz w:val="24"/>
          <w:szCs w:val="24"/>
        </w:rPr>
      </w:pPr>
      <w:bookmarkStart w:id="659" w:name="_Toc116584013"/>
      <w:r>
        <w:rPr>
          <w:rFonts w:hint="eastAsia" w:ascii="宋体" w:hAnsi="宋体"/>
          <w:b/>
          <w:bCs/>
          <w:sz w:val="24"/>
          <w:szCs w:val="24"/>
        </w:rPr>
        <w:t>4.2 投标文件的</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Pr>
          <w:rFonts w:hint="eastAsia" w:ascii="宋体" w:hAnsi="宋体"/>
          <w:b/>
          <w:bCs/>
          <w:sz w:val="24"/>
          <w:szCs w:val="24"/>
        </w:rPr>
        <w:t>递交</w:t>
      </w:r>
      <w:bookmarkEnd w:id="659"/>
    </w:p>
    <w:p w14:paraId="50C04ED1">
      <w:pPr>
        <w:spacing w:line="360" w:lineRule="auto"/>
        <w:ind w:firstLine="420" w:firstLineChars="200"/>
        <w:jc w:val="left"/>
        <w:rPr>
          <w:rFonts w:asciiTheme="minorEastAsia" w:hAnsiTheme="minorEastAsia" w:eastAsiaTheme="minorEastAsia"/>
          <w:szCs w:val="28"/>
        </w:rPr>
      </w:pPr>
      <w:bookmarkStart w:id="660" w:name="_Toc75783545"/>
      <w:bookmarkStart w:id="661" w:name="_Toc110405148"/>
      <w:bookmarkStart w:id="662" w:name="_Toc45976914"/>
      <w:bookmarkStart w:id="663" w:name="_Toc84356266"/>
      <w:bookmarkStart w:id="664" w:name="_Toc109809326"/>
      <w:bookmarkStart w:id="665" w:name="_Toc98033948"/>
      <w:bookmarkStart w:id="666" w:name="_Toc42267646"/>
      <w:bookmarkStart w:id="667" w:name="_Toc87538383"/>
      <w:bookmarkStart w:id="668" w:name="_Toc81330953"/>
      <w:bookmarkStart w:id="669" w:name="_Toc83753906"/>
      <w:bookmarkStart w:id="670" w:name="_Toc87543832"/>
      <w:bookmarkStart w:id="671" w:name="_Toc45791368"/>
      <w:bookmarkStart w:id="672" w:name="_Toc42205007"/>
      <w:bookmarkStart w:id="673" w:name="_Toc98865025"/>
      <w:bookmarkStart w:id="674" w:name="_Toc53412230"/>
      <w:bookmarkStart w:id="675" w:name="_Toc69678443"/>
      <w:bookmarkStart w:id="676" w:name="_Toc14942"/>
      <w:r>
        <w:rPr>
          <w:rFonts w:hint="eastAsia" w:asciiTheme="minorEastAsia" w:hAnsiTheme="minorEastAsia" w:eastAsiaTheme="minorEastAsia"/>
          <w:szCs w:val="28"/>
        </w:rPr>
        <w:t>4.2.</w:t>
      </w:r>
      <w:r>
        <w:rPr>
          <w:rFonts w:asciiTheme="minorEastAsia" w:hAnsiTheme="minorEastAsia" w:eastAsiaTheme="minorEastAsia"/>
          <w:szCs w:val="28"/>
        </w:rPr>
        <w:t>1</w:t>
      </w:r>
      <w:r>
        <w:rPr>
          <w:rFonts w:hint="eastAsia" w:asciiTheme="minorEastAsia" w:hAnsiTheme="minorEastAsia" w:eastAsiaTheme="minorEastAsia"/>
          <w:szCs w:val="28"/>
        </w:rPr>
        <w:t>投标文件的递交：见投标人须知前附表。</w:t>
      </w:r>
    </w:p>
    <w:p w14:paraId="0D908F1F">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4.2.</w:t>
      </w:r>
      <w:r>
        <w:rPr>
          <w:rFonts w:asciiTheme="minorEastAsia" w:hAnsiTheme="minorEastAsia" w:eastAsiaTheme="minorEastAsia"/>
          <w:szCs w:val="28"/>
        </w:rPr>
        <w:t>2</w:t>
      </w:r>
      <w:r>
        <w:rPr>
          <w:rFonts w:hint="eastAsia" w:asciiTheme="minorEastAsia" w:hAnsiTheme="minorEastAsia" w:eastAsiaTheme="minorEastAsia"/>
          <w:szCs w:val="28"/>
        </w:rPr>
        <w:t>除投标人须知前附表另有规定外，投标人所递交的投标文件不予退还。</w:t>
      </w:r>
    </w:p>
    <w:p w14:paraId="1AD6DD62">
      <w:pPr>
        <w:spacing w:line="360" w:lineRule="auto"/>
        <w:ind w:firstLine="482"/>
        <w:outlineLvl w:val="3"/>
        <w:rPr>
          <w:rFonts w:ascii="宋体" w:hAnsi="宋体"/>
          <w:b/>
          <w:bCs/>
          <w:sz w:val="24"/>
          <w:szCs w:val="24"/>
        </w:rPr>
      </w:pPr>
      <w:bookmarkStart w:id="677" w:name="_Toc116584014"/>
      <w:r>
        <w:rPr>
          <w:rFonts w:hint="eastAsia" w:ascii="宋体" w:hAnsi="宋体"/>
          <w:b/>
          <w:bCs/>
          <w:sz w:val="24"/>
          <w:szCs w:val="24"/>
        </w:rPr>
        <w:t>4.3投标文件修改和撤回</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B44BA74">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4.3.1在本章第2.2.2项规定的</w:t>
      </w:r>
      <w:r>
        <w:rPr>
          <w:rFonts w:hint="eastAsia" w:asciiTheme="minorEastAsia" w:hAnsiTheme="minorEastAsia" w:eastAsiaTheme="minorEastAsia"/>
          <w:szCs w:val="21"/>
        </w:rPr>
        <w:t>投标文件递交截止时间</w:t>
      </w:r>
      <w:r>
        <w:rPr>
          <w:rFonts w:hint="eastAsia" w:asciiTheme="minorEastAsia" w:hAnsiTheme="minorEastAsia" w:eastAsiaTheme="minorEastAsia"/>
          <w:szCs w:val="28"/>
        </w:rPr>
        <w:t>前，投标人可以修改或撤回已在网上递交的投标文件，无需通知采购人和采购代理机构。</w:t>
      </w:r>
    </w:p>
    <w:p w14:paraId="0A818FF1">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4.3.2修改的投标文件应按照本章第3条、第4条的规定进行编制、密封、标记和递交。</w:t>
      </w:r>
    </w:p>
    <w:p w14:paraId="0AC8CC86">
      <w:pPr>
        <w:spacing w:line="360" w:lineRule="auto"/>
        <w:ind w:firstLine="562"/>
        <w:jc w:val="center"/>
        <w:outlineLvl w:val="2"/>
        <w:rPr>
          <w:rFonts w:asciiTheme="minorEastAsia" w:hAnsiTheme="minorEastAsia" w:eastAsiaTheme="minorEastAsia"/>
          <w:b/>
          <w:bCs/>
          <w:sz w:val="28"/>
          <w:szCs w:val="28"/>
        </w:rPr>
      </w:pPr>
      <w:bookmarkStart w:id="678" w:name="_Toc83753907"/>
      <w:bookmarkStart w:id="679" w:name="_Toc98033949"/>
      <w:bookmarkStart w:id="680" w:name="_Toc45791369"/>
      <w:bookmarkStart w:id="681" w:name="_Toc84356267"/>
      <w:bookmarkStart w:id="682" w:name="_Toc381796411"/>
      <w:bookmarkStart w:id="683" w:name="_Toc45976915"/>
      <w:bookmarkStart w:id="684" w:name="_Toc98865026"/>
      <w:bookmarkStart w:id="685" w:name="_Toc110405149"/>
      <w:bookmarkStart w:id="686" w:name="_Toc292983021"/>
      <w:bookmarkStart w:id="687" w:name="_Toc116584015"/>
      <w:bookmarkStart w:id="688" w:name="_Toc42267647"/>
      <w:bookmarkStart w:id="689" w:name="_Toc42205008"/>
      <w:bookmarkStart w:id="690" w:name="_Toc87538384"/>
      <w:bookmarkStart w:id="691" w:name="_Toc21759"/>
      <w:bookmarkStart w:id="692" w:name="_Toc37603106"/>
      <w:bookmarkStart w:id="693" w:name="_Toc87543833"/>
      <w:bookmarkStart w:id="694" w:name="_Toc109809327"/>
      <w:r>
        <w:rPr>
          <w:rFonts w:hint="eastAsia" w:asciiTheme="minorEastAsia" w:hAnsiTheme="minorEastAsia" w:eastAsiaTheme="minorEastAsia"/>
          <w:b/>
          <w:bCs/>
          <w:sz w:val="28"/>
          <w:szCs w:val="28"/>
        </w:rPr>
        <w:t>5.开标</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5192B5F5">
      <w:pPr>
        <w:spacing w:line="360" w:lineRule="auto"/>
        <w:ind w:firstLine="482"/>
        <w:outlineLvl w:val="3"/>
        <w:rPr>
          <w:rFonts w:ascii="宋体" w:hAnsi="宋体"/>
          <w:b/>
          <w:bCs/>
          <w:sz w:val="24"/>
          <w:szCs w:val="24"/>
        </w:rPr>
      </w:pPr>
      <w:bookmarkStart w:id="695" w:name="_Toc53412232"/>
      <w:bookmarkStart w:id="696" w:name="_Toc81330955"/>
      <w:bookmarkStart w:id="697" w:name="_Toc98865027"/>
      <w:bookmarkStart w:id="698" w:name="_Toc42205009"/>
      <w:bookmarkStart w:id="699" w:name="_Toc110405150"/>
      <w:bookmarkStart w:id="700" w:name="_Toc87538385"/>
      <w:bookmarkStart w:id="701" w:name="_Toc98033950"/>
      <w:bookmarkStart w:id="702" w:name="_Toc42267648"/>
      <w:bookmarkStart w:id="703" w:name="_Toc87543834"/>
      <w:bookmarkStart w:id="704" w:name="_Toc12148"/>
      <w:bookmarkStart w:id="705" w:name="_Toc75783547"/>
      <w:bookmarkStart w:id="706" w:name="_Toc69678445"/>
      <w:bookmarkStart w:id="707" w:name="_Toc83753908"/>
      <w:bookmarkStart w:id="708" w:name="_Toc109809328"/>
      <w:bookmarkStart w:id="709" w:name="_Toc84356268"/>
      <w:bookmarkStart w:id="710" w:name="_Toc45976916"/>
      <w:bookmarkStart w:id="711" w:name="_Toc45791370"/>
      <w:bookmarkStart w:id="712" w:name="_Toc116584016"/>
      <w:r>
        <w:rPr>
          <w:rFonts w:hint="eastAsia" w:ascii="宋体" w:hAnsi="宋体"/>
          <w:b/>
          <w:bCs/>
          <w:sz w:val="24"/>
          <w:szCs w:val="24"/>
        </w:rPr>
        <w:t>5.1</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Pr>
          <w:rFonts w:hint="eastAsia" w:ascii="宋体" w:hAnsi="宋体"/>
          <w:b/>
          <w:bCs/>
          <w:sz w:val="24"/>
          <w:szCs w:val="24"/>
        </w:rPr>
        <w:t>开标时间和地点</w:t>
      </w:r>
      <w:bookmarkEnd w:id="712"/>
    </w:p>
    <w:p w14:paraId="7BA83833">
      <w:pPr>
        <w:spacing w:line="360" w:lineRule="auto"/>
        <w:ind w:firstLine="420" w:firstLineChars="200"/>
        <w:jc w:val="left"/>
        <w:rPr>
          <w:rFonts w:asciiTheme="minorEastAsia" w:hAnsiTheme="minorEastAsia" w:eastAsiaTheme="minorEastAsia"/>
          <w:szCs w:val="28"/>
        </w:rPr>
      </w:pPr>
      <w:bookmarkStart w:id="713" w:name="_Toc87543835"/>
      <w:bookmarkStart w:id="714" w:name="_Toc69678446"/>
      <w:bookmarkStart w:id="715" w:name="_Toc83753909"/>
      <w:bookmarkStart w:id="716" w:name="_Toc110405151"/>
      <w:bookmarkStart w:id="717" w:name="_Toc81330956"/>
      <w:bookmarkStart w:id="718" w:name="_Toc98033951"/>
      <w:bookmarkStart w:id="719" w:name="_Toc45976917"/>
      <w:bookmarkStart w:id="720" w:name="_Toc87538386"/>
      <w:bookmarkStart w:id="721" w:name="_Toc45791371"/>
      <w:bookmarkStart w:id="722" w:name="_Toc23677"/>
      <w:bookmarkStart w:id="723" w:name="_Toc84356269"/>
      <w:bookmarkStart w:id="724" w:name="_Toc42267649"/>
      <w:bookmarkStart w:id="725" w:name="_Toc53412233"/>
      <w:bookmarkStart w:id="726" w:name="_Toc98865028"/>
      <w:bookmarkStart w:id="727" w:name="_Toc42205010"/>
      <w:bookmarkStart w:id="728" w:name="_Toc109809329"/>
      <w:bookmarkStart w:id="729" w:name="_Toc75783548"/>
      <w:r>
        <w:rPr>
          <w:rFonts w:hint="eastAsia" w:asciiTheme="minorEastAsia" w:hAnsiTheme="minorEastAsia" w:eastAsiaTheme="minorEastAsia"/>
          <w:szCs w:val="28"/>
        </w:rPr>
        <w:t>见投标人须知前附表。</w:t>
      </w:r>
    </w:p>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14:paraId="6CF89D8F">
      <w:pPr>
        <w:spacing w:line="360" w:lineRule="auto"/>
        <w:ind w:firstLine="482"/>
        <w:outlineLvl w:val="3"/>
        <w:rPr>
          <w:rFonts w:ascii="宋体" w:hAnsi="宋体"/>
          <w:b/>
          <w:bCs/>
          <w:sz w:val="24"/>
          <w:szCs w:val="24"/>
        </w:rPr>
      </w:pPr>
      <w:bookmarkStart w:id="730" w:name="_Toc110405152"/>
      <w:bookmarkStart w:id="731" w:name="_Toc84356270"/>
      <w:bookmarkStart w:id="732" w:name="_Toc11738"/>
      <w:bookmarkStart w:id="733" w:name="_Toc87543836"/>
      <w:bookmarkStart w:id="734" w:name="_Toc87538387"/>
      <w:bookmarkStart w:id="735" w:name="_Toc83753910"/>
      <w:bookmarkStart w:id="736" w:name="_Toc69678447"/>
      <w:bookmarkStart w:id="737" w:name="_Toc45976918"/>
      <w:bookmarkStart w:id="738" w:name="_Toc81330957"/>
      <w:bookmarkStart w:id="739" w:name="_Toc98865029"/>
      <w:bookmarkStart w:id="740" w:name="_Toc42267650"/>
      <w:bookmarkStart w:id="741" w:name="_Toc98033952"/>
      <w:bookmarkStart w:id="742" w:name="_Toc109809330"/>
      <w:bookmarkStart w:id="743" w:name="_Toc53412234"/>
      <w:bookmarkStart w:id="744" w:name="_Toc75783549"/>
      <w:bookmarkStart w:id="745" w:name="_Toc45791372"/>
      <w:bookmarkStart w:id="746" w:name="_Toc116584017"/>
      <w:bookmarkStart w:id="747" w:name="_Toc42205011"/>
      <w:r>
        <w:rPr>
          <w:rFonts w:hint="eastAsia" w:ascii="宋体" w:hAnsi="宋体"/>
          <w:b/>
          <w:bCs/>
          <w:sz w:val="24"/>
          <w:szCs w:val="24"/>
        </w:rPr>
        <w:t>5.2</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Start w:id="748" w:name="_Toc116584018"/>
      <w:bookmarkStart w:id="749" w:name="_Toc84356271"/>
      <w:bookmarkStart w:id="750" w:name="_Toc45976919"/>
      <w:bookmarkStart w:id="751" w:name="_Toc98865030"/>
      <w:bookmarkStart w:id="752" w:name="_Toc87543837"/>
      <w:bookmarkStart w:id="753" w:name="_Toc18249"/>
      <w:bookmarkStart w:id="754" w:name="_Toc81330958"/>
      <w:bookmarkStart w:id="755" w:name="_Toc87538388"/>
      <w:bookmarkStart w:id="756" w:name="_Toc42267651"/>
      <w:bookmarkStart w:id="757" w:name="_Toc83753911"/>
      <w:bookmarkStart w:id="758" w:name="_Toc109809331"/>
      <w:bookmarkStart w:id="759" w:name="_Toc53412235"/>
      <w:bookmarkStart w:id="760" w:name="_Toc98033953"/>
      <w:bookmarkStart w:id="761" w:name="_Toc110405153"/>
      <w:bookmarkStart w:id="762" w:name="_Toc45791373"/>
      <w:bookmarkStart w:id="763" w:name="_Toc42205012"/>
      <w:bookmarkStart w:id="764" w:name="_Toc75783550"/>
      <w:bookmarkStart w:id="765" w:name="_Toc69678448"/>
      <w:r>
        <w:rPr>
          <w:rFonts w:hint="eastAsia" w:ascii="宋体" w:hAnsi="宋体"/>
          <w:b/>
          <w:bCs/>
          <w:sz w:val="24"/>
          <w:szCs w:val="24"/>
        </w:rPr>
        <w:t xml:space="preserve"> 开标程序</w:t>
      </w:r>
    </w:p>
    <w:p w14:paraId="00218F48">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见投标人须知前附表。</w:t>
      </w:r>
    </w:p>
    <w:p w14:paraId="36527B63">
      <w:pPr>
        <w:spacing w:line="360" w:lineRule="auto"/>
        <w:ind w:firstLine="482"/>
        <w:outlineLvl w:val="3"/>
        <w:rPr>
          <w:rFonts w:ascii="宋体" w:hAnsi="宋体"/>
          <w:b/>
          <w:bCs/>
          <w:sz w:val="24"/>
          <w:szCs w:val="24"/>
        </w:rPr>
      </w:pPr>
      <w:r>
        <w:rPr>
          <w:rFonts w:hint="eastAsia" w:ascii="宋体" w:hAnsi="宋体"/>
          <w:b/>
          <w:bCs/>
          <w:sz w:val="24"/>
          <w:szCs w:val="24"/>
        </w:rPr>
        <w:t>5.3投标文件的解密方式</w:t>
      </w:r>
      <w:bookmarkEnd w:id="748"/>
    </w:p>
    <w:p w14:paraId="5739AA92">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见投标人须知前附表。</w:t>
      </w:r>
    </w:p>
    <w:p w14:paraId="44AC31B9">
      <w:pPr>
        <w:spacing w:line="360" w:lineRule="auto"/>
        <w:ind w:firstLine="482"/>
        <w:outlineLvl w:val="3"/>
        <w:rPr>
          <w:rFonts w:ascii="宋体" w:hAnsi="宋体"/>
          <w:b/>
          <w:bCs/>
          <w:sz w:val="24"/>
          <w:szCs w:val="24"/>
        </w:rPr>
      </w:pPr>
      <w:bookmarkStart w:id="766" w:name="_Toc116584019"/>
      <w:r>
        <w:rPr>
          <w:rFonts w:hint="eastAsia" w:ascii="宋体" w:hAnsi="宋体"/>
          <w:b/>
          <w:bCs/>
          <w:sz w:val="24"/>
          <w:szCs w:val="24"/>
        </w:rPr>
        <w:t>5.4投标文件有下列情形之一的，采购人不予受理：</w:t>
      </w:r>
      <w:bookmarkEnd w:id="766"/>
    </w:p>
    <w:p w14:paraId="451E2861">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5.4.1在2.2.2项规定的</w:t>
      </w:r>
      <w:r>
        <w:rPr>
          <w:rFonts w:hint="eastAsia" w:asciiTheme="minorEastAsia" w:hAnsiTheme="minorEastAsia" w:eastAsiaTheme="minorEastAsia"/>
          <w:szCs w:val="21"/>
        </w:rPr>
        <w:t>投标文件递交截止时间</w:t>
      </w:r>
      <w:r>
        <w:rPr>
          <w:rFonts w:hint="eastAsia" w:asciiTheme="minorEastAsia" w:hAnsiTheme="minorEastAsia" w:eastAsiaTheme="minorEastAsia"/>
          <w:szCs w:val="28"/>
        </w:rPr>
        <w:t>以后上传或未成功上传投标文件的。</w:t>
      </w:r>
    </w:p>
    <w:p w14:paraId="7B702C48">
      <w:pPr>
        <w:spacing w:line="360" w:lineRule="auto"/>
        <w:ind w:firstLine="420" w:firstLineChars="200"/>
        <w:jc w:val="left"/>
        <w:rPr>
          <w:rFonts w:asciiTheme="minorEastAsia" w:hAnsiTheme="minorEastAsia" w:eastAsiaTheme="minorEastAsia"/>
          <w:szCs w:val="28"/>
        </w:rPr>
      </w:pPr>
      <w:r>
        <w:rPr>
          <w:rFonts w:hint="eastAsia" w:asciiTheme="minorEastAsia" w:hAnsiTheme="minorEastAsia" w:eastAsiaTheme="minorEastAsia"/>
          <w:szCs w:val="28"/>
        </w:rPr>
        <w:t>5.4.2投标人递交的电子投标文件格式不符合3.7.1项要求或无法读取导入的。</w:t>
      </w:r>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14:paraId="6F1648DA">
      <w:pPr>
        <w:spacing w:line="360" w:lineRule="auto"/>
        <w:ind w:firstLine="562"/>
        <w:jc w:val="center"/>
        <w:outlineLvl w:val="2"/>
        <w:rPr>
          <w:rFonts w:asciiTheme="minorEastAsia" w:hAnsiTheme="minorEastAsia" w:eastAsiaTheme="minorEastAsia"/>
          <w:b/>
          <w:bCs/>
          <w:sz w:val="28"/>
          <w:szCs w:val="28"/>
        </w:rPr>
      </w:pPr>
      <w:bookmarkStart w:id="767" w:name="_Toc83753912"/>
      <w:bookmarkStart w:id="768" w:name="_Toc84356272"/>
      <w:bookmarkStart w:id="769" w:name="_Toc45976920"/>
      <w:bookmarkStart w:id="770" w:name="_Toc45791374"/>
      <w:bookmarkStart w:id="771" w:name="_Toc87538389"/>
      <w:bookmarkStart w:id="772" w:name="_Toc110405154"/>
      <w:bookmarkStart w:id="773" w:name="_Toc116584021"/>
      <w:bookmarkStart w:id="774" w:name="_Toc109809332"/>
      <w:bookmarkStart w:id="775" w:name="_Toc19868"/>
      <w:bookmarkStart w:id="776" w:name="_Toc98865031"/>
      <w:bookmarkStart w:id="777" w:name="_Toc42205013"/>
      <w:bookmarkStart w:id="778" w:name="_Toc42267652"/>
      <w:bookmarkStart w:id="779" w:name="_Toc98033954"/>
      <w:bookmarkStart w:id="780" w:name="_Toc87543838"/>
      <w:r>
        <w:rPr>
          <w:rFonts w:hint="eastAsia" w:asciiTheme="minorEastAsia" w:hAnsiTheme="minorEastAsia" w:eastAsiaTheme="minorEastAsia"/>
          <w:b/>
          <w:bCs/>
          <w:sz w:val="28"/>
          <w:szCs w:val="28"/>
        </w:rPr>
        <w:t>6.评审</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5AA8F6FD">
      <w:pPr>
        <w:spacing w:line="360" w:lineRule="auto"/>
        <w:ind w:firstLine="482"/>
        <w:outlineLvl w:val="3"/>
        <w:rPr>
          <w:rFonts w:ascii="宋体" w:hAnsi="宋体"/>
          <w:b/>
          <w:bCs/>
          <w:sz w:val="24"/>
          <w:szCs w:val="24"/>
        </w:rPr>
      </w:pPr>
      <w:bookmarkStart w:id="781" w:name="_Toc75783552"/>
      <w:bookmarkStart w:id="782" w:name="_Toc98865032"/>
      <w:bookmarkStart w:id="783" w:name="_Toc98033955"/>
      <w:bookmarkStart w:id="784" w:name="_Toc45976921"/>
      <w:bookmarkStart w:id="785" w:name="_Toc87538390"/>
      <w:bookmarkStart w:id="786" w:name="_Toc69678450"/>
      <w:bookmarkStart w:id="787" w:name="_Toc116584022"/>
      <w:bookmarkStart w:id="788" w:name="_Toc83753913"/>
      <w:bookmarkStart w:id="789" w:name="_Toc45791375"/>
      <w:bookmarkStart w:id="790" w:name="_Toc110405155"/>
      <w:bookmarkStart w:id="791" w:name="_Toc42267653"/>
      <w:bookmarkStart w:id="792" w:name="_Toc42205014"/>
      <w:bookmarkStart w:id="793" w:name="_Toc81330960"/>
      <w:bookmarkStart w:id="794" w:name="_Toc87543839"/>
      <w:bookmarkStart w:id="795" w:name="_Toc109809333"/>
      <w:bookmarkStart w:id="796" w:name="_Toc4399"/>
      <w:bookmarkStart w:id="797" w:name="_Toc53412237"/>
      <w:bookmarkStart w:id="798" w:name="_Toc84356273"/>
      <w:r>
        <w:rPr>
          <w:rFonts w:hint="eastAsia" w:ascii="宋体" w:hAnsi="宋体"/>
          <w:b/>
          <w:bCs/>
          <w:sz w:val="24"/>
          <w:szCs w:val="24"/>
        </w:rPr>
        <w:t>6.1 评标委员会</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65EEB983">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8"/>
        </w:rPr>
        <w:t>6.1.1本项目的评审工作由采购人依法组建的评标委员会负责。评标委员会</w:t>
      </w:r>
      <w:r>
        <w:rPr>
          <w:rFonts w:asciiTheme="minorEastAsia" w:hAnsiTheme="minorEastAsia" w:eastAsiaTheme="minorEastAsia"/>
          <w:szCs w:val="21"/>
        </w:rPr>
        <w:t>由</w:t>
      </w:r>
      <w:r>
        <w:rPr>
          <w:rFonts w:hint="eastAsia" w:asciiTheme="minorEastAsia" w:hAnsiTheme="minorEastAsia" w:eastAsiaTheme="minorEastAsia"/>
          <w:szCs w:val="28"/>
        </w:rPr>
        <w:t>采购人代表及</w:t>
      </w:r>
      <w:r>
        <w:rPr>
          <w:rFonts w:asciiTheme="minorEastAsia" w:hAnsiTheme="minorEastAsia" w:eastAsiaTheme="minorEastAsia"/>
          <w:szCs w:val="21"/>
        </w:rPr>
        <w:t>有关技术、经济等方面的</w:t>
      </w:r>
      <w:r>
        <w:rPr>
          <w:rFonts w:hint="eastAsia" w:asciiTheme="minorEastAsia" w:hAnsiTheme="minorEastAsia" w:eastAsiaTheme="minorEastAsia"/>
          <w:szCs w:val="21"/>
        </w:rPr>
        <w:t>人员</w:t>
      </w:r>
      <w:r>
        <w:rPr>
          <w:rFonts w:asciiTheme="minorEastAsia" w:hAnsiTheme="minorEastAsia" w:eastAsiaTheme="minorEastAsia"/>
          <w:szCs w:val="21"/>
        </w:rPr>
        <w:t>组成。</w:t>
      </w:r>
      <w:r>
        <w:rPr>
          <w:rFonts w:hint="eastAsia" w:asciiTheme="minorEastAsia" w:hAnsiTheme="minorEastAsia" w:eastAsiaTheme="minorEastAsia"/>
          <w:szCs w:val="28"/>
        </w:rPr>
        <w:t>评标委员会</w:t>
      </w:r>
      <w:r>
        <w:rPr>
          <w:rFonts w:asciiTheme="minorEastAsia" w:hAnsiTheme="minorEastAsia" w:eastAsiaTheme="minorEastAsia"/>
          <w:szCs w:val="21"/>
        </w:rPr>
        <w:t>成员人数以及技术、经济等方面</w:t>
      </w:r>
      <w:r>
        <w:rPr>
          <w:rFonts w:hint="eastAsia" w:asciiTheme="minorEastAsia" w:hAnsiTheme="minorEastAsia" w:eastAsiaTheme="minorEastAsia"/>
          <w:szCs w:val="21"/>
        </w:rPr>
        <w:t>人员</w:t>
      </w:r>
      <w:r>
        <w:rPr>
          <w:rFonts w:asciiTheme="minorEastAsia" w:hAnsiTheme="minorEastAsia" w:eastAsiaTheme="minorEastAsia"/>
          <w:szCs w:val="21"/>
        </w:rPr>
        <w:t>的确定方式见</w:t>
      </w:r>
      <w:r>
        <w:rPr>
          <w:rFonts w:hint="eastAsia" w:asciiTheme="minorEastAsia" w:hAnsiTheme="minorEastAsia" w:eastAsiaTheme="minorEastAsia"/>
          <w:szCs w:val="21"/>
        </w:rPr>
        <w:t>投标人</w:t>
      </w:r>
      <w:r>
        <w:rPr>
          <w:rFonts w:asciiTheme="minorEastAsia" w:hAnsiTheme="minorEastAsia" w:eastAsiaTheme="minorEastAsia"/>
          <w:szCs w:val="21"/>
        </w:rPr>
        <w:t>须知前附表。</w:t>
      </w:r>
    </w:p>
    <w:p w14:paraId="5463515D">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6.1.2</w:t>
      </w:r>
      <w:r>
        <w:rPr>
          <w:rFonts w:hint="eastAsia" w:asciiTheme="minorEastAsia" w:hAnsiTheme="minorEastAsia" w:eastAsiaTheme="minorEastAsia"/>
          <w:szCs w:val="28"/>
        </w:rPr>
        <w:t>评标委员会</w:t>
      </w:r>
      <w:r>
        <w:rPr>
          <w:rFonts w:asciiTheme="minorEastAsia" w:hAnsiTheme="minorEastAsia" w:eastAsiaTheme="minorEastAsia"/>
          <w:szCs w:val="21"/>
        </w:rPr>
        <w:t>成员有下列情形之一的，应当回避：</w:t>
      </w:r>
    </w:p>
    <w:p w14:paraId="2C6689EE">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（1）采购人或</w:t>
      </w:r>
      <w:r>
        <w:rPr>
          <w:rFonts w:hint="eastAsia" w:asciiTheme="minorEastAsia" w:hAnsiTheme="minorEastAsia" w:eastAsiaTheme="minorEastAsia"/>
          <w:szCs w:val="21"/>
        </w:rPr>
        <w:t>投标人</w:t>
      </w:r>
      <w:r>
        <w:rPr>
          <w:rFonts w:asciiTheme="minorEastAsia" w:hAnsiTheme="minorEastAsia" w:eastAsiaTheme="minorEastAsia"/>
          <w:szCs w:val="21"/>
        </w:rPr>
        <w:t>的主要负责人的近亲属；</w:t>
      </w:r>
    </w:p>
    <w:p w14:paraId="0906B766">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（2）项目主管部门或者行政监督部门的人员；</w:t>
      </w:r>
    </w:p>
    <w:p w14:paraId="05E311B2">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（3）与</w:t>
      </w:r>
      <w:r>
        <w:rPr>
          <w:rFonts w:hint="eastAsia" w:asciiTheme="minorEastAsia" w:hAnsiTheme="minorEastAsia" w:eastAsiaTheme="minorEastAsia"/>
          <w:szCs w:val="21"/>
        </w:rPr>
        <w:t>投标人</w:t>
      </w:r>
      <w:r>
        <w:rPr>
          <w:rFonts w:asciiTheme="minorEastAsia" w:hAnsiTheme="minorEastAsia" w:eastAsiaTheme="minorEastAsia"/>
          <w:szCs w:val="21"/>
        </w:rPr>
        <w:t>有经济利益关系，可能影响对投标公正评审的；</w:t>
      </w:r>
    </w:p>
    <w:p w14:paraId="57DE7D7E">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（4）曾因在招标、评</w:t>
      </w:r>
      <w:r>
        <w:rPr>
          <w:rFonts w:hint="eastAsia" w:asciiTheme="minorEastAsia" w:hAnsiTheme="minorEastAsia" w:eastAsiaTheme="minorEastAsia"/>
          <w:szCs w:val="21"/>
        </w:rPr>
        <w:t>标</w:t>
      </w:r>
      <w:r>
        <w:rPr>
          <w:rFonts w:asciiTheme="minorEastAsia" w:hAnsiTheme="minorEastAsia" w:eastAsiaTheme="minorEastAsia"/>
          <w:szCs w:val="21"/>
        </w:rPr>
        <w:t>以及其他与招标</w:t>
      </w:r>
      <w:r>
        <w:rPr>
          <w:rFonts w:hint="eastAsia" w:asciiTheme="minorEastAsia" w:hAnsiTheme="minorEastAsia" w:eastAsiaTheme="minorEastAsia"/>
          <w:szCs w:val="21"/>
        </w:rPr>
        <w:t>投标</w:t>
      </w:r>
      <w:r>
        <w:rPr>
          <w:rFonts w:asciiTheme="minorEastAsia" w:hAnsiTheme="minorEastAsia" w:eastAsiaTheme="minorEastAsia"/>
          <w:szCs w:val="21"/>
        </w:rPr>
        <w:t>有关活动中从事违法行为而受过行政处罚或刑事处罚的。</w:t>
      </w:r>
    </w:p>
    <w:p w14:paraId="721F47C3">
      <w:pPr>
        <w:spacing w:line="360" w:lineRule="auto"/>
        <w:ind w:firstLine="482"/>
        <w:outlineLvl w:val="3"/>
        <w:rPr>
          <w:rFonts w:ascii="宋体" w:hAnsi="宋体"/>
          <w:b/>
          <w:bCs/>
          <w:sz w:val="24"/>
          <w:szCs w:val="24"/>
        </w:rPr>
      </w:pPr>
      <w:bookmarkStart w:id="799" w:name="_Toc87543840"/>
      <w:bookmarkStart w:id="800" w:name="_Toc42205015"/>
      <w:bookmarkStart w:id="801" w:name="_Toc42267654"/>
      <w:bookmarkStart w:id="802" w:name="_Toc110405156"/>
      <w:bookmarkStart w:id="803" w:name="_Toc69678451"/>
      <w:bookmarkStart w:id="804" w:name="_Toc45791376"/>
      <w:bookmarkStart w:id="805" w:name="_Toc84356274"/>
      <w:bookmarkStart w:id="806" w:name="_Toc87538391"/>
      <w:bookmarkStart w:id="807" w:name="_Toc6014"/>
      <w:bookmarkStart w:id="808" w:name="_Toc81330961"/>
      <w:bookmarkStart w:id="809" w:name="_Toc83753914"/>
      <w:bookmarkStart w:id="810" w:name="_Toc75783553"/>
      <w:bookmarkStart w:id="811" w:name="_Toc98033956"/>
      <w:bookmarkStart w:id="812" w:name="_Toc109809334"/>
      <w:bookmarkStart w:id="813" w:name="_Toc45976922"/>
      <w:bookmarkStart w:id="814" w:name="_Toc98865033"/>
      <w:bookmarkStart w:id="815" w:name="_Toc116584023"/>
      <w:bookmarkStart w:id="816" w:name="_Toc53412238"/>
      <w:r>
        <w:rPr>
          <w:rFonts w:hint="eastAsia" w:ascii="宋体" w:hAnsi="宋体"/>
          <w:b/>
          <w:bCs/>
          <w:sz w:val="24"/>
          <w:szCs w:val="24"/>
        </w:rPr>
        <w:t>6.2 评审原则</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092C74F7">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评审活动应遵循公平、公正、科学和择优的原则。</w:t>
      </w:r>
    </w:p>
    <w:p w14:paraId="0AFD984E">
      <w:pPr>
        <w:spacing w:line="360" w:lineRule="auto"/>
        <w:ind w:firstLine="482"/>
        <w:outlineLvl w:val="3"/>
        <w:rPr>
          <w:rFonts w:ascii="宋体" w:hAnsi="宋体"/>
          <w:b/>
          <w:bCs/>
          <w:sz w:val="24"/>
          <w:szCs w:val="24"/>
        </w:rPr>
      </w:pPr>
      <w:bookmarkStart w:id="817" w:name="_Toc45976923"/>
      <w:bookmarkStart w:id="818" w:name="_Toc75783554"/>
      <w:bookmarkStart w:id="819" w:name="_Toc109809335"/>
      <w:bookmarkStart w:id="820" w:name="_Toc98033957"/>
      <w:bookmarkStart w:id="821" w:name="_Toc81330962"/>
      <w:bookmarkStart w:id="822" w:name="_Toc110405157"/>
      <w:bookmarkStart w:id="823" w:name="_Toc84356275"/>
      <w:bookmarkStart w:id="824" w:name="_Toc21353"/>
      <w:bookmarkStart w:id="825" w:name="_Toc87538392"/>
      <w:bookmarkStart w:id="826" w:name="_Toc98865034"/>
      <w:bookmarkStart w:id="827" w:name="_Toc87543841"/>
      <w:bookmarkStart w:id="828" w:name="_Toc42267655"/>
      <w:bookmarkStart w:id="829" w:name="_Toc69678452"/>
      <w:bookmarkStart w:id="830" w:name="_Toc53412239"/>
      <w:bookmarkStart w:id="831" w:name="_Toc83753915"/>
      <w:bookmarkStart w:id="832" w:name="_Toc42205016"/>
      <w:bookmarkStart w:id="833" w:name="_Toc116584024"/>
      <w:bookmarkStart w:id="834" w:name="_Toc45791377"/>
      <w:r>
        <w:rPr>
          <w:rFonts w:hint="eastAsia" w:ascii="宋体" w:hAnsi="宋体"/>
          <w:b/>
          <w:bCs/>
          <w:sz w:val="24"/>
          <w:szCs w:val="24"/>
        </w:rPr>
        <w:t>6.3 评审</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64F96192">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评标委员会按照第三章“评标办法”规定的方法、评审因素、标准和程序对投标文件进行评审，第三章“评标办法”没有规定的方法、评审因素和标准，不得作为评审依据。</w:t>
      </w:r>
    </w:p>
    <w:p w14:paraId="535518D6">
      <w:pPr>
        <w:spacing w:line="360" w:lineRule="auto"/>
        <w:ind w:firstLine="562"/>
        <w:jc w:val="center"/>
        <w:outlineLvl w:val="2"/>
        <w:rPr>
          <w:rFonts w:asciiTheme="minorEastAsia" w:hAnsiTheme="minorEastAsia" w:eastAsiaTheme="minorEastAsia"/>
          <w:b/>
          <w:bCs/>
          <w:sz w:val="28"/>
          <w:szCs w:val="28"/>
        </w:rPr>
      </w:pPr>
      <w:bookmarkStart w:id="835" w:name="_Toc98033958"/>
      <w:bookmarkStart w:id="836" w:name="_Toc110405158"/>
      <w:bookmarkStart w:id="837" w:name="_Toc45791378"/>
      <w:bookmarkStart w:id="838" w:name="_Toc42267656"/>
      <w:bookmarkStart w:id="839" w:name="_Toc292983022"/>
      <w:bookmarkStart w:id="840" w:name="_Toc98865035"/>
      <w:bookmarkStart w:id="841" w:name="_Toc37603107"/>
      <w:bookmarkStart w:id="842" w:name="_Toc381796412"/>
      <w:bookmarkStart w:id="843" w:name="_Toc45976924"/>
      <w:bookmarkStart w:id="844" w:name="_Toc87543842"/>
      <w:bookmarkStart w:id="845" w:name="_Toc83753916"/>
      <w:bookmarkStart w:id="846" w:name="_Toc11599"/>
      <w:bookmarkStart w:id="847" w:name="_Toc109809336"/>
      <w:bookmarkStart w:id="848" w:name="_Toc42205017"/>
      <w:bookmarkStart w:id="849" w:name="_Toc116584025"/>
      <w:bookmarkStart w:id="850" w:name="_Toc84356276"/>
      <w:bookmarkStart w:id="851" w:name="_Toc87538393"/>
      <w:r>
        <w:rPr>
          <w:rFonts w:hint="eastAsia" w:asciiTheme="minorEastAsia" w:hAnsiTheme="minorEastAsia" w:eastAsiaTheme="minorEastAsia"/>
          <w:b/>
          <w:bCs/>
          <w:sz w:val="28"/>
          <w:szCs w:val="28"/>
        </w:rPr>
        <w:t>7.合同授予</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0E2D00EE">
      <w:pPr>
        <w:spacing w:line="360" w:lineRule="auto"/>
        <w:ind w:firstLine="482"/>
        <w:outlineLvl w:val="3"/>
        <w:rPr>
          <w:rFonts w:ascii="宋体" w:hAnsi="宋体"/>
          <w:b/>
          <w:bCs/>
          <w:sz w:val="24"/>
          <w:szCs w:val="24"/>
        </w:rPr>
      </w:pPr>
      <w:bookmarkStart w:id="852" w:name="_Toc18460"/>
      <w:bookmarkStart w:id="853" w:name="_Toc79968010"/>
      <w:bookmarkStart w:id="854" w:name="_Toc52091975"/>
      <w:bookmarkStart w:id="855" w:name="_Toc110405159"/>
      <w:bookmarkStart w:id="856" w:name="_Toc50559278"/>
      <w:bookmarkStart w:id="857" w:name="_Toc70503243"/>
      <w:bookmarkStart w:id="858" w:name="_Toc45452769"/>
      <w:bookmarkStart w:id="859" w:name="_Toc87543843"/>
      <w:bookmarkStart w:id="860" w:name="_Toc42205018"/>
      <w:bookmarkStart w:id="861" w:name="_Toc79967649"/>
      <w:bookmarkStart w:id="862" w:name="_Toc42267657"/>
      <w:bookmarkStart w:id="863" w:name="_Toc48639300"/>
      <w:bookmarkStart w:id="864" w:name="_Toc98865036"/>
      <w:bookmarkStart w:id="865" w:name="_Toc98033959"/>
      <w:bookmarkStart w:id="866" w:name="_Toc116584026"/>
      <w:bookmarkStart w:id="867" w:name="_Toc45900551"/>
      <w:bookmarkStart w:id="868" w:name="_Toc109809337"/>
      <w:bookmarkStart w:id="869" w:name="_Toc124133181"/>
      <w:bookmarkStart w:id="870" w:name="_Toc45452773"/>
      <w:bookmarkStart w:id="871" w:name="_Toc81661145"/>
      <w:bookmarkStart w:id="872" w:name="_Toc50559282"/>
      <w:bookmarkStart w:id="873" w:name="_Toc81660839"/>
      <w:bookmarkStart w:id="874" w:name="_Toc81660933"/>
      <w:bookmarkStart w:id="875" w:name="_Toc45900555"/>
      <w:bookmarkStart w:id="876" w:name="_Toc45791383"/>
      <w:bookmarkStart w:id="877" w:name="_Toc83753920"/>
      <w:bookmarkStart w:id="878" w:name="_Toc87538397"/>
      <w:bookmarkStart w:id="879" w:name="_Toc45976929"/>
      <w:bookmarkStart w:id="880" w:name="_Toc84356280"/>
      <w:bookmarkStart w:id="881" w:name="_Toc42267661"/>
      <w:bookmarkStart w:id="882" w:name="_Toc42205022"/>
      <w:r>
        <w:rPr>
          <w:rFonts w:hint="eastAsia" w:ascii="宋体" w:hAnsi="宋体"/>
          <w:b/>
          <w:bCs/>
          <w:sz w:val="24"/>
          <w:szCs w:val="24"/>
        </w:rPr>
        <w:t>7.1定标方式</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3F8692E8">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除投标人须知前附表规定评标委员会直接确定中标投标人外，采购人依据评标委员会推荐的中标候选人顺序确定中标投标人，评标委员会推荐的中标候选人的人数见投标人须知前附表。</w:t>
      </w:r>
    </w:p>
    <w:bookmarkEnd w:id="869"/>
    <w:p w14:paraId="3117E07F">
      <w:pPr>
        <w:spacing w:line="360" w:lineRule="auto"/>
        <w:ind w:firstLine="482"/>
        <w:outlineLvl w:val="3"/>
        <w:rPr>
          <w:rFonts w:ascii="宋体" w:hAnsi="宋体"/>
          <w:b/>
          <w:bCs/>
          <w:sz w:val="24"/>
          <w:szCs w:val="24"/>
        </w:rPr>
      </w:pPr>
      <w:bookmarkStart w:id="883" w:name="_Toc50559279"/>
      <w:bookmarkStart w:id="884" w:name="_Toc52091976"/>
      <w:bookmarkStart w:id="885" w:name="_Toc45452770"/>
      <w:bookmarkStart w:id="886" w:name="_Toc42205019"/>
      <w:bookmarkStart w:id="887" w:name="_Toc70503244"/>
      <w:bookmarkStart w:id="888" w:name="_Toc45900552"/>
      <w:bookmarkStart w:id="889" w:name="_Toc48639301"/>
      <w:bookmarkStart w:id="890" w:name="_Toc42267658"/>
      <w:bookmarkStart w:id="891" w:name="_Toc98865037"/>
      <w:bookmarkStart w:id="892" w:name="_Toc98033960"/>
      <w:bookmarkStart w:id="893" w:name="_Toc116584027"/>
      <w:bookmarkStart w:id="894" w:name="_Toc79968011"/>
      <w:bookmarkStart w:id="895" w:name="_Toc110405160"/>
      <w:bookmarkStart w:id="896" w:name="_Toc18918"/>
      <w:bookmarkStart w:id="897" w:name="_Toc79967650"/>
      <w:bookmarkStart w:id="898" w:name="_Toc87543844"/>
      <w:bookmarkStart w:id="899" w:name="_Toc109809338"/>
      <w:r>
        <w:rPr>
          <w:rFonts w:hint="eastAsia" w:ascii="宋体" w:hAnsi="宋体"/>
          <w:b/>
          <w:bCs/>
          <w:sz w:val="24"/>
          <w:szCs w:val="24"/>
        </w:rPr>
        <w:t>7.2</w:t>
      </w:r>
      <w:bookmarkEnd w:id="883"/>
      <w:bookmarkEnd w:id="884"/>
      <w:bookmarkEnd w:id="885"/>
      <w:bookmarkEnd w:id="886"/>
      <w:bookmarkEnd w:id="887"/>
      <w:bookmarkEnd w:id="888"/>
      <w:bookmarkEnd w:id="889"/>
      <w:bookmarkEnd w:id="890"/>
      <w:r>
        <w:rPr>
          <w:rFonts w:hint="eastAsia" w:ascii="宋体" w:hAnsi="宋体"/>
          <w:b/>
          <w:bCs/>
          <w:sz w:val="24"/>
          <w:szCs w:val="24"/>
        </w:rPr>
        <w:t>中标结果</w:t>
      </w:r>
      <w:bookmarkEnd w:id="891"/>
      <w:bookmarkEnd w:id="892"/>
      <w:bookmarkEnd w:id="893"/>
      <w:bookmarkEnd w:id="894"/>
      <w:bookmarkEnd w:id="895"/>
      <w:bookmarkEnd w:id="896"/>
      <w:bookmarkEnd w:id="897"/>
      <w:bookmarkEnd w:id="898"/>
      <w:bookmarkEnd w:id="899"/>
    </w:p>
    <w:p w14:paraId="487DCC9E">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7.2.1采购代理机构应当在评审结束后2个工作日内将评审报告送采购人确认。</w:t>
      </w:r>
    </w:p>
    <w:p w14:paraId="11E4708F">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7.2.2采购人应当在收到评审报告后5个工作日内，按照评审报告中推荐的中标候选人顺序确定中标投标人。</w:t>
      </w:r>
    </w:p>
    <w:p w14:paraId="309A9199">
      <w:pPr>
        <w:adjustRightInd w:val="0"/>
        <w:snapToGrid w:val="0"/>
        <w:spacing w:line="360" w:lineRule="auto"/>
        <w:ind w:firstLine="420" w:firstLineChars="200"/>
        <w:rPr>
          <w:rFonts w:asciiTheme="minorEastAsia" w:hAnsiTheme="minorEastAsia" w:eastAsiaTheme="minorEastAsia"/>
          <w:szCs w:val="28"/>
        </w:rPr>
      </w:pPr>
      <w:r>
        <w:rPr>
          <w:rFonts w:hint="eastAsia" w:asciiTheme="minorEastAsia" w:hAnsiTheme="minorEastAsia" w:eastAsiaTheme="minorEastAsia"/>
          <w:szCs w:val="21"/>
        </w:rPr>
        <w:t>7.2.3采购代理机构应当自中标投标人确定之日起2个工作日内，</w:t>
      </w:r>
      <w:r>
        <w:rPr>
          <w:rFonts w:hint="eastAsia" w:cs="宋体" w:asciiTheme="minorEastAsia" w:hAnsiTheme="minorEastAsia" w:eastAsiaTheme="minorEastAsia"/>
          <w:snapToGrid w:val="0"/>
          <w:kern w:val="0"/>
          <w:szCs w:val="21"/>
        </w:rPr>
        <w:t>在省级以上财政部门指定的政府采购信息发布媒体上公告中标结果，同时向中标投标人发出中标通知书</w:t>
      </w:r>
      <w:r>
        <w:rPr>
          <w:rFonts w:hint="eastAsia" w:asciiTheme="minorEastAsia" w:hAnsiTheme="minorEastAsia" w:eastAsiaTheme="minorEastAsia"/>
          <w:szCs w:val="21"/>
        </w:rPr>
        <w:t>。</w:t>
      </w:r>
    </w:p>
    <w:p w14:paraId="3692DAAB">
      <w:pPr>
        <w:spacing w:line="360" w:lineRule="auto"/>
        <w:ind w:firstLine="482"/>
        <w:outlineLvl w:val="3"/>
        <w:rPr>
          <w:rFonts w:ascii="宋体" w:hAnsi="宋体"/>
          <w:b/>
          <w:bCs/>
          <w:sz w:val="24"/>
          <w:szCs w:val="24"/>
        </w:rPr>
      </w:pPr>
      <w:bookmarkStart w:id="900" w:name="_Toc48639302"/>
      <w:bookmarkStart w:id="901" w:name="_Toc110405161"/>
      <w:bookmarkStart w:id="902" w:name="_Toc79967651"/>
      <w:bookmarkStart w:id="903" w:name="_Toc10977"/>
      <w:bookmarkStart w:id="904" w:name="_Toc50559280"/>
      <w:bookmarkStart w:id="905" w:name="_Toc98033961"/>
      <w:bookmarkStart w:id="906" w:name="_Toc116584028"/>
      <w:bookmarkStart w:id="907" w:name="_Toc45900553"/>
      <w:bookmarkStart w:id="908" w:name="_Toc42267659"/>
      <w:bookmarkStart w:id="909" w:name="_Toc109809339"/>
      <w:bookmarkStart w:id="910" w:name="_Toc79968012"/>
      <w:bookmarkStart w:id="911" w:name="_Toc70503245"/>
      <w:bookmarkStart w:id="912" w:name="_Toc87543845"/>
      <w:bookmarkStart w:id="913" w:name="_Toc52091977"/>
      <w:bookmarkStart w:id="914" w:name="_Toc42205020"/>
      <w:bookmarkStart w:id="915" w:name="_Toc98865038"/>
      <w:bookmarkStart w:id="916" w:name="_Toc45452771"/>
      <w:r>
        <w:rPr>
          <w:rFonts w:hint="eastAsia" w:ascii="宋体" w:hAnsi="宋体"/>
          <w:b/>
          <w:bCs/>
          <w:sz w:val="24"/>
          <w:szCs w:val="24"/>
        </w:rPr>
        <w:t>7.3履约担保</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1A2F4E91">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本项目不收取履约保证金。</w:t>
      </w:r>
    </w:p>
    <w:p w14:paraId="65E19B4F">
      <w:pPr>
        <w:spacing w:line="360" w:lineRule="auto"/>
        <w:ind w:firstLine="482"/>
        <w:outlineLvl w:val="3"/>
        <w:rPr>
          <w:rFonts w:ascii="宋体" w:hAnsi="宋体"/>
          <w:b/>
          <w:bCs/>
          <w:sz w:val="24"/>
          <w:szCs w:val="24"/>
        </w:rPr>
      </w:pPr>
      <w:bookmarkStart w:id="917" w:name="_Toc42205021"/>
      <w:bookmarkStart w:id="918" w:name="_Toc110405162"/>
      <w:bookmarkStart w:id="919" w:name="_Toc52091978"/>
      <w:bookmarkStart w:id="920" w:name="_Toc116584029"/>
      <w:bookmarkStart w:id="921" w:name="_Toc109809340"/>
      <w:bookmarkStart w:id="922" w:name="_Toc79967652"/>
      <w:bookmarkStart w:id="923" w:name="_Toc87543846"/>
      <w:bookmarkStart w:id="924" w:name="_Toc124133182"/>
      <w:bookmarkStart w:id="925" w:name="_Toc50559281"/>
      <w:bookmarkStart w:id="926" w:name="_Toc98865039"/>
      <w:bookmarkStart w:id="927" w:name="_Toc45900554"/>
      <w:bookmarkStart w:id="928" w:name="_Toc42267660"/>
      <w:bookmarkStart w:id="929" w:name="_Toc98033962"/>
      <w:bookmarkStart w:id="930" w:name="_Toc45452772"/>
      <w:bookmarkStart w:id="931" w:name="_Toc32278"/>
      <w:bookmarkStart w:id="932" w:name="_Toc79968013"/>
      <w:bookmarkStart w:id="933" w:name="_Toc70503246"/>
      <w:bookmarkStart w:id="934" w:name="_Toc48639303"/>
      <w:r>
        <w:rPr>
          <w:rFonts w:hint="eastAsia" w:ascii="宋体" w:hAnsi="宋体"/>
          <w:b/>
          <w:bCs/>
          <w:sz w:val="24"/>
          <w:szCs w:val="24"/>
        </w:rPr>
        <w:t>7.4签订合同</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2C89D8B1">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7.4.1采购人和中标投标人应当自中标通知书发出之日起30天内，根据招标文件和中标投标人的投标文件订立书面合同。中标投标人无正当理由拒签合同的，采购人取消其中标资格；给采购人造成损失的，还应当赔偿损失。</w:t>
      </w:r>
    </w:p>
    <w:p w14:paraId="16DD1C8F">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7.4.2 发出中标通知书后，采购人无正当理由拒签合同的，给中标投标人造成损失的，还应当赔偿损失。</w:t>
      </w:r>
    </w:p>
    <w:bookmarkEnd w:id="870"/>
    <w:bookmarkEnd w:id="871"/>
    <w:bookmarkEnd w:id="872"/>
    <w:bookmarkEnd w:id="873"/>
    <w:bookmarkEnd w:id="874"/>
    <w:bookmarkEnd w:id="875"/>
    <w:p w14:paraId="4222929B">
      <w:pPr>
        <w:spacing w:line="360" w:lineRule="auto"/>
        <w:ind w:firstLine="562"/>
        <w:jc w:val="center"/>
        <w:outlineLvl w:val="2"/>
        <w:rPr>
          <w:rFonts w:asciiTheme="minorEastAsia" w:hAnsiTheme="minorEastAsia" w:eastAsiaTheme="minorEastAsia"/>
          <w:b/>
          <w:bCs/>
          <w:sz w:val="28"/>
          <w:szCs w:val="28"/>
        </w:rPr>
      </w:pPr>
      <w:bookmarkStart w:id="935" w:name="_Toc109809341"/>
      <w:bookmarkStart w:id="936" w:name="_Toc116584030"/>
      <w:bookmarkStart w:id="937" w:name="_Toc87543847"/>
      <w:bookmarkStart w:id="938" w:name="_Toc98865040"/>
      <w:bookmarkStart w:id="939" w:name="_Toc26229"/>
      <w:bookmarkStart w:id="940" w:name="_Toc110405163"/>
      <w:bookmarkStart w:id="941" w:name="_Toc98033963"/>
      <w:r>
        <w:rPr>
          <w:rFonts w:hint="eastAsia" w:asciiTheme="minorEastAsia" w:hAnsiTheme="minorEastAsia" w:eastAsiaTheme="minorEastAsia"/>
          <w:b/>
          <w:bCs/>
          <w:sz w:val="28"/>
          <w:szCs w:val="28"/>
        </w:rPr>
        <w:t>8.重新</w:t>
      </w:r>
      <w:bookmarkEnd w:id="876"/>
      <w:bookmarkEnd w:id="877"/>
      <w:bookmarkEnd w:id="878"/>
      <w:bookmarkEnd w:id="879"/>
      <w:bookmarkEnd w:id="880"/>
      <w:bookmarkEnd w:id="881"/>
      <w:bookmarkEnd w:id="882"/>
      <w:bookmarkEnd w:id="935"/>
      <w:bookmarkEnd w:id="936"/>
      <w:bookmarkEnd w:id="937"/>
      <w:bookmarkEnd w:id="938"/>
      <w:bookmarkEnd w:id="939"/>
      <w:bookmarkEnd w:id="940"/>
      <w:bookmarkEnd w:id="941"/>
      <w:r>
        <w:rPr>
          <w:rFonts w:hint="eastAsia" w:asciiTheme="minorEastAsia" w:hAnsiTheme="minorEastAsia" w:eastAsiaTheme="minorEastAsia"/>
          <w:b/>
          <w:bCs/>
          <w:sz w:val="28"/>
          <w:szCs w:val="28"/>
        </w:rPr>
        <w:t>招标和不再招标</w:t>
      </w:r>
    </w:p>
    <w:p w14:paraId="646441DB">
      <w:pPr>
        <w:spacing w:line="360" w:lineRule="auto"/>
        <w:ind w:firstLine="482"/>
        <w:outlineLvl w:val="3"/>
        <w:rPr>
          <w:rFonts w:ascii="宋体" w:hAnsi="宋体"/>
          <w:b/>
          <w:bCs/>
          <w:sz w:val="24"/>
          <w:szCs w:val="24"/>
        </w:rPr>
      </w:pPr>
      <w:bookmarkStart w:id="942" w:name="_Toc98033964"/>
      <w:bookmarkStart w:id="943" w:name="_Toc98865041"/>
      <w:bookmarkStart w:id="944" w:name="_Toc109809342"/>
      <w:bookmarkStart w:id="945" w:name="_Toc87543848"/>
      <w:bookmarkStart w:id="946" w:name="_Toc31249"/>
      <w:bookmarkStart w:id="947" w:name="_Toc116584031"/>
      <w:bookmarkStart w:id="948" w:name="_Toc110405164"/>
      <w:r>
        <w:rPr>
          <w:rFonts w:hint="eastAsia" w:ascii="宋体" w:hAnsi="宋体"/>
          <w:b/>
          <w:bCs/>
          <w:sz w:val="24"/>
          <w:szCs w:val="24"/>
        </w:rPr>
        <w:t>8</w:t>
      </w:r>
      <w:r>
        <w:rPr>
          <w:rFonts w:ascii="宋体" w:hAnsi="宋体"/>
          <w:b/>
          <w:bCs/>
          <w:sz w:val="24"/>
          <w:szCs w:val="24"/>
        </w:rPr>
        <w:t xml:space="preserve">.1 </w:t>
      </w:r>
      <w:r>
        <w:rPr>
          <w:rFonts w:hint="eastAsia" w:ascii="宋体" w:hAnsi="宋体"/>
          <w:b/>
          <w:bCs/>
          <w:sz w:val="24"/>
          <w:szCs w:val="24"/>
        </w:rPr>
        <w:t>重新招标</w:t>
      </w:r>
    </w:p>
    <w:p w14:paraId="0C9FEEFE">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有下列情形之一的，采购人将重新招标：</w:t>
      </w:r>
      <w:bookmarkEnd w:id="942"/>
      <w:bookmarkEnd w:id="943"/>
      <w:bookmarkEnd w:id="944"/>
      <w:bookmarkEnd w:id="945"/>
      <w:bookmarkEnd w:id="946"/>
      <w:bookmarkEnd w:id="947"/>
      <w:bookmarkEnd w:id="948"/>
    </w:p>
    <w:p w14:paraId="2AEB887C">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投标文件</w:t>
      </w:r>
      <w:r>
        <w:rPr>
          <w:rFonts w:hint="eastAsia" w:asciiTheme="minorEastAsia" w:hAnsiTheme="minorEastAsia" w:eastAsiaTheme="minorEastAsia"/>
        </w:rPr>
        <w:t>递交</w:t>
      </w:r>
      <w:r>
        <w:rPr>
          <w:rFonts w:asciiTheme="minorEastAsia" w:hAnsiTheme="minorEastAsia" w:eastAsiaTheme="minorEastAsia"/>
        </w:rPr>
        <w:t>截止时间止，递交投标文件的</w:t>
      </w:r>
      <w:r>
        <w:rPr>
          <w:rFonts w:hint="eastAsia" w:asciiTheme="minorEastAsia" w:hAnsiTheme="minorEastAsia" w:eastAsiaTheme="minorEastAsia"/>
        </w:rPr>
        <w:t>投标人</w:t>
      </w:r>
      <w:r>
        <w:rPr>
          <w:rFonts w:asciiTheme="minorEastAsia" w:hAnsiTheme="minorEastAsia" w:eastAsiaTheme="minorEastAsia"/>
        </w:rPr>
        <w:t>少于3个的</w:t>
      </w:r>
      <w:r>
        <w:rPr>
          <w:rFonts w:hint="eastAsia" w:asciiTheme="minorEastAsia" w:hAnsiTheme="minorEastAsia" w:eastAsiaTheme="minorEastAsia"/>
        </w:rPr>
        <w:t>；</w:t>
      </w:r>
    </w:p>
    <w:p w14:paraId="37902D3F">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（2）经评标委员会评审后否决所有投标的。</w:t>
      </w:r>
    </w:p>
    <w:p w14:paraId="79417607">
      <w:pPr>
        <w:spacing w:line="360" w:lineRule="auto"/>
        <w:ind w:firstLine="482"/>
        <w:rPr>
          <w:rFonts w:ascii="宋体" w:hAnsi="宋体"/>
          <w:b/>
          <w:bCs/>
          <w:sz w:val="24"/>
          <w:szCs w:val="24"/>
        </w:rPr>
      </w:pPr>
      <w:r>
        <w:rPr>
          <w:rFonts w:hint="eastAsia" w:ascii="宋体" w:hAnsi="宋体"/>
          <w:b/>
          <w:bCs/>
          <w:sz w:val="24"/>
          <w:szCs w:val="24"/>
        </w:rPr>
        <w:t>8.2 不再招标</w:t>
      </w:r>
    </w:p>
    <w:p w14:paraId="5CBBC8CA">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重新招标后投标人仍少于3个或者所有投标文件被否决的，属于必须审批或核准的项目，经原审批或核准部门批准后不再进行招标。</w:t>
      </w:r>
    </w:p>
    <w:p w14:paraId="4F1FD82E">
      <w:pPr>
        <w:spacing w:line="360" w:lineRule="auto"/>
        <w:ind w:firstLine="562"/>
        <w:jc w:val="center"/>
        <w:outlineLvl w:val="2"/>
        <w:rPr>
          <w:rFonts w:asciiTheme="minorEastAsia" w:hAnsiTheme="minorEastAsia" w:eastAsiaTheme="minorEastAsia"/>
          <w:b/>
          <w:bCs/>
          <w:sz w:val="28"/>
          <w:szCs w:val="28"/>
        </w:rPr>
      </w:pPr>
      <w:bookmarkStart w:id="949" w:name="_Toc42267662"/>
      <w:bookmarkStart w:id="950" w:name="_Toc42205023"/>
      <w:bookmarkStart w:id="951" w:name="_Toc87538398"/>
      <w:bookmarkStart w:id="952" w:name="_Toc16641"/>
      <w:bookmarkStart w:id="953" w:name="_Toc98865042"/>
      <w:bookmarkStart w:id="954" w:name="_Toc83753921"/>
      <w:bookmarkStart w:id="955" w:name="_Toc110405165"/>
      <w:bookmarkStart w:id="956" w:name="_Toc45976930"/>
      <w:bookmarkStart w:id="957" w:name="_Toc45791384"/>
      <w:bookmarkStart w:id="958" w:name="_Toc84356281"/>
      <w:bookmarkStart w:id="959" w:name="_Toc109809343"/>
      <w:bookmarkStart w:id="960" w:name="_Toc87543849"/>
      <w:bookmarkStart w:id="961" w:name="_Toc98033965"/>
      <w:bookmarkStart w:id="962" w:name="_Toc116584032"/>
      <w:r>
        <w:rPr>
          <w:rFonts w:hint="eastAsia" w:asciiTheme="minorEastAsia" w:hAnsiTheme="minorEastAsia" w:eastAsiaTheme="minorEastAsia"/>
          <w:b/>
          <w:bCs/>
          <w:sz w:val="28"/>
          <w:szCs w:val="28"/>
        </w:rPr>
        <w:t>9.纪律和监督</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3E1CA40D">
      <w:pPr>
        <w:spacing w:line="360" w:lineRule="auto"/>
        <w:ind w:firstLine="482"/>
        <w:outlineLvl w:val="3"/>
        <w:rPr>
          <w:rFonts w:ascii="宋体" w:hAnsi="宋体"/>
          <w:b/>
          <w:bCs/>
          <w:sz w:val="24"/>
          <w:szCs w:val="24"/>
        </w:rPr>
      </w:pPr>
      <w:bookmarkStart w:id="963" w:name="_Toc42205024"/>
      <w:bookmarkStart w:id="964" w:name="_Toc69678460"/>
      <w:bookmarkStart w:id="965" w:name="_Toc87538399"/>
      <w:bookmarkStart w:id="966" w:name="_Toc98865043"/>
      <w:bookmarkStart w:id="967" w:name="_Toc83753922"/>
      <w:bookmarkStart w:id="968" w:name="_Toc87543850"/>
      <w:bookmarkStart w:id="969" w:name="_Toc110405166"/>
      <w:bookmarkStart w:id="970" w:name="_Toc53412247"/>
      <w:bookmarkStart w:id="971" w:name="_Toc116584033"/>
      <w:bookmarkStart w:id="972" w:name="_Toc75783562"/>
      <w:bookmarkStart w:id="973" w:name="_Toc45791385"/>
      <w:bookmarkStart w:id="974" w:name="_Toc109809344"/>
      <w:bookmarkStart w:id="975" w:name="_Toc28437"/>
      <w:bookmarkStart w:id="976" w:name="_Toc42267663"/>
      <w:bookmarkStart w:id="977" w:name="_Toc45976931"/>
      <w:bookmarkStart w:id="978" w:name="_Toc84356282"/>
      <w:bookmarkStart w:id="979" w:name="_Toc98033966"/>
      <w:bookmarkStart w:id="980" w:name="_Toc81330970"/>
      <w:r>
        <w:rPr>
          <w:rFonts w:hint="eastAsia" w:ascii="宋体" w:hAnsi="宋体"/>
          <w:b/>
          <w:bCs/>
          <w:sz w:val="24"/>
          <w:szCs w:val="24"/>
        </w:rPr>
        <w:t>9.1 对采购人的纪律要求</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1647F44D">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采购人不得泄漏采购活动中应当保密的情况和资料，不得与投标人串通损害国家利益、社会公共利益或者他人合法权益。</w:t>
      </w:r>
    </w:p>
    <w:p w14:paraId="5075672A">
      <w:pPr>
        <w:spacing w:line="360" w:lineRule="auto"/>
        <w:ind w:firstLine="482"/>
        <w:outlineLvl w:val="3"/>
        <w:rPr>
          <w:rFonts w:ascii="宋体" w:hAnsi="宋体"/>
          <w:b/>
          <w:bCs/>
          <w:sz w:val="24"/>
          <w:szCs w:val="24"/>
        </w:rPr>
      </w:pPr>
      <w:bookmarkStart w:id="981" w:name="_Toc87543851"/>
      <w:bookmarkStart w:id="982" w:name="_Toc98033967"/>
      <w:bookmarkStart w:id="983" w:name="_Toc87538400"/>
      <w:bookmarkStart w:id="984" w:name="_Toc84356283"/>
      <w:bookmarkStart w:id="985" w:name="_Toc69678461"/>
      <w:bookmarkStart w:id="986" w:name="_Toc98865044"/>
      <w:bookmarkStart w:id="987" w:name="_Toc110405167"/>
      <w:bookmarkStart w:id="988" w:name="_Toc83753923"/>
      <w:bookmarkStart w:id="989" w:name="_Toc42267664"/>
      <w:bookmarkStart w:id="990" w:name="_Toc109809345"/>
      <w:bookmarkStart w:id="991" w:name="_Toc75783563"/>
      <w:bookmarkStart w:id="992" w:name="_Toc45976932"/>
      <w:bookmarkStart w:id="993" w:name="_Toc42205025"/>
      <w:bookmarkStart w:id="994" w:name="_Toc53412248"/>
      <w:bookmarkStart w:id="995" w:name="_Toc116584034"/>
      <w:bookmarkStart w:id="996" w:name="_Toc928"/>
      <w:bookmarkStart w:id="997" w:name="_Toc45791386"/>
      <w:bookmarkStart w:id="998" w:name="_Toc81330971"/>
      <w:r>
        <w:rPr>
          <w:rFonts w:hint="eastAsia" w:ascii="宋体" w:hAnsi="宋体"/>
          <w:b/>
          <w:bCs/>
          <w:sz w:val="24"/>
          <w:szCs w:val="24"/>
        </w:rPr>
        <w:t>9.2 对投标人的纪律要求</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229F35DB">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投标人不得相互串通投标或者与采购人串通投标，不得向采购人或者评标委员会成员行贿谋取中标，不得以他人名义投标或者以其他方式弄虚作假骗取中标；投标人不得以任何方式干扰、影响评审工作。</w:t>
      </w:r>
    </w:p>
    <w:p w14:paraId="5FD7BA9A">
      <w:pPr>
        <w:spacing w:line="360" w:lineRule="auto"/>
        <w:ind w:firstLine="482"/>
        <w:outlineLvl w:val="3"/>
        <w:rPr>
          <w:rFonts w:ascii="宋体" w:hAnsi="宋体"/>
          <w:b/>
          <w:bCs/>
          <w:sz w:val="24"/>
          <w:szCs w:val="24"/>
        </w:rPr>
      </w:pPr>
      <w:bookmarkStart w:id="999" w:name="_Toc116584035"/>
      <w:bookmarkStart w:id="1000" w:name="_Toc45976933"/>
      <w:bookmarkStart w:id="1001" w:name="_Toc13146"/>
      <w:bookmarkStart w:id="1002" w:name="_Toc87543852"/>
      <w:bookmarkStart w:id="1003" w:name="_Toc69678462"/>
      <w:bookmarkStart w:id="1004" w:name="_Toc83753924"/>
      <w:bookmarkStart w:id="1005" w:name="_Toc81330972"/>
      <w:bookmarkStart w:id="1006" w:name="_Toc110405168"/>
      <w:bookmarkStart w:id="1007" w:name="_Toc42267665"/>
      <w:bookmarkStart w:id="1008" w:name="_Toc87538401"/>
      <w:bookmarkStart w:id="1009" w:name="_Toc53412249"/>
      <w:bookmarkStart w:id="1010" w:name="_Toc84356284"/>
      <w:bookmarkStart w:id="1011" w:name="_Toc98033968"/>
      <w:bookmarkStart w:id="1012" w:name="_Toc42205026"/>
      <w:bookmarkStart w:id="1013" w:name="_Toc75783564"/>
      <w:bookmarkStart w:id="1014" w:name="_Toc45791387"/>
      <w:bookmarkStart w:id="1015" w:name="_Toc98865045"/>
      <w:bookmarkStart w:id="1016" w:name="_Toc109809346"/>
      <w:r>
        <w:rPr>
          <w:rFonts w:hint="eastAsia" w:ascii="宋体" w:hAnsi="宋体"/>
          <w:b/>
          <w:bCs/>
          <w:sz w:val="24"/>
          <w:szCs w:val="24"/>
        </w:rPr>
        <w:t>9.3 对评标委员会成员的纪律要求</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5CA5289D">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成员不得收受他人的财物或者其他好处，不得向他人透漏对投标文件的评审和比较、中标候选人的推荐情况以及评审有关的其他情况。在评审活动中，评标委员会成员不得擅离职守，影响评审程序正常进行，不得使用第三章“评标办法”没有规定的评审因素和标准进行评审。</w:t>
      </w:r>
    </w:p>
    <w:p w14:paraId="58F22657">
      <w:pPr>
        <w:spacing w:line="360" w:lineRule="auto"/>
        <w:ind w:firstLine="482"/>
        <w:outlineLvl w:val="3"/>
        <w:rPr>
          <w:rFonts w:ascii="宋体" w:hAnsi="宋体"/>
          <w:b/>
          <w:bCs/>
          <w:sz w:val="24"/>
          <w:szCs w:val="24"/>
        </w:rPr>
      </w:pPr>
      <w:bookmarkStart w:id="1017" w:name="_Toc16136"/>
      <w:bookmarkStart w:id="1018" w:name="_Toc45976934"/>
      <w:bookmarkStart w:id="1019" w:name="_Toc75783565"/>
      <w:bookmarkStart w:id="1020" w:name="_Toc98865046"/>
      <w:bookmarkStart w:id="1021" w:name="_Toc116584036"/>
      <w:bookmarkStart w:id="1022" w:name="_Toc87543853"/>
      <w:bookmarkStart w:id="1023" w:name="_Toc53412250"/>
      <w:bookmarkStart w:id="1024" w:name="_Toc98033969"/>
      <w:bookmarkStart w:id="1025" w:name="_Toc45791388"/>
      <w:bookmarkStart w:id="1026" w:name="_Toc81330973"/>
      <w:bookmarkStart w:id="1027" w:name="_Toc109809347"/>
      <w:bookmarkStart w:id="1028" w:name="_Toc42205027"/>
      <w:bookmarkStart w:id="1029" w:name="_Toc69678463"/>
      <w:bookmarkStart w:id="1030" w:name="_Toc87538402"/>
      <w:bookmarkStart w:id="1031" w:name="_Toc84356285"/>
      <w:bookmarkStart w:id="1032" w:name="_Toc42267666"/>
      <w:bookmarkStart w:id="1033" w:name="_Toc83753925"/>
      <w:bookmarkStart w:id="1034" w:name="_Toc110405169"/>
      <w:r>
        <w:rPr>
          <w:rFonts w:hint="eastAsia" w:ascii="宋体" w:hAnsi="宋体"/>
          <w:b/>
          <w:bCs/>
          <w:sz w:val="24"/>
          <w:szCs w:val="24"/>
        </w:rPr>
        <w:t>9.4 对与评审活动有关的工作人员的纪律要求</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69F94674">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与评审活动有关的工作人员不得收受他人的财物或者其他好处，不得向他人透漏对投标文件的评审和比较、中标候选人的推荐情况以及评审有关的其他情况。在评审活动中，与评审活动有关的工作人员不得擅离职守，影响评审程序正常进行。</w:t>
      </w:r>
    </w:p>
    <w:p w14:paraId="1D545AAC">
      <w:pPr>
        <w:spacing w:line="360" w:lineRule="auto"/>
        <w:ind w:firstLine="482"/>
        <w:outlineLvl w:val="3"/>
        <w:rPr>
          <w:rFonts w:ascii="宋体" w:hAnsi="宋体"/>
          <w:b/>
          <w:bCs/>
          <w:sz w:val="24"/>
          <w:szCs w:val="24"/>
        </w:rPr>
      </w:pPr>
      <w:bookmarkStart w:id="1035" w:name="_Toc116584037"/>
      <w:r>
        <w:rPr>
          <w:rFonts w:hint="eastAsia" w:ascii="宋体" w:hAnsi="宋体"/>
          <w:b/>
          <w:bCs/>
          <w:sz w:val="24"/>
          <w:szCs w:val="24"/>
        </w:rPr>
        <w:t>9</w:t>
      </w:r>
      <w:r>
        <w:rPr>
          <w:rFonts w:ascii="宋体" w:hAnsi="宋体"/>
          <w:b/>
          <w:bCs/>
          <w:sz w:val="24"/>
          <w:szCs w:val="24"/>
        </w:rPr>
        <w:t>.5</w:t>
      </w:r>
      <w:r>
        <w:rPr>
          <w:rFonts w:hint="eastAsia" w:ascii="宋体" w:hAnsi="宋体"/>
          <w:b/>
          <w:bCs/>
          <w:sz w:val="24"/>
          <w:szCs w:val="24"/>
        </w:rPr>
        <w:t xml:space="preserve"> 质疑</w:t>
      </w:r>
      <w:bookmarkEnd w:id="1035"/>
    </w:p>
    <w:p w14:paraId="6D044B73">
      <w:pPr>
        <w:adjustRightInd w:val="0"/>
        <w:snapToGrid w:val="0"/>
        <w:spacing w:line="360"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9.5.1</w:t>
      </w:r>
      <w:r>
        <w:rPr>
          <w:rFonts w:hint="eastAsia" w:asciiTheme="minorEastAsia" w:hAnsiTheme="minorEastAsia" w:eastAsiaTheme="minorEastAsia"/>
          <w:szCs w:val="21"/>
        </w:rPr>
        <w:t>投标人认为招标文件、采购过程和中标结果使自己的权益受到损害的，应当在知道或者应知其权益受到损害之日起7个工作日内，登录政府采购云平台向采购人或采购代理机构在线提起质疑。质疑内容不得含有虚假、恶意成分。当事人对自己提出的主张，有责任提供证据，提出质疑时应同时递交相关证据材料和注明事实的确切来源。</w:t>
      </w:r>
      <w:r>
        <w:rPr>
          <w:rFonts w:hint="eastAsia" w:asciiTheme="minorEastAsia" w:hAnsiTheme="minorEastAsia" w:eastAsiaTheme="minorEastAsia"/>
          <w:szCs w:val="21"/>
          <w:lang w:val="en-US" w:eastAsia="zh-CN"/>
        </w:rPr>
        <w:t>投标人应</w:t>
      </w:r>
      <w:r>
        <w:rPr>
          <w:rFonts w:hint="eastAsia" w:asciiTheme="minorEastAsia" w:hAnsiTheme="minorEastAsia" w:eastAsiaTheme="minorEastAsia"/>
          <w:szCs w:val="21"/>
        </w:rPr>
        <w:t>在法定质疑期内一次性提出针对同一采购程序环节的质疑</w:t>
      </w:r>
      <w:r>
        <w:rPr>
          <w:rFonts w:hint="eastAsia" w:asciiTheme="minorEastAsia" w:hAnsiTheme="minorEastAsia" w:eastAsiaTheme="minorEastAsia"/>
          <w:szCs w:val="21"/>
          <w:lang w:eastAsia="zh-CN"/>
        </w:rPr>
        <w:t>。</w:t>
      </w:r>
    </w:p>
    <w:p w14:paraId="03CA271B">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9.5.2</w:t>
      </w:r>
      <w:r>
        <w:rPr>
          <w:rFonts w:hint="eastAsia" w:asciiTheme="minorEastAsia" w:hAnsiTheme="minorEastAsia" w:eastAsiaTheme="minorEastAsia"/>
          <w:szCs w:val="21"/>
        </w:rPr>
        <w:t>投标人应知其权益受到损害之日，是指：</w:t>
      </w:r>
    </w:p>
    <w:p w14:paraId="7AEC190C">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（1）对可以质疑的采购活动提出质疑的，为投标人获取招标文件之日；</w:t>
      </w:r>
    </w:p>
    <w:p w14:paraId="245D9DC6">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（2）对采购过程提出质疑的，为各采购程序环节结束之日；</w:t>
      </w:r>
    </w:p>
    <w:p w14:paraId="6A54C804">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（3）对中标结果提出质疑的，为中标结果公告期限届满之日。</w:t>
      </w:r>
    </w:p>
    <w:p w14:paraId="33EA20C7">
      <w:pPr>
        <w:adjustRightInd w:val="0"/>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9.5.</w:t>
      </w:r>
      <w:r>
        <w:rPr>
          <w:rFonts w:hint="eastAsia" w:asciiTheme="minorEastAsia" w:hAnsiTheme="minorEastAsia" w:eastAsiaTheme="minorEastAsia"/>
          <w:szCs w:val="21"/>
        </w:rPr>
        <w:t>3采购人、采购代理机构应在收到投标人的质疑后7个工作日内作出答复，但答复的内容不涉及商业秘密。</w:t>
      </w:r>
    </w:p>
    <w:p w14:paraId="2EBB5E12">
      <w:pPr>
        <w:adjustRightInd w:val="0"/>
        <w:snapToGrid w:val="0"/>
        <w:spacing w:line="360" w:lineRule="auto"/>
        <w:ind w:firstLine="420" w:firstLineChars="200"/>
        <w:rPr>
          <w:rFonts w:cs="宋体" w:asciiTheme="minorEastAsia" w:hAnsiTheme="minorEastAsia" w:eastAsiaTheme="minorEastAsia"/>
          <w:szCs w:val="21"/>
        </w:rPr>
      </w:pPr>
      <w:r>
        <w:rPr>
          <w:rFonts w:asciiTheme="minorEastAsia" w:hAnsiTheme="minorEastAsia" w:eastAsiaTheme="minorEastAsia"/>
          <w:szCs w:val="21"/>
        </w:rPr>
        <w:t>9.5.</w:t>
      </w:r>
      <w:r>
        <w:rPr>
          <w:rFonts w:hint="eastAsia" w:asciiTheme="minorEastAsia" w:hAnsiTheme="minorEastAsia" w:eastAsiaTheme="minorEastAsia"/>
          <w:szCs w:val="21"/>
        </w:rPr>
        <w:t>4参与政府采购活动的投标人对评审过程或者结果提出质疑的，采购人或采购代理机构可以组织原评标委员会协助处理质疑事项，并依据评标委员会出具的意见进行答复。质疑答复导致中标结果改变的，采购人或采购代理机构应当将相关情况报财政部门备案。</w:t>
      </w:r>
    </w:p>
    <w:p w14:paraId="5226B005">
      <w:pPr>
        <w:spacing w:line="360" w:lineRule="auto"/>
        <w:ind w:firstLine="482"/>
        <w:outlineLvl w:val="3"/>
        <w:rPr>
          <w:rFonts w:ascii="宋体" w:hAnsi="宋体"/>
          <w:b/>
          <w:bCs/>
          <w:sz w:val="24"/>
          <w:szCs w:val="24"/>
        </w:rPr>
      </w:pPr>
      <w:bookmarkStart w:id="1036" w:name="_Toc116584038"/>
      <w:r>
        <w:rPr>
          <w:rFonts w:ascii="宋体" w:hAnsi="宋体"/>
          <w:b/>
          <w:bCs/>
          <w:sz w:val="24"/>
          <w:szCs w:val="24"/>
        </w:rPr>
        <w:t>9.6</w:t>
      </w:r>
      <w:r>
        <w:rPr>
          <w:rFonts w:hint="eastAsia" w:ascii="宋体" w:hAnsi="宋体"/>
          <w:b/>
          <w:bCs/>
          <w:sz w:val="24"/>
          <w:szCs w:val="24"/>
        </w:rPr>
        <w:t xml:space="preserve"> 投诉</w:t>
      </w:r>
      <w:bookmarkEnd w:id="1036"/>
    </w:p>
    <w:p w14:paraId="570983D9">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投诉首先须经过质疑程序。质疑人对采购人、采购代理机构的答复不满意或者采购人、采购代理机构未在规定的时间内做出答复的，可以在答复期满后1</w:t>
      </w:r>
      <w:r>
        <w:rPr>
          <w:rFonts w:asciiTheme="minorEastAsia" w:hAnsiTheme="minorEastAsia" w:eastAsiaTheme="minorEastAsia"/>
          <w:szCs w:val="21"/>
        </w:rPr>
        <w:t>5</w:t>
      </w:r>
      <w:r>
        <w:rPr>
          <w:rFonts w:hint="eastAsia" w:asciiTheme="minorEastAsia" w:hAnsiTheme="minorEastAsia" w:eastAsiaTheme="minorEastAsia"/>
          <w:szCs w:val="21"/>
        </w:rPr>
        <w:t>个工作日内书面向财政部门提起投诉。</w:t>
      </w:r>
    </w:p>
    <w:p w14:paraId="5BE422E0">
      <w:pPr>
        <w:spacing w:line="360" w:lineRule="auto"/>
        <w:ind w:firstLine="562"/>
        <w:jc w:val="center"/>
        <w:outlineLvl w:val="2"/>
        <w:rPr>
          <w:rFonts w:asciiTheme="minorEastAsia" w:hAnsiTheme="minorEastAsia" w:eastAsiaTheme="minorEastAsia"/>
          <w:b/>
          <w:bCs/>
          <w:sz w:val="28"/>
          <w:szCs w:val="28"/>
        </w:rPr>
      </w:pPr>
      <w:bookmarkStart w:id="1037" w:name="_Toc110405172"/>
      <w:bookmarkStart w:id="1038" w:name="_Toc87538404"/>
      <w:bookmarkStart w:id="1039" w:name="_Toc45791390"/>
      <w:bookmarkStart w:id="1040" w:name="_Toc98865048"/>
      <w:bookmarkStart w:id="1041" w:name="_Toc18346"/>
      <w:bookmarkStart w:id="1042" w:name="_Toc116584039"/>
      <w:bookmarkStart w:id="1043" w:name="_Toc83753927"/>
      <w:bookmarkStart w:id="1044" w:name="_Toc98033971"/>
      <w:bookmarkStart w:id="1045" w:name="_Toc45976936"/>
      <w:bookmarkStart w:id="1046" w:name="_Toc42267668"/>
      <w:bookmarkStart w:id="1047" w:name="_Toc87543855"/>
      <w:bookmarkStart w:id="1048" w:name="_Toc42205029"/>
      <w:bookmarkStart w:id="1049" w:name="_Toc84356287"/>
      <w:bookmarkStart w:id="1050" w:name="_Toc109809349"/>
      <w:r>
        <w:rPr>
          <w:rFonts w:hint="eastAsia" w:asciiTheme="minorEastAsia" w:hAnsiTheme="minorEastAsia" w:eastAsiaTheme="minorEastAsia"/>
          <w:b/>
          <w:bCs/>
          <w:sz w:val="28"/>
          <w:szCs w:val="28"/>
        </w:rPr>
        <w:t>10.需要补充的其他内容</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750731D7">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需要补充的其他内容：见投标人须知前附表。</w:t>
      </w:r>
      <w:bookmarkStart w:id="1051" w:name="_Toc29357076"/>
      <w:bookmarkStart w:id="1052" w:name="_Toc42205030"/>
      <w:bookmarkStart w:id="1053" w:name="_Toc292983024"/>
      <w:bookmarkStart w:id="1054" w:name="_Toc37603108"/>
      <w:r>
        <w:rPr>
          <w:rFonts w:asciiTheme="minorEastAsia" w:hAnsiTheme="minorEastAsia" w:eastAsiaTheme="minorEastAsia"/>
          <w:szCs w:val="21"/>
        </w:rPr>
        <w:br w:type="page"/>
      </w:r>
    </w:p>
    <w:p w14:paraId="0067265D">
      <w:pPr>
        <w:autoSpaceDE w:val="0"/>
        <w:autoSpaceDN w:val="0"/>
        <w:adjustRightInd w:val="0"/>
        <w:spacing w:line="360" w:lineRule="auto"/>
        <w:ind w:firstLine="422"/>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附件：电子投标文件编制要求</w:t>
      </w:r>
    </w:p>
    <w:p w14:paraId="4518B67A">
      <w:pPr>
        <w:autoSpaceDE w:val="0"/>
        <w:autoSpaceDN w:val="0"/>
        <w:adjustRightInd w:val="0"/>
        <w:spacing w:before="240" w:beforeLines="100" w:line="360" w:lineRule="auto"/>
        <w:ind w:firstLine="640"/>
        <w:jc w:val="center"/>
        <w:rPr>
          <w:rFonts w:cs="黑体" w:asciiTheme="minorEastAsia" w:hAnsiTheme="minorEastAsia" w:eastAsiaTheme="minorEastAsia"/>
          <w:kern w:val="0"/>
          <w:sz w:val="32"/>
          <w:szCs w:val="32"/>
        </w:rPr>
      </w:pPr>
      <w:r>
        <w:rPr>
          <w:rFonts w:hint="eastAsia" w:cs="黑体" w:asciiTheme="minorEastAsia" w:hAnsiTheme="minorEastAsia" w:eastAsiaTheme="minorEastAsia"/>
          <w:kern w:val="0"/>
          <w:sz w:val="32"/>
          <w:szCs w:val="32"/>
        </w:rPr>
        <w:t>电子投标文件编制要求</w:t>
      </w:r>
    </w:p>
    <w:p w14:paraId="179F8B8B">
      <w:pPr>
        <w:autoSpaceDE w:val="0"/>
        <w:autoSpaceDN w:val="0"/>
        <w:adjustRightInd w:val="0"/>
        <w:spacing w:line="360" w:lineRule="auto"/>
        <w:ind w:firstLine="420" w:firstLineChars="20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.电子投标文件的制作应使用“政采云投标客户端”，投标人下载“政采云投标客户端”，通过“政采云投标客户端”编制并生成加密的投标文件。</w:t>
      </w:r>
    </w:p>
    <w:p w14:paraId="77C86603">
      <w:pPr>
        <w:autoSpaceDE w:val="0"/>
        <w:autoSpaceDN w:val="0"/>
        <w:adjustRightInd w:val="0"/>
        <w:spacing w:line="360" w:lineRule="auto"/>
        <w:ind w:firstLine="420" w:firstLineChars="20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.“政采云投标客户端”提供数字证书（</w:t>
      </w:r>
      <w:r>
        <w:rPr>
          <w:rFonts w:cs="宋体" w:asciiTheme="minorEastAsia" w:hAnsiTheme="minorEastAsia" w:eastAsiaTheme="minorEastAsia"/>
          <w:kern w:val="0"/>
          <w:szCs w:val="21"/>
        </w:rPr>
        <w:t>CA</w:t>
      </w:r>
      <w:r>
        <w:rPr>
          <w:rFonts w:hint="eastAsia" w:cs="宋体" w:asciiTheme="minorEastAsia" w:hAnsiTheme="minorEastAsia" w:eastAsiaTheme="minorEastAsia"/>
          <w:kern w:val="0"/>
          <w:szCs w:val="21"/>
        </w:rPr>
        <w:t>）对投标文件进行加密功能。投标人对网上递交的投标文件应加密。如果投标人使用某个数字证书（</w:t>
      </w:r>
      <w:r>
        <w:rPr>
          <w:rFonts w:cs="宋体" w:asciiTheme="minorEastAsia" w:hAnsiTheme="minorEastAsia" w:eastAsiaTheme="minorEastAsia"/>
          <w:kern w:val="0"/>
          <w:szCs w:val="21"/>
        </w:rPr>
        <w:t>CA</w:t>
      </w:r>
      <w:r>
        <w:rPr>
          <w:rFonts w:hint="eastAsia" w:cs="宋体" w:asciiTheme="minorEastAsia" w:hAnsiTheme="minorEastAsia" w:eastAsiaTheme="minorEastAsia"/>
          <w:kern w:val="0"/>
          <w:szCs w:val="21"/>
        </w:rPr>
        <w:t>）对投标文件进行了数字证书（</w:t>
      </w:r>
      <w:r>
        <w:rPr>
          <w:rFonts w:cs="宋体" w:asciiTheme="minorEastAsia" w:hAnsiTheme="minorEastAsia" w:eastAsiaTheme="minorEastAsia"/>
          <w:kern w:val="0"/>
          <w:szCs w:val="21"/>
        </w:rPr>
        <w:t>CA</w:t>
      </w:r>
      <w:r>
        <w:rPr>
          <w:rFonts w:hint="eastAsia" w:cs="宋体" w:asciiTheme="minorEastAsia" w:hAnsiTheme="minorEastAsia" w:eastAsiaTheme="minorEastAsia"/>
          <w:kern w:val="0"/>
          <w:szCs w:val="21"/>
        </w:rPr>
        <w:t>）加密，需要在开标时使用该数字证书（</w:t>
      </w:r>
      <w:r>
        <w:rPr>
          <w:rFonts w:cs="宋体" w:asciiTheme="minorEastAsia" w:hAnsiTheme="minorEastAsia" w:eastAsiaTheme="minorEastAsia"/>
          <w:kern w:val="0"/>
          <w:szCs w:val="21"/>
        </w:rPr>
        <w:t>CA</w:t>
      </w:r>
      <w:r>
        <w:rPr>
          <w:rFonts w:hint="eastAsia" w:cs="宋体" w:asciiTheme="minorEastAsia" w:hAnsiTheme="minorEastAsia" w:eastAsiaTheme="minorEastAsia"/>
          <w:kern w:val="0"/>
          <w:szCs w:val="21"/>
        </w:rPr>
        <w:t>）进行解密，才能读取或导入投标文件，因投标人原因造成投标文件未解密的，视为撤回其投标文件。</w:t>
      </w:r>
    </w:p>
    <w:p w14:paraId="5D13C9FC">
      <w:pPr>
        <w:autoSpaceDE w:val="0"/>
        <w:autoSpaceDN w:val="0"/>
        <w:adjustRightInd w:val="0"/>
        <w:spacing w:line="360" w:lineRule="auto"/>
        <w:ind w:firstLine="420" w:firstLineChars="20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.网上递交投标文件应根据招标文件要求，在投标截止时间前将电子投标文件通过政府采购云平台（网址:https://www.zcygov.cn/）上传至对应的项目，系统自动生成投标回执，以表明上传成功。</w:t>
      </w:r>
    </w:p>
    <w:p w14:paraId="4F639C2D">
      <w:pPr>
        <w:wordWrap w:val="0"/>
        <w:autoSpaceDE w:val="0"/>
        <w:autoSpaceDN w:val="0"/>
        <w:adjustRightInd w:val="0"/>
        <w:spacing w:line="360" w:lineRule="auto"/>
        <w:ind w:firstLine="420" w:firstLineChars="20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.该投标文件制作要求如果与招标文件规定不一致，以此投标文件制作要求为准。“政采云投标客户端”及</w:t>
      </w:r>
      <w:r>
        <w:rPr>
          <w:rFonts w:cs="宋体" w:asciiTheme="minorEastAsia" w:hAnsiTheme="minorEastAsia" w:eastAsiaTheme="minorEastAsia"/>
          <w:kern w:val="0"/>
          <w:szCs w:val="21"/>
        </w:rPr>
        <w:t xml:space="preserve">CA </w:t>
      </w:r>
      <w:r>
        <w:rPr>
          <w:rFonts w:hint="eastAsia" w:cs="宋体" w:asciiTheme="minorEastAsia" w:hAnsiTheme="minorEastAsia" w:eastAsiaTheme="minorEastAsia"/>
          <w:kern w:val="0"/>
          <w:szCs w:val="21"/>
        </w:rPr>
        <w:t>驱动下载网址：</w:t>
      </w:r>
      <w:r>
        <w:fldChar w:fldCharType="begin"/>
      </w:r>
      <w:r>
        <w:instrText xml:space="preserve"> HYPERLINK "https://customer.zcygov.cn/CA-driver-download?utm=web-ca-front.3ddc8fbb.0.0.91c6cff0db1311ec8cfbc9f613d30204" </w:instrText>
      </w:r>
      <w:r>
        <w:fldChar w:fldCharType="separate"/>
      </w:r>
      <w:r>
        <w:rPr>
          <w:rStyle w:val="63"/>
          <w:rFonts w:cs="宋体" w:asciiTheme="minorEastAsia" w:hAnsiTheme="minorEastAsia" w:eastAsiaTheme="minorEastAsia"/>
          <w:color w:val="auto"/>
          <w:kern w:val="0"/>
          <w:szCs w:val="21"/>
          <w:u w:val="none"/>
        </w:rPr>
        <w:t>https://customer.zcygov.cn/CA-driver-download?utm=web-ca-front.3ddc8fbb.0.0.91c6cff0db1311ec8cfbc9f613d30204</w:t>
      </w:r>
      <w:r>
        <w:rPr>
          <w:rStyle w:val="63"/>
          <w:rFonts w:cs="宋体" w:asciiTheme="minorEastAsia" w:hAnsiTheme="minorEastAsia" w:eastAsiaTheme="minorEastAsia"/>
          <w:color w:val="auto"/>
          <w:kern w:val="0"/>
          <w:szCs w:val="21"/>
          <w:u w:val="none"/>
        </w:rPr>
        <w:fldChar w:fldCharType="end"/>
      </w:r>
      <w:r>
        <w:rPr>
          <w:rFonts w:hint="eastAsia" w:cs="宋体" w:asciiTheme="minorEastAsia" w:hAnsiTheme="minorEastAsia" w:eastAsiaTheme="minorEastAsia"/>
          <w:kern w:val="0"/>
          <w:szCs w:val="21"/>
        </w:rPr>
        <w:t>。</w:t>
      </w:r>
    </w:p>
    <w:p w14:paraId="256618C4">
      <w:pPr>
        <w:widowControl/>
        <w:wordWrap w:val="0"/>
        <w:ind w:firstLine="643"/>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2C19AD95">
      <w:pPr>
        <w:spacing w:line="360" w:lineRule="auto"/>
        <w:ind w:firstLine="643"/>
        <w:jc w:val="center"/>
        <w:outlineLvl w:val="0"/>
        <w:rPr>
          <w:rFonts w:asciiTheme="minorEastAsia" w:hAnsiTheme="minorEastAsia" w:eastAsiaTheme="minorEastAsia"/>
          <w:b/>
          <w:bCs/>
          <w:sz w:val="32"/>
          <w:szCs w:val="32"/>
        </w:rPr>
      </w:pPr>
      <w:bookmarkStart w:id="1055" w:name="_Toc1371"/>
      <w:bookmarkStart w:id="1056" w:name="_Hlk152860482"/>
      <w:bookmarkStart w:id="1057" w:name="_Toc27840"/>
      <w:bookmarkStart w:id="1058" w:name="_Toc132362637"/>
      <w:bookmarkStart w:id="1059" w:name="_Hlk106380765"/>
      <w:bookmarkStart w:id="1060" w:name="_Toc30390"/>
      <w:r>
        <w:rPr>
          <w:rFonts w:hint="eastAsia" w:asciiTheme="minorEastAsia" w:hAnsiTheme="minorEastAsia" w:eastAsiaTheme="minorEastAsia"/>
          <w:b/>
          <w:bCs/>
          <w:sz w:val="32"/>
          <w:szCs w:val="32"/>
        </w:rPr>
        <w:t>第三章 评标办法（综合评分法）</w:t>
      </w:r>
      <w:bookmarkEnd w:id="1055"/>
    </w:p>
    <w:p w14:paraId="2C1460BE">
      <w:pPr>
        <w:pStyle w:val="4"/>
      </w:pPr>
      <w:bookmarkStart w:id="1061" w:name="_Toc388014371"/>
      <w:bookmarkStart w:id="1062" w:name="_Toc87543857"/>
      <w:bookmarkStart w:id="1063" w:name="_Toc388013369"/>
      <w:bookmarkStart w:id="1064" w:name="_Toc302769231"/>
      <w:bookmarkStart w:id="1065" w:name="_Toc84356289"/>
      <w:bookmarkStart w:id="1066" w:name="_Toc447640828"/>
      <w:bookmarkStart w:id="1067" w:name="_Toc110405174"/>
      <w:bookmarkStart w:id="1068" w:name="_Toc388013682"/>
      <w:bookmarkStart w:id="1069" w:name="_Toc87538406"/>
      <w:bookmarkStart w:id="1070" w:name="_Toc37603109"/>
      <w:bookmarkStart w:id="1071" w:name="_Toc9290724"/>
      <w:bookmarkStart w:id="1072" w:name="_Toc17345"/>
      <w:bookmarkStart w:id="1073" w:name="_Toc42205031"/>
      <w:bookmarkStart w:id="1074" w:name="_Toc83753929"/>
      <w:r>
        <w:rPr>
          <w:rFonts w:hint="eastAsia"/>
        </w:rPr>
        <w:t>一、评标办法</w:t>
      </w:r>
      <w:r>
        <w:t>前附表</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tbl>
      <w:tblPr>
        <w:tblStyle w:val="5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610"/>
        <w:gridCol w:w="2410"/>
        <w:gridCol w:w="4110"/>
      </w:tblGrid>
      <w:tr w14:paraId="4842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937" w:type="dxa"/>
            <w:vAlign w:val="center"/>
          </w:tcPr>
          <w:p w14:paraId="7B87EA04">
            <w:pPr>
              <w:autoSpaceDE w:val="0"/>
              <w:autoSpaceDN w:val="0"/>
              <w:adjustRightInd w:val="0"/>
              <w:rPr>
                <w:rFonts w:cs="UPNQIO+ËÎÌå" w:asciiTheme="minorEastAsia" w:hAnsiTheme="minorEastAsia" w:eastAsiaTheme="minorEastAsia"/>
                <w:b/>
                <w:spacing w:val="1"/>
                <w:kern w:val="0"/>
                <w:szCs w:val="21"/>
              </w:rPr>
            </w:pPr>
            <w:r>
              <w:rPr>
                <w:rFonts w:hint="eastAsia" w:cs="宋体" w:asciiTheme="minorEastAsia" w:hAnsiTheme="minorEastAsia" w:eastAsiaTheme="minorEastAsia"/>
                <w:b/>
                <w:spacing w:val="1"/>
                <w:kern w:val="0"/>
                <w:szCs w:val="21"/>
              </w:rPr>
              <w:t>条款号</w:t>
            </w:r>
          </w:p>
        </w:tc>
        <w:tc>
          <w:tcPr>
            <w:tcW w:w="1610" w:type="dxa"/>
            <w:vAlign w:val="center"/>
          </w:tcPr>
          <w:p w14:paraId="30DABD95">
            <w:pPr>
              <w:autoSpaceDE w:val="0"/>
              <w:autoSpaceDN w:val="0"/>
              <w:adjustRightInd w:val="0"/>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2410" w:type="dxa"/>
            <w:vAlign w:val="center"/>
          </w:tcPr>
          <w:p w14:paraId="013CA122">
            <w:pPr>
              <w:autoSpaceDE w:val="0"/>
              <w:autoSpaceDN w:val="0"/>
              <w:adjustRightInd w:val="0"/>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评审内容</w:t>
            </w:r>
          </w:p>
        </w:tc>
        <w:tc>
          <w:tcPr>
            <w:tcW w:w="4110" w:type="dxa"/>
            <w:vAlign w:val="center"/>
          </w:tcPr>
          <w:p w14:paraId="60D06D91">
            <w:pPr>
              <w:autoSpaceDE w:val="0"/>
              <w:autoSpaceDN w:val="0"/>
              <w:adjustRightInd w:val="0"/>
              <w:ind w:firstLine="458"/>
              <w:jc w:val="center"/>
              <w:rPr>
                <w:rFonts w:asciiTheme="minorEastAsia" w:hAnsiTheme="minorEastAsia" w:eastAsiaTheme="minorEastAsia"/>
                <w:b/>
                <w:szCs w:val="21"/>
              </w:rPr>
            </w:pPr>
            <w:r>
              <w:rPr>
                <w:rFonts w:cs="UPNQIO+ËÎÌå" w:asciiTheme="minorEastAsia" w:hAnsiTheme="minorEastAsia" w:eastAsiaTheme="minorEastAsia"/>
                <w:b/>
                <w:spacing w:val="9"/>
                <w:szCs w:val="21"/>
              </w:rPr>
              <w:t>评审标准</w:t>
            </w:r>
          </w:p>
        </w:tc>
      </w:tr>
      <w:tr w14:paraId="77B7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37" w:type="dxa"/>
            <w:vMerge w:val="restart"/>
            <w:vAlign w:val="center"/>
          </w:tcPr>
          <w:p w14:paraId="0459CD13">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2.1.1</w:t>
            </w:r>
          </w:p>
        </w:tc>
        <w:tc>
          <w:tcPr>
            <w:tcW w:w="1610" w:type="dxa"/>
            <w:vMerge w:val="restart"/>
            <w:vAlign w:val="center"/>
          </w:tcPr>
          <w:p w14:paraId="6E699313">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资格审查</w:t>
            </w:r>
          </w:p>
          <w:p w14:paraId="14800B3A">
            <w:pPr>
              <w:snapToGrid w:val="0"/>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标准</w:t>
            </w:r>
          </w:p>
        </w:tc>
        <w:tc>
          <w:tcPr>
            <w:tcW w:w="2410" w:type="dxa"/>
            <w:vAlign w:val="center"/>
          </w:tcPr>
          <w:p w14:paraId="36C06F9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具有独立承担民事责任的能力</w:t>
            </w:r>
          </w:p>
        </w:tc>
        <w:tc>
          <w:tcPr>
            <w:tcW w:w="4110" w:type="dxa"/>
            <w:vAlign w:val="center"/>
          </w:tcPr>
          <w:p w14:paraId="1389AD42">
            <w:pPr>
              <w:spacing w:line="360" w:lineRule="auto"/>
              <w:rPr>
                <w:rFonts w:asciiTheme="minorEastAsia" w:hAnsiTheme="minorEastAsia" w:eastAsiaTheme="minorEastAsia"/>
                <w:szCs w:val="21"/>
              </w:rPr>
            </w:pPr>
            <w:r>
              <w:rPr>
                <w:rFonts w:asciiTheme="minorEastAsia" w:hAnsiTheme="minorEastAsia" w:eastAsiaTheme="minorEastAsia"/>
                <w:szCs w:val="21"/>
              </w:rPr>
              <w:t>符合第二章“</w:t>
            </w:r>
            <w:r>
              <w:rPr>
                <w:rFonts w:hint="eastAsia" w:asciiTheme="minorEastAsia" w:hAnsiTheme="minorEastAsia" w:eastAsiaTheme="minorEastAsia"/>
                <w:szCs w:val="21"/>
              </w:rPr>
              <w:t>投标人</w:t>
            </w:r>
            <w:r>
              <w:rPr>
                <w:rFonts w:asciiTheme="minorEastAsia" w:hAnsiTheme="minorEastAsia" w:eastAsiaTheme="minorEastAsia"/>
                <w:szCs w:val="21"/>
              </w:rPr>
              <w:t>须知</w:t>
            </w:r>
            <w:r>
              <w:rPr>
                <w:rFonts w:hint="eastAsia" w:asciiTheme="minorEastAsia" w:hAnsiTheme="minorEastAsia" w:eastAsiaTheme="minorEastAsia"/>
                <w:szCs w:val="21"/>
              </w:rPr>
              <w:t>前附表</w:t>
            </w:r>
            <w:r>
              <w:rPr>
                <w:rFonts w:asciiTheme="minorEastAsia" w:hAnsiTheme="minorEastAsia" w:eastAsiaTheme="minorEastAsia"/>
                <w:szCs w:val="21"/>
              </w:rPr>
              <w:t>”第</w:t>
            </w:r>
            <w:r>
              <w:rPr>
                <w:rFonts w:hint="eastAsia" w:asciiTheme="minorEastAsia" w:hAnsiTheme="minorEastAsia" w:eastAsiaTheme="minorEastAsia"/>
                <w:szCs w:val="21"/>
              </w:rPr>
              <w:t>1.4.1</w:t>
            </w:r>
            <w:r>
              <w:rPr>
                <w:rFonts w:asciiTheme="minorEastAsia" w:hAnsiTheme="minorEastAsia" w:eastAsiaTheme="minorEastAsia"/>
                <w:szCs w:val="21"/>
              </w:rPr>
              <w:t>项</w:t>
            </w:r>
            <w:r>
              <w:rPr>
                <w:rFonts w:hint="eastAsia" w:asciiTheme="minorEastAsia" w:hAnsiTheme="minorEastAsia" w:eastAsiaTheme="minorEastAsia"/>
                <w:szCs w:val="21"/>
              </w:rPr>
              <w:t>规定</w:t>
            </w:r>
          </w:p>
        </w:tc>
      </w:tr>
      <w:tr w14:paraId="7E1A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3383DB05">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7FA44A43">
            <w:pPr>
              <w:snapToGrid w:val="0"/>
              <w:spacing w:line="276" w:lineRule="auto"/>
              <w:jc w:val="center"/>
              <w:rPr>
                <w:rFonts w:asciiTheme="minorEastAsia" w:hAnsiTheme="minorEastAsia" w:eastAsiaTheme="minorEastAsia"/>
                <w:szCs w:val="21"/>
              </w:rPr>
            </w:pPr>
          </w:p>
        </w:tc>
        <w:tc>
          <w:tcPr>
            <w:tcW w:w="2410" w:type="dxa"/>
            <w:vAlign w:val="center"/>
          </w:tcPr>
          <w:p w14:paraId="56F7B83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具有良好的商业信誉和健全的财务会计制度</w:t>
            </w:r>
          </w:p>
        </w:tc>
        <w:tc>
          <w:tcPr>
            <w:tcW w:w="4110" w:type="dxa"/>
            <w:vAlign w:val="center"/>
          </w:tcPr>
          <w:p w14:paraId="3F7874FB">
            <w:pPr>
              <w:spacing w:line="360" w:lineRule="auto"/>
              <w:rPr>
                <w:rFonts w:asciiTheme="minorEastAsia" w:hAnsiTheme="minorEastAsia" w:eastAsiaTheme="minorEastAsia"/>
                <w:szCs w:val="21"/>
              </w:rPr>
            </w:pPr>
            <w:r>
              <w:rPr>
                <w:rFonts w:asciiTheme="minorEastAsia" w:hAnsiTheme="minorEastAsia" w:eastAsiaTheme="minorEastAsia"/>
                <w:szCs w:val="21"/>
              </w:rPr>
              <w:t>符合第二章“</w:t>
            </w:r>
            <w:r>
              <w:rPr>
                <w:rFonts w:hint="eastAsia" w:asciiTheme="minorEastAsia" w:hAnsiTheme="minorEastAsia" w:eastAsiaTheme="minorEastAsia"/>
                <w:szCs w:val="21"/>
              </w:rPr>
              <w:t>投标人</w:t>
            </w:r>
            <w:r>
              <w:rPr>
                <w:rFonts w:asciiTheme="minorEastAsia" w:hAnsiTheme="minorEastAsia" w:eastAsiaTheme="minorEastAsia"/>
                <w:szCs w:val="21"/>
              </w:rPr>
              <w:t>须知</w:t>
            </w:r>
            <w:r>
              <w:rPr>
                <w:rFonts w:hint="eastAsia" w:asciiTheme="minorEastAsia" w:hAnsiTheme="minorEastAsia" w:eastAsiaTheme="minorEastAsia"/>
                <w:szCs w:val="21"/>
              </w:rPr>
              <w:t>前附表</w:t>
            </w:r>
            <w:r>
              <w:rPr>
                <w:rFonts w:asciiTheme="minorEastAsia" w:hAnsiTheme="minorEastAsia" w:eastAsiaTheme="minorEastAsia"/>
                <w:szCs w:val="21"/>
              </w:rPr>
              <w:t>”第</w:t>
            </w:r>
            <w:r>
              <w:rPr>
                <w:rFonts w:hint="eastAsia" w:asciiTheme="minorEastAsia" w:hAnsiTheme="minorEastAsia" w:eastAsiaTheme="minorEastAsia"/>
                <w:szCs w:val="21"/>
              </w:rPr>
              <w:t>1.4.1</w:t>
            </w:r>
            <w:r>
              <w:rPr>
                <w:rFonts w:asciiTheme="minorEastAsia" w:hAnsiTheme="minorEastAsia" w:eastAsiaTheme="minorEastAsia"/>
                <w:szCs w:val="21"/>
              </w:rPr>
              <w:t>项</w:t>
            </w:r>
            <w:r>
              <w:rPr>
                <w:rFonts w:hint="eastAsia" w:asciiTheme="minorEastAsia" w:hAnsiTheme="minorEastAsia" w:eastAsiaTheme="minorEastAsia"/>
                <w:szCs w:val="21"/>
              </w:rPr>
              <w:t>规定</w:t>
            </w:r>
          </w:p>
        </w:tc>
      </w:tr>
      <w:tr w14:paraId="1F03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1FA0ED07">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2BE7137E">
            <w:pPr>
              <w:snapToGrid w:val="0"/>
              <w:spacing w:line="276" w:lineRule="auto"/>
              <w:jc w:val="center"/>
              <w:rPr>
                <w:rFonts w:asciiTheme="minorEastAsia" w:hAnsiTheme="minorEastAsia" w:eastAsiaTheme="minorEastAsia"/>
                <w:szCs w:val="21"/>
              </w:rPr>
            </w:pPr>
          </w:p>
        </w:tc>
        <w:tc>
          <w:tcPr>
            <w:tcW w:w="2410" w:type="dxa"/>
            <w:vAlign w:val="center"/>
          </w:tcPr>
          <w:p w14:paraId="1E833C2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履行合同所必需的设备和专业技术能力</w:t>
            </w:r>
          </w:p>
        </w:tc>
        <w:tc>
          <w:tcPr>
            <w:tcW w:w="4110" w:type="dxa"/>
            <w:vAlign w:val="center"/>
          </w:tcPr>
          <w:p w14:paraId="7D34C758">
            <w:pPr>
              <w:spacing w:line="360" w:lineRule="auto"/>
              <w:rPr>
                <w:rFonts w:asciiTheme="minorEastAsia" w:hAnsiTheme="minorEastAsia" w:eastAsiaTheme="minorEastAsia"/>
                <w:szCs w:val="21"/>
              </w:rPr>
            </w:pPr>
            <w:r>
              <w:rPr>
                <w:rFonts w:asciiTheme="minorEastAsia" w:hAnsiTheme="minorEastAsia" w:eastAsiaTheme="minorEastAsia"/>
                <w:szCs w:val="21"/>
              </w:rPr>
              <w:t>符合第二章“</w:t>
            </w:r>
            <w:r>
              <w:rPr>
                <w:rFonts w:hint="eastAsia" w:asciiTheme="minorEastAsia" w:hAnsiTheme="minorEastAsia" w:eastAsiaTheme="minorEastAsia"/>
                <w:szCs w:val="21"/>
              </w:rPr>
              <w:t>投标人</w:t>
            </w:r>
            <w:r>
              <w:rPr>
                <w:rFonts w:asciiTheme="minorEastAsia" w:hAnsiTheme="minorEastAsia" w:eastAsiaTheme="minorEastAsia"/>
                <w:szCs w:val="21"/>
              </w:rPr>
              <w:t>须知</w:t>
            </w:r>
            <w:r>
              <w:rPr>
                <w:rFonts w:hint="eastAsia" w:asciiTheme="minorEastAsia" w:hAnsiTheme="minorEastAsia" w:eastAsiaTheme="minorEastAsia"/>
                <w:szCs w:val="21"/>
              </w:rPr>
              <w:t>前附表</w:t>
            </w:r>
            <w:r>
              <w:rPr>
                <w:rFonts w:asciiTheme="minorEastAsia" w:hAnsiTheme="minorEastAsia" w:eastAsiaTheme="minorEastAsia"/>
                <w:szCs w:val="21"/>
              </w:rPr>
              <w:t>”第</w:t>
            </w:r>
            <w:r>
              <w:rPr>
                <w:rFonts w:hint="eastAsia" w:asciiTheme="minorEastAsia" w:hAnsiTheme="minorEastAsia" w:eastAsiaTheme="minorEastAsia"/>
                <w:szCs w:val="21"/>
              </w:rPr>
              <w:t>1.4.1</w:t>
            </w:r>
            <w:r>
              <w:rPr>
                <w:rFonts w:asciiTheme="minorEastAsia" w:hAnsiTheme="minorEastAsia" w:eastAsiaTheme="minorEastAsia"/>
                <w:szCs w:val="21"/>
              </w:rPr>
              <w:t>项</w:t>
            </w:r>
            <w:r>
              <w:rPr>
                <w:rFonts w:hint="eastAsia" w:asciiTheme="minorEastAsia" w:hAnsiTheme="minorEastAsia" w:eastAsiaTheme="minorEastAsia"/>
                <w:szCs w:val="21"/>
              </w:rPr>
              <w:t>规定</w:t>
            </w:r>
          </w:p>
        </w:tc>
      </w:tr>
      <w:tr w14:paraId="54BD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549392C">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5CDA81A3">
            <w:pPr>
              <w:snapToGrid w:val="0"/>
              <w:spacing w:line="276" w:lineRule="auto"/>
              <w:jc w:val="center"/>
              <w:rPr>
                <w:rFonts w:asciiTheme="minorEastAsia" w:hAnsiTheme="minorEastAsia" w:eastAsiaTheme="minorEastAsia"/>
                <w:szCs w:val="21"/>
              </w:rPr>
            </w:pPr>
          </w:p>
        </w:tc>
        <w:tc>
          <w:tcPr>
            <w:tcW w:w="2410" w:type="dxa"/>
            <w:vAlign w:val="center"/>
          </w:tcPr>
          <w:p w14:paraId="2BAF728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有依法缴纳税收和社会保障资金的良好记录</w:t>
            </w:r>
          </w:p>
        </w:tc>
        <w:tc>
          <w:tcPr>
            <w:tcW w:w="4110" w:type="dxa"/>
            <w:vAlign w:val="center"/>
          </w:tcPr>
          <w:p w14:paraId="1D831E22">
            <w:pPr>
              <w:spacing w:line="360" w:lineRule="auto"/>
              <w:rPr>
                <w:rFonts w:asciiTheme="minorEastAsia" w:hAnsiTheme="minorEastAsia" w:eastAsiaTheme="minorEastAsia"/>
                <w:szCs w:val="21"/>
              </w:rPr>
            </w:pPr>
            <w:r>
              <w:rPr>
                <w:rFonts w:asciiTheme="minorEastAsia" w:hAnsiTheme="minorEastAsia" w:eastAsiaTheme="minorEastAsia"/>
                <w:szCs w:val="21"/>
              </w:rPr>
              <w:t>符合第二章“</w:t>
            </w:r>
            <w:r>
              <w:rPr>
                <w:rFonts w:hint="eastAsia" w:asciiTheme="minorEastAsia" w:hAnsiTheme="minorEastAsia" w:eastAsiaTheme="minorEastAsia"/>
                <w:szCs w:val="21"/>
              </w:rPr>
              <w:t>投标人</w:t>
            </w:r>
            <w:r>
              <w:rPr>
                <w:rFonts w:asciiTheme="minorEastAsia" w:hAnsiTheme="minorEastAsia" w:eastAsiaTheme="minorEastAsia"/>
                <w:szCs w:val="21"/>
              </w:rPr>
              <w:t>须知</w:t>
            </w:r>
            <w:r>
              <w:rPr>
                <w:rFonts w:hint="eastAsia" w:asciiTheme="minorEastAsia" w:hAnsiTheme="minorEastAsia" w:eastAsiaTheme="minorEastAsia"/>
                <w:szCs w:val="21"/>
              </w:rPr>
              <w:t>前附表</w:t>
            </w:r>
            <w:r>
              <w:rPr>
                <w:rFonts w:asciiTheme="minorEastAsia" w:hAnsiTheme="minorEastAsia" w:eastAsiaTheme="minorEastAsia"/>
                <w:szCs w:val="21"/>
              </w:rPr>
              <w:t>”第</w:t>
            </w:r>
            <w:r>
              <w:rPr>
                <w:rFonts w:hint="eastAsia" w:asciiTheme="minorEastAsia" w:hAnsiTheme="minorEastAsia" w:eastAsiaTheme="minorEastAsia"/>
                <w:szCs w:val="21"/>
              </w:rPr>
              <w:t>1.4.1</w:t>
            </w:r>
            <w:r>
              <w:rPr>
                <w:rFonts w:asciiTheme="minorEastAsia" w:hAnsiTheme="minorEastAsia" w:eastAsiaTheme="minorEastAsia"/>
                <w:szCs w:val="21"/>
              </w:rPr>
              <w:t>项</w:t>
            </w:r>
            <w:r>
              <w:rPr>
                <w:rFonts w:hint="eastAsia" w:asciiTheme="minorEastAsia" w:hAnsiTheme="minorEastAsia" w:eastAsiaTheme="minorEastAsia"/>
                <w:szCs w:val="21"/>
              </w:rPr>
              <w:t>规定</w:t>
            </w:r>
          </w:p>
        </w:tc>
      </w:tr>
      <w:tr w14:paraId="05C9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261A7064">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361A8B8D">
            <w:pPr>
              <w:snapToGrid w:val="0"/>
              <w:spacing w:line="276" w:lineRule="auto"/>
              <w:jc w:val="center"/>
              <w:rPr>
                <w:rFonts w:asciiTheme="minorEastAsia" w:hAnsiTheme="minorEastAsia" w:eastAsiaTheme="minorEastAsia"/>
                <w:szCs w:val="21"/>
              </w:rPr>
            </w:pPr>
          </w:p>
        </w:tc>
        <w:tc>
          <w:tcPr>
            <w:tcW w:w="2410" w:type="dxa"/>
            <w:vAlign w:val="center"/>
          </w:tcPr>
          <w:p w14:paraId="00ECFA6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参加政府采购活动前三年内，在经营活动中没有重大违法记录</w:t>
            </w:r>
          </w:p>
        </w:tc>
        <w:tc>
          <w:tcPr>
            <w:tcW w:w="4110" w:type="dxa"/>
            <w:vAlign w:val="center"/>
          </w:tcPr>
          <w:p w14:paraId="51DFECDE">
            <w:pPr>
              <w:spacing w:line="360" w:lineRule="auto"/>
              <w:rPr>
                <w:rFonts w:asciiTheme="minorEastAsia" w:hAnsiTheme="minorEastAsia" w:eastAsiaTheme="minorEastAsia"/>
                <w:szCs w:val="21"/>
              </w:rPr>
            </w:pPr>
            <w:r>
              <w:rPr>
                <w:rFonts w:asciiTheme="minorEastAsia" w:hAnsiTheme="minorEastAsia" w:eastAsiaTheme="minorEastAsia"/>
                <w:szCs w:val="21"/>
              </w:rPr>
              <w:t>符合第二章“</w:t>
            </w:r>
            <w:r>
              <w:rPr>
                <w:rFonts w:hint="eastAsia" w:asciiTheme="minorEastAsia" w:hAnsiTheme="minorEastAsia" w:eastAsiaTheme="minorEastAsia"/>
                <w:szCs w:val="21"/>
              </w:rPr>
              <w:t>投标人</w:t>
            </w:r>
            <w:r>
              <w:rPr>
                <w:rFonts w:asciiTheme="minorEastAsia" w:hAnsiTheme="minorEastAsia" w:eastAsiaTheme="minorEastAsia"/>
                <w:szCs w:val="21"/>
              </w:rPr>
              <w:t>须知</w:t>
            </w:r>
            <w:r>
              <w:rPr>
                <w:rFonts w:hint="eastAsia" w:asciiTheme="minorEastAsia" w:hAnsiTheme="minorEastAsia" w:eastAsiaTheme="minorEastAsia"/>
                <w:szCs w:val="21"/>
              </w:rPr>
              <w:t>前附表</w:t>
            </w:r>
            <w:r>
              <w:rPr>
                <w:rFonts w:asciiTheme="minorEastAsia" w:hAnsiTheme="minorEastAsia" w:eastAsiaTheme="minorEastAsia"/>
                <w:szCs w:val="21"/>
              </w:rPr>
              <w:t>”第</w:t>
            </w:r>
            <w:r>
              <w:rPr>
                <w:rFonts w:hint="eastAsia" w:asciiTheme="minorEastAsia" w:hAnsiTheme="minorEastAsia" w:eastAsiaTheme="minorEastAsia"/>
                <w:szCs w:val="21"/>
              </w:rPr>
              <w:t>1.4.1</w:t>
            </w:r>
            <w:r>
              <w:rPr>
                <w:rFonts w:asciiTheme="minorEastAsia" w:hAnsiTheme="minorEastAsia" w:eastAsiaTheme="minorEastAsia"/>
                <w:szCs w:val="21"/>
              </w:rPr>
              <w:t>项</w:t>
            </w:r>
            <w:r>
              <w:rPr>
                <w:rFonts w:hint="eastAsia" w:asciiTheme="minorEastAsia" w:hAnsiTheme="minorEastAsia" w:eastAsiaTheme="minorEastAsia"/>
                <w:szCs w:val="21"/>
              </w:rPr>
              <w:t>规定</w:t>
            </w:r>
          </w:p>
        </w:tc>
      </w:tr>
      <w:tr w14:paraId="0C30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0FA83D8E">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2DE8C119">
            <w:pPr>
              <w:snapToGrid w:val="0"/>
              <w:spacing w:line="276" w:lineRule="auto"/>
              <w:jc w:val="center"/>
              <w:rPr>
                <w:rFonts w:asciiTheme="minorEastAsia" w:hAnsiTheme="minorEastAsia" w:eastAsiaTheme="minorEastAsia"/>
                <w:szCs w:val="21"/>
              </w:rPr>
            </w:pPr>
          </w:p>
        </w:tc>
        <w:tc>
          <w:tcPr>
            <w:tcW w:w="2410" w:type="dxa"/>
            <w:vAlign w:val="center"/>
          </w:tcPr>
          <w:p w14:paraId="5DFB25C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法律、行政法规规定的其他条件</w:t>
            </w:r>
          </w:p>
        </w:tc>
        <w:tc>
          <w:tcPr>
            <w:tcW w:w="4110" w:type="dxa"/>
            <w:vAlign w:val="center"/>
          </w:tcPr>
          <w:p w14:paraId="7F7F3775">
            <w:pPr>
              <w:spacing w:line="360" w:lineRule="auto"/>
              <w:rPr>
                <w:rFonts w:asciiTheme="minorEastAsia" w:hAnsiTheme="minorEastAsia" w:eastAsiaTheme="minorEastAsia"/>
                <w:szCs w:val="21"/>
              </w:rPr>
            </w:pPr>
            <w:r>
              <w:rPr>
                <w:rFonts w:asciiTheme="minorEastAsia" w:hAnsiTheme="minorEastAsia" w:eastAsiaTheme="minorEastAsia"/>
                <w:szCs w:val="21"/>
              </w:rPr>
              <w:t>符合第二章“</w:t>
            </w:r>
            <w:r>
              <w:rPr>
                <w:rFonts w:hint="eastAsia" w:asciiTheme="minorEastAsia" w:hAnsiTheme="minorEastAsia" w:eastAsiaTheme="minorEastAsia"/>
                <w:szCs w:val="21"/>
              </w:rPr>
              <w:t>投标人</w:t>
            </w:r>
            <w:r>
              <w:rPr>
                <w:rFonts w:asciiTheme="minorEastAsia" w:hAnsiTheme="minorEastAsia" w:eastAsiaTheme="minorEastAsia"/>
                <w:szCs w:val="21"/>
              </w:rPr>
              <w:t>须知</w:t>
            </w:r>
            <w:r>
              <w:rPr>
                <w:rFonts w:hint="eastAsia" w:asciiTheme="minorEastAsia" w:hAnsiTheme="minorEastAsia" w:eastAsiaTheme="minorEastAsia"/>
                <w:szCs w:val="21"/>
              </w:rPr>
              <w:t>前附表</w:t>
            </w:r>
            <w:r>
              <w:rPr>
                <w:rFonts w:asciiTheme="minorEastAsia" w:hAnsiTheme="minorEastAsia" w:eastAsiaTheme="minorEastAsia"/>
                <w:szCs w:val="21"/>
              </w:rPr>
              <w:t>”第</w:t>
            </w:r>
            <w:r>
              <w:rPr>
                <w:rFonts w:hint="eastAsia" w:asciiTheme="minorEastAsia" w:hAnsiTheme="minorEastAsia" w:eastAsiaTheme="minorEastAsia"/>
                <w:szCs w:val="21"/>
              </w:rPr>
              <w:t>1.4.1</w:t>
            </w:r>
            <w:r>
              <w:rPr>
                <w:rFonts w:asciiTheme="minorEastAsia" w:hAnsiTheme="minorEastAsia" w:eastAsiaTheme="minorEastAsia"/>
                <w:szCs w:val="21"/>
              </w:rPr>
              <w:t>项</w:t>
            </w:r>
            <w:r>
              <w:rPr>
                <w:rFonts w:hint="eastAsia" w:asciiTheme="minorEastAsia" w:hAnsiTheme="minorEastAsia" w:eastAsiaTheme="minorEastAsia"/>
                <w:szCs w:val="21"/>
              </w:rPr>
              <w:t>规定</w:t>
            </w:r>
          </w:p>
        </w:tc>
      </w:tr>
      <w:tr w14:paraId="7EF0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21E70E2D">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7C67CF12">
            <w:pPr>
              <w:snapToGrid w:val="0"/>
              <w:spacing w:line="276" w:lineRule="auto"/>
              <w:jc w:val="center"/>
              <w:rPr>
                <w:rFonts w:asciiTheme="minorEastAsia" w:hAnsiTheme="minorEastAsia" w:eastAsiaTheme="minorEastAsia"/>
                <w:szCs w:val="21"/>
              </w:rPr>
            </w:pPr>
          </w:p>
        </w:tc>
        <w:tc>
          <w:tcPr>
            <w:tcW w:w="2410" w:type="dxa"/>
            <w:vAlign w:val="center"/>
          </w:tcPr>
          <w:p w14:paraId="6E51E14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特定资格要求</w:t>
            </w:r>
          </w:p>
        </w:tc>
        <w:tc>
          <w:tcPr>
            <w:tcW w:w="4110" w:type="dxa"/>
            <w:vAlign w:val="center"/>
          </w:tcPr>
          <w:p w14:paraId="0DFFAF2F">
            <w:pPr>
              <w:spacing w:line="360" w:lineRule="auto"/>
              <w:rPr>
                <w:rFonts w:asciiTheme="minorEastAsia" w:hAnsiTheme="minorEastAsia" w:eastAsiaTheme="minorEastAsia"/>
                <w:szCs w:val="21"/>
              </w:rPr>
            </w:pPr>
            <w:r>
              <w:rPr>
                <w:rFonts w:asciiTheme="minorEastAsia" w:hAnsiTheme="minorEastAsia" w:eastAsiaTheme="minorEastAsia"/>
                <w:szCs w:val="21"/>
              </w:rPr>
              <w:t>符合第二章“</w:t>
            </w:r>
            <w:r>
              <w:rPr>
                <w:rFonts w:hint="eastAsia" w:asciiTheme="minorEastAsia" w:hAnsiTheme="minorEastAsia" w:eastAsiaTheme="minorEastAsia"/>
                <w:szCs w:val="21"/>
              </w:rPr>
              <w:t>投标人</w:t>
            </w:r>
            <w:r>
              <w:rPr>
                <w:rFonts w:asciiTheme="minorEastAsia" w:hAnsiTheme="minorEastAsia" w:eastAsiaTheme="minorEastAsia"/>
                <w:szCs w:val="21"/>
              </w:rPr>
              <w:t>须知</w:t>
            </w:r>
            <w:r>
              <w:rPr>
                <w:rFonts w:hint="eastAsia" w:asciiTheme="minorEastAsia" w:hAnsiTheme="minorEastAsia" w:eastAsiaTheme="minorEastAsia"/>
                <w:szCs w:val="21"/>
              </w:rPr>
              <w:t>前附表</w:t>
            </w:r>
            <w:r>
              <w:rPr>
                <w:rFonts w:asciiTheme="minorEastAsia" w:hAnsiTheme="minorEastAsia" w:eastAsiaTheme="minorEastAsia"/>
                <w:szCs w:val="21"/>
              </w:rPr>
              <w:t>”第</w:t>
            </w:r>
            <w:r>
              <w:rPr>
                <w:rFonts w:hint="eastAsia" w:asciiTheme="minorEastAsia" w:hAnsiTheme="minorEastAsia" w:eastAsiaTheme="minorEastAsia"/>
                <w:szCs w:val="21"/>
              </w:rPr>
              <w:t>1.4.1</w:t>
            </w:r>
            <w:r>
              <w:rPr>
                <w:rFonts w:asciiTheme="minorEastAsia" w:hAnsiTheme="minorEastAsia" w:eastAsiaTheme="minorEastAsia"/>
                <w:szCs w:val="21"/>
              </w:rPr>
              <w:t>项</w:t>
            </w:r>
            <w:r>
              <w:rPr>
                <w:rFonts w:hint="eastAsia" w:asciiTheme="minorEastAsia" w:hAnsiTheme="minorEastAsia" w:eastAsiaTheme="minorEastAsia"/>
                <w:szCs w:val="21"/>
              </w:rPr>
              <w:t>规定</w:t>
            </w:r>
          </w:p>
        </w:tc>
      </w:tr>
      <w:tr w14:paraId="4FBE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03EAD039">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2.1.2</w:t>
            </w:r>
          </w:p>
        </w:tc>
        <w:tc>
          <w:tcPr>
            <w:tcW w:w="1610" w:type="dxa"/>
            <w:vMerge w:val="restart"/>
            <w:vAlign w:val="center"/>
          </w:tcPr>
          <w:p w14:paraId="67B3B8BE">
            <w:pPr>
              <w:snapToGrid w:val="0"/>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符合性审查</w:t>
            </w:r>
          </w:p>
          <w:p w14:paraId="6D8D0325">
            <w:pPr>
              <w:snapToGrid w:val="0"/>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标准</w:t>
            </w:r>
          </w:p>
        </w:tc>
        <w:tc>
          <w:tcPr>
            <w:tcW w:w="2410" w:type="dxa"/>
            <w:vAlign w:val="center"/>
          </w:tcPr>
          <w:p w14:paraId="412B9277">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投标文件格式封面</w:t>
            </w:r>
          </w:p>
        </w:tc>
        <w:tc>
          <w:tcPr>
            <w:tcW w:w="4110" w:type="dxa"/>
            <w:vAlign w:val="center"/>
          </w:tcPr>
          <w:p w14:paraId="7768F3B2">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符合第六章“投标文件格式”要求</w:t>
            </w:r>
          </w:p>
        </w:tc>
      </w:tr>
      <w:tr w14:paraId="67C3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6062AE5C">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7C52B05B">
            <w:pPr>
              <w:snapToGrid w:val="0"/>
              <w:spacing w:line="276" w:lineRule="auto"/>
              <w:jc w:val="center"/>
              <w:rPr>
                <w:rFonts w:asciiTheme="minorEastAsia" w:hAnsiTheme="minorEastAsia" w:eastAsiaTheme="minorEastAsia"/>
                <w:szCs w:val="21"/>
              </w:rPr>
            </w:pPr>
          </w:p>
        </w:tc>
        <w:tc>
          <w:tcPr>
            <w:tcW w:w="2410" w:type="dxa"/>
            <w:vAlign w:val="center"/>
          </w:tcPr>
          <w:p w14:paraId="5DE9626A">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投标函</w:t>
            </w:r>
          </w:p>
        </w:tc>
        <w:tc>
          <w:tcPr>
            <w:tcW w:w="4110" w:type="dxa"/>
            <w:vAlign w:val="center"/>
          </w:tcPr>
          <w:p w14:paraId="58184AE2">
            <w:pPr>
              <w:spacing w:line="276" w:lineRule="auto"/>
              <w:rPr>
                <w:rFonts w:asciiTheme="minorEastAsia" w:hAnsiTheme="minorEastAsia" w:eastAsiaTheme="minorEastAsia"/>
                <w:szCs w:val="21"/>
              </w:rPr>
            </w:pPr>
            <w:r>
              <w:rPr>
                <w:rFonts w:asciiTheme="minorEastAsia" w:hAnsiTheme="minorEastAsia" w:eastAsiaTheme="minorEastAsia"/>
                <w:szCs w:val="21"/>
              </w:rPr>
              <w:t>符合</w:t>
            </w:r>
            <w:r>
              <w:rPr>
                <w:rFonts w:hint="eastAsia" w:asciiTheme="minorEastAsia" w:hAnsiTheme="minorEastAsia" w:eastAsiaTheme="minorEastAsia"/>
                <w:szCs w:val="21"/>
              </w:rPr>
              <w:t>第六章“投标文件格式”中“（一）投标函”规定</w:t>
            </w:r>
          </w:p>
        </w:tc>
      </w:tr>
      <w:tr w14:paraId="0659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44FACD5C">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6F729A4D">
            <w:pPr>
              <w:snapToGrid w:val="0"/>
              <w:spacing w:line="276" w:lineRule="auto"/>
              <w:jc w:val="center"/>
              <w:rPr>
                <w:rFonts w:asciiTheme="minorEastAsia" w:hAnsiTheme="minorEastAsia" w:eastAsiaTheme="minorEastAsia"/>
                <w:szCs w:val="21"/>
              </w:rPr>
            </w:pPr>
          </w:p>
        </w:tc>
        <w:tc>
          <w:tcPr>
            <w:tcW w:w="2410" w:type="dxa"/>
            <w:vAlign w:val="center"/>
          </w:tcPr>
          <w:p w14:paraId="39956F63">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法定代表人身份证明及授权委托书</w:t>
            </w:r>
          </w:p>
        </w:tc>
        <w:tc>
          <w:tcPr>
            <w:tcW w:w="4110" w:type="dxa"/>
            <w:vAlign w:val="center"/>
          </w:tcPr>
          <w:p w14:paraId="4EB2B0E5">
            <w:pPr>
              <w:spacing w:line="276" w:lineRule="auto"/>
              <w:rPr>
                <w:rFonts w:asciiTheme="minorEastAsia" w:hAnsiTheme="minorEastAsia" w:eastAsiaTheme="minorEastAsia"/>
                <w:szCs w:val="21"/>
              </w:rPr>
            </w:pPr>
            <w:r>
              <w:rPr>
                <w:rFonts w:asciiTheme="minorEastAsia" w:hAnsiTheme="minorEastAsia" w:eastAsiaTheme="minorEastAsia"/>
                <w:szCs w:val="21"/>
              </w:rPr>
              <w:t>符合</w:t>
            </w:r>
            <w:r>
              <w:rPr>
                <w:rFonts w:hint="eastAsia" w:asciiTheme="minorEastAsia" w:hAnsiTheme="minorEastAsia" w:eastAsiaTheme="minorEastAsia"/>
                <w:szCs w:val="21"/>
              </w:rPr>
              <w:t>第六章“投标文件格式”中“投标函部分”第（二）项规定，并且有效</w:t>
            </w:r>
          </w:p>
        </w:tc>
      </w:tr>
      <w:tr w14:paraId="04B5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vMerge w:val="continue"/>
            <w:vAlign w:val="center"/>
          </w:tcPr>
          <w:p w14:paraId="028C6D6F">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4DB74220">
            <w:pPr>
              <w:snapToGrid w:val="0"/>
              <w:spacing w:line="276" w:lineRule="auto"/>
              <w:jc w:val="center"/>
              <w:rPr>
                <w:rFonts w:asciiTheme="minorEastAsia" w:hAnsiTheme="minorEastAsia" w:eastAsiaTheme="minorEastAsia"/>
                <w:szCs w:val="21"/>
              </w:rPr>
            </w:pPr>
          </w:p>
        </w:tc>
        <w:tc>
          <w:tcPr>
            <w:tcW w:w="2410" w:type="dxa"/>
            <w:vAlign w:val="center"/>
          </w:tcPr>
          <w:p w14:paraId="0B89F1BE">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投标人承诺书</w:t>
            </w:r>
          </w:p>
        </w:tc>
        <w:tc>
          <w:tcPr>
            <w:tcW w:w="4110" w:type="dxa"/>
            <w:vAlign w:val="center"/>
          </w:tcPr>
          <w:p w14:paraId="5747F474">
            <w:pPr>
              <w:spacing w:line="276" w:lineRule="auto"/>
              <w:rPr>
                <w:rFonts w:asciiTheme="minorEastAsia" w:hAnsiTheme="minorEastAsia" w:eastAsiaTheme="minorEastAsia"/>
                <w:szCs w:val="21"/>
              </w:rPr>
            </w:pPr>
            <w:r>
              <w:rPr>
                <w:rFonts w:asciiTheme="minorEastAsia" w:hAnsiTheme="minorEastAsia" w:eastAsiaTheme="minorEastAsia"/>
                <w:szCs w:val="21"/>
              </w:rPr>
              <w:t>符合</w:t>
            </w:r>
            <w:r>
              <w:rPr>
                <w:rFonts w:hint="eastAsia" w:asciiTheme="minorEastAsia" w:hAnsiTheme="minorEastAsia" w:eastAsiaTheme="minorEastAsia"/>
                <w:szCs w:val="21"/>
              </w:rPr>
              <w:t>第六章“投标文件格式”中“投标函部分”第（三）项规定</w:t>
            </w:r>
          </w:p>
        </w:tc>
      </w:tr>
      <w:tr w14:paraId="38FA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50816B7">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3A7DDB4E">
            <w:pPr>
              <w:snapToGrid w:val="0"/>
              <w:spacing w:line="276" w:lineRule="auto"/>
              <w:jc w:val="center"/>
              <w:rPr>
                <w:rFonts w:asciiTheme="minorEastAsia" w:hAnsiTheme="minorEastAsia" w:eastAsiaTheme="minorEastAsia"/>
                <w:szCs w:val="21"/>
              </w:rPr>
            </w:pPr>
          </w:p>
        </w:tc>
        <w:tc>
          <w:tcPr>
            <w:tcW w:w="2410" w:type="dxa"/>
            <w:vAlign w:val="center"/>
          </w:tcPr>
          <w:p w14:paraId="12A981F4">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投标报价</w:t>
            </w:r>
          </w:p>
        </w:tc>
        <w:tc>
          <w:tcPr>
            <w:tcW w:w="4110" w:type="dxa"/>
            <w:vAlign w:val="center"/>
          </w:tcPr>
          <w:p w14:paraId="79F27A70">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符合第二章“投标人须知前附表”第3.2</w:t>
            </w:r>
            <w:r>
              <w:rPr>
                <w:rFonts w:asciiTheme="minorEastAsia" w:hAnsiTheme="minorEastAsia" w:eastAsiaTheme="minorEastAsia"/>
                <w:szCs w:val="21"/>
              </w:rPr>
              <w:t>.1</w:t>
            </w:r>
            <w:r>
              <w:rPr>
                <w:rFonts w:hint="eastAsia" w:asciiTheme="minorEastAsia" w:hAnsiTheme="minorEastAsia" w:eastAsiaTheme="minorEastAsia"/>
                <w:szCs w:val="21"/>
              </w:rPr>
              <w:t>项规定</w:t>
            </w:r>
          </w:p>
        </w:tc>
      </w:tr>
      <w:tr w14:paraId="0E7E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86BD058">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4D2DE868">
            <w:pPr>
              <w:snapToGrid w:val="0"/>
              <w:spacing w:line="276" w:lineRule="auto"/>
              <w:jc w:val="center"/>
              <w:rPr>
                <w:rFonts w:asciiTheme="minorEastAsia" w:hAnsiTheme="minorEastAsia" w:eastAsiaTheme="minorEastAsia"/>
                <w:szCs w:val="21"/>
              </w:rPr>
            </w:pPr>
          </w:p>
        </w:tc>
        <w:tc>
          <w:tcPr>
            <w:tcW w:w="2410" w:type="dxa"/>
            <w:vAlign w:val="center"/>
          </w:tcPr>
          <w:p w14:paraId="0B0C33C7">
            <w:pPr>
              <w:spacing w:before="120" w:beforeLines="50" w:after="120" w:afterLines="50" w:line="276" w:lineRule="auto"/>
              <w:rPr>
                <w:rFonts w:asciiTheme="minorEastAsia" w:hAnsiTheme="minorEastAsia" w:eastAsiaTheme="minorEastAsia"/>
                <w:szCs w:val="21"/>
              </w:rPr>
            </w:pPr>
            <w:r>
              <w:rPr>
                <w:rFonts w:hint="eastAsia" w:asciiTheme="minorEastAsia" w:hAnsiTheme="minorEastAsia" w:eastAsiaTheme="minorEastAsia"/>
                <w:szCs w:val="21"/>
              </w:rPr>
              <w:t>产品技术参数表</w:t>
            </w:r>
          </w:p>
        </w:tc>
        <w:tc>
          <w:tcPr>
            <w:tcW w:w="4110" w:type="dxa"/>
            <w:vAlign w:val="center"/>
          </w:tcPr>
          <w:p w14:paraId="23B5D538">
            <w:pPr>
              <w:spacing w:before="120" w:beforeLines="50" w:after="120" w:afterLines="50" w:line="276" w:lineRule="auto"/>
              <w:rPr>
                <w:rFonts w:asciiTheme="minorEastAsia" w:hAnsiTheme="minorEastAsia" w:eastAsiaTheme="minorEastAsia"/>
                <w:szCs w:val="21"/>
              </w:rPr>
            </w:pPr>
            <w:r>
              <w:rPr>
                <w:rFonts w:asciiTheme="minorEastAsia" w:hAnsiTheme="minorEastAsia" w:eastAsiaTheme="minorEastAsia"/>
                <w:szCs w:val="21"/>
              </w:rPr>
              <w:t>符合</w:t>
            </w:r>
            <w:r>
              <w:rPr>
                <w:rFonts w:hint="eastAsia" w:asciiTheme="minorEastAsia" w:hAnsiTheme="minorEastAsia" w:eastAsiaTheme="minorEastAsia"/>
                <w:szCs w:val="21"/>
              </w:rPr>
              <w:t>第六章“投标文件格式”中“投标报价”第（二）项规定</w:t>
            </w:r>
          </w:p>
        </w:tc>
      </w:tr>
      <w:tr w14:paraId="2C82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60985140">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7412C0BF">
            <w:pPr>
              <w:snapToGrid w:val="0"/>
              <w:spacing w:line="276" w:lineRule="auto"/>
              <w:jc w:val="center"/>
              <w:rPr>
                <w:rFonts w:asciiTheme="minorEastAsia" w:hAnsiTheme="minorEastAsia" w:eastAsiaTheme="minorEastAsia"/>
                <w:szCs w:val="21"/>
              </w:rPr>
            </w:pPr>
          </w:p>
        </w:tc>
        <w:tc>
          <w:tcPr>
            <w:tcW w:w="2410" w:type="dxa"/>
            <w:vAlign w:val="center"/>
          </w:tcPr>
          <w:p w14:paraId="50724D18">
            <w:pPr>
              <w:spacing w:before="120" w:beforeLines="50" w:after="120" w:afterLines="50" w:line="276" w:lineRule="auto"/>
              <w:rPr>
                <w:rFonts w:asciiTheme="minorEastAsia" w:hAnsiTheme="minorEastAsia" w:eastAsiaTheme="minorEastAsia"/>
                <w:szCs w:val="21"/>
              </w:rPr>
            </w:pPr>
            <w:r>
              <w:rPr>
                <w:rFonts w:hint="eastAsia" w:asciiTheme="minorEastAsia" w:hAnsiTheme="minorEastAsia" w:eastAsiaTheme="minorEastAsia"/>
                <w:szCs w:val="21"/>
              </w:rPr>
              <w:t>技术参数偏离表</w:t>
            </w:r>
          </w:p>
        </w:tc>
        <w:tc>
          <w:tcPr>
            <w:tcW w:w="4110" w:type="dxa"/>
            <w:vAlign w:val="center"/>
          </w:tcPr>
          <w:p w14:paraId="16AB4E53">
            <w:pPr>
              <w:spacing w:before="120" w:beforeLines="50" w:after="120" w:afterLines="50" w:line="276" w:lineRule="auto"/>
              <w:rPr>
                <w:rFonts w:asciiTheme="minorEastAsia" w:hAnsiTheme="minorEastAsia" w:eastAsiaTheme="minorEastAsia"/>
                <w:szCs w:val="21"/>
              </w:rPr>
            </w:pPr>
            <w:r>
              <w:rPr>
                <w:rFonts w:asciiTheme="minorEastAsia" w:hAnsiTheme="minorEastAsia" w:eastAsiaTheme="minorEastAsia"/>
                <w:szCs w:val="21"/>
              </w:rPr>
              <w:t>符合</w:t>
            </w:r>
            <w:r>
              <w:rPr>
                <w:rFonts w:hint="eastAsia" w:asciiTheme="minorEastAsia" w:hAnsiTheme="minorEastAsia" w:eastAsiaTheme="minorEastAsia"/>
                <w:szCs w:val="21"/>
              </w:rPr>
              <w:t>第六章“投标文件格式”中“投标报价”第（三）项规定</w:t>
            </w:r>
          </w:p>
        </w:tc>
      </w:tr>
      <w:tr w14:paraId="0C55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16A4CA62">
            <w:pPr>
              <w:snapToGrid w:val="0"/>
              <w:spacing w:line="360" w:lineRule="auto"/>
              <w:jc w:val="center"/>
              <w:rPr>
                <w:rFonts w:asciiTheme="minorEastAsia" w:hAnsiTheme="minorEastAsia" w:eastAsiaTheme="minorEastAsia"/>
                <w:szCs w:val="21"/>
              </w:rPr>
            </w:pPr>
          </w:p>
        </w:tc>
        <w:tc>
          <w:tcPr>
            <w:tcW w:w="1610" w:type="dxa"/>
            <w:vMerge w:val="continue"/>
            <w:vAlign w:val="center"/>
          </w:tcPr>
          <w:p w14:paraId="6AC67F98">
            <w:pPr>
              <w:snapToGrid w:val="0"/>
              <w:spacing w:line="276" w:lineRule="auto"/>
              <w:jc w:val="center"/>
              <w:rPr>
                <w:rFonts w:asciiTheme="minorEastAsia" w:hAnsiTheme="minorEastAsia" w:eastAsiaTheme="minorEastAsia"/>
                <w:szCs w:val="21"/>
              </w:rPr>
            </w:pPr>
          </w:p>
        </w:tc>
        <w:tc>
          <w:tcPr>
            <w:tcW w:w="2410" w:type="dxa"/>
            <w:vAlign w:val="center"/>
          </w:tcPr>
          <w:p w14:paraId="507A0D08">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其他</w:t>
            </w:r>
          </w:p>
        </w:tc>
        <w:tc>
          <w:tcPr>
            <w:tcW w:w="4110" w:type="dxa"/>
            <w:vAlign w:val="center"/>
          </w:tcPr>
          <w:p w14:paraId="33D29437">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不存在第三章“评标办法”</w:t>
            </w:r>
            <w:r>
              <w:rPr>
                <w:rFonts w:asciiTheme="minorEastAsia" w:hAnsiTheme="minorEastAsia" w:eastAsiaTheme="minorEastAsia"/>
                <w:szCs w:val="21"/>
              </w:rPr>
              <w:t>附件B</w:t>
            </w:r>
            <w:r>
              <w:rPr>
                <w:rFonts w:hint="eastAsia" w:asciiTheme="minorEastAsia" w:hAnsiTheme="minorEastAsia" w:eastAsiaTheme="minorEastAsia"/>
                <w:szCs w:val="21"/>
              </w:rPr>
              <w:t>中</w:t>
            </w:r>
            <w:r>
              <w:rPr>
                <w:rFonts w:asciiTheme="minorEastAsia" w:hAnsiTheme="minorEastAsia" w:eastAsiaTheme="minorEastAsia"/>
                <w:szCs w:val="21"/>
              </w:rPr>
              <w:t>的</w:t>
            </w:r>
            <w:r>
              <w:rPr>
                <w:rFonts w:hint="eastAsia" w:asciiTheme="minorEastAsia" w:hAnsiTheme="minorEastAsia" w:eastAsiaTheme="minorEastAsia"/>
                <w:szCs w:val="21"/>
              </w:rPr>
              <w:t>任何一种情形及符合招标文件相关规定。</w:t>
            </w:r>
          </w:p>
        </w:tc>
      </w:tr>
      <w:tr w14:paraId="66D2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7" w:type="dxa"/>
            <w:vAlign w:val="center"/>
          </w:tcPr>
          <w:p w14:paraId="7634324C">
            <w:pPr>
              <w:snapToGrid w:val="0"/>
              <w:rPr>
                <w:rFonts w:asciiTheme="minorEastAsia" w:hAnsiTheme="minorEastAsia" w:eastAsiaTheme="minorEastAsia"/>
                <w:b/>
                <w:szCs w:val="21"/>
              </w:rPr>
            </w:pPr>
            <w:r>
              <w:rPr>
                <w:rFonts w:asciiTheme="minorEastAsia" w:hAnsiTheme="minorEastAsia" w:eastAsiaTheme="minorEastAsia"/>
                <w:b/>
                <w:szCs w:val="21"/>
              </w:rPr>
              <w:t>条款号</w:t>
            </w:r>
          </w:p>
        </w:tc>
        <w:tc>
          <w:tcPr>
            <w:tcW w:w="4020" w:type="dxa"/>
            <w:gridSpan w:val="2"/>
            <w:vAlign w:val="center"/>
          </w:tcPr>
          <w:p w14:paraId="5426517F">
            <w:pPr>
              <w:snapToGrid w:val="0"/>
              <w:ind w:firstLine="422"/>
              <w:jc w:val="center"/>
              <w:rPr>
                <w:rFonts w:asciiTheme="minorEastAsia" w:hAnsiTheme="minorEastAsia" w:eastAsiaTheme="minorEastAsia"/>
                <w:b/>
                <w:szCs w:val="21"/>
              </w:rPr>
            </w:pPr>
            <w:r>
              <w:rPr>
                <w:rFonts w:asciiTheme="minorEastAsia" w:hAnsiTheme="minorEastAsia" w:eastAsiaTheme="minorEastAsia"/>
                <w:b/>
                <w:szCs w:val="21"/>
              </w:rPr>
              <w:t>条款内容</w:t>
            </w:r>
          </w:p>
        </w:tc>
        <w:tc>
          <w:tcPr>
            <w:tcW w:w="4110" w:type="dxa"/>
            <w:vAlign w:val="center"/>
          </w:tcPr>
          <w:p w14:paraId="2AB95E4D">
            <w:pPr>
              <w:snapToGrid w:val="0"/>
              <w:ind w:firstLine="422"/>
              <w:jc w:val="center"/>
              <w:rPr>
                <w:rFonts w:asciiTheme="minorEastAsia" w:hAnsiTheme="minorEastAsia" w:eastAsiaTheme="minorEastAsia"/>
                <w:b/>
                <w:szCs w:val="21"/>
              </w:rPr>
            </w:pPr>
            <w:r>
              <w:rPr>
                <w:rFonts w:asciiTheme="minorEastAsia" w:hAnsiTheme="minorEastAsia" w:eastAsiaTheme="minorEastAsia"/>
                <w:b/>
                <w:szCs w:val="21"/>
              </w:rPr>
              <w:t>编列内容</w:t>
            </w:r>
          </w:p>
        </w:tc>
      </w:tr>
      <w:tr w14:paraId="356B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Align w:val="center"/>
          </w:tcPr>
          <w:p w14:paraId="5FEAADB7">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2.</w:t>
            </w:r>
            <w:r>
              <w:rPr>
                <w:rFonts w:hint="eastAsia" w:asciiTheme="minorEastAsia" w:hAnsiTheme="minorEastAsia" w:eastAsiaTheme="minorEastAsia"/>
                <w:szCs w:val="21"/>
              </w:rPr>
              <w:t>1</w:t>
            </w:r>
          </w:p>
        </w:tc>
        <w:tc>
          <w:tcPr>
            <w:tcW w:w="4020" w:type="dxa"/>
            <w:gridSpan w:val="2"/>
            <w:vAlign w:val="center"/>
          </w:tcPr>
          <w:p w14:paraId="25DB9BED">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分值构成</w:t>
            </w:r>
          </w:p>
          <w:p w14:paraId="574BE713">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（投标报价部分得分30分）</w:t>
            </w:r>
          </w:p>
          <w:p w14:paraId="4A2DD486">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（技术部分满分</w:t>
            </w:r>
            <w:r>
              <w:rPr>
                <w:rFonts w:hint="eastAsia" w:asciiTheme="minorEastAsia" w:hAnsiTheme="minorEastAsia" w:eastAsiaTheme="minorEastAsia"/>
                <w:szCs w:val="21"/>
                <w:lang w:val="en-US" w:eastAsia="zh-CN"/>
              </w:rPr>
              <w:t>64</w:t>
            </w:r>
            <w:r>
              <w:rPr>
                <w:rFonts w:hint="eastAsia" w:asciiTheme="minorEastAsia" w:hAnsiTheme="minorEastAsia" w:eastAsiaTheme="minorEastAsia"/>
                <w:szCs w:val="21"/>
              </w:rPr>
              <w:t>分；</w:t>
            </w:r>
          </w:p>
          <w:p w14:paraId="76F12696">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商务部分满分</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tc>
        <w:tc>
          <w:tcPr>
            <w:tcW w:w="4110" w:type="dxa"/>
            <w:vAlign w:val="center"/>
          </w:tcPr>
          <w:p w14:paraId="30252614">
            <w:pPr>
              <w:autoSpaceDE w:val="0"/>
              <w:autoSpaceDN w:val="0"/>
              <w:adjustRightInd w:val="0"/>
              <w:spacing w:before="120" w:beforeLines="50"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投标人的综合得分计算公式：Z=J+S+Q。</w:t>
            </w:r>
          </w:p>
          <w:p w14:paraId="6A5A6B84">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式中：Z为投标人的综合得分；</w:t>
            </w:r>
          </w:p>
          <w:p w14:paraId="395A12B9">
            <w:pPr>
              <w:autoSpaceDE w:val="0"/>
              <w:autoSpaceDN w:val="0"/>
              <w:adjustRightInd w:val="0"/>
              <w:spacing w:line="360" w:lineRule="auto"/>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J为投标人的技术部分得分；</w:t>
            </w:r>
          </w:p>
          <w:p w14:paraId="3B56512A">
            <w:pPr>
              <w:autoSpaceDE w:val="0"/>
              <w:autoSpaceDN w:val="0"/>
              <w:adjustRightInd w:val="0"/>
              <w:spacing w:line="360" w:lineRule="auto"/>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S为投标人的商务部分得分</w:t>
            </w:r>
          </w:p>
          <w:p w14:paraId="6DE5355F">
            <w:pPr>
              <w:autoSpaceDE w:val="0"/>
              <w:autoSpaceDN w:val="0"/>
              <w:adjustRightInd w:val="0"/>
              <w:spacing w:line="360" w:lineRule="auto"/>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Q为投标人的投标报价得分</w:t>
            </w:r>
          </w:p>
        </w:tc>
      </w:tr>
      <w:tr w14:paraId="50DC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dxa"/>
            <w:vAlign w:val="center"/>
          </w:tcPr>
          <w:p w14:paraId="2D61835D">
            <w:pPr>
              <w:snapToGrid w:val="0"/>
              <w:rPr>
                <w:rFonts w:asciiTheme="minorEastAsia" w:hAnsiTheme="minorEastAsia" w:eastAsiaTheme="minorEastAsia"/>
                <w:b/>
                <w:szCs w:val="21"/>
              </w:rPr>
            </w:pPr>
            <w:r>
              <w:rPr>
                <w:rFonts w:asciiTheme="minorEastAsia" w:hAnsiTheme="minorEastAsia" w:eastAsiaTheme="minorEastAsia"/>
                <w:b/>
                <w:szCs w:val="21"/>
              </w:rPr>
              <w:t>条款号</w:t>
            </w:r>
          </w:p>
        </w:tc>
        <w:tc>
          <w:tcPr>
            <w:tcW w:w="1610" w:type="dxa"/>
            <w:vAlign w:val="center"/>
          </w:tcPr>
          <w:p w14:paraId="05E8BFEF">
            <w:pPr>
              <w:snapToGrid w:val="0"/>
              <w:ind w:firstLine="422"/>
              <w:jc w:val="center"/>
              <w:rPr>
                <w:rFonts w:cs="宋体" w:asciiTheme="minorEastAsia" w:hAnsiTheme="minorEastAsia" w:eastAsiaTheme="minorEastAsia"/>
                <w:b/>
                <w:szCs w:val="21"/>
              </w:rPr>
            </w:pPr>
            <w:r>
              <w:rPr>
                <w:rFonts w:asciiTheme="minorEastAsia" w:hAnsiTheme="minorEastAsia" w:eastAsiaTheme="minorEastAsia"/>
                <w:b/>
                <w:szCs w:val="21"/>
              </w:rPr>
              <w:t>评审因素</w:t>
            </w:r>
          </w:p>
        </w:tc>
        <w:tc>
          <w:tcPr>
            <w:tcW w:w="2410" w:type="dxa"/>
            <w:vAlign w:val="center"/>
          </w:tcPr>
          <w:p w14:paraId="4664CE1A">
            <w:pPr>
              <w:snapToGrid w:val="0"/>
              <w:ind w:firstLine="422"/>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评审内容</w:t>
            </w:r>
          </w:p>
        </w:tc>
        <w:tc>
          <w:tcPr>
            <w:tcW w:w="4110" w:type="dxa"/>
            <w:vAlign w:val="center"/>
          </w:tcPr>
          <w:p w14:paraId="24578D00">
            <w:pPr>
              <w:snapToGrid w:val="0"/>
              <w:ind w:firstLine="422"/>
              <w:jc w:val="center"/>
              <w:rPr>
                <w:rFonts w:cs="宋体" w:asciiTheme="minorEastAsia" w:hAnsiTheme="minorEastAsia" w:eastAsiaTheme="minorEastAsia"/>
                <w:b/>
                <w:szCs w:val="21"/>
              </w:rPr>
            </w:pPr>
            <w:r>
              <w:rPr>
                <w:rFonts w:hint="eastAsia" w:asciiTheme="minorEastAsia" w:hAnsiTheme="minorEastAsia" w:eastAsiaTheme="minorEastAsia"/>
                <w:b/>
                <w:szCs w:val="21"/>
              </w:rPr>
              <w:t>评审标准</w:t>
            </w:r>
          </w:p>
        </w:tc>
      </w:tr>
      <w:tr w14:paraId="5544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Align w:val="center"/>
          </w:tcPr>
          <w:p w14:paraId="51AE4130">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2.2.2</w:t>
            </w:r>
          </w:p>
        </w:tc>
        <w:tc>
          <w:tcPr>
            <w:tcW w:w="1610" w:type="dxa"/>
            <w:vAlign w:val="center"/>
          </w:tcPr>
          <w:p w14:paraId="6B5FF00F">
            <w:pPr>
              <w:pStyle w:val="330"/>
              <w:spacing w:before="120" w:beforeLines="50"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投标报价部分</w:t>
            </w:r>
          </w:p>
        </w:tc>
        <w:tc>
          <w:tcPr>
            <w:tcW w:w="2410" w:type="dxa"/>
            <w:vAlign w:val="center"/>
          </w:tcPr>
          <w:p w14:paraId="1FC2BE9C">
            <w:pPr>
              <w:snapToGrid w:val="0"/>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投标报价</w:t>
            </w:r>
          </w:p>
          <w:p w14:paraId="2346C435">
            <w:pPr>
              <w:snapToGrid w:val="0"/>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评审评分</w:t>
            </w:r>
          </w:p>
          <w:p w14:paraId="46894833">
            <w:pPr>
              <w:snapToGrid w:val="0"/>
              <w:spacing w:line="360" w:lineRule="auto"/>
              <w:jc w:val="center"/>
              <w:rPr>
                <w:szCs w:val="21"/>
              </w:rPr>
            </w:pPr>
            <w:r>
              <w:rPr>
                <w:rFonts w:hint="eastAsia" w:asciiTheme="minorEastAsia" w:hAnsiTheme="minorEastAsia" w:eastAsiaTheme="minorEastAsia"/>
                <w:szCs w:val="21"/>
              </w:rPr>
              <w:t>（满分3</w:t>
            </w:r>
            <w:r>
              <w:rPr>
                <w:rFonts w:asciiTheme="minorEastAsia" w:hAnsiTheme="minorEastAsia" w:eastAsiaTheme="minorEastAsia"/>
                <w:szCs w:val="21"/>
              </w:rPr>
              <w:t>0</w:t>
            </w:r>
            <w:r>
              <w:rPr>
                <w:rFonts w:hint="eastAsia" w:asciiTheme="minorEastAsia" w:hAnsiTheme="minorEastAsia" w:eastAsiaTheme="minorEastAsia"/>
                <w:szCs w:val="21"/>
              </w:rPr>
              <w:t>分）</w:t>
            </w:r>
          </w:p>
        </w:tc>
        <w:tc>
          <w:tcPr>
            <w:tcW w:w="4110" w:type="dxa"/>
            <w:vAlign w:val="center"/>
          </w:tcPr>
          <w:p w14:paraId="28940CAC">
            <w:pPr>
              <w:pStyle w:val="51"/>
              <w:spacing w:before="120" w:beforeLines="50" w:beforeAutospacing="0" w:after="0" w:afterAutospacing="0" w:line="360" w:lineRule="auto"/>
              <w:rPr>
                <w:bCs/>
                <w:sz w:val="21"/>
                <w:szCs w:val="21"/>
              </w:rPr>
            </w:pPr>
            <w:r>
              <w:rPr>
                <w:rFonts w:hint="eastAsia"/>
                <w:bCs/>
                <w:sz w:val="21"/>
                <w:szCs w:val="21"/>
              </w:rPr>
              <w:t>1</w:t>
            </w:r>
            <w:r>
              <w:rPr>
                <w:bCs/>
                <w:sz w:val="21"/>
                <w:szCs w:val="21"/>
              </w:rPr>
              <w:t>.</w:t>
            </w:r>
            <w:r>
              <w:rPr>
                <w:rFonts w:hint="eastAsia"/>
                <w:bCs/>
                <w:sz w:val="21"/>
                <w:szCs w:val="21"/>
              </w:rPr>
              <w:t>投标人的商务部分得分以评标价得分计算结果为准。评标价得分应当采用低价优先法进行计算，即满足招标文件要求且评标价最低的为评标基准价，得分为满分。当投标人有价格扣除的情况时，评标价为投标报价扣除后的价格；当投标人没有出现价格扣除的情况时，评标价为其投标报价。</w:t>
            </w:r>
          </w:p>
          <w:p w14:paraId="02749C14">
            <w:pPr>
              <w:pStyle w:val="51"/>
              <w:spacing w:before="0" w:beforeAutospacing="0" w:after="0" w:afterAutospacing="0" w:line="360" w:lineRule="auto"/>
              <w:rPr>
                <w:bCs/>
                <w:sz w:val="21"/>
                <w:szCs w:val="21"/>
              </w:rPr>
            </w:pPr>
            <w:r>
              <w:rPr>
                <w:bCs/>
                <w:sz w:val="21"/>
                <w:szCs w:val="21"/>
              </w:rPr>
              <w:t>2.</w:t>
            </w:r>
            <w:r>
              <w:rPr>
                <w:rFonts w:hint="eastAsia"/>
                <w:bCs/>
                <w:sz w:val="21"/>
                <w:szCs w:val="21"/>
              </w:rPr>
              <w:t>评标价得分计算公式如下：</w:t>
            </w:r>
          </w:p>
          <w:p w14:paraId="0758CD44">
            <w:pPr>
              <w:pStyle w:val="51"/>
              <w:spacing w:before="0" w:beforeAutospacing="0" w:after="0" w:afterAutospacing="0" w:line="360" w:lineRule="auto"/>
              <w:rPr>
                <w:bCs/>
                <w:sz w:val="21"/>
                <w:szCs w:val="21"/>
              </w:rPr>
            </w:pPr>
            <w:r>
              <w:rPr>
                <w:rFonts w:hint="eastAsia"/>
                <w:bCs/>
                <w:sz w:val="21"/>
                <w:szCs w:val="21"/>
              </w:rPr>
              <w:t>评标价得分=(评标基准价／评标价)×100×30%。</w:t>
            </w:r>
          </w:p>
          <w:p w14:paraId="356BA318">
            <w:pPr>
              <w:snapToGrid w:val="0"/>
              <w:spacing w:line="360" w:lineRule="auto"/>
              <w:rPr>
                <w:rFonts w:ascii="宋体" w:hAnsi="宋体" w:cs="宋体"/>
                <w:bCs/>
                <w:kern w:val="0"/>
                <w:szCs w:val="21"/>
              </w:rPr>
            </w:pPr>
            <w:r>
              <w:rPr>
                <w:rFonts w:hint="eastAsia" w:ascii="宋体" w:hAnsi="宋体" w:cs="宋体"/>
                <w:bCs/>
                <w:kern w:val="0"/>
                <w:szCs w:val="21"/>
              </w:rPr>
              <w:t>注：在评审过程中，不得去掉投标报价中的最高报价和最低报价。</w:t>
            </w:r>
          </w:p>
          <w:p w14:paraId="6115EFA1">
            <w:pPr>
              <w:pStyle w:val="66"/>
              <w:spacing w:line="360" w:lineRule="auto"/>
              <w:ind w:firstLine="0"/>
              <w:rPr>
                <w:rFonts w:cs="宋体"/>
                <w:bCs/>
                <w:sz w:val="21"/>
                <w:szCs w:val="21"/>
              </w:rPr>
            </w:pPr>
            <w:r>
              <w:rPr>
                <w:rFonts w:hint="eastAsia" w:cs="宋体"/>
                <w:bCs/>
                <w:sz w:val="21"/>
                <w:szCs w:val="21"/>
              </w:rPr>
              <w:t>注：对小型和微型企业的投标价格（如涉及）给予10%的扣除，用扣除后的价格参与评审；投标人应提供中小企业声明函，否则不予认可。（监狱企业及残疾人福利性单位视同为小微企业，不重复进行投标报价扣除。）</w:t>
            </w:r>
          </w:p>
          <w:p w14:paraId="3BD6146E">
            <w:pPr>
              <w:spacing w:line="360" w:lineRule="auto"/>
            </w:pPr>
            <w:r>
              <w:rPr>
                <w:rFonts w:hint="eastAsia"/>
              </w:rPr>
              <w:t>3</w:t>
            </w:r>
            <w:r>
              <w:rPr>
                <w:bCs/>
                <w:szCs w:val="21"/>
              </w:rPr>
              <w:t>.</w:t>
            </w:r>
            <w:r>
              <w:rPr>
                <w:rFonts w:hint="eastAsia"/>
              </w:rPr>
              <w:t>评审中出现下列情形之一的，评审委员会应当启动异常低价投标(响应)审查程序：</w:t>
            </w:r>
          </w:p>
          <w:p w14:paraId="413FA6C4">
            <w:pPr>
              <w:spacing w:line="360" w:lineRule="auto"/>
            </w:pPr>
            <w:r>
              <w:rPr>
                <w:rFonts w:hint="eastAsia"/>
              </w:rPr>
              <w:t>（1）投标(响应)报价低于全部通过符合性审查</w:t>
            </w:r>
            <w:r>
              <w:rPr>
                <w:rFonts w:hint="eastAsia"/>
                <w:lang w:eastAsia="zh-CN"/>
              </w:rPr>
              <w:t>投标人</w:t>
            </w:r>
            <w:r>
              <w:rPr>
                <w:rFonts w:hint="eastAsia"/>
              </w:rPr>
              <w:t>投标(响应)报价平均值50%的，即投标(响应)报价&lt;全部通过符合性审查</w:t>
            </w:r>
            <w:r>
              <w:rPr>
                <w:rFonts w:hint="eastAsia"/>
                <w:lang w:eastAsia="zh-CN"/>
              </w:rPr>
              <w:t>投标人</w:t>
            </w:r>
            <w:r>
              <w:rPr>
                <w:rFonts w:hint="eastAsia"/>
              </w:rPr>
              <w:t>投标(响应)报价平均值*50%；</w:t>
            </w:r>
          </w:p>
          <w:p w14:paraId="797A8D6E">
            <w:pPr>
              <w:spacing w:line="360" w:lineRule="auto"/>
            </w:pPr>
            <w:r>
              <w:rPr>
                <w:rFonts w:hint="eastAsia"/>
              </w:rPr>
              <w:t>（2）投标(响应)报价低于通过符合性审查的次低报价</w:t>
            </w:r>
            <w:r>
              <w:rPr>
                <w:rFonts w:hint="eastAsia"/>
                <w:lang w:eastAsia="zh-CN"/>
              </w:rPr>
              <w:t>投标人</w:t>
            </w:r>
            <w:r>
              <w:rPr>
                <w:rFonts w:hint="eastAsia"/>
              </w:rPr>
              <w:t>投标(响应)报价50%的，即投</w:t>
            </w:r>
          </w:p>
          <w:p w14:paraId="3C82B620">
            <w:pPr>
              <w:spacing w:line="360" w:lineRule="auto"/>
            </w:pPr>
            <w:r>
              <w:rPr>
                <w:rFonts w:hint="eastAsia"/>
              </w:rPr>
              <w:t>标(响应)报价〈通过符合性审查的次低报价</w:t>
            </w:r>
            <w:r>
              <w:rPr>
                <w:rFonts w:hint="eastAsia"/>
                <w:lang w:eastAsia="zh-CN"/>
              </w:rPr>
              <w:t>投标人</w:t>
            </w:r>
            <w:r>
              <w:rPr>
                <w:rFonts w:hint="eastAsia"/>
              </w:rPr>
              <w:t>投标(响应)报价*50%；</w:t>
            </w:r>
          </w:p>
          <w:p w14:paraId="50C819ED">
            <w:pPr>
              <w:spacing w:line="360" w:lineRule="auto"/>
            </w:pPr>
            <w:r>
              <w:rPr>
                <w:rFonts w:hint="eastAsia"/>
              </w:rPr>
              <w:t>（3）投标(响应)报价低于采购项目最高限价45%的，即投标(响应)报价&lt;采购项目最高限价*45%；</w:t>
            </w:r>
          </w:p>
          <w:p w14:paraId="15ECA1FB">
            <w:pPr>
              <w:spacing w:line="360" w:lineRule="auto"/>
            </w:pPr>
            <w:r>
              <w:rPr>
                <w:rFonts w:hint="eastAsia"/>
              </w:rPr>
              <w:t>（4）评审委员会基于专业判断，认为</w:t>
            </w:r>
            <w:r>
              <w:rPr>
                <w:rFonts w:hint="eastAsia"/>
                <w:lang w:eastAsia="zh-CN"/>
              </w:rPr>
              <w:t>投标人</w:t>
            </w:r>
            <w:r>
              <w:rPr>
                <w:rFonts w:hint="eastAsia"/>
              </w:rPr>
              <w:t>报价过低，有可能影响产品质量或者不能诚信履约的其他情形。</w:t>
            </w:r>
          </w:p>
        </w:tc>
      </w:tr>
      <w:tr w14:paraId="3DD0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restart"/>
            <w:vAlign w:val="center"/>
          </w:tcPr>
          <w:p w14:paraId="0E30EE6A">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2.2.3</w:t>
            </w:r>
          </w:p>
        </w:tc>
        <w:tc>
          <w:tcPr>
            <w:tcW w:w="1610" w:type="dxa"/>
            <w:vMerge w:val="restart"/>
            <w:vAlign w:val="center"/>
          </w:tcPr>
          <w:p w14:paraId="1C87CCA5">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技术部分</w:t>
            </w:r>
          </w:p>
          <w:p w14:paraId="2ABDB7AE">
            <w:pPr>
              <w:pStyle w:val="330"/>
              <w:spacing w:before="120" w:beforeLines="50"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评审标准</w:t>
            </w:r>
          </w:p>
        </w:tc>
        <w:tc>
          <w:tcPr>
            <w:tcW w:w="2410" w:type="dxa"/>
            <w:vAlign w:val="center"/>
          </w:tcPr>
          <w:p w14:paraId="1CA99AE9">
            <w:pPr>
              <w:pStyle w:val="51"/>
              <w:spacing w:before="0" w:beforeAutospacing="0" w:after="0" w:afterAutospacing="0" w:line="360" w:lineRule="auto"/>
              <w:jc w:val="center"/>
              <w:rPr>
                <w:sz w:val="21"/>
                <w:szCs w:val="21"/>
              </w:rPr>
            </w:pPr>
            <w:r>
              <w:rPr>
                <w:rFonts w:hint="eastAsia"/>
                <w:sz w:val="21"/>
                <w:szCs w:val="21"/>
              </w:rPr>
              <w:t>技术参数</w:t>
            </w:r>
          </w:p>
          <w:p w14:paraId="648F82E3">
            <w:pPr>
              <w:pStyle w:val="51"/>
              <w:spacing w:before="0" w:beforeAutospacing="0" w:after="0" w:afterAutospacing="0" w:line="360" w:lineRule="auto"/>
              <w:jc w:val="center"/>
              <w:rPr>
                <w:sz w:val="21"/>
                <w:szCs w:val="21"/>
              </w:rPr>
            </w:pPr>
            <w:r>
              <w:rPr>
                <w:rFonts w:hint="eastAsia"/>
                <w:sz w:val="21"/>
                <w:szCs w:val="21"/>
              </w:rPr>
              <w:t>评审评分</w:t>
            </w:r>
          </w:p>
          <w:p w14:paraId="13BD1741">
            <w:pPr>
              <w:pStyle w:val="51"/>
              <w:spacing w:before="0" w:beforeAutospacing="0" w:after="0" w:afterAutospacing="0" w:line="360" w:lineRule="auto"/>
              <w:jc w:val="center"/>
              <w:rPr>
                <w:sz w:val="21"/>
                <w:szCs w:val="21"/>
              </w:rPr>
            </w:pPr>
            <w:r>
              <w:rPr>
                <w:rFonts w:hint="eastAsia"/>
                <w:sz w:val="21"/>
                <w:szCs w:val="21"/>
              </w:rPr>
              <w:t>（满分10分）</w:t>
            </w:r>
          </w:p>
        </w:tc>
        <w:tc>
          <w:tcPr>
            <w:tcW w:w="4110" w:type="dxa"/>
            <w:shd w:val="clear" w:color="auto" w:fill="auto"/>
            <w:vAlign w:val="center"/>
          </w:tcPr>
          <w:p w14:paraId="53C2270C">
            <w:pPr>
              <w:widowControl/>
              <w:spacing w:line="360" w:lineRule="auto"/>
              <w:jc w:val="left"/>
              <w:rPr>
                <w:rFonts w:hint="eastAsia" w:ascii="宋体" w:hAnsi="宋体" w:cs="宋体"/>
                <w:b/>
                <w:bCs/>
                <w:highlight w:val="none"/>
                <w:lang w:val="en-US" w:eastAsia="zh-CN"/>
              </w:rPr>
            </w:pPr>
            <w:bookmarkStart w:id="1313" w:name="_GoBack"/>
            <w:r>
              <w:rPr>
                <w:rFonts w:hint="eastAsia" w:ascii="宋体" w:hAnsi="宋体" w:cs="宋体"/>
                <w:b/>
                <w:bCs/>
                <w:highlight w:val="none"/>
                <w:lang w:val="en-US" w:eastAsia="zh-CN"/>
              </w:rPr>
              <w:t>根据投标人提供的投标产品技术参数证明材料进行横向比较：</w:t>
            </w:r>
          </w:p>
          <w:bookmarkEnd w:id="1313"/>
          <w:p w14:paraId="57F1E653">
            <w:pPr>
              <w:widowControl/>
              <w:spacing w:line="360" w:lineRule="auto"/>
              <w:jc w:val="left"/>
              <w:rPr>
                <w:rFonts w:hint="eastAsia" w:ascii="宋体" w:hAnsi="宋体" w:cs="宋体"/>
                <w:highlight w:val="none"/>
                <w:lang w:val="en-US" w:eastAsia="zh-CN"/>
              </w:rPr>
            </w:pPr>
            <w:r>
              <w:rPr>
                <w:rFonts w:hint="eastAsia" w:ascii="宋体" w:hAnsi="宋体" w:cs="宋体"/>
                <w:highlight w:val="none"/>
                <w:lang w:val="en-US" w:eastAsia="zh-CN"/>
              </w:rPr>
              <w:t>（1）提供的产品技术参数满足招标文件要求，且优于招标文件要求的，得10分；</w:t>
            </w:r>
          </w:p>
          <w:p w14:paraId="7A2A33FC">
            <w:pPr>
              <w:widowControl/>
              <w:spacing w:line="360" w:lineRule="auto"/>
              <w:jc w:val="left"/>
              <w:rPr>
                <w:rFonts w:hint="eastAsia" w:ascii="宋体" w:hAnsi="宋体" w:cs="宋体"/>
                <w:highlight w:val="none"/>
                <w:lang w:val="en-US" w:eastAsia="zh-CN"/>
              </w:rPr>
            </w:pPr>
            <w:r>
              <w:rPr>
                <w:rFonts w:hint="eastAsia" w:ascii="宋体" w:hAnsi="宋体" w:cs="宋体"/>
                <w:highlight w:val="none"/>
                <w:lang w:val="en-US" w:eastAsia="zh-CN"/>
              </w:rPr>
              <w:t>（2）投标人所提供的投标产品技术参数完全满足招标文件要求的，得6分；</w:t>
            </w:r>
          </w:p>
          <w:p w14:paraId="4B5CDA22">
            <w:pPr>
              <w:widowControl/>
              <w:spacing w:line="360" w:lineRule="auto"/>
              <w:jc w:val="left"/>
              <w:rPr>
                <w:rFonts w:hint="eastAsia" w:ascii="宋体" w:hAnsi="宋体" w:cs="宋体"/>
                <w:highlight w:val="none"/>
                <w:lang w:val="en-US" w:eastAsia="zh-CN"/>
              </w:rPr>
            </w:pPr>
            <w:r>
              <w:rPr>
                <w:rFonts w:hint="eastAsia" w:ascii="宋体" w:hAnsi="宋体" w:cs="宋体"/>
                <w:highlight w:val="none"/>
                <w:lang w:val="en-US" w:eastAsia="zh-CN"/>
              </w:rPr>
              <w:t>（3）投标人所提供的投标产品技术参数基本满足招标文件要求的，得3分；</w:t>
            </w:r>
          </w:p>
          <w:p w14:paraId="02CAD075">
            <w:pPr>
              <w:widowControl/>
              <w:spacing w:line="360" w:lineRule="auto"/>
              <w:jc w:val="left"/>
              <w:rPr>
                <w:rFonts w:hint="eastAsia" w:ascii="宋体" w:hAnsi="宋体" w:cs="宋体"/>
                <w:highlight w:val="none"/>
                <w:lang w:val="en-US" w:eastAsia="zh-CN"/>
              </w:rPr>
            </w:pPr>
            <w:r>
              <w:rPr>
                <w:rFonts w:hint="eastAsia" w:ascii="宋体" w:hAnsi="宋体" w:cs="宋体"/>
                <w:highlight w:val="none"/>
                <w:lang w:val="en-US" w:eastAsia="zh-CN"/>
              </w:rPr>
              <w:t>（4）投标人未提供投标产品技术参数证明材料或证明材料内容不全的不得分。</w:t>
            </w:r>
          </w:p>
          <w:p w14:paraId="6B3DF4E5">
            <w:pPr>
              <w:widowControl/>
              <w:spacing w:line="360" w:lineRule="auto"/>
              <w:jc w:val="left"/>
              <w:rPr>
                <w:rFonts w:hint="eastAsia" w:ascii="宋体" w:hAnsi="宋体" w:eastAsia="宋体" w:cs="宋体"/>
                <w:kern w:val="2"/>
                <w:sz w:val="21"/>
                <w:highlight w:val="none"/>
                <w:lang w:val="en-US" w:eastAsia="zh-CN" w:bidi="ar-SA"/>
              </w:rPr>
            </w:pPr>
            <w:r>
              <w:rPr>
                <w:rFonts w:hint="eastAsia" w:ascii="宋体" w:hAnsi="宋体" w:cs="宋体"/>
                <w:highlight w:val="none"/>
                <w:lang w:val="en-US" w:eastAsia="zh-CN"/>
              </w:rPr>
              <w:t>备注：1.技术参数响应情况需提供相关技术支持资料（技术支持资料可为技术白皮书或产品相关鉴定资料或试验报告或产品检验报告或技术彩页或宣传资料或图纸资料，如技术白皮书/产品相关鉴定资料/试验报告/技术彩页/宣传资料/图纸资料与产品检验报告不一致的，以产品检验报告为准）。投标人根据自身实际情况和产品特点自行提供，以证明其产品具体配置情况及技术指标响应的真实性。未提供上述资料导致评委无法进行技术评审的，后果由投标人自行承担。2.若投标人投标文件中对评审因素的某一项在投标文件中均无相应描述、说明及提供有关材料，使评标委员会无法对该项评审因素做出评价及评分，则投标人对应该项的得分为0分。伪造技术指标或重要技术指标不满足招标文件要求的整个技术评分得0分。</w:t>
            </w:r>
          </w:p>
        </w:tc>
      </w:tr>
      <w:tr w14:paraId="284C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2EF3AFFE">
            <w:pPr>
              <w:spacing w:line="360" w:lineRule="auto"/>
              <w:jc w:val="center"/>
              <w:rPr>
                <w:rFonts w:cs="仿宋" w:asciiTheme="minorEastAsia" w:hAnsiTheme="minorEastAsia" w:eastAsiaTheme="minorEastAsia"/>
                <w:bCs/>
                <w:szCs w:val="21"/>
              </w:rPr>
            </w:pPr>
          </w:p>
        </w:tc>
        <w:tc>
          <w:tcPr>
            <w:tcW w:w="1610" w:type="dxa"/>
            <w:vMerge w:val="continue"/>
            <w:vAlign w:val="center"/>
          </w:tcPr>
          <w:p w14:paraId="3311CF9A">
            <w:pPr>
              <w:pStyle w:val="330"/>
              <w:spacing w:before="120" w:beforeLines="50" w:line="360" w:lineRule="auto"/>
              <w:jc w:val="center"/>
              <w:rPr>
                <w:rFonts w:asciiTheme="minorEastAsia" w:hAnsiTheme="minorEastAsia" w:eastAsiaTheme="minorEastAsia"/>
                <w:sz w:val="21"/>
                <w:szCs w:val="21"/>
                <w:lang w:eastAsia="zh-CN"/>
              </w:rPr>
            </w:pPr>
          </w:p>
        </w:tc>
        <w:tc>
          <w:tcPr>
            <w:tcW w:w="2410" w:type="dxa"/>
            <w:vAlign w:val="center"/>
          </w:tcPr>
          <w:p w14:paraId="4C1F0911">
            <w:pPr>
              <w:pStyle w:val="51"/>
              <w:spacing w:before="0" w:beforeAutospacing="0" w:after="0" w:afterAutospacing="0" w:line="360" w:lineRule="auto"/>
              <w:jc w:val="center"/>
              <w:rPr>
                <w:sz w:val="21"/>
                <w:szCs w:val="21"/>
              </w:rPr>
            </w:pPr>
            <w:r>
              <w:rPr>
                <w:rFonts w:hint="eastAsia"/>
                <w:sz w:val="21"/>
                <w:szCs w:val="21"/>
              </w:rPr>
              <w:t>项目实施方案</w:t>
            </w:r>
          </w:p>
          <w:p w14:paraId="53CFEA65">
            <w:pPr>
              <w:pStyle w:val="51"/>
              <w:spacing w:before="0" w:beforeAutospacing="0" w:after="0" w:afterAutospacing="0" w:line="360" w:lineRule="auto"/>
              <w:jc w:val="center"/>
              <w:rPr>
                <w:sz w:val="21"/>
                <w:szCs w:val="21"/>
              </w:rPr>
            </w:pPr>
            <w:r>
              <w:rPr>
                <w:rFonts w:hint="eastAsia"/>
                <w:sz w:val="21"/>
                <w:szCs w:val="21"/>
              </w:rPr>
              <w:t>评审评分</w:t>
            </w:r>
          </w:p>
          <w:p w14:paraId="086C6D77">
            <w:pPr>
              <w:pStyle w:val="51"/>
              <w:spacing w:before="0" w:beforeAutospacing="0" w:after="0" w:afterAutospacing="0" w:line="360" w:lineRule="auto"/>
              <w:jc w:val="center"/>
              <w:rPr>
                <w:sz w:val="21"/>
                <w:szCs w:val="21"/>
              </w:rPr>
            </w:pPr>
            <w:r>
              <w:rPr>
                <w:rFonts w:hint="eastAsia"/>
                <w:sz w:val="21"/>
                <w:szCs w:val="21"/>
              </w:rPr>
              <w:t>（满分20分）</w:t>
            </w:r>
          </w:p>
        </w:tc>
        <w:tc>
          <w:tcPr>
            <w:tcW w:w="4110" w:type="dxa"/>
            <w:vAlign w:val="center"/>
          </w:tcPr>
          <w:p w14:paraId="3BF39AB8">
            <w:pPr>
              <w:adjustRightInd w:val="0"/>
              <w:spacing w:line="360" w:lineRule="auto"/>
              <w:rPr>
                <w:rFonts w:ascii="宋体" w:hAnsi="宋体"/>
                <w:szCs w:val="21"/>
              </w:rPr>
            </w:pPr>
            <w:r>
              <w:rPr>
                <w:rFonts w:hint="eastAsia" w:ascii="宋体" w:hAnsi="宋体" w:cs="宋体"/>
                <w:b/>
                <w:bCs/>
              </w:rPr>
              <w:t>根据投标人提出的</w:t>
            </w:r>
            <w:r>
              <w:rPr>
                <w:rFonts w:hint="eastAsia"/>
                <w:b/>
                <w:bCs/>
                <w:szCs w:val="21"/>
              </w:rPr>
              <w:t>项目实施方案</w:t>
            </w:r>
            <w:r>
              <w:rPr>
                <w:rFonts w:hint="eastAsia" w:ascii="宋体" w:hAnsi="宋体" w:cs="宋体"/>
                <w:b/>
                <w:bCs/>
              </w:rPr>
              <w:t>整体情况进行评审评分（包括但不限于：装运方案、供货流程、</w:t>
            </w:r>
            <w:r>
              <w:rPr>
                <w:rFonts w:hint="eastAsia" w:ascii="宋体" w:hAnsi="宋体" w:cs="宋体"/>
                <w:b/>
                <w:bCs/>
                <w:lang w:val="en-US" w:eastAsia="zh-CN"/>
              </w:rPr>
              <w:t>使用培训方案</w:t>
            </w:r>
            <w:r>
              <w:rPr>
                <w:rFonts w:hint="eastAsia" w:ascii="宋体" w:hAnsi="宋体" w:cs="宋体"/>
                <w:b/>
                <w:bCs/>
              </w:rPr>
              <w:t>、保证措施、违约承诺内容等</w:t>
            </w:r>
            <w:r>
              <w:rPr>
                <w:rFonts w:hint="eastAsia" w:ascii="宋体" w:hAnsi="宋体"/>
                <w:b/>
                <w:bCs/>
                <w:szCs w:val="21"/>
              </w:rPr>
              <w:t>）</w:t>
            </w:r>
            <w:r>
              <w:rPr>
                <w:rFonts w:hint="eastAsia" w:ascii="宋体" w:hAnsi="宋体"/>
                <w:szCs w:val="21"/>
              </w:rPr>
              <w:t>。</w:t>
            </w:r>
          </w:p>
          <w:p w14:paraId="798D4965">
            <w:pPr>
              <w:adjustRightInd w:val="0"/>
              <w:spacing w:line="360" w:lineRule="auto"/>
              <w:rPr>
                <w:rFonts w:ascii="宋体" w:hAnsi="宋体" w:cs="宋体"/>
              </w:rPr>
            </w:pPr>
            <w:r>
              <w:rPr>
                <w:rFonts w:hint="eastAsia" w:ascii="宋体" w:hAnsi="宋体" w:cs="宋体"/>
              </w:rPr>
              <w:t>项目实施方案详细具体，科学合理，可行性强，进度能完全满足要求，有具体的保证措施及违约责任承诺的，得20分；项目实施方案</w:t>
            </w:r>
            <w:r>
              <w:rPr>
                <w:rFonts w:hint="eastAsia" w:ascii="宋体" w:hAnsi="宋体"/>
                <w:szCs w:val="21"/>
              </w:rPr>
              <w:t>内容中</w:t>
            </w:r>
            <w:r>
              <w:rPr>
                <w:rFonts w:hint="eastAsia" w:ascii="宋体" w:hAnsi="宋体" w:cs="宋体"/>
                <w:szCs w:val="21"/>
              </w:rPr>
              <w:t>每</w:t>
            </w:r>
            <w:r>
              <w:rPr>
                <w:rFonts w:hint="eastAsia" w:hAnsi="宋体"/>
                <w:color w:val="000000"/>
                <w:kern w:val="0"/>
              </w:rPr>
              <w:t>缺失一项</w:t>
            </w:r>
            <w:r>
              <w:rPr>
                <w:rFonts w:hint="eastAsia" w:ascii="宋体" w:hAnsi="宋体" w:cs="宋体"/>
                <w:szCs w:val="21"/>
              </w:rPr>
              <w:t>的，扣4分；违约责任承诺不具体的，</w:t>
            </w:r>
            <w:r>
              <w:rPr>
                <w:rFonts w:hint="eastAsia" w:ascii="宋体" w:hAnsi="宋体"/>
                <w:color w:val="000000"/>
                <w:kern w:val="0"/>
              </w:rPr>
              <w:t>扣3分；</w:t>
            </w:r>
            <w:r>
              <w:rPr>
                <w:rFonts w:hint="eastAsia" w:ascii="宋体" w:hAnsi="宋体"/>
                <w:szCs w:val="21"/>
              </w:rPr>
              <w:t>每有一项不完善或不符合项目实际情况的，扣2分。</w:t>
            </w:r>
          </w:p>
        </w:tc>
      </w:tr>
      <w:tr w14:paraId="3D02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00F3C10A">
            <w:pPr>
              <w:spacing w:line="360" w:lineRule="auto"/>
              <w:jc w:val="center"/>
              <w:rPr>
                <w:rFonts w:cs="仿宋" w:asciiTheme="minorEastAsia" w:hAnsiTheme="minorEastAsia" w:eastAsiaTheme="minorEastAsia"/>
                <w:bCs/>
                <w:szCs w:val="21"/>
              </w:rPr>
            </w:pPr>
          </w:p>
        </w:tc>
        <w:tc>
          <w:tcPr>
            <w:tcW w:w="1610" w:type="dxa"/>
            <w:vMerge w:val="continue"/>
            <w:vAlign w:val="center"/>
          </w:tcPr>
          <w:p w14:paraId="45585BDB">
            <w:pPr>
              <w:pStyle w:val="330"/>
              <w:spacing w:before="120" w:beforeLines="50" w:line="360" w:lineRule="auto"/>
              <w:jc w:val="center"/>
              <w:rPr>
                <w:rFonts w:asciiTheme="minorEastAsia" w:hAnsiTheme="minorEastAsia" w:eastAsiaTheme="minorEastAsia"/>
                <w:sz w:val="21"/>
                <w:szCs w:val="21"/>
                <w:lang w:eastAsia="zh-CN"/>
              </w:rPr>
            </w:pPr>
          </w:p>
        </w:tc>
        <w:tc>
          <w:tcPr>
            <w:tcW w:w="2410" w:type="dxa"/>
            <w:vAlign w:val="center"/>
          </w:tcPr>
          <w:p w14:paraId="0534E6B5">
            <w:pPr>
              <w:pStyle w:val="51"/>
              <w:spacing w:before="0" w:beforeAutospacing="0" w:after="0" w:afterAutospacing="0" w:line="360" w:lineRule="auto"/>
              <w:jc w:val="center"/>
              <w:rPr>
                <w:rFonts w:hint="eastAsia"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供货响应性保障措施及</w:t>
            </w:r>
          </w:p>
          <w:p w14:paraId="423FB8DD">
            <w:pPr>
              <w:pStyle w:val="51"/>
              <w:spacing w:before="0" w:beforeAutospacing="0" w:after="0" w:afterAutospacing="0" w:line="360" w:lineRule="auto"/>
              <w:jc w:val="center"/>
              <w:rPr>
                <w:rFonts w:hint="eastAsia"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承诺</w:t>
            </w:r>
          </w:p>
          <w:p w14:paraId="7E85577B">
            <w:pPr>
              <w:pStyle w:val="51"/>
              <w:spacing w:before="0" w:beforeAutospacing="0" w:after="0" w:afterAutospacing="0" w:line="360" w:lineRule="auto"/>
              <w:jc w:val="center"/>
              <w:rPr>
                <w:rFonts w:hint="eastAsia"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评审评分</w:t>
            </w:r>
          </w:p>
          <w:p w14:paraId="4E0C32C6">
            <w:pPr>
              <w:pStyle w:val="51"/>
              <w:spacing w:before="0" w:beforeAutospacing="0" w:after="0" w:afterAutospacing="0" w:line="360" w:lineRule="auto"/>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（满分12分）</w:t>
            </w:r>
          </w:p>
        </w:tc>
        <w:tc>
          <w:tcPr>
            <w:tcW w:w="4110" w:type="dxa"/>
            <w:vAlign w:val="center"/>
          </w:tcPr>
          <w:p w14:paraId="12BC81BD">
            <w:p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根据</w:t>
            </w:r>
            <w:r>
              <w:rPr>
                <w:rFonts w:hint="eastAsia" w:asciiTheme="minorEastAsia" w:hAnsiTheme="minorEastAsia" w:eastAsiaTheme="minorEastAsia"/>
                <w:b/>
                <w:bCs/>
                <w:szCs w:val="21"/>
                <w:lang w:eastAsia="zh-CN"/>
              </w:rPr>
              <w:t>投标人</w:t>
            </w:r>
            <w:r>
              <w:rPr>
                <w:rFonts w:hint="eastAsia" w:asciiTheme="minorEastAsia" w:hAnsiTheme="minorEastAsia" w:eastAsiaTheme="minorEastAsia"/>
                <w:b/>
                <w:bCs/>
                <w:szCs w:val="21"/>
              </w:rPr>
              <w:t>提供的供货响应性保障措施及承诺整体情况进行评审评分（包括但不限于供货响应保障措施，供货应急保障措施，</w:t>
            </w:r>
            <w:r>
              <w:rPr>
                <w:rFonts w:hint="eastAsia" w:ascii="宋体" w:hAnsi="宋体"/>
                <w:b/>
                <w:bCs/>
              </w:rPr>
              <w:t>临时送货任务保障措施、</w:t>
            </w:r>
            <w:r>
              <w:rPr>
                <w:rFonts w:hint="eastAsia" w:asciiTheme="minorEastAsia" w:hAnsiTheme="minorEastAsia" w:eastAsiaTheme="minorEastAsia"/>
                <w:b/>
                <w:bCs/>
                <w:szCs w:val="21"/>
              </w:rPr>
              <w:t>具体的违约责任承诺等）。</w:t>
            </w:r>
          </w:p>
          <w:p w14:paraId="64C9DBA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（1）供货响应性保障措施完善及承诺内容齐全的，得</w:t>
            </w:r>
            <w:r>
              <w:rPr>
                <w:rFonts w:asciiTheme="minorEastAsia" w:hAnsiTheme="minorEastAsia" w:eastAsiaTheme="minorEastAsia"/>
                <w:szCs w:val="21"/>
              </w:rPr>
              <w:t>12</w:t>
            </w:r>
            <w:r>
              <w:rPr>
                <w:rFonts w:hint="eastAsia" w:asciiTheme="minorEastAsia" w:hAnsiTheme="minorEastAsia" w:eastAsiaTheme="minorEastAsia"/>
                <w:szCs w:val="21"/>
              </w:rPr>
              <w:t>分；</w:t>
            </w:r>
          </w:p>
          <w:p w14:paraId="62EC0010">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（2）供货响应性保障措施中每</w:t>
            </w:r>
            <w:r>
              <w:rPr>
                <w:rFonts w:hint="eastAsia" w:asciiTheme="minorEastAsia" w:hAnsiTheme="minorEastAsia" w:eastAsiaTheme="minorEastAsia"/>
                <w:szCs w:val="21"/>
                <w:lang w:val="en-US" w:eastAsia="zh-CN"/>
              </w:rPr>
              <w:t>缺失</w:t>
            </w:r>
            <w:r>
              <w:rPr>
                <w:rFonts w:hint="eastAsia" w:asciiTheme="minorEastAsia" w:hAnsiTheme="minorEastAsia" w:eastAsiaTheme="minorEastAsia"/>
                <w:szCs w:val="21"/>
              </w:rPr>
              <w:t>一项</w:t>
            </w:r>
            <w:r>
              <w:rPr>
                <w:rFonts w:hint="eastAsia" w:asciiTheme="minorEastAsia" w:hAnsiTheme="minorEastAsia" w:eastAsiaTheme="minorEastAsia"/>
                <w:szCs w:val="21"/>
                <w:lang w:val="en-US" w:eastAsia="zh-CN"/>
              </w:rPr>
              <w:t>扣3分，每有一项</w:t>
            </w:r>
            <w:r>
              <w:rPr>
                <w:rFonts w:hint="eastAsia" w:asciiTheme="minorEastAsia" w:hAnsiTheme="minorEastAsia" w:eastAsiaTheme="minorEastAsia"/>
                <w:szCs w:val="21"/>
              </w:rPr>
              <w:t>不完善或不具体的，扣</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分，分数扣完为止。</w:t>
            </w:r>
          </w:p>
        </w:tc>
      </w:tr>
      <w:tr w14:paraId="408D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617D478B">
            <w:pPr>
              <w:spacing w:line="360" w:lineRule="auto"/>
              <w:jc w:val="center"/>
              <w:rPr>
                <w:rFonts w:cs="仿宋" w:asciiTheme="minorEastAsia" w:hAnsiTheme="minorEastAsia" w:eastAsiaTheme="minorEastAsia"/>
                <w:bCs/>
                <w:szCs w:val="21"/>
              </w:rPr>
            </w:pPr>
          </w:p>
        </w:tc>
        <w:tc>
          <w:tcPr>
            <w:tcW w:w="1610" w:type="dxa"/>
            <w:vMerge w:val="continue"/>
            <w:vAlign w:val="center"/>
          </w:tcPr>
          <w:p w14:paraId="1D60EDC5">
            <w:pPr>
              <w:pStyle w:val="330"/>
              <w:spacing w:before="120" w:beforeLines="50" w:line="360" w:lineRule="auto"/>
              <w:jc w:val="center"/>
              <w:rPr>
                <w:rFonts w:asciiTheme="minorEastAsia" w:hAnsiTheme="minorEastAsia" w:eastAsiaTheme="minorEastAsia"/>
                <w:sz w:val="21"/>
                <w:szCs w:val="21"/>
                <w:lang w:eastAsia="zh-CN"/>
              </w:rPr>
            </w:pPr>
          </w:p>
        </w:tc>
        <w:tc>
          <w:tcPr>
            <w:tcW w:w="2410" w:type="dxa"/>
            <w:vAlign w:val="center"/>
          </w:tcPr>
          <w:p w14:paraId="1005BA29">
            <w:pPr>
              <w:pStyle w:val="51"/>
              <w:spacing w:before="0" w:beforeAutospacing="0" w:after="0" w:afterAutospacing="0" w:line="360" w:lineRule="auto"/>
              <w:jc w:val="center"/>
              <w:rPr>
                <w:rFonts w:hint="eastAsia"/>
                <w:sz w:val="21"/>
                <w:szCs w:val="21"/>
              </w:rPr>
            </w:pPr>
            <w:r>
              <w:rPr>
                <w:rFonts w:hint="eastAsia"/>
                <w:sz w:val="21"/>
                <w:szCs w:val="21"/>
              </w:rPr>
              <w:t>质量保证措施及承诺</w:t>
            </w:r>
          </w:p>
          <w:p w14:paraId="1E747B44">
            <w:pPr>
              <w:pStyle w:val="51"/>
              <w:spacing w:before="0" w:beforeAutospacing="0" w:after="0" w:afterAutospacing="0" w:line="360" w:lineRule="auto"/>
              <w:jc w:val="center"/>
              <w:rPr>
                <w:rFonts w:hint="eastAsia"/>
                <w:sz w:val="21"/>
                <w:szCs w:val="21"/>
              </w:rPr>
            </w:pPr>
            <w:r>
              <w:rPr>
                <w:rFonts w:hint="eastAsia"/>
                <w:sz w:val="21"/>
                <w:szCs w:val="21"/>
              </w:rPr>
              <w:t>评审评分</w:t>
            </w:r>
          </w:p>
          <w:p w14:paraId="614339F5">
            <w:pPr>
              <w:pStyle w:val="51"/>
              <w:spacing w:before="0" w:beforeAutospacing="0" w:after="0" w:afterAutospacing="0" w:line="360" w:lineRule="auto"/>
              <w:jc w:val="center"/>
              <w:rPr>
                <w:rFonts w:hint="eastAsia"/>
                <w:sz w:val="21"/>
                <w:szCs w:val="21"/>
              </w:rPr>
            </w:pPr>
            <w:r>
              <w:rPr>
                <w:rFonts w:hint="eastAsia"/>
                <w:sz w:val="21"/>
                <w:szCs w:val="21"/>
              </w:rPr>
              <w:t>（满分12分）</w:t>
            </w:r>
          </w:p>
        </w:tc>
        <w:tc>
          <w:tcPr>
            <w:tcW w:w="4110" w:type="dxa"/>
            <w:vAlign w:val="center"/>
          </w:tcPr>
          <w:p w14:paraId="042ED361">
            <w:p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根据</w:t>
            </w:r>
            <w:r>
              <w:rPr>
                <w:rFonts w:hint="eastAsia" w:asciiTheme="minorEastAsia" w:hAnsiTheme="minorEastAsia" w:eastAsiaTheme="minorEastAsia"/>
                <w:b/>
                <w:bCs/>
                <w:szCs w:val="21"/>
                <w:lang w:eastAsia="zh-CN"/>
              </w:rPr>
              <w:t>投标人</w:t>
            </w:r>
            <w:r>
              <w:rPr>
                <w:rFonts w:hint="eastAsia" w:asciiTheme="minorEastAsia" w:hAnsiTheme="minorEastAsia" w:eastAsiaTheme="minorEastAsia"/>
                <w:b/>
                <w:bCs/>
                <w:szCs w:val="21"/>
              </w:rPr>
              <w:t>提供的质量保证措施及承诺整体情况进行评审评分（包括但不限于质量管理体系或制度，质量保证措施，具体的违约责任承诺等）。</w:t>
            </w:r>
          </w:p>
          <w:p w14:paraId="136FECC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（1）质量保证措施完善及承诺内容齐全的，得</w:t>
            </w:r>
            <w:r>
              <w:rPr>
                <w:rFonts w:asciiTheme="minorEastAsia" w:hAnsiTheme="minorEastAsia" w:eastAsiaTheme="minorEastAsia"/>
                <w:szCs w:val="21"/>
              </w:rPr>
              <w:t>1</w:t>
            </w:r>
            <w:r>
              <w:rPr>
                <w:rFonts w:hint="eastAsia" w:asciiTheme="minorEastAsia" w:hAnsiTheme="minorEastAsia" w:eastAsiaTheme="minorEastAsia"/>
                <w:szCs w:val="21"/>
              </w:rPr>
              <w:t>2分；</w:t>
            </w:r>
          </w:p>
          <w:p w14:paraId="10609118">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（2）质量保证措施中每</w:t>
            </w:r>
            <w:r>
              <w:rPr>
                <w:rFonts w:hint="eastAsia" w:asciiTheme="minorEastAsia" w:hAnsiTheme="minorEastAsia" w:eastAsiaTheme="minorEastAsia"/>
                <w:szCs w:val="21"/>
                <w:lang w:val="en-US" w:eastAsia="zh-CN"/>
              </w:rPr>
              <w:t>缺失一项扣3分，每有</w:t>
            </w:r>
            <w:r>
              <w:rPr>
                <w:rFonts w:hint="eastAsia" w:asciiTheme="minorEastAsia" w:hAnsiTheme="minorEastAsia" w:eastAsiaTheme="minorEastAsia"/>
                <w:szCs w:val="21"/>
              </w:rPr>
              <w:t>一项不完善或不具体的，扣</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分，分数扣完为止。</w:t>
            </w:r>
          </w:p>
        </w:tc>
      </w:tr>
      <w:tr w14:paraId="7335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159EE62A">
            <w:pPr>
              <w:spacing w:line="360" w:lineRule="auto"/>
              <w:jc w:val="center"/>
              <w:rPr>
                <w:rFonts w:cs="仿宋" w:asciiTheme="minorEastAsia" w:hAnsiTheme="minorEastAsia" w:eastAsiaTheme="minorEastAsia"/>
                <w:bCs/>
                <w:szCs w:val="21"/>
              </w:rPr>
            </w:pPr>
          </w:p>
        </w:tc>
        <w:tc>
          <w:tcPr>
            <w:tcW w:w="1610" w:type="dxa"/>
            <w:vMerge w:val="continue"/>
            <w:vAlign w:val="center"/>
          </w:tcPr>
          <w:p w14:paraId="673FBD0A">
            <w:pPr>
              <w:pStyle w:val="330"/>
              <w:spacing w:before="120" w:beforeLines="50" w:line="360" w:lineRule="auto"/>
              <w:jc w:val="center"/>
              <w:rPr>
                <w:rFonts w:asciiTheme="minorEastAsia" w:hAnsiTheme="minorEastAsia" w:eastAsiaTheme="minorEastAsia"/>
                <w:sz w:val="21"/>
                <w:szCs w:val="21"/>
                <w:lang w:eastAsia="zh-CN"/>
              </w:rPr>
            </w:pPr>
          </w:p>
        </w:tc>
        <w:tc>
          <w:tcPr>
            <w:tcW w:w="2410" w:type="dxa"/>
            <w:vAlign w:val="center"/>
          </w:tcPr>
          <w:p w14:paraId="49E04D48">
            <w:pPr>
              <w:pStyle w:val="51"/>
              <w:spacing w:before="0" w:beforeAutospacing="0" w:after="0" w:afterAutospacing="0" w:line="360" w:lineRule="auto"/>
              <w:jc w:val="center"/>
              <w:rPr>
                <w:rFonts w:hint="eastAsia"/>
                <w:sz w:val="21"/>
                <w:szCs w:val="21"/>
              </w:rPr>
            </w:pPr>
            <w:r>
              <w:rPr>
                <w:rFonts w:hint="eastAsia"/>
                <w:sz w:val="21"/>
                <w:szCs w:val="21"/>
              </w:rPr>
              <w:t>售后服务方案</w:t>
            </w:r>
          </w:p>
          <w:p w14:paraId="123C4DE3">
            <w:pPr>
              <w:pStyle w:val="51"/>
              <w:spacing w:before="0" w:beforeAutospacing="0" w:after="0" w:afterAutospacing="0" w:line="360" w:lineRule="auto"/>
              <w:jc w:val="center"/>
              <w:rPr>
                <w:sz w:val="21"/>
                <w:szCs w:val="21"/>
              </w:rPr>
            </w:pPr>
            <w:r>
              <w:rPr>
                <w:rFonts w:hint="eastAsia"/>
                <w:sz w:val="21"/>
                <w:szCs w:val="21"/>
              </w:rPr>
              <w:t>评审评分</w:t>
            </w:r>
          </w:p>
          <w:p w14:paraId="3ECAE6A4">
            <w:pPr>
              <w:pStyle w:val="51"/>
              <w:spacing w:before="0" w:beforeAutospacing="0" w:after="0" w:afterAutospacing="0" w:line="360" w:lineRule="auto"/>
              <w:jc w:val="center"/>
              <w:rPr>
                <w:sz w:val="21"/>
                <w:szCs w:val="21"/>
              </w:rPr>
            </w:pPr>
            <w:r>
              <w:rPr>
                <w:rFonts w:hint="eastAsia"/>
                <w:sz w:val="21"/>
                <w:szCs w:val="21"/>
              </w:rPr>
              <w:t>（满分10分）</w:t>
            </w:r>
          </w:p>
        </w:tc>
        <w:tc>
          <w:tcPr>
            <w:tcW w:w="4110" w:type="dxa"/>
            <w:vAlign w:val="center"/>
          </w:tcPr>
          <w:p w14:paraId="09841403">
            <w:pPr>
              <w:adjustRightInd w:val="0"/>
              <w:spacing w:line="360" w:lineRule="auto"/>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根据投标人售后服务方案进行评审评分（售后服务方案包括但不限于：</w:t>
            </w:r>
            <w:r>
              <w:rPr>
                <w:rFonts w:hint="eastAsia"/>
                <w:b/>
                <w:bCs/>
                <w:kern w:val="2"/>
                <w:sz w:val="21"/>
                <w:szCs w:val="21"/>
                <w:highlight w:val="none"/>
                <w:lang w:val="en-US" w:eastAsia="zh-CN"/>
              </w:rPr>
              <w:t>售后服务承诺、售后服务保障措施、违约责任等</w:t>
            </w:r>
            <w:r>
              <w:rPr>
                <w:rFonts w:hint="eastAsia" w:asciiTheme="minorEastAsia" w:hAnsiTheme="minorEastAsia" w:eastAsiaTheme="minorEastAsia"/>
                <w:b/>
                <w:bCs/>
                <w:szCs w:val="21"/>
                <w:lang w:val="en-US" w:eastAsia="zh-CN"/>
              </w:rPr>
              <w:t>）</w:t>
            </w:r>
          </w:p>
          <w:p w14:paraId="6D332731">
            <w:pPr>
              <w:adjustRightIn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（1）每提供上述一项内容的，得2分，最高得6分；未提供的不得分。</w:t>
            </w:r>
          </w:p>
          <w:p w14:paraId="50CF2366">
            <w:pPr>
              <w:adjustRightIn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（2）在上述评审标准的基础上，根据投标人的具体响应内容整体情况进一步评审：</w:t>
            </w:r>
          </w:p>
          <w:p w14:paraId="3DE8695F">
            <w:pPr>
              <w:adjustRightIn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a响应内容全面、清晰、针对性强、科学合理、可操作性强的，加4分；</w:t>
            </w:r>
          </w:p>
          <w:p w14:paraId="4EB68EAC">
            <w:pPr>
              <w:adjustRightIn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b响应内容较全面、较清晰、针对性较强、较科学合理、可操作性较强的，加3分；</w:t>
            </w:r>
          </w:p>
          <w:p w14:paraId="79787ACA">
            <w:pPr>
              <w:adjustRightIn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c响应内容基本完整，针对性一般，可操作性一般的，加2分；</w:t>
            </w:r>
          </w:p>
          <w:p w14:paraId="062CCC3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d响应内容缺失或与项目关联度不大的，加1分。</w:t>
            </w:r>
          </w:p>
        </w:tc>
      </w:tr>
      <w:tr w14:paraId="3694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7" w:type="dxa"/>
            <w:vAlign w:val="center"/>
          </w:tcPr>
          <w:p w14:paraId="5E0247CC">
            <w:pPr>
              <w:snapToGrid w:val="0"/>
              <w:rPr>
                <w:rFonts w:asciiTheme="minorEastAsia" w:hAnsiTheme="minorEastAsia" w:eastAsiaTheme="minorEastAsia"/>
                <w:b/>
                <w:szCs w:val="21"/>
              </w:rPr>
            </w:pPr>
            <w:r>
              <w:rPr>
                <w:rFonts w:asciiTheme="minorEastAsia" w:hAnsiTheme="minorEastAsia" w:eastAsiaTheme="minorEastAsia"/>
                <w:b/>
                <w:szCs w:val="21"/>
              </w:rPr>
              <w:t>条款号</w:t>
            </w:r>
          </w:p>
        </w:tc>
        <w:tc>
          <w:tcPr>
            <w:tcW w:w="1610" w:type="dxa"/>
            <w:vAlign w:val="center"/>
          </w:tcPr>
          <w:p w14:paraId="6E6FF53A">
            <w:pPr>
              <w:snapToGrid w:val="0"/>
              <w:ind w:firstLine="422"/>
              <w:jc w:val="center"/>
              <w:rPr>
                <w:rFonts w:asciiTheme="minorEastAsia" w:hAnsiTheme="minorEastAsia" w:eastAsiaTheme="minorEastAsia"/>
                <w:b/>
                <w:szCs w:val="21"/>
              </w:rPr>
            </w:pPr>
            <w:r>
              <w:rPr>
                <w:rFonts w:asciiTheme="minorEastAsia" w:hAnsiTheme="minorEastAsia" w:eastAsiaTheme="minorEastAsia"/>
                <w:b/>
                <w:szCs w:val="21"/>
              </w:rPr>
              <w:t>评审因素</w:t>
            </w:r>
          </w:p>
        </w:tc>
        <w:tc>
          <w:tcPr>
            <w:tcW w:w="2410" w:type="dxa"/>
            <w:vAlign w:val="center"/>
          </w:tcPr>
          <w:p w14:paraId="29F63299">
            <w:pPr>
              <w:snapToGrid w:val="0"/>
              <w:ind w:firstLine="422"/>
              <w:jc w:val="center"/>
              <w:rPr>
                <w:rFonts w:asciiTheme="minorEastAsia" w:hAnsiTheme="minorEastAsia" w:eastAsiaTheme="minorEastAsia"/>
                <w:b/>
                <w:szCs w:val="21"/>
              </w:rPr>
            </w:pPr>
            <w:r>
              <w:rPr>
                <w:rFonts w:hint="eastAsia" w:cs="宋体" w:asciiTheme="minorEastAsia" w:hAnsiTheme="minorEastAsia" w:eastAsiaTheme="minorEastAsia"/>
                <w:b/>
                <w:szCs w:val="21"/>
              </w:rPr>
              <w:t>评审内容</w:t>
            </w:r>
          </w:p>
        </w:tc>
        <w:tc>
          <w:tcPr>
            <w:tcW w:w="4110" w:type="dxa"/>
            <w:vAlign w:val="center"/>
          </w:tcPr>
          <w:p w14:paraId="67FC6913">
            <w:pPr>
              <w:snapToGrid w:val="0"/>
              <w:ind w:firstLine="422"/>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r>
      <w:tr w14:paraId="44A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37" w:type="dxa"/>
            <w:vAlign w:val="center"/>
          </w:tcPr>
          <w:p w14:paraId="48065732">
            <w:pPr>
              <w:pStyle w:val="330"/>
              <w:spacing w:before="120" w:beforeLines="50"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r>
              <w:rPr>
                <w:rFonts w:asciiTheme="minorEastAsia" w:hAnsiTheme="minorEastAsia" w:eastAsiaTheme="minorEastAsia"/>
                <w:sz w:val="21"/>
                <w:szCs w:val="21"/>
                <w:lang w:eastAsia="zh-CN"/>
              </w:rPr>
              <w:t>.2.</w:t>
            </w:r>
            <w:r>
              <w:rPr>
                <w:rFonts w:hint="eastAsia" w:asciiTheme="minorEastAsia" w:hAnsiTheme="minorEastAsia" w:eastAsiaTheme="minorEastAsia"/>
                <w:sz w:val="21"/>
                <w:szCs w:val="21"/>
                <w:lang w:eastAsia="zh-CN"/>
              </w:rPr>
              <w:t>4</w:t>
            </w:r>
          </w:p>
        </w:tc>
        <w:tc>
          <w:tcPr>
            <w:tcW w:w="1610" w:type="dxa"/>
            <w:vAlign w:val="center"/>
          </w:tcPr>
          <w:p w14:paraId="1E1711C4">
            <w:pPr>
              <w:pStyle w:val="330"/>
              <w:spacing w:before="120" w:beforeLines="50"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商务部分</w:t>
            </w:r>
          </w:p>
          <w:p w14:paraId="242AD005">
            <w:pPr>
              <w:pStyle w:val="330"/>
              <w:spacing w:before="0" w:line="360"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评审标准</w:t>
            </w:r>
          </w:p>
          <w:p w14:paraId="6867D297">
            <w:pPr>
              <w:pStyle w:val="330"/>
              <w:spacing w:before="0" w:line="360" w:lineRule="auto"/>
              <w:jc w:val="center"/>
              <w:rPr>
                <w:rFonts w:asciiTheme="minorEastAsia" w:hAnsiTheme="minorEastAsia" w:eastAsiaTheme="minorEastAsia"/>
                <w:sz w:val="21"/>
                <w:szCs w:val="21"/>
                <w:lang w:eastAsia="zh-CN"/>
              </w:rPr>
            </w:pPr>
          </w:p>
        </w:tc>
        <w:tc>
          <w:tcPr>
            <w:tcW w:w="2410" w:type="dxa"/>
            <w:vAlign w:val="center"/>
          </w:tcPr>
          <w:p w14:paraId="20B0210C">
            <w:pPr>
              <w:pStyle w:val="51"/>
              <w:spacing w:before="0" w:beforeAutospacing="0" w:after="0" w:afterAutospacing="0" w:line="360" w:lineRule="auto"/>
              <w:jc w:val="center"/>
              <w:rPr>
                <w:rFonts w:hint="eastAsia"/>
                <w:sz w:val="21"/>
                <w:szCs w:val="21"/>
              </w:rPr>
            </w:pPr>
            <w:r>
              <w:rPr>
                <w:rFonts w:hint="eastAsia"/>
                <w:sz w:val="21"/>
                <w:szCs w:val="21"/>
              </w:rPr>
              <w:t>类似项目业绩</w:t>
            </w:r>
          </w:p>
          <w:p w14:paraId="0C7DAF85">
            <w:pPr>
              <w:pStyle w:val="51"/>
              <w:spacing w:before="0" w:beforeAutospacing="0" w:after="0" w:afterAutospacing="0" w:line="360" w:lineRule="auto"/>
              <w:jc w:val="center"/>
              <w:rPr>
                <w:rFonts w:hint="eastAsia"/>
                <w:sz w:val="21"/>
                <w:szCs w:val="21"/>
              </w:rPr>
            </w:pPr>
            <w:r>
              <w:rPr>
                <w:rFonts w:hint="eastAsia"/>
                <w:sz w:val="21"/>
                <w:szCs w:val="21"/>
              </w:rPr>
              <w:t>评审评分</w:t>
            </w:r>
          </w:p>
          <w:p w14:paraId="77BF0599">
            <w:pPr>
              <w:pStyle w:val="51"/>
              <w:spacing w:before="0" w:beforeAutospacing="0" w:after="0" w:afterAutospacing="0" w:line="360" w:lineRule="auto"/>
              <w:jc w:val="center"/>
              <w:rPr>
                <w:kern w:val="2"/>
                <w:sz w:val="21"/>
                <w:szCs w:val="21"/>
              </w:rPr>
            </w:pPr>
            <w:r>
              <w:rPr>
                <w:rFonts w:hint="eastAsia"/>
                <w:sz w:val="21"/>
                <w:szCs w:val="21"/>
              </w:rPr>
              <w:t>（满分</w:t>
            </w:r>
            <w:r>
              <w:rPr>
                <w:rFonts w:hint="eastAsia"/>
                <w:sz w:val="21"/>
                <w:szCs w:val="21"/>
                <w:lang w:val="en-US" w:eastAsia="zh-CN"/>
              </w:rPr>
              <w:t>6</w:t>
            </w:r>
            <w:r>
              <w:rPr>
                <w:rFonts w:hint="eastAsia"/>
                <w:sz w:val="21"/>
                <w:szCs w:val="21"/>
              </w:rPr>
              <w:t>分）</w:t>
            </w:r>
          </w:p>
        </w:tc>
        <w:tc>
          <w:tcPr>
            <w:tcW w:w="4110" w:type="dxa"/>
            <w:vAlign w:val="center"/>
          </w:tcPr>
          <w:p w14:paraId="0A57ABB0">
            <w:pPr>
              <w:pStyle w:val="21"/>
              <w:spacing w:before="120" w:beforeLines="50" w:line="336" w:lineRule="auto"/>
              <w:rPr>
                <w:rFonts w:hint="eastAsia" w:cs="宋体"/>
                <w:color w:val="auto"/>
                <w:sz w:val="21"/>
                <w:szCs w:val="21"/>
                <w:highlight w:val="none"/>
              </w:rPr>
            </w:pPr>
            <w:r>
              <w:rPr>
                <w:rFonts w:hint="eastAsia" w:cs="宋体"/>
                <w:color w:val="auto"/>
                <w:sz w:val="21"/>
                <w:szCs w:val="21"/>
                <w:highlight w:val="none"/>
                <w:lang w:eastAsia="zh-CN"/>
              </w:rPr>
              <w:t>投标人</w:t>
            </w:r>
            <w:r>
              <w:rPr>
                <w:rFonts w:hint="eastAsia" w:cs="宋体"/>
                <w:color w:val="auto"/>
                <w:sz w:val="21"/>
                <w:szCs w:val="21"/>
                <w:highlight w:val="none"/>
              </w:rPr>
              <w:t>每承担过1个类似</w:t>
            </w:r>
            <w:r>
              <w:rPr>
                <w:rFonts w:hint="eastAsia" w:cs="宋体"/>
                <w:color w:val="auto"/>
                <w:sz w:val="21"/>
                <w:szCs w:val="21"/>
                <w:highlight w:val="none"/>
                <w:lang w:val="en-US" w:eastAsia="zh-CN"/>
              </w:rPr>
              <w:t>供货业绩</w:t>
            </w:r>
            <w:r>
              <w:rPr>
                <w:rFonts w:hint="eastAsia" w:cs="宋体"/>
                <w:color w:val="auto"/>
                <w:sz w:val="21"/>
                <w:szCs w:val="21"/>
                <w:highlight w:val="none"/>
              </w:rPr>
              <w:t>的，得</w:t>
            </w:r>
            <w:r>
              <w:rPr>
                <w:rFonts w:hint="eastAsia" w:cs="宋体"/>
                <w:color w:val="auto"/>
                <w:sz w:val="21"/>
                <w:szCs w:val="21"/>
                <w:highlight w:val="none"/>
                <w:lang w:val="en-US" w:eastAsia="zh-CN"/>
              </w:rPr>
              <w:t>2</w:t>
            </w:r>
            <w:r>
              <w:rPr>
                <w:rFonts w:hint="eastAsia" w:cs="宋体"/>
                <w:color w:val="auto"/>
                <w:sz w:val="21"/>
                <w:szCs w:val="21"/>
                <w:highlight w:val="none"/>
              </w:rPr>
              <w:t>分，满分为</w:t>
            </w:r>
            <w:r>
              <w:rPr>
                <w:rFonts w:hint="eastAsia" w:cs="宋体"/>
                <w:color w:val="auto"/>
                <w:sz w:val="21"/>
                <w:szCs w:val="21"/>
                <w:highlight w:val="none"/>
                <w:lang w:val="en-US" w:eastAsia="zh-CN"/>
              </w:rPr>
              <w:t>6</w:t>
            </w:r>
            <w:r>
              <w:rPr>
                <w:rFonts w:hint="eastAsia" w:cs="宋体"/>
                <w:color w:val="auto"/>
                <w:sz w:val="21"/>
                <w:szCs w:val="21"/>
                <w:highlight w:val="none"/>
              </w:rPr>
              <w:t>分。</w:t>
            </w:r>
          </w:p>
          <w:p w14:paraId="218A8F26">
            <w:pPr>
              <w:adjustRightInd w:val="0"/>
              <w:spacing w:line="360" w:lineRule="auto"/>
              <w:rPr>
                <w:szCs w:val="21"/>
              </w:rPr>
            </w:pPr>
            <w:r>
              <w:rPr>
                <w:rFonts w:hint="eastAsia"/>
                <w:kern w:val="2"/>
                <w:sz w:val="21"/>
                <w:szCs w:val="21"/>
                <w:highlight w:val="none"/>
              </w:rPr>
              <w:t>注：业绩证明材料须提供中标通知书或合同（协议书）或业主证明材料的原件扫描件。</w:t>
            </w:r>
          </w:p>
        </w:tc>
      </w:tr>
    </w:tbl>
    <w:p w14:paraId="0A5BE73D">
      <w:bookmarkStart w:id="1075" w:name="_Toc84356290"/>
      <w:bookmarkStart w:id="1076" w:name="_Toc87543858"/>
      <w:bookmarkStart w:id="1077" w:name="_Toc110405175"/>
      <w:bookmarkStart w:id="1078" w:name="_Toc83753930"/>
      <w:bookmarkStart w:id="1079" w:name="_Toc87538407"/>
      <w:bookmarkStart w:id="1080" w:name="_Hlk83753665"/>
      <w:bookmarkStart w:id="1081" w:name="_Toc42205032"/>
      <w:bookmarkStart w:id="1082" w:name="_Toc81330978"/>
      <w:bookmarkStart w:id="1083" w:name="_Toc45791393"/>
      <w:r>
        <w:rPr>
          <w:rFonts w:hint="eastAsia"/>
        </w:rPr>
        <w:br w:type="page"/>
      </w:r>
    </w:p>
    <w:p w14:paraId="79B3220B">
      <w:pPr>
        <w:pStyle w:val="4"/>
      </w:pPr>
      <w:bookmarkStart w:id="1084" w:name="_Toc5517"/>
      <w:r>
        <w:rPr>
          <w:rFonts w:hint="eastAsia"/>
        </w:rPr>
        <w:t>二、评标办法正文部分</w:t>
      </w:r>
      <w:bookmarkEnd w:id="1075"/>
      <w:bookmarkEnd w:id="1076"/>
      <w:bookmarkEnd w:id="1077"/>
      <w:bookmarkEnd w:id="1078"/>
      <w:bookmarkEnd w:id="1079"/>
      <w:bookmarkEnd w:id="1084"/>
    </w:p>
    <w:bookmarkEnd w:id="1080"/>
    <w:p w14:paraId="75F369A2">
      <w:pPr>
        <w:spacing w:before="120" w:beforeLines="50" w:line="360" w:lineRule="auto"/>
        <w:ind w:firstLine="482"/>
        <w:outlineLvl w:val="2"/>
        <w:rPr>
          <w:rFonts w:asciiTheme="minorEastAsia" w:hAnsiTheme="minorEastAsia" w:eastAsiaTheme="minorEastAsia"/>
          <w:b/>
          <w:sz w:val="24"/>
          <w:szCs w:val="24"/>
        </w:rPr>
      </w:pPr>
      <w:bookmarkStart w:id="1085" w:name="_Toc109809353"/>
      <w:bookmarkStart w:id="1086" w:name="_Toc98033975"/>
      <w:bookmarkStart w:id="1087" w:name="_Toc116584043"/>
      <w:bookmarkStart w:id="1088" w:name="_Toc98865052"/>
      <w:bookmarkStart w:id="1089" w:name="_Toc4075"/>
      <w:bookmarkStart w:id="1090" w:name="_Toc83753931"/>
      <w:bookmarkStart w:id="1091" w:name="_Toc87538408"/>
      <w:bookmarkStart w:id="1092" w:name="_Toc87543859"/>
      <w:bookmarkStart w:id="1093" w:name="_Toc84356291"/>
      <w:bookmarkStart w:id="1094" w:name="_Toc110405176"/>
      <w:r>
        <w:rPr>
          <w:rFonts w:hint="eastAsia" w:asciiTheme="minorEastAsia" w:hAnsiTheme="minorEastAsia" w:eastAsiaTheme="minorEastAsia"/>
          <w:b/>
          <w:sz w:val="24"/>
          <w:szCs w:val="24"/>
        </w:rPr>
        <w:t>1.评标方法</w:t>
      </w:r>
      <w:bookmarkEnd w:id="1081"/>
      <w:bookmarkEnd w:id="1082"/>
      <w:bookmarkEnd w:id="1083"/>
      <w:bookmarkEnd w:id="1085"/>
      <w:bookmarkEnd w:id="1086"/>
      <w:bookmarkEnd w:id="1087"/>
      <w:bookmarkEnd w:id="1088"/>
      <w:bookmarkEnd w:id="1089"/>
      <w:bookmarkEnd w:id="1090"/>
      <w:bookmarkEnd w:id="1091"/>
      <w:bookmarkEnd w:id="1092"/>
      <w:bookmarkEnd w:id="1093"/>
      <w:bookmarkEnd w:id="1094"/>
      <w:r>
        <w:rPr>
          <w:rFonts w:hint="eastAsia" w:asciiTheme="minorEastAsia" w:hAnsiTheme="minorEastAsia" w:eastAsiaTheme="minorEastAsia"/>
          <w:b/>
          <w:sz w:val="24"/>
          <w:szCs w:val="24"/>
        </w:rPr>
        <w:t xml:space="preserve"> </w:t>
      </w:r>
    </w:p>
    <w:p w14:paraId="241D4E9A">
      <w:pPr>
        <w:spacing w:line="360" w:lineRule="auto"/>
        <w:ind w:firstLine="420" w:firstLineChars="200"/>
        <w:rPr>
          <w:rFonts w:ascii="宋体" w:hAnsi="宋体" w:cs="宋体"/>
          <w:kern w:val="0"/>
          <w:szCs w:val="21"/>
        </w:rPr>
      </w:pPr>
      <w:bookmarkStart w:id="1095" w:name="OLE_LINK132"/>
      <w:bookmarkStart w:id="1096" w:name="_Toc84356292"/>
      <w:bookmarkStart w:id="1097" w:name="_Toc87543860"/>
      <w:bookmarkStart w:id="1098" w:name="_Toc98865053"/>
      <w:bookmarkStart w:id="1099" w:name="_Toc87538409"/>
      <w:bookmarkStart w:id="1100" w:name="_Toc116584044"/>
      <w:bookmarkStart w:id="1101" w:name="_Toc83753932"/>
      <w:bookmarkStart w:id="1102" w:name="_Toc110405177"/>
      <w:bookmarkStart w:id="1103" w:name="_Toc45791394"/>
      <w:bookmarkStart w:id="1104" w:name="_Toc81330979"/>
      <w:bookmarkStart w:id="1105" w:name="_Toc12572"/>
      <w:bookmarkStart w:id="1106" w:name="_Toc42205033"/>
      <w:bookmarkStart w:id="1107" w:name="_Toc109809354"/>
      <w:bookmarkStart w:id="1108" w:name="_Toc98033976"/>
      <w:r>
        <w:rPr>
          <w:rFonts w:hint="eastAsia" w:ascii="宋体" w:hAnsi="宋体" w:cs="宋体"/>
          <w:kern w:val="0"/>
          <w:szCs w:val="21"/>
        </w:rPr>
        <w:t>根据《中华人民共和国政府</w:t>
      </w:r>
      <w:bookmarkStart w:id="1109" w:name="OLE_LINK249"/>
      <w:r>
        <w:rPr>
          <w:rFonts w:hint="eastAsia" w:ascii="宋体" w:hAnsi="宋体" w:cs="宋体"/>
          <w:kern w:val="0"/>
          <w:szCs w:val="21"/>
        </w:rPr>
        <w:t>采购法》、《中华人民共和国政府采购法实施条例》、《政府采购货物和服务招标投标管理办法（财政部87号令）》、《财政部关于进一步规范政府采购评审工作有关问题的通知》（财政部财库[2012]69号）等有关法律规定，结合本项目采购</w:t>
      </w:r>
      <w:bookmarkEnd w:id="1109"/>
      <w:r>
        <w:rPr>
          <w:rFonts w:hint="eastAsia" w:ascii="宋体" w:hAnsi="宋体" w:cs="宋体"/>
          <w:kern w:val="0"/>
          <w:szCs w:val="21"/>
        </w:rPr>
        <w:t>实际情况制定本办法。</w:t>
      </w:r>
      <w:bookmarkEnd w:id="1095"/>
    </w:p>
    <w:p w14:paraId="22A25822">
      <w:pPr>
        <w:spacing w:line="360" w:lineRule="auto"/>
        <w:ind w:firstLine="48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2.评审标准</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3240298E">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 xml:space="preserve">2.1 符合性审查标准 </w:t>
      </w:r>
    </w:p>
    <w:p w14:paraId="5E03EF9E">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见评标办法前附表。</w:t>
      </w:r>
    </w:p>
    <w:p w14:paraId="0F38A790">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2.2详细评审标准</w:t>
      </w:r>
    </w:p>
    <w:p w14:paraId="2E9DDF5C">
      <w:pPr>
        <w:spacing w:line="360" w:lineRule="auto"/>
        <w:ind w:firstLine="420" w:firstLineChars="200"/>
        <w:rPr>
          <w:rFonts w:asciiTheme="minorEastAsia" w:hAnsiTheme="minorEastAsia" w:eastAsiaTheme="minorEastAsia"/>
        </w:rPr>
      </w:pPr>
      <w:bookmarkStart w:id="1110" w:name="_Toc81330980"/>
      <w:bookmarkStart w:id="1111" w:name="_Toc87543861"/>
      <w:bookmarkStart w:id="1112" w:name="_Toc87538410"/>
      <w:bookmarkStart w:id="1113" w:name="_Toc98865054"/>
      <w:bookmarkStart w:id="1114" w:name="_Toc98033977"/>
      <w:bookmarkStart w:id="1115" w:name="_Toc42205034"/>
      <w:bookmarkStart w:id="1116" w:name="_Toc45791395"/>
      <w:bookmarkStart w:id="1117" w:name="_Toc83753933"/>
      <w:bookmarkStart w:id="1118" w:name="_Toc84356293"/>
      <w:r>
        <w:rPr>
          <w:rFonts w:hint="eastAsia" w:asciiTheme="minorEastAsia" w:hAnsiTheme="minorEastAsia" w:eastAsiaTheme="minorEastAsia"/>
        </w:rPr>
        <w:t>2</w:t>
      </w:r>
      <w:r>
        <w:rPr>
          <w:rFonts w:asciiTheme="minorEastAsia" w:hAnsiTheme="minorEastAsia" w:eastAsiaTheme="minorEastAsia"/>
        </w:rPr>
        <w:t>.2.1</w:t>
      </w:r>
      <w:r>
        <w:rPr>
          <w:rFonts w:hint="eastAsia" w:asciiTheme="minorEastAsia" w:hAnsiTheme="minorEastAsia" w:eastAsiaTheme="minorEastAsia"/>
        </w:rPr>
        <w:t>分值构成：见评标办法前附表。</w:t>
      </w:r>
    </w:p>
    <w:p w14:paraId="4055A15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2.2.2投标报价部分评审标准：见评标办法前附表。</w:t>
      </w:r>
    </w:p>
    <w:p w14:paraId="706E73B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r>
        <w:rPr>
          <w:rFonts w:hint="eastAsia" w:asciiTheme="minorEastAsia" w:hAnsiTheme="minorEastAsia" w:eastAsiaTheme="minorEastAsia"/>
        </w:rPr>
        <w:t>.3技术部分评审标准：见评标办法前附表。</w:t>
      </w:r>
    </w:p>
    <w:p w14:paraId="389A00D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r>
        <w:rPr>
          <w:rFonts w:hint="eastAsia" w:asciiTheme="minorEastAsia" w:hAnsiTheme="minorEastAsia" w:eastAsiaTheme="minorEastAsia"/>
        </w:rPr>
        <w:t>.4商务部分评审标准：见评标办法前附表。</w:t>
      </w:r>
    </w:p>
    <w:p w14:paraId="29659D8A">
      <w:pPr>
        <w:spacing w:line="360" w:lineRule="auto"/>
        <w:ind w:firstLine="482"/>
        <w:outlineLvl w:val="2"/>
        <w:rPr>
          <w:rFonts w:asciiTheme="minorEastAsia" w:hAnsiTheme="minorEastAsia" w:eastAsiaTheme="minorEastAsia"/>
          <w:b/>
          <w:sz w:val="24"/>
          <w:szCs w:val="24"/>
        </w:rPr>
      </w:pPr>
      <w:bookmarkStart w:id="1119" w:name="_Toc116584045"/>
      <w:bookmarkStart w:id="1120" w:name="_Toc6028"/>
      <w:bookmarkStart w:id="1121" w:name="_Toc110405178"/>
      <w:bookmarkStart w:id="1122" w:name="_Toc109809355"/>
      <w:r>
        <w:rPr>
          <w:rFonts w:hint="eastAsia" w:asciiTheme="minorEastAsia" w:hAnsiTheme="minorEastAsia" w:eastAsiaTheme="minorEastAsia"/>
          <w:b/>
          <w:sz w:val="24"/>
          <w:szCs w:val="24"/>
        </w:rPr>
        <w:t>3.评审程序</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Theme="minorEastAsia" w:hAnsiTheme="minorEastAsia" w:eastAsiaTheme="minorEastAsia"/>
          <w:b/>
          <w:sz w:val="24"/>
          <w:szCs w:val="24"/>
        </w:rPr>
        <w:t xml:space="preserve"> </w:t>
      </w:r>
    </w:p>
    <w:p w14:paraId="0D12A0B1">
      <w:pPr>
        <w:spacing w:line="360" w:lineRule="auto"/>
        <w:ind w:firstLine="422"/>
        <w:outlineLvl w:val="3"/>
        <w:rPr>
          <w:rFonts w:asciiTheme="minorEastAsia" w:hAnsiTheme="minorEastAsia" w:eastAsiaTheme="minorEastAsia"/>
          <w:b/>
          <w:szCs w:val="21"/>
        </w:rPr>
      </w:pPr>
      <w:r>
        <w:rPr>
          <w:rFonts w:hint="eastAsia" w:asciiTheme="minorEastAsia" w:hAnsiTheme="minorEastAsia" w:eastAsiaTheme="minorEastAsia"/>
          <w:b/>
          <w:szCs w:val="21"/>
        </w:rPr>
        <w:t xml:space="preserve">3.1 符合性审查 </w:t>
      </w:r>
    </w:p>
    <w:p w14:paraId="3C5FBF6C">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评标委员会依据本章第2.1款规定的审查标准对通过资格审查的投标人的投标文件进行符合性审查，有一项不符合审查标准的，投标文件按否决处理。</w:t>
      </w:r>
    </w:p>
    <w:p w14:paraId="4F85D71B">
      <w:pPr>
        <w:spacing w:line="360" w:lineRule="auto"/>
        <w:ind w:firstLine="422"/>
        <w:outlineLvl w:val="3"/>
        <w:rPr>
          <w:rFonts w:asciiTheme="minorEastAsia" w:hAnsiTheme="minorEastAsia" w:eastAsiaTheme="minorEastAsia"/>
          <w:b/>
          <w:szCs w:val="21"/>
        </w:rPr>
      </w:pPr>
      <w:r>
        <w:rPr>
          <w:rFonts w:hint="eastAsia" w:asciiTheme="minorEastAsia" w:hAnsiTheme="minorEastAsia" w:eastAsiaTheme="minorEastAsia"/>
          <w:b/>
          <w:szCs w:val="21"/>
        </w:rPr>
        <w:t>3.2 详细评审</w:t>
      </w:r>
    </w:p>
    <w:p w14:paraId="665F13C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3.2.1评标委员会按照本章第2.2款规定的量化因素和分值进行评审评分，并计算出投标人的综合得分。</w:t>
      </w:r>
    </w:p>
    <w:p w14:paraId="05351AF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3.2.2投标人的综合得分分值计算后保留小数点后两位，小数点后第三位“四舍五入”。</w:t>
      </w:r>
    </w:p>
    <w:p w14:paraId="61E6FF77">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2</w:t>
      </w:r>
      <w:r>
        <w:rPr>
          <w:rFonts w:hint="eastAsia" w:asciiTheme="minorEastAsia" w:hAnsiTheme="minorEastAsia" w:eastAsiaTheme="minorEastAsia"/>
          <w:b/>
          <w:szCs w:val="21"/>
        </w:rPr>
        <w:t>.</w:t>
      </w:r>
      <w:r>
        <w:rPr>
          <w:rFonts w:asciiTheme="minorEastAsia" w:hAnsiTheme="minorEastAsia" w:eastAsiaTheme="minorEastAsia"/>
          <w:b/>
          <w:szCs w:val="21"/>
        </w:rPr>
        <w:t>3</w:t>
      </w:r>
      <w:r>
        <w:rPr>
          <w:rFonts w:hint="eastAsia" w:asciiTheme="minorEastAsia" w:hAnsiTheme="minorEastAsia" w:eastAsiaTheme="minorEastAsia"/>
          <w:b/>
          <w:szCs w:val="21"/>
        </w:rPr>
        <w:t>采购项目需要落实的政府采购政策</w:t>
      </w:r>
    </w:p>
    <w:p w14:paraId="6FB9AEF6">
      <w:pPr>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rPr>
        <w:t>（1）中小企业</w:t>
      </w:r>
    </w:p>
    <w:p w14:paraId="2291F37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根据</w:t>
      </w:r>
      <w:r>
        <w:rPr>
          <w:rFonts w:hint="eastAsia" w:asciiTheme="minorEastAsia" w:hAnsiTheme="minorEastAsia" w:eastAsiaTheme="minorEastAsia"/>
          <w:szCs w:val="21"/>
        </w:rPr>
        <w:t>《政府采购促进中小企业发展管理办法》（财库〔2020〕46号）和</w:t>
      </w:r>
      <w:r>
        <w:rPr>
          <w:rFonts w:hint="eastAsia" w:asciiTheme="minorEastAsia" w:hAnsiTheme="minorEastAsia" w:eastAsiaTheme="minorEastAsia"/>
        </w:rPr>
        <w:t>《关于进一步加大政府采购支持中小企业力度的通知》（财库〔20</w:t>
      </w:r>
      <w:r>
        <w:rPr>
          <w:rFonts w:asciiTheme="minorEastAsia" w:hAnsiTheme="minorEastAsia" w:eastAsiaTheme="minorEastAsia"/>
        </w:rPr>
        <w:t>22</w:t>
      </w:r>
      <w:r>
        <w:rPr>
          <w:rFonts w:hint="eastAsia" w:asciiTheme="minorEastAsia" w:hAnsiTheme="minorEastAsia" w:eastAsiaTheme="minorEastAsia"/>
        </w:rPr>
        <w:t>〕</w:t>
      </w:r>
      <w:r>
        <w:rPr>
          <w:rFonts w:asciiTheme="minorEastAsia" w:hAnsiTheme="minorEastAsia" w:eastAsiaTheme="minorEastAsia"/>
        </w:rPr>
        <w:t>19</w:t>
      </w:r>
      <w:r>
        <w:rPr>
          <w:rFonts w:hint="eastAsia" w:asciiTheme="minorEastAsia" w:hAnsiTheme="minorEastAsia" w:eastAsiaTheme="minorEastAsia"/>
        </w:rPr>
        <w:t>号）的规定，对小型和微型企业给予价格扣除优惠，用扣除后的价格参与评审。</w:t>
      </w:r>
    </w:p>
    <w:p w14:paraId="30CE74B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在货物采购项目中，投标人提供的货物既有中小企业制造货物，也有大型企业制造货物的，不享受本办法规定的中小企业扶持政策。</w:t>
      </w:r>
    </w:p>
    <w:p w14:paraId="1B839C0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以联合体形式参加政府采购活动，联合体各方均为中小企业的，联合体视同中小企业。其中，联合体各方均为小微企业的，联合体视同小微企业。</w:t>
      </w:r>
    </w:p>
    <w:p w14:paraId="1DC733F6">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6841591">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符合中小企业划分标准的个体工商户，在政府采购活动中视同中小企业。</w:t>
      </w:r>
    </w:p>
    <w:p w14:paraId="32BD2653">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投标人应当按照《政府采购促进中小企业发展管理办法》规定和《统计上大中小微型企业划分办法（2017）》的划分标准，如实填写并递交《中小企业声明函》</w:t>
      </w:r>
      <w:r>
        <w:rPr>
          <w:rFonts w:hint="eastAsia" w:asciiTheme="minorEastAsia" w:hAnsiTheme="minorEastAsia" w:eastAsiaTheme="minorEastAsia"/>
        </w:rPr>
        <w:t>（声明函格式见第六章“投标文件格式”），未递交声明函的在报价评审时不对报价进行扣除。</w:t>
      </w:r>
    </w:p>
    <w:p w14:paraId="70B0875F">
      <w:pPr>
        <w:spacing w:line="360" w:lineRule="auto"/>
        <w:ind w:firstLine="422" w:firstLineChars="200"/>
        <w:jc w:val="left"/>
        <w:rPr>
          <w:rFonts w:asciiTheme="minorEastAsia" w:hAnsiTheme="minorEastAsia" w:eastAsiaTheme="minorEastAsia"/>
          <w:b/>
          <w:bCs/>
        </w:rPr>
      </w:pPr>
      <w:r>
        <w:rPr>
          <w:rFonts w:hint="eastAsia" w:asciiTheme="minorEastAsia" w:hAnsiTheme="minorEastAsia" w:eastAsiaTheme="minorEastAsia"/>
          <w:b/>
          <w:bCs/>
        </w:rPr>
        <w:t>本项目对小型、微型企业的价格扣除方式如下（表一）所示。</w:t>
      </w:r>
    </w:p>
    <w:p w14:paraId="42E54CFA">
      <w:pPr>
        <w:spacing w:line="360" w:lineRule="auto"/>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（表一）小型、微型企业政府采购优惠政策表</w:t>
      </w:r>
    </w:p>
    <w:tbl>
      <w:tblPr>
        <w:tblStyle w:val="56"/>
        <w:tblW w:w="5066" w:type="pct"/>
        <w:jc w:val="center"/>
        <w:tblLayout w:type="fixed"/>
        <w:tblCellMar>
          <w:top w:w="0" w:type="dxa"/>
          <w:left w:w="108" w:type="dxa"/>
          <w:bottom w:w="0" w:type="dxa"/>
          <w:right w:w="108" w:type="dxa"/>
        </w:tblCellMar>
      </w:tblPr>
      <w:tblGrid>
        <w:gridCol w:w="611"/>
        <w:gridCol w:w="935"/>
        <w:gridCol w:w="710"/>
        <w:gridCol w:w="3257"/>
        <w:gridCol w:w="876"/>
        <w:gridCol w:w="2906"/>
      </w:tblGrid>
      <w:tr w14:paraId="5E81537F">
        <w:trPr>
          <w:trHeight w:val="520"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49E2C">
            <w:pPr>
              <w:widowControl/>
              <w:spacing w:before="120" w:beforeLines="50" w:line="360" w:lineRule="auto"/>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503" w:type="pct"/>
            <w:tcBorders>
              <w:top w:val="single" w:color="auto" w:sz="4" w:space="0"/>
              <w:left w:val="nil"/>
              <w:bottom w:val="single" w:color="auto" w:sz="4" w:space="0"/>
              <w:right w:val="single" w:color="auto" w:sz="4" w:space="0"/>
            </w:tcBorders>
            <w:shd w:val="clear" w:color="auto" w:fill="auto"/>
            <w:noWrap/>
            <w:vAlign w:val="center"/>
          </w:tcPr>
          <w:p w14:paraId="2F89A943">
            <w:pPr>
              <w:widowControl/>
              <w:spacing w:before="120" w:beforeLines="50" w:line="360" w:lineRule="auto"/>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联合体</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03FA01A9">
            <w:pPr>
              <w:widowControl/>
              <w:spacing w:before="120" w:beforeLines="50" w:line="360" w:lineRule="auto"/>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项目类别</w:t>
            </w:r>
          </w:p>
        </w:tc>
        <w:tc>
          <w:tcPr>
            <w:tcW w:w="1752" w:type="pct"/>
            <w:tcBorders>
              <w:top w:val="single" w:color="auto" w:sz="4" w:space="0"/>
              <w:left w:val="nil"/>
              <w:bottom w:val="single" w:color="auto" w:sz="4" w:space="0"/>
              <w:right w:val="single" w:color="auto" w:sz="4" w:space="0"/>
            </w:tcBorders>
            <w:shd w:val="clear" w:color="auto" w:fill="auto"/>
            <w:noWrap/>
            <w:vAlign w:val="center"/>
          </w:tcPr>
          <w:p w14:paraId="62FDAAB5">
            <w:pPr>
              <w:widowControl/>
              <w:spacing w:before="120" w:beforeLines="50" w:line="360" w:lineRule="auto"/>
              <w:ind w:firstLine="42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符合条件</w:t>
            </w:r>
          </w:p>
        </w:tc>
        <w:tc>
          <w:tcPr>
            <w:tcW w:w="471" w:type="pct"/>
            <w:tcBorders>
              <w:top w:val="single" w:color="auto" w:sz="4" w:space="0"/>
              <w:left w:val="nil"/>
              <w:bottom w:val="single" w:color="auto" w:sz="4" w:space="0"/>
              <w:right w:val="single" w:color="auto" w:sz="4" w:space="0"/>
            </w:tcBorders>
            <w:shd w:val="clear" w:color="auto" w:fill="auto"/>
            <w:vAlign w:val="center"/>
          </w:tcPr>
          <w:p w14:paraId="6B6271A8">
            <w:pP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价格扣除比例</w:t>
            </w:r>
          </w:p>
        </w:tc>
        <w:tc>
          <w:tcPr>
            <w:tcW w:w="1563" w:type="pct"/>
            <w:tcBorders>
              <w:top w:val="single" w:color="auto" w:sz="4" w:space="0"/>
              <w:left w:val="nil"/>
              <w:bottom w:val="single" w:color="auto" w:sz="4" w:space="0"/>
              <w:right w:val="single" w:color="auto" w:sz="4" w:space="0"/>
            </w:tcBorders>
            <w:shd w:val="clear" w:color="auto" w:fill="auto"/>
            <w:noWrap/>
            <w:vAlign w:val="center"/>
          </w:tcPr>
          <w:p w14:paraId="4E95F700">
            <w:pPr>
              <w:widowControl/>
              <w:spacing w:before="120" w:beforeLines="50" w:line="360" w:lineRule="auto"/>
              <w:ind w:firstLine="42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评审价计算公式</w:t>
            </w:r>
          </w:p>
        </w:tc>
      </w:tr>
      <w:tr w14:paraId="547865DE">
        <w:trPr>
          <w:trHeight w:val="280" w:hRule="atLeast"/>
          <w:jc w:val="center"/>
        </w:trPr>
        <w:tc>
          <w:tcPr>
            <w:tcW w:w="329" w:type="pct"/>
            <w:vMerge w:val="restart"/>
            <w:tcBorders>
              <w:top w:val="nil"/>
              <w:left w:val="single" w:color="auto" w:sz="4" w:space="0"/>
              <w:bottom w:val="single" w:color="auto" w:sz="4" w:space="0"/>
              <w:right w:val="single" w:color="auto" w:sz="4" w:space="0"/>
            </w:tcBorders>
            <w:shd w:val="clear" w:color="auto" w:fill="auto"/>
            <w:noWrap/>
            <w:vAlign w:val="center"/>
          </w:tcPr>
          <w:p w14:paraId="0610EC2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503" w:type="pct"/>
            <w:vMerge w:val="restart"/>
            <w:tcBorders>
              <w:top w:val="nil"/>
              <w:left w:val="single" w:color="auto" w:sz="4" w:space="0"/>
              <w:bottom w:val="single" w:color="auto" w:sz="4" w:space="0"/>
              <w:right w:val="single" w:color="auto" w:sz="4" w:space="0"/>
            </w:tcBorders>
            <w:shd w:val="clear" w:color="auto" w:fill="auto"/>
            <w:noWrap/>
            <w:vAlign w:val="center"/>
          </w:tcPr>
          <w:p w14:paraId="4483DC5D">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联合体</w:t>
            </w:r>
          </w:p>
        </w:tc>
        <w:tc>
          <w:tcPr>
            <w:tcW w:w="382" w:type="pct"/>
            <w:vMerge w:val="restart"/>
            <w:tcBorders>
              <w:top w:val="nil"/>
              <w:left w:val="single" w:color="auto" w:sz="4" w:space="0"/>
              <w:bottom w:val="single" w:color="auto" w:sz="4" w:space="0"/>
              <w:right w:val="single" w:color="auto" w:sz="4" w:space="0"/>
            </w:tcBorders>
            <w:shd w:val="clear" w:color="auto" w:fill="auto"/>
            <w:noWrap/>
            <w:vAlign w:val="center"/>
          </w:tcPr>
          <w:p w14:paraId="0177CF3F">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采购货物</w:t>
            </w:r>
          </w:p>
        </w:tc>
        <w:tc>
          <w:tcPr>
            <w:tcW w:w="1752" w:type="pct"/>
            <w:tcBorders>
              <w:top w:val="nil"/>
              <w:left w:val="nil"/>
              <w:bottom w:val="single" w:color="auto" w:sz="4" w:space="0"/>
              <w:right w:val="single" w:color="auto" w:sz="4" w:space="0"/>
            </w:tcBorders>
            <w:shd w:val="clear" w:color="auto" w:fill="auto"/>
            <w:noWrap/>
            <w:vAlign w:val="bottom"/>
          </w:tcPr>
          <w:p w14:paraId="0AE4BFD8">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联合体单位均为小型、微型企业</w:t>
            </w:r>
          </w:p>
        </w:tc>
        <w:tc>
          <w:tcPr>
            <w:tcW w:w="471" w:type="pct"/>
            <w:tcBorders>
              <w:top w:val="nil"/>
              <w:left w:val="nil"/>
              <w:bottom w:val="single" w:color="auto" w:sz="4" w:space="0"/>
              <w:right w:val="single" w:color="auto" w:sz="4" w:space="0"/>
            </w:tcBorders>
            <w:shd w:val="clear" w:color="auto" w:fill="auto"/>
            <w:noWrap/>
            <w:vAlign w:val="center"/>
          </w:tcPr>
          <w:p w14:paraId="484C1473">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563" w:type="pct"/>
            <w:tcBorders>
              <w:top w:val="nil"/>
              <w:left w:val="nil"/>
              <w:bottom w:val="single" w:color="auto" w:sz="4" w:space="0"/>
              <w:right w:val="single" w:color="auto" w:sz="4" w:space="0"/>
            </w:tcBorders>
            <w:shd w:val="clear" w:color="auto" w:fill="auto"/>
            <w:noWrap/>
            <w:vAlign w:val="center"/>
          </w:tcPr>
          <w:p w14:paraId="1755AC29">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评审价=投标报价×（1-4%）</w:t>
            </w:r>
          </w:p>
        </w:tc>
      </w:tr>
      <w:tr w14:paraId="12424F13">
        <w:tblPrEx>
          <w:tblCellMar>
            <w:top w:w="0" w:type="dxa"/>
            <w:left w:w="108" w:type="dxa"/>
            <w:bottom w:w="0" w:type="dxa"/>
            <w:right w:w="108" w:type="dxa"/>
          </w:tblCellMar>
        </w:tblPrEx>
        <w:trPr>
          <w:trHeight w:val="1120" w:hRule="atLeast"/>
          <w:jc w:val="center"/>
        </w:trPr>
        <w:tc>
          <w:tcPr>
            <w:tcW w:w="329" w:type="pct"/>
            <w:vMerge w:val="continue"/>
            <w:tcBorders>
              <w:top w:val="nil"/>
              <w:left w:val="single" w:color="auto" w:sz="4" w:space="0"/>
              <w:bottom w:val="single" w:color="auto" w:sz="4" w:space="0"/>
              <w:right w:val="single" w:color="auto" w:sz="4" w:space="0"/>
            </w:tcBorders>
            <w:vAlign w:val="center"/>
          </w:tcPr>
          <w:p w14:paraId="0F6AC238">
            <w:pPr>
              <w:widowControl/>
              <w:spacing w:line="360" w:lineRule="auto"/>
              <w:jc w:val="left"/>
              <w:rPr>
                <w:rFonts w:cs="宋体" w:asciiTheme="minorEastAsia" w:hAnsiTheme="minorEastAsia" w:eastAsiaTheme="minorEastAsia"/>
                <w:kern w:val="0"/>
                <w:szCs w:val="21"/>
              </w:rPr>
            </w:pPr>
          </w:p>
        </w:tc>
        <w:tc>
          <w:tcPr>
            <w:tcW w:w="503" w:type="pct"/>
            <w:vMerge w:val="continue"/>
            <w:tcBorders>
              <w:top w:val="nil"/>
              <w:left w:val="single" w:color="auto" w:sz="4" w:space="0"/>
              <w:bottom w:val="single" w:color="auto" w:sz="4" w:space="0"/>
              <w:right w:val="single" w:color="auto" w:sz="4" w:space="0"/>
            </w:tcBorders>
            <w:vAlign w:val="center"/>
          </w:tcPr>
          <w:p w14:paraId="26C56763">
            <w:pPr>
              <w:widowControl/>
              <w:spacing w:line="360" w:lineRule="auto"/>
              <w:jc w:val="left"/>
              <w:rPr>
                <w:rFonts w:cs="宋体" w:asciiTheme="minorEastAsia" w:hAnsiTheme="minorEastAsia" w:eastAsiaTheme="minorEastAsia"/>
                <w:kern w:val="0"/>
                <w:szCs w:val="21"/>
              </w:rPr>
            </w:pPr>
          </w:p>
        </w:tc>
        <w:tc>
          <w:tcPr>
            <w:tcW w:w="382" w:type="pct"/>
            <w:vMerge w:val="continue"/>
            <w:tcBorders>
              <w:top w:val="nil"/>
              <w:left w:val="single" w:color="auto" w:sz="4" w:space="0"/>
              <w:bottom w:val="single" w:color="auto" w:sz="4" w:space="0"/>
              <w:right w:val="single" w:color="auto" w:sz="4" w:space="0"/>
            </w:tcBorders>
            <w:vAlign w:val="center"/>
          </w:tcPr>
          <w:p w14:paraId="5BBE84EC">
            <w:pPr>
              <w:widowControl/>
              <w:spacing w:line="360" w:lineRule="auto"/>
              <w:jc w:val="left"/>
              <w:rPr>
                <w:rFonts w:cs="宋体" w:asciiTheme="minorEastAsia" w:hAnsiTheme="minorEastAsia" w:eastAsiaTheme="minorEastAsia"/>
                <w:kern w:val="0"/>
                <w:szCs w:val="21"/>
              </w:rPr>
            </w:pPr>
          </w:p>
        </w:tc>
        <w:tc>
          <w:tcPr>
            <w:tcW w:w="1752" w:type="pct"/>
            <w:tcBorders>
              <w:top w:val="nil"/>
              <w:left w:val="nil"/>
              <w:bottom w:val="single" w:color="auto" w:sz="4" w:space="0"/>
              <w:right w:val="single" w:color="auto" w:sz="4" w:space="0"/>
            </w:tcBorders>
            <w:shd w:val="clear" w:color="auto" w:fill="auto"/>
            <w:vAlign w:val="bottom"/>
          </w:tcPr>
          <w:p w14:paraId="522346C6">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联合体单位为大型和小型、微型企业，且联合体协议书中约定小型、微型企业的合同份额占到合同总金额30%及以上</w:t>
            </w:r>
          </w:p>
        </w:tc>
        <w:tc>
          <w:tcPr>
            <w:tcW w:w="471" w:type="pct"/>
            <w:tcBorders>
              <w:top w:val="nil"/>
              <w:left w:val="nil"/>
              <w:bottom w:val="single" w:color="auto" w:sz="4" w:space="0"/>
              <w:right w:val="single" w:color="auto" w:sz="4" w:space="0"/>
            </w:tcBorders>
            <w:shd w:val="clear" w:color="auto" w:fill="auto"/>
            <w:noWrap/>
            <w:vAlign w:val="center"/>
          </w:tcPr>
          <w:p w14:paraId="743B4AF6">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563" w:type="pct"/>
            <w:tcBorders>
              <w:top w:val="nil"/>
              <w:left w:val="nil"/>
              <w:bottom w:val="single" w:color="auto" w:sz="4" w:space="0"/>
              <w:right w:val="single" w:color="auto" w:sz="4" w:space="0"/>
            </w:tcBorders>
            <w:shd w:val="clear" w:color="auto" w:fill="auto"/>
            <w:noWrap/>
            <w:vAlign w:val="center"/>
          </w:tcPr>
          <w:p w14:paraId="5326BA56">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评审价=投标报价×（1-4%）</w:t>
            </w:r>
          </w:p>
        </w:tc>
      </w:tr>
      <w:tr w14:paraId="6B125BC4">
        <w:tblPrEx>
          <w:tblCellMar>
            <w:top w:w="0" w:type="dxa"/>
            <w:left w:w="108" w:type="dxa"/>
            <w:bottom w:w="0" w:type="dxa"/>
            <w:right w:w="108" w:type="dxa"/>
          </w:tblCellMar>
        </w:tblPrEx>
        <w:trPr>
          <w:trHeight w:val="280" w:hRule="atLeast"/>
          <w:jc w:val="center"/>
        </w:trPr>
        <w:tc>
          <w:tcPr>
            <w:tcW w:w="329" w:type="pct"/>
            <w:vMerge w:val="continue"/>
            <w:tcBorders>
              <w:top w:val="nil"/>
              <w:left w:val="single" w:color="auto" w:sz="4" w:space="0"/>
              <w:bottom w:val="single" w:color="auto" w:sz="4" w:space="0"/>
              <w:right w:val="single" w:color="auto" w:sz="4" w:space="0"/>
            </w:tcBorders>
            <w:vAlign w:val="center"/>
          </w:tcPr>
          <w:p w14:paraId="1833FAF7">
            <w:pPr>
              <w:widowControl/>
              <w:spacing w:line="360" w:lineRule="auto"/>
              <w:jc w:val="left"/>
              <w:rPr>
                <w:rFonts w:cs="宋体" w:asciiTheme="minorEastAsia" w:hAnsiTheme="minorEastAsia" w:eastAsiaTheme="minorEastAsia"/>
                <w:kern w:val="0"/>
                <w:szCs w:val="21"/>
              </w:rPr>
            </w:pPr>
          </w:p>
        </w:tc>
        <w:tc>
          <w:tcPr>
            <w:tcW w:w="503" w:type="pct"/>
            <w:vMerge w:val="continue"/>
            <w:tcBorders>
              <w:top w:val="nil"/>
              <w:left w:val="single" w:color="auto" w:sz="4" w:space="0"/>
              <w:bottom w:val="single" w:color="auto" w:sz="4" w:space="0"/>
              <w:right w:val="single" w:color="auto" w:sz="4" w:space="0"/>
            </w:tcBorders>
            <w:vAlign w:val="center"/>
          </w:tcPr>
          <w:p w14:paraId="5606A5DA">
            <w:pPr>
              <w:widowControl/>
              <w:spacing w:line="360" w:lineRule="auto"/>
              <w:jc w:val="left"/>
              <w:rPr>
                <w:rFonts w:cs="宋体" w:asciiTheme="minorEastAsia" w:hAnsiTheme="minorEastAsia" w:eastAsiaTheme="minorEastAsia"/>
                <w:kern w:val="0"/>
                <w:szCs w:val="21"/>
              </w:rPr>
            </w:pPr>
          </w:p>
        </w:tc>
        <w:tc>
          <w:tcPr>
            <w:tcW w:w="382" w:type="pct"/>
            <w:vMerge w:val="restart"/>
            <w:tcBorders>
              <w:top w:val="nil"/>
              <w:left w:val="single" w:color="auto" w:sz="4" w:space="0"/>
              <w:bottom w:val="single" w:color="auto" w:sz="4" w:space="0"/>
              <w:right w:val="single" w:color="auto" w:sz="4" w:space="0"/>
            </w:tcBorders>
            <w:shd w:val="clear" w:color="auto" w:fill="auto"/>
            <w:noWrap/>
            <w:vAlign w:val="center"/>
          </w:tcPr>
          <w:p w14:paraId="22CA4374">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采购服务</w:t>
            </w:r>
          </w:p>
        </w:tc>
        <w:tc>
          <w:tcPr>
            <w:tcW w:w="1752" w:type="pct"/>
            <w:tcBorders>
              <w:top w:val="nil"/>
              <w:left w:val="nil"/>
              <w:bottom w:val="single" w:color="auto" w:sz="4" w:space="0"/>
              <w:right w:val="single" w:color="auto" w:sz="4" w:space="0"/>
            </w:tcBorders>
            <w:shd w:val="clear" w:color="auto" w:fill="auto"/>
            <w:noWrap/>
            <w:vAlign w:val="bottom"/>
          </w:tcPr>
          <w:p w14:paraId="231058F2">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联合体单位均为小型、微型企业</w:t>
            </w:r>
          </w:p>
        </w:tc>
        <w:tc>
          <w:tcPr>
            <w:tcW w:w="471" w:type="pct"/>
            <w:tcBorders>
              <w:top w:val="nil"/>
              <w:left w:val="nil"/>
              <w:bottom w:val="single" w:color="auto" w:sz="4" w:space="0"/>
              <w:right w:val="single" w:color="auto" w:sz="4" w:space="0"/>
            </w:tcBorders>
            <w:shd w:val="clear" w:color="auto" w:fill="auto"/>
            <w:noWrap/>
            <w:vAlign w:val="center"/>
          </w:tcPr>
          <w:p w14:paraId="11D8757F">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563" w:type="pct"/>
            <w:tcBorders>
              <w:top w:val="nil"/>
              <w:left w:val="nil"/>
              <w:bottom w:val="single" w:color="auto" w:sz="4" w:space="0"/>
              <w:right w:val="single" w:color="auto" w:sz="4" w:space="0"/>
            </w:tcBorders>
            <w:shd w:val="clear" w:color="auto" w:fill="auto"/>
            <w:noWrap/>
            <w:vAlign w:val="center"/>
          </w:tcPr>
          <w:p w14:paraId="6F7AB56E">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评审价=投标报价×（1-4%）</w:t>
            </w:r>
          </w:p>
        </w:tc>
      </w:tr>
      <w:tr w14:paraId="24D9A87E">
        <w:tblPrEx>
          <w:tblCellMar>
            <w:top w:w="0" w:type="dxa"/>
            <w:left w:w="108" w:type="dxa"/>
            <w:bottom w:w="0" w:type="dxa"/>
            <w:right w:w="108" w:type="dxa"/>
          </w:tblCellMar>
        </w:tblPrEx>
        <w:trPr>
          <w:trHeight w:val="1120" w:hRule="atLeast"/>
          <w:jc w:val="center"/>
        </w:trPr>
        <w:tc>
          <w:tcPr>
            <w:tcW w:w="329" w:type="pct"/>
            <w:vMerge w:val="continue"/>
            <w:tcBorders>
              <w:top w:val="nil"/>
              <w:left w:val="single" w:color="auto" w:sz="4" w:space="0"/>
              <w:bottom w:val="single" w:color="auto" w:sz="4" w:space="0"/>
              <w:right w:val="single" w:color="auto" w:sz="4" w:space="0"/>
            </w:tcBorders>
            <w:vAlign w:val="center"/>
          </w:tcPr>
          <w:p w14:paraId="60E98354">
            <w:pPr>
              <w:widowControl/>
              <w:spacing w:line="360" w:lineRule="auto"/>
              <w:jc w:val="left"/>
              <w:rPr>
                <w:rFonts w:cs="宋体" w:asciiTheme="minorEastAsia" w:hAnsiTheme="minorEastAsia" w:eastAsiaTheme="minorEastAsia"/>
                <w:kern w:val="0"/>
                <w:szCs w:val="21"/>
              </w:rPr>
            </w:pPr>
          </w:p>
        </w:tc>
        <w:tc>
          <w:tcPr>
            <w:tcW w:w="503" w:type="pct"/>
            <w:vMerge w:val="continue"/>
            <w:tcBorders>
              <w:top w:val="nil"/>
              <w:left w:val="single" w:color="auto" w:sz="4" w:space="0"/>
              <w:bottom w:val="single" w:color="auto" w:sz="4" w:space="0"/>
              <w:right w:val="single" w:color="auto" w:sz="4" w:space="0"/>
            </w:tcBorders>
            <w:vAlign w:val="center"/>
          </w:tcPr>
          <w:p w14:paraId="545B5EC5">
            <w:pPr>
              <w:widowControl/>
              <w:spacing w:line="360" w:lineRule="auto"/>
              <w:jc w:val="left"/>
              <w:rPr>
                <w:rFonts w:cs="宋体" w:asciiTheme="minorEastAsia" w:hAnsiTheme="minorEastAsia" w:eastAsiaTheme="minorEastAsia"/>
                <w:kern w:val="0"/>
                <w:szCs w:val="21"/>
              </w:rPr>
            </w:pPr>
          </w:p>
        </w:tc>
        <w:tc>
          <w:tcPr>
            <w:tcW w:w="382" w:type="pct"/>
            <w:vMerge w:val="continue"/>
            <w:tcBorders>
              <w:top w:val="nil"/>
              <w:left w:val="single" w:color="auto" w:sz="4" w:space="0"/>
              <w:bottom w:val="single" w:color="auto" w:sz="4" w:space="0"/>
              <w:right w:val="single" w:color="auto" w:sz="4" w:space="0"/>
            </w:tcBorders>
            <w:vAlign w:val="center"/>
          </w:tcPr>
          <w:p w14:paraId="0BECE93F">
            <w:pPr>
              <w:widowControl/>
              <w:spacing w:line="360" w:lineRule="auto"/>
              <w:jc w:val="left"/>
              <w:rPr>
                <w:rFonts w:cs="宋体" w:asciiTheme="minorEastAsia" w:hAnsiTheme="minorEastAsia" w:eastAsiaTheme="minorEastAsia"/>
                <w:kern w:val="0"/>
                <w:szCs w:val="21"/>
              </w:rPr>
            </w:pPr>
          </w:p>
        </w:tc>
        <w:tc>
          <w:tcPr>
            <w:tcW w:w="1752" w:type="pct"/>
            <w:tcBorders>
              <w:top w:val="nil"/>
              <w:left w:val="nil"/>
              <w:bottom w:val="single" w:color="auto" w:sz="4" w:space="0"/>
              <w:right w:val="single" w:color="auto" w:sz="4" w:space="0"/>
            </w:tcBorders>
            <w:shd w:val="clear" w:color="auto" w:fill="auto"/>
            <w:vAlign w:val="bottom"/>
          </w:tcPr>
          <w:p w14:paraId="35FCB88B">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联合体单位为大型和小型、微型企业，且联合体协议书中约定小型、微型企业的合同份额占到合同总金额30%及以上</w:t>
            </w:r>
          </w:p>
        </w:tc>
        <w:tc>
          <w:tcPr>
            <w:tcW w:w="471" w:type="pct"/>
            <w:tcBorders>
              <w:top w:val="nil"/>
              <w:left w:val="nil"/>
              <w:bottom w:val="single" w:color="auto" w:sz="4" w:space="0"/>
              <w:right w:val="single" w:color="auto" w:sz="4" w:space="0"/>
            </w:tcBorders>
            <w:shd w:val="clear" w:color="auto" w:fill="auto"/>
            <w:noWrap/>
            <w:vAlign w:val="center"/>
          </w:tcPr>
          <w:p w14:paraId="5130EB1D">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563" w:type="pct"/>
            <w:tcBorders>
              <w:top w:val="nil"/>
              <w:left w:val="nil"/>
              <w:bottom w:val="single" w:color="auto" w:sz="4" w:space="0"/>
              <w:right w:val="single" w:color="auto" w:sz="4" w:space="0"/>
            </w:tcBorders>
            <w:shd w:val="clear" w:color="auto" w:fill="auto"/>
            <w:noWrap/>
            <w:vAlign w:val="center"/>
          </w:tcPr>
          <w:p w14:paraId="47BF19B5">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评审价=投标报价×（1-4%）</w:t>
            </w:r>
          </w:p>
        </w:tc>
      </w:tr>
      <w:tr w14:paraId="7A362F0D">
        <w:tblPrEx>
          <w:tblCellMar>
            <w:top w:w="0" w:type="dxa"/>
            <w:left w:w="108" w:type="dxa"/>
            <w:bottom w:w="0" w:type="dxa"/>
            <w:right w:w="108" w:type="dxa"/>
          </w:tblCellMar>
        </w:tblPrEx>
        <w:trPr>
          <w:trHeight w:val="280" w:hRule="atLeast"/>
          <w:jc w:val="center"/>
        </w:trPr>
        <w:tc>
          <w:tcPr>
            <w:tcW w:w="329" w:type="pct"/>
            <w:vMerge w:val="continue"/>
            <w:tcBorders>
              <w:top w:val="nil"/>
              <w:left w:val="single" w:color="auto" w:sz="4" w:space="0"/>
              <w:bottom w:val="single" w:color="auto" w:sz="4" w:space="0"/>
              <w:right w:val="single" w:color="auto" w:sz="4" w:space="0"/>
            </w:tcBorders>
            <w:vAlign w:val="center"/>
          </w:tcPr>
          <w:p w14:paraId="5B70BE05">
            <w:pPr>
              <w:widowControl/>
              <w:spacing w:line="360" w:lineRule="auto"/>
              <w:jc w:val="left"/>
              <w:rPr>
                <w:rFonts w:cs="宋体" w:asciiTheme="minorEastAsia" w:hAnsiTheme="minorEastAsia" w:eastAsiaTheme="minorEastAsia"/>
                <w:kern w:val="0"/>
                <w:szCs w:val="21"/>
              </w:rPr>
            </w:pPr>
          </w:p>
        </w:tc>
        <w:tc>
          <w:tcPr>
            <w:tcW w:w="503" w:type="pct"/>
            <w:vMerge w:val="continue"/>
            <w:tcBorders>
              <w:top w:val="nil"/>
              <w:left w:val="single" w:color="auto" w:sz="4" w:space="0"/>
              <w:bottom w:val="single" w:color="auto" w:sz="4" w:space="0"/>
              <w:right w:val="single" w:color="auto" w:sz="4" w:space="0"/>
            </w:tcBorders>
            <w:vAlign w:val="center"/>
          </w:tcPr>
          <w:p w14:paraId="0D5A656F">
            <w:pPr>
              <w:widowControl/>
              <w:spacing w:line="360" w:lineRule="auto"/>
              <w:jc w:val="left"/>
              <w:rPr>
                <w:rFonts w:cs="宋体" w:asciiTheme="minorEastAsia" w:hAnsiTheme="minorEastAsia" w:eastAsiaTheme="minorEastAsia"/>
                <w:kern w:val="0"/>
                <w:szCs w:val="21"/>
              </w:rPr>
            </w:pPr>
          </w:p>
        </w:tc>
        <w:tc>
          <w:tcPr>
            <w:tcW w:w="382" w:type="pct"/>
            <w:vMerge w:val="restart"/>
            <w:tcBorders>
              <w:top w:val="nil"/>
              <w:left w:val="single" w:color="auto" w:sz="4" w:space="0"/>
              <w:bottom w:val="single" w:color="auto" w:sz="4" w:space="0"/>
              <w:right w:val="single" w:color="auto" w:sz="4" w:space="0"/>
            </w:tcBorders>
            <w:shd w:val="clear" w:color="auto" w:fill="auto"/>
            <w:noWrap/>
            <w:vAlign w:val="center"/>
          </w:tcPr>
          <w:p w14:paraId="4601835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采购工程</w:t>
            </w:r>
          </w:p>
        </w:tc>
        <w:tc>
          <w:tcPr>
            <w:tcW w:w="1752" w:type="pct"/>
            <w:tcBorders>
              <w:top w:val="nil"/>
              <w:left w:val="nil"/>
              <w:bottom w:val="single" w:color="auto" w:sz="4" w:space="0"/>
              <w:right w:val="single" w:color="auto" w:sz="4" w:space="0"/>
            </w:tcBorders>
            <w:shd w:val="clear" w:color="auto" w:fill="auto"/>
            <w:noWrap/>
            <w:vAlign w:val="bottom"/>
          </w:tcPr>
          <w:p w14:paraId="206668C3">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联合体单位均为小型、微型企业</w:t>
            </w:r>
          </w:p>
        </w:tc>
        <w:tc>
          <w:tcPr>
            <w:tcW w:w="471" w:type="pct"/>
            <w:tcBorders>
              <w:top w:val="nil"/>
              <w:left w:val="nil"/>
              <w:bottom w:val="single" w:color="auto" w:sz="4" w:space="0"/>
              <w:right w:val="single" w:color="auto" w:sz="4" w:space="0"/>
            </w:tcBorders>
            <w:shd w:val="clear" w:color="auto" w:fill="auto"/>
            <w:noWrap/>
            <w:vAlign w:val="center"/>
          </w:tcPr>
          <w:p w14:paraId="08497A5F">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563" w:type="pct"/>
            <w:tcBorders>
              <w:top w:val="nil"/>
              <w:left w:val="nil"/>
              <w:bottom w:val="single" w:color="auto" w:sz="4" w:space="0"/>
              <w:right w:val="single" w:color="auto" w:sz="4" w:space="0"/>
            </w:tcBorders>
            <w:shd w:val="clear" w:color="auto" w:fill="auto"/>
            <w:noWrap/>
            <w:vAlign w:val="center"/>
          </w:tcPr>
          <w:p w14:paraId="00434097">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评审价=投标报价×（1-1%）</w:t>
            </w:r>
          </w:p>
        </w:tc>
      </w:tr>
      <w:tr w14:paraId="1169BA3E">
        <w:tblPrEx>
          <w:tblCellMar>
            <w:top w:w="0" w:type="dxa"/>
            <w:left w:w="108" w:type="dxa"/>
            <w:bottom w:w="0" w:type="dxa"/>
            <w:right w:w="108" w:type="dxa"/>
          </w:tblCellMar>
        </w:tblPrEx>
        <w:trPr>
          <w:trHeight w:val="1123" w:hRule="atLeast"/>
          <w:jc w:val="center"/>
        </w:trPr>
        <w:tc>
          <w:tcPr>
            <w:tcW w:w="329" w:type="pct"/>
            <w:vMerge w:val="continue"/>
            <w:tcBorders>
              <w:top w:val="nil"/>
              <w:left w:val="single" w:color="auto" w:sz="4" w:space="0"/>
              <w:bottom w:val="single" w:color="auto" w:sz="4" w:space="0"/>
              <w:right w:val="single" w:color="auto" w:sz="4" w:space="0"/>
            </w:tcBorders>
            <w:vAlign w:val="center"/>
          </w:tcPr>
          <w:p w14:paraId="73E3EB75">
            <w:pPr>
              <w:widowControl/>
              <w:spacing w:line="360" w:lineRule="auto"/>
              <w:jc w:val="left"/>
              <w:rPr>
                <w:rFonts w:cs="宋体" w:asciiTheme="minorEastAsia" w:hAnsiTheme="minorEastAsia" w:eastAsiaTheme="minorEastAsia"/>
                <w:kern w:val="0"/>
                <w:szCs w:val="21"/>
              </w:rPr>
            </w:pPr>
          </w:p>
        </w:tc>
        <w:tc>
          <w:tcPr>
            <w:tcW w:w="503" w:type="pct"/>
            <w:vMerge w:val="continue"/>
            <w:tcBorders>
              <w:top w:val="nil"/>
              <w:left w:val="single" w:color="auto" w:sz="4" w:space="0"/>
              <w:bottom w:val="single" w:color="auto" w:sz="4" w:space="0"/>
              <w:right w:val="single" w:color="auto" w:sz="4" w:space="0"/>
            </w:tcBorders>
            <w:vAlign w:val="center"/>
          </w:tcPr>
          <w:p w14:paraId="63AF77BB">
            <w:pPr>
              <w:widowControl/>
              <w:spacing w:line="360" w:lineRule="auto"/>
              <w:jc w:val="left"/>
              <w:rPr>
                <w:rFonts w:cs="宋体" w:asciiTheme="minorEastAsia" w:hAnsiTheme="minorEastAsia" w:eastAsiaTheme="minorEastAsia"/>
                <w:kern w:val="0"/>
                <w:szCs w:val="21"/>
              </w:rPr>
            </w:pPr>
          </w:p>
        </w:tc>
        <w:tc>
          <w:tcPr>
            <w:tcW w:w="382" w:type="pct"/>
            <w:vMerge w:val="continue"/>
            <w:tcBorders>
              <w:top w:val="nil"/>
              <w:left w:val="single" w:color="auto" w:sz="4" w:space="0"/>
              <w:bottom w:val="single" w:color="auto" w:sz="4" w:space="0"/>
              <w:right w:val="single" w:color="auto" w:sz="4" w:space="0"/>
            </w:tcBorders>
            <w:vAlign w:val="center"/>
          </w:tcPr>
          <w:p w14:paraId="008CFDD1">
            <w:pPr>
              <w:widowControl/>
              <w:spacing w:line="360" w:lineRule="auto"/>
              <w:jc w:val="left"/>
              <w:rPr>
                <w:rFonts w:cs="宋体" w:asciiTheme="minorEastAsia" w:hAnsiTheme="minorEastAsia" w:eastAsiaTheme="minorEastAsia"/>
                <w:kern w:val="0"/>
                <w:szCs w:val="21"/>
              </w:rPr>
            </w:pPr>
          </w:p>
        </w:tc>
        <w:tc>
          <w:tcPr>
            <w:tcW w:w="1752" w:type="pct"/>
            <w:tcBorders>
              <w:top w:val="nil"/>
              <w:left w:val="nil"/>
              <w:bottom w:val="single" w:color="auto" w:sz="4" w:space="0"/>
              <w:right w:val="single" w:color="auto" w:sz="4" w:space="0"/>
            </w:tcBorders>
            <w:shd w:val="clear" w:color="auto" w:fill="auto"/>
            <w:vAlign w:val="bottom"/>
          </w:tcPr>
          <w:p w14:paraId="566EE6B9">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联合体单位为大型和小型、微型企业，且联合体协议书中约定小型、微型企业的合同份额占到合同总金额30%及以上</w:t>
            </w:r>
          </w:p>
        </w:tc>
        <w:tc>
          <w:tcPr>
            <w:tcW w:w="471" w:type="pct"/>
            <w:tcBorders>
              <w:top w:val="nil"/>
              <w:left w:val="nil"/>
              <w:bottom w:val="single" w:color="auto" w:sz="4" w:space="0"/>
              <w:right w:val="single" w:color="auto" w:sz="4" w:space="0"/>
            </w:tcBorders>
            <w:shd w:val="clear" w:color="auto" w:fill="auto"/>
            <w:noWrap/>
            <w:vAlign w:val="center"/>
          </w:tcPr>
          <w:p w14:paraId="126D3F06">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563" w:type="pct"/>
            <w:tcBorders>
              <w:top w:val="nil"/>
              <w:left w:val="nil"/>
              <w:bottom w:val="single" w:color="auto" w:sz="4" w:space="0"/>
              <w:right w:val="single" w:color="auto" w:sz="4" w:space="0"/>
            </w:tcBorders>
            <w:shd w:val="clear" w:color="auto" w:fill="auto"/>
            <w:noWrap/>
            <w:vAlign w:val="center"/>
          </w:tcPr>
          <w:p w14:paraId="7B564D9C">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评审价=投标报价×（1-1%）</w:t>
            </w:r>
          </w:p>
        </w:tc>
      </w:tr>
      <w:tr w14:paraId="3FBBE109">
        <w:tblPrEx>
          <w:tblCellMar>
            <w:top w:w="0" w:type="dxa"/>
            <w:left w:w="108" w:type="dxa"/>
            <w:bottom w:w="0" w:type="dxa"/>
            <w:right w:w="108" w:type="dxa"/>
          </w:tblCellMar>
        </w:tblPrEx>
        <w:trPr>
          <w:trHeight w:val="280" w:hRule="atLeast"/>
          <w:jc w:val="center"/>
        </w:trPr>
        <w:tc>
          <w:tcPr>
            <w:tcW w:w="329" w:type="pct"/>
            <w:vMerge w:val="restart"/>
            <w:tcBorders>
              <w:top w:val="nil"/>
              <w:left w:val="single" w:color="auto" w:sz="4" w:space="0"/>
              <w:bottom w:val="single" w:color="auto" w:sz="4" w:space="0"/>
              <w:right w:val="single" w:color="auto" w:sz="4" w:space="0"/>
            </w:tcBorders>
            <w:shd w:val="clear" w:color="auto" w:fill="auto"/>
            <w:noWrap/>
            <w:vAlign w:val="center"/>
          </w:tcPr>
          <w:p w14:paraId="23A81611">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03" w:type="pct"/>
            <w:vMerge w:val="restart"/>
            <w:tcBorders>
              <w:top w:val="nil"/>
              <w:left w:val="single" w:color="auto" w:sz="4" w:space="0"/>
              <w:bottom w:val="single" w:color="auto" w:sz="4" w:space="0"/>
              <w:right w:val="single" w:color="auto" w:sz="4" w:space="0"/>
            </w:tcBorders>
            <w:shd w:val="clear" w:color="auto" w:fill="auto"/>
            <w:noWrap/>
            <w:vAlign w:val="center"/>
          </w:tcPr>
          <w:p w14:paraId="066E0B77">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非联</w:t>
            </w:r>
          </w:p>
          <w:p w14:paraId="323BC302">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合体</w:t>
            </w:r>
          </w:p>
        </w:tc>
        <w:tc>
          <w:tcPr>
            <w:tcW w:w="382" w:type="pct"/>
            <w:tcBorders>
              <w:top w:val="nil"/>
              <w:left w:val="nil"/>
              <w:bottom w:val="single" w:color="auto" w:sz="4" w:space="0"/>
              <w:right w:val="single" w:color="auto" w:sz="4" w:space="0"/>
            </w:tcBorders>
            <w:shd w:val="clear" w:color="auto" w:fill="auto"/>
            <w:noWrap/>
            <w:vAlign w:val="bottom"/>
          </w:tcPr>
          <w:p w14:paraId="2EC043A7">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采购货物</w:t>
            </w:r>
          </w:p>
        </w:tc>
        <w:tc>
          <w:tcPr>
            <w:tcW w:w="1752" w:type="pct"/>
            <w:tcBorders>
              <w:top w:val="nil"/>
              <w:left w:val="nil"/>
              <w:bottom w:val="single" w:color="auto" w:sz="4" w:space="0"/>
              <w:right w:val="single" w:color="auto" w:sz="4" w:space="0"/>
            </w:tcBorders>
            <w:shd w:val="clear" w:color="auto" w:fill="auto"/>
            <w:noWrap/>
            <w:vAlign w:val="center"/>
          </w:tcPr>
          <w:p w14:paraId="0FCB6169">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货物由小型、微型企业制造</w:t>
            </w:r>
          </w:p>
        </w:tc>
        <w:tc>
          <w:tcPr>
            <w:tcW w:w="471" w:type="pct"/>
            <w:tcBorders>
              <w:top w:val="nil"/>
              <w:left w:val="nil"/>
              <w:bottom w:val="single" w:color="auto" w:sz="4" w:space="0"/>
              <w:right w:val="single" w:color="auto" w:sz="4" w:space="0"/>
            </w:tcBorders>
            <w:shd w:val="clear" w:color="auto" w:fill="auto"/>
            <w:noWrap/>
            <w:vAlign w:val="center"/>
          </w:tcPr>
          <w:p w14:paraId="0A0B3C08">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1563" w:type="pct"/>
            <w:tcBorders>
              <w:top w:val="nil"/>
              <w:left w:val="nil"/>
              <w:bottom w:val="single" w:color="auto" w:sz="4" w:space="0"/>
              <w:right w:val="single" w:color="auto" w:sz="4" w:space="0"/>
            </w:tcBorders>
            <w:shd w:val="clear" w:color="auto" w:fill="auto"/>
            <w:noWrap/>
            <w:vAlign w:val="center"/>
          </w:tcPr>
          <w:p w14:paraId="773DD6A7">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评审价=投标报价×（1-10%）</w:t>
            </w:r>
          </w:p>
        </w:tc>
      </w:tr>
      <w:tr w14:paraId="0CCF1D62">
        <w:tblPrEx>
          <w:tblCellMar>
            <w:top w:w="0" w:type="dxa"/>
            <w:left w:w="108" w:type="dxa"/>
            <w:bottom w:w="0" w:type="dxa"/>
            <w:right w:w="108" w:type="dxa"/>
          </w:tblCellMar>
        </w:tblPrEx>
        <w:trPr>
          <w:trHeight w:val="280" w:hRule="atLeast"/>
          <w:jc w:val="center"/>
        </w:trPr>
        <w:tc>
          <w:tcPr>
            <w:tcW w:w="329" w:type="pct"/>
            <w:vMerge w:val="continue"/>
            <w:tcBorders>
              <w:top w:val="nil"/>
              <w:left w:val="single" w:color="auto" w:sz="4" w:space="0"/>
              <w:bottom w:val="single" w:color="auto" w:sz="4" w:space="0"/>
              <w:right w:val="single" w:color="auto" w:sz="4" w:space="0"/>
            </w:tcBorders>
            <w:vAlign w:val="center"/>
          </w:tcPr>
          <w:p w14:paraId="40208773">
            <w:pPr>
              <w:widowControl/>
              <w:spacing w:line="360" w:lineRule="auto"/>
              <w:jc w:val="left"/>
              <w:rPr>
                <w:rFonts w:cs="宋体" w:asciiTheme="minorEastAsia" w:hAnsiTheme="minorEastAsia" w:eastAsiaTheme="minorEastAsia"/>
                <w:kern w:val="0"/>
                <w:szCs w:val="21"/>
              </w:rPr>
            </w:pPr>
          </w:p>
        </w:tc>
        <w:tc>
          <w:tcPr>
            <w:tcW w:w="503" w:type="pct"/>
            <w:vMerge w:val="continue"/>
            <w:tcBorders>
              <w:top w:val="nil"/>
              <w:left w:val="single" w:color="auto" w:sz="4" w:space="0"/>
              <w:bottom w:val="single" w:color="auto" w:sz="4" w:space="0"/>
              <w:right w:val="single" w:color="auto" w:sz="4" w:space="0"/>
            </w:tcBorders>
            <w:vAlign w:val="center"/>
          </w:tcPr>
          <w:p w14:paraId="439AD960">
            <w:pPr>
              <w:widowControl/>
              <w:spacing w:line="360" w:lineRule="auto"/>
              <w:jc w:val="left"/>
              <w:rPr>
                <w:rFonts w:cs="宋体" w:asciiTheme="minorEastAsia" w:hAnsiTheme="minorEastAsia" w:eastAsiaTheme="minorEastAsia"/>
                <w:kern w:val="0"/>
                <w:szCs w:val="21"/>
              </w:rPr>
            </w:pPr>
          </w:p>
        </w:tc>
        <w:tc>
          <w:tcPr>
            <w:tcW w:w="382" w:type="pct"/>
            <w:tcBorders>
              <w:top w:val="nil"/>
              <w:left w:val="nil"/>
              <w:bottom w:val="single" w:color="auto" w:sz="4" w:space="0"/>
              <w:right w:val="single" w:color="auto" w:sz="4" w:space="0"/>
            </w:tcBorders>
            <w:shd w:val="clear" w:color="auto" w:fill="auto"/>
            <w:noWrap/>
            <w:vAlign w:val="bottom"/>
          </w:tcPr>
          <w:p w14:paraId="065C2638">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采购服务</w:t>
            </w:r>
          </w:p>
        </w:tc>
        <w:tc>
          <w:tcPr>
            <w:tcW w:w="1752" w:type="pct"/>
            <w:tcBorders>
              <w:top w:val="nil"/>
              <w:left w:val="nil"/>
              <w:bottom w:val="single" w:color="auto" w:sz="4" w:space="0"/>
              <w:right w:val="single" w:color="auto" w:sz="4" w:space="0"/>
            </w:tcBorders>
            <w:shd w:val="clear" w:color="auto" w:fill="auto"/>
            <w:noWrap/>
            <w:vAlign w:val="center"/>
          </w:tcPr>
          <w:p w14:paraId="3B2900D1">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服务由小型、微型企业承接</w:t>
            </w:r>
          </w:p>
        </w:tc>
        <w:tc>
          <w:tcPr>
            <w:tcW w:w="471" w:type="pct"/>
            <w:tcBorders>
              <w:top w:val="nil"/>
              <w:left w:val="nil"/>
              <w:bottom w:val="single" w:color="auto" w:sz="4" w:space="0"/>
              <w:right w:val="single" w:color="auto" w:sz="4" w:space="0"/>
            </w:tcBorders>
            <w:shd w:val="clear" w:color="auto" w:fill="auto"/>
            <w:noWrap/>
            <w:vAlign w:val="center"/>
          </w:tcPr>
          <w:p w14:paraId="7D26FBB1">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1563" w:type="pct"/>
            <w:tcBorders>
              <w:top w:val="nil"/>
              <w:left w:val="nil"/>
              <w:bottom w:val="single" w:color="auto" w:sz="4" w:space="0"/>
              <w:right w:val="single" w:color="auto" w:sz="4" w:space="0"/>
            </w:tcBorders>
            <w:shd w:val="clear" w:color="auto" w:fill="auto"/>
            <w:noWrap/>
            <w:vAlign w:val="center"/>
          </w:tcPr>
          <w:p w14:paraId="7A18849E">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评审价=投标报价×（1-10%）</w:t>
            </w:r>
          </w:p>
        </w:tc>
      </w:tr>
      <w:tr w14:paraId="72F55CF5">
        <w:tblPrEx>
          <w:tblCellMar>
            <w:top w:w="0" w:type="dxa"/>
            <w:left w:w="108" w:type="dxa"/>
            <w:bottom w:w="0" w:type="dxa"/>
            <w:right w:w="108" w:type="dxa"/>
          </w:tblCellMar>
        </w:tblPrEx>
        <w:trPr>
          <w:trHeight w:val="280" w:hRule="atLeast"/>
          <w:jc w:val="center"/>
        </w:trPr>
        <w:tc>
          <w:tcPr>
            <w:tcW w:w="329" w:type="pct"/>
            <w:vMerge w:val="continue"/>
            <w:tcBorders>
              <w:top w:val="nil"/>
              <w:left w:val="single" w:color="auto" w:sz="4" w:space="0"/>
              <w:bottom w:val="single" w:color="auto" w:sz="4" w:space="0"/>
              <w:right w:val="single" w:color="auto" w:sz="4" w:space="0"/>
            </w:tcBorders>
            <w:vAlign w:val="center"/>
          </w:tcPr>
          <w:p w14:paraId="674E4B1E">
            <w:pPr>
              <w:widowControl/>
              <w:spacing w:line="360" w:lineRule="auto"/>
              <w:jc w:val="left"/>
              <w:rPr>
                <w:rFonts w:cs="宋体" w:asciiTheme="minorEastAsia" w:hAnsiTheme="minorEastAsia" w:eastAsiaTheme="minorEastAsia"/>
                <w:kern w:val="0"/>
                <w:szCs w:val="21"/>
              </w:rPr>
            </w:pPr>
          </w:p>
        </w:tc>
        <w:tc>
          <w:tcPr>
            <w:tcW w:w="503" w:type="pct"/>
            <w:vMerge w:val="continue"/>
            <w:tcBorders>
              <w:top w:val="nil"/>
              <w:left w:val="single" w:color="auto" w:sz="4" w:space="0"/>
              <w:bottom w:val="single" w:color="auto" w:sz="4" w:space="0"/>
              <w:right w:val="single" w:color="auto" w:sz="4" w:space="0"/>
            </w:tcBorders>
            <w:vAlign w:val="center"/>
          </w:tcPr>
          <w:p w14:paraId="33871DFE">
            <w:pPr>
              <w:widowControl/>
              <w:spacing w:line="360" w:lineRule="auto"/>
              <w:jc w:val="left"/>
              <w:rPr>
                <w:rFonts w:cs="宋体" w:asciiTheme="minorEastAsia" w:hAnsiTheme="minorEastAsia" w:eastAsiaTheme="minorEastAsia"/>
                <w:kern w:val="0"/>
                <w:szCs w:val="21"/>
              </w:rPr>
            </w:pPr>
          </w:p>
        </w:tc>
        <w:tc>
          <w:tcPr>
            <w:tcW w:w="382" w:type="pct"/>
            <w:tcBorders>
              <w:top w:val="nil"/>
              <w:left w:val="nil"/>
              <w:bottom w:val="single" w:color="auto" w:sz="4" w:space="0"/>
              <w:right w:val="single" w:color="auto" w:sz="4" w:space="0"/>
            </w:tcBorders>
            <w:shd w:val="clear" w:color="auto" w:fill="auto"/>
            <w:noWrap/>
            <w:vAlign w:val="bottom"/>
          </w:tcPr>
          <w:p w14:paraId="15416509">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采购工程</w:t>
            </w:r>
          </w:p>
        </w:tc>
        <w:tc>
          <w:tcPr>
            <w:tcW w:w="1752" w:type="pct"/>
            <w:tcBorders>
              <w:top w:val="nil"/>
              <w:left w:val="nil"/>
              <w:bottom w:val="single" w:color="auto" w:sz="4" w:space="0"/>
              <w:right w:val="single" w:color="auto" w:sz="4" w:space="0"/>
            </w:tcBorders>
            <w:shd w:val="clear" w:color="auto" w:fill="auto"/>
            <w:noWrap/>
            <w:vAlign w:val="center"/>
          </w:tcPr>
          <w:p w14:paraId="5F6C2D9B">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工程由小型、微型企业承建</w:t>
            </w:r>
          </w:p>
        </w:tc>
        <w:tc>
          <w:tcPr>
            <w:tcW w:w="471" w:type="pct"/>
            <w:tcBorders>
              <w:top w:val="nil"/>
              <w:left w:val="nil"/>
              <w:bottom w:val="single" w:color="auto" w:sz="4" w:space="0"/>
              <w:right w:val="single" w:color="auto" w:sz="4" w:space="0"/>
            </w:tcBorders>
            <w:shd w:val="clear" w:color="auto" w:fill="auto"/>
            <w:noWrap/>
            <w:vAlign w:val="center"/>
          </w:tcPr>
          <w:p w14:paraId="58C9D163">
            <w:pPr>
              <w:widowControl/>
              <w:spacing w:before="120"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563" w:type="pct"/>
            <w:tcBorders>
              <w:top w:val="nil"/>
              <w:left w:val="nil"/>
              <w:bottom w:val="single" w:color="auto" w:sz="4" w:space="0"/>
              <w:right w:val="single" w:color="auto" w:sz="4" w:space="0"/>
            </w:tcBorders>
            <w:shd w:val="clear" w:color="auto" w:fill="auto"/>
            <w:noWrap/>
            <w:vAlign w:val="center"/>
          </w:tcPr>
          <w:p w14:paraId="5D955B64">
            <w:pPr>
              <w:widowControl/>
              <w:spacing w:before="120" w:beforeLines="5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评审价=投标报价×（1-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w:t>
            </w:r>
          </w:p>
        </w:tc>
      </w:tr>
      <w:tr w14:paraId="0E40F35C">
        <w:tblPrEx>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C3DFCEB">
            <w:pPr>
              <w:widowControl/>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说明：大型企业与小型、微型企业组成联合体，但联合体协议书中未体现相应合同金额约定，或联合体协议书中约定小型、微型企业的合同份额占到合同总金额30%以下的，其价格不予扣除。</w:t>
            </w:r>
          </w:p>
        </w:tc>
      </w:tr>
    </w:tbl>
    <w:p w14:paraId="48CCF72D">
      <w:pPr>
        <w:spacing w:line="360" w:lineRule="auto"/>
        <w:ind w:firstLine="422" w:firstLineChars="200"/>
        <w:jc w:val="center"/>
        <w:rPr>
          <w:rFonts w:cs="宋体" w:asciiTheme="minorEastAsia" w:hAnsiTheme="minorEastAsia" w:eastAsiaTheme="minorEastAsia"/>
          <w:b/>
          <w:kern w:val="0"/>
          <w:sz w:val="24"/>
          <w:szCs w:val="22"/>
        </w:rPr>
      </w:pPr>
      <w:r>
        <w:rPr>
          <w:rFonts w:asciiTheme="minorEastAsia" w:hAnsiTheme="minorEastAsia" w:eastAsiaTheme="minorEastAsia"/>
          <w:b/>
          <w:bCs/>
        </w:rPr>
        <w:br w:type="page"/>
      </w:r>
      <w:r>
        <w:rPr>
          <w:rFonts w:hint="eastAsia" w:asciiTheme="minorEastAsia" w:hAnsiTheme="minorEastAsia" w:eastAsiaTheme="minorEastAsia"/>
          <w:b/>
          <w:bCs/>
          <w:sz w:val="24"/>
          <w:szCs w:val="24"/>
        </w:rPr>
        <w:t>（表二）统计上大中小微型企业划分标准</w:t>
      </w:r>
    </w:p>
    <w:tbl>
      <w:tblPr>
        <w:tblStyle w:val="5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466"/>
        <w:gridCol w:w="711"/>
        <w:gridCol w:w="1129"/>
        <w:gridCol w:w="1706"/>
        <w:gridCol w:w="1431"/>
        <w:gridCol w:w="995"/>
      </w:tblGrid>
      <w:tr w14:paraId="3E9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625" w:type="dxa"/>
            <w:shd w:val="clear" w:color="auto" w:fill="auto"/>
            <w:vAlign w:val="center"/>
          </w:tcPr>
          <w:p w14:paraId="41851578">
            <w:pPr>
              <w:widowControl/>
              <w:contextualSpacing/>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行业名称</w:t>
            </w:r>
          </w:p>
        </w:tc>
        <w:tc>
          <w:tcPr>
            <w:tcW w:w="1466" w:type="dxa"/>
            <w:shd w:val="clear" w:color="auto" w:fill="auto"/>
            <w:vAlign w:val="center"/>
          </w:tcPr>
          <w:p w14:paraId="78E613A6">
            <w:pPr>
              <w:widowControl/>
              <w:contextualSpacing/>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指标名称</w:t>
            </w:r>
          </w:p>
        </w:tc>
        <w:tc>
          <w:tcPr>
            <w:tcW w:w="711" w:type="dxa"/>
            <w:shd w:val="clear" w:color="auto" w:fill="auto"/>
            <w:vAlign w:val="center"/>
          </w:tcPr>
          <w:p w14:paraId="4BA8EA5D">
            <w:pPr>
              <w:widowControl/>
              <w:contextualSpacing/>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计量</w:t>
            </w:r>
            <w:r>
              <w:rPr>
                <w:rFonts w:hint="eastAsia" w:cs="宋体" w:asciiTheme="minorEastAsia" w:hAnsiTheme="minorEastAsia" w:eastAsiaTheme="minorEastAsia"/>
                <w:b/>
                <w:bCs/>
                <w:kern w:val="0"/>
                <w:szCs w:val="21"/>
              </w:rPr>
              <w:br w:type="textWrapping"/>
            </w:r>
            <w:r>
              <w:rPr>
                <w:rFonts w:hint="eastAsia" w:cs="宋体" w:asciiTheme="minorEastAsia" w:hAnsiTheme="minorEastAsia" w:eastAsiaTheme="minorEastAsia"/>
                <w:b/>
                <w:bCs/>
                <w:kern w:val="0"/>
                <w:szCs w:val="21"/>
              </w:rPr>
              <w:t>单位</w:t>
            </w:r>
          </w:p>
        </w:tc>
        <w:tc>
          <w:tcPr>
            <w:tcW w:w="1129" w:type="dxa"/>
            <w:shd w:val="clear" w:color="auto" w:fill="auto"/>
            <w:vAlign w:val="center"/>
          </w:tcPr>
          <w:p w14:paraId="12819BCF">
            <w:pPr>
              <w:widowControl/>
              <w:contextualSpacing/>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大型</w:t>
            </w:r>
          </w:p>
        </w:tc>
        <w:tc>
          <w:tcPr>
            <w:tcW w:w="1706" w:type="dxa"/>
            <w:shd w:val="clear" w:color="auto" w:fill="auto"/>
            <w:vAlign w:val="center"/>
          </w:tcPr>
          <w:p w14:paraId="145DD69C">
            <w:pPr>
              <w:widowControl/>
              <w:ind w:firstLine="422"/>
              <w:contextualSpacing/>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中型</w:t>
            </w:r>
          </w:p>
        </w:tc>
        <w:tc>
          <w:tcPr>
            <w:tcW w:w="1431" w:type="dxa"/>
            <w:shd w:val="clear" w:color="auto" w:fill="auto"/>
            <w:vAlign w:val="center"/>
          </w:tcPr>
          <w:p w14:paraId="58793536">
            <w:pPr>
              <w:widowControl/>
              <w:ind w:firstLine="422"/>
              <w:contextualSpacing/>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小型</w:t>
            </w:r>
          </w:p>
        </w:tc>
        <w:tc>
          <w:tcPr>
            <w:tcW w:w="995" w:type="dxa"/>
            <w:shd w:val="clear" w:color="auto" w:fill="auto"/>
            <w:vAlign w:val="center"/>
          </w:tcPr>
          <w:p w14:paraId="58A5D96B">
            <w:pPr>
              <w:widowControl/>
              <w:contextualSpacing/>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微型</w:t>
            </w:r>
          </w:p>
        </w:tc>
      </w:tr>
      <w:tr w14:paraId="1C40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625" w:type="dxa"/>
            <w:shd w:val="clear" w:color="auto" w:fill="auto"/>
            <w:vAlign w:val="center"/>
          </w:tcPr>
          <w:p w14:paraId="3A212593">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农、林、牧、渔业</w:t>
            </w:r>
          </w:p>
        </w:tc>
        <w:tc>
          <w:tcPr>
            <w:tcW w:w="1466" w:type="dxa"/>
            <w:shd w:val="clear" w:color="auto" w:fill="auto"/>
            <w:vAlign w:val="center"/>
          </w:tcPr>
          <w:p w14:paraId="2EA7C33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71B7D80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6BAEABA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Y≥20000</w:t>
            </w:r>
          </w:p>
        </w:tc>
        <w:tc>
          <w:tcPr>
            <w:tcW w:w="1706" w:type="dxa"/>
            <w:shd w:val="clear" w:color="auto" w:fill="auto"/>
            <w:vAlign w:val="center"/>
          </w:tcPr>
          <w:p w14:paraId="74E2915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500≤Y＜20000</w:t>
            </w:r>
          </w:p>
        </w:tc>
        <w:tc>
          <w:tcPr>
            <w:tcW w:w="1431" w:type="dxa"/>
            <w:shd w:val="clear" w:color="auto" w:fill="auto"/>
            <w:vAlign w:val="center"/>
          </w:tcPr>
          <w:p w14:paraId="70F98DE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50≤Y＜500</w:t>
            </w:r>
          </w:p>
        </w:tc>
        <w:tc>
          <w:tcPr>
            <w:tcW w:w="995" w:type="dxa"/>
            <w:shd w:val="clear" w:color="auto" w:fill="auto"/>
            <w:vAlign w:val="center"/>
          </w:tcPr>
          <w:p w14:paraId="4758FFFA">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Y＜50</w:t>
            </w:r>
          </w:p>
        </w:tc>
      </w:tr>
      <w:tr w14:paraId="5D2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625" w:type="dxa"/>
            <w:vMerge w:val="restart"/>
            <w:shd w:val="clear" w:color="auto" w:fill="auto"/>
            <w:vAlign w:val="center"/>
          </w:tcPr>
          <w:p w14:paraId="1C3B2BA4">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工业 *</w:t>
            </w:r>
          </w:p>
        </w:tc>
        <w:tc>
          <w:tcPr>
            <w:tcW w:w="1466" w:type="dxa"/>
            <w:shd w:val="clear" w:color="auto" w:fill="auto"/>
            <w:vAlign w:val="center"/>
          </w:tcPr>
          <w:p w14:paraId="12C6A2C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6F874BAB">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0A63346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X≥1000</w:t>
            </w:r>
          </w:p>
        </w:tc>
        <w:tc>
          <w:tcPr>
            <w:tcW w:w="1706" w:type="dxa"/>
            <w:shd w:val="clear" w:color="auto" w:fill="auto"/>
            <w:vAlign w:val="center"/>
          </w:tcPr>
          <w:p w14:paraId="55FD78D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300≤X＜1000</w:t>
            </w:r>
          </w:p>
        </w:tc>
        <w:tc>
          <w:tcPr>
            <w:tcW w:w="1431" w:type="dxa"/>
            <w:shd w:val="clear" w:color="auto" w:fill="auto"/>
            <w:vAlign w:val="center"/>
          </w:tcPr>
          <w:p w14:paraId="6665794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20≤X＜300</w:t>
            </w:r>
          </w:p>
        </w:tc>
        <w:tc>
          <w:tcPr>
            <w:tcW w:w="995" w:type="dxa"/>
            <w:shd w:val="clear" w:color="auto" w:fill="auto"/>
            <w:vAlign w:val="center"/>
          </w:tcPr>
          <w:p w14:paraId="52D2A1F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X＜20</w:t>
            </w:r>
          </w:p>
        </w:tc>
      </w:tr>
      <w:tr w14:paraId="597F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625" w:type="dxa"/>
            <w:vMerge w:val="continue"/>
            <w:vAlign w:val="center"/>
          </w:tcPr>
          <w:p w14:paraId="19813DF9">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22BD325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1D0476E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6251324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Y≥40000</w:t>
            </w:r>
          </w:p>
        </w:tc>
        <w:tc>
          <w:tcPr>
            <w:tcW w:w="1706" w:type="dxa"/>
            <w:shd w:val="clear" w:color="auto" w:fill="auto"/>
            <w:vAlign w:val="center"/>
          </w:tcPr>
          <w:p w14:paraId="315E11F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2000≤Y＜40000</w:t>
            </w:r>
          </w:p>
        </w:tc>
        <w:tc>
          <w:tcPr>
            <w:tcW w:w="1431" w:type="dxa"/>
            <w:shd w:val="clear" w:color="auto" w:fill="auto"/>
            <w:vAlign w:val="center"/>
          </w:tcPr>
          <w:p w14:paraId="79A27D0B">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300≤Y＜2000</w:t>
            </w:r>
          </w:p>
        </w:tc>
        <w:tc>
          <w:tcPr>
            <w:tcW w:w="995" w:type="dxa"/>
            <w:shd w:val="clear" w:color="auto" w:fill="auto"/>
            <w:vAlign w:val="center"/>
          </w:tcPr>
          <w:p w14:paraId="37604327">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Y＜300</w:t>
            </w:r>
          </w:p>
        </w:tc>
      </w:tr>
      <w:tr w14:paraId="7578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625" w:type="dxa"/>
            <w:vMerge w:val="restart"/>
            <w:shd w:val="clear" w:color="auto" w:fill="auto"/>
            <w:vAlign w:val="center"/>
          </w:tcPr>
          <w:p w14:paraId="62771D66">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建筑业</w:t>
            </w:r>
          </w:p>
        </w:tc>
        <w:tc>
          <w:tcPr>
            <w:tcW w:w="1466" w:type="dxa"/>
            <w:shd w:val="clear" w:color="auto" w:fill="auto"/>
            <w:vAlign w:val="center"/>
          </w:tcPr>
          <w:p w14:paraId="07B8B77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5853ED6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0BF3F50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Y≥80000</w:t>
            </w:r>
          </w:p>
        </w:tc>
        <w:tc>
          <w:tcPr>
            <w:tcW w:w="1706" w:type="dxa"/>
            <w:shd w:val="clear" w:color="auto" w:fill="auto"/>
            <w:vAlign w:val="center"/>
          </w:tcPr>
          <w:p w14:paraId="0FB0255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6000≤Y＜80000</w:t>
            </w:r>
          </w:p>
        </w:tc>
        <w:tc>
          <w:tcPr>
            <w:tcW w:w="1431" w:type="dxa"/>
            <w:shd w:val="clear" w:color="auto" w:fill="auto"/>
            <w:vAlign w:val="center"/>
          </w:tcPr>
          <w:p w14:paraId="67E7DB6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300≤Y＜6000</w:t>
            </w:r>
          </w:p>
        </w:tc>
        <w:tc>
          <w:tcPr>
            <w:tcW w:w="995" w:type="dxa"/>
            <w:shd w:val="clear" w:color="auto" w:fill="auto"/>
            <w:vAlign w:val="center"/>
          </w:tcPr>
          <w:p w14:paraId="2048361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Y＜300</w:t>
            </w:r>
          </w:p>
        </w:tc>
      </w:tr>
      <w:tr w14:paraId="4DC1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625" w:type="dxa"/>
            <w:vMerge w:val="continue"/>
            <w:vAlign w:val="center"/>
          </w:tcPr>
          <w:p w14:paraId="67282145">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521A5EA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资产总额(Z)</w:t>
            </w:r>
          </w:p>
        </w:tc>
        <w:tc>
          <w:tcPr>
            <w:tcW w:w="711" w:type="dxa"/>
            <w:shd w:val="clear" w:color="auto" w:fill="auto"/>
            <w:vAlign w:val="center"/>
          </w:tcPr>
          <w:p w14:paraId="6CC379E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2F9519F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Z≥80000</w:t>
            </w:r>
          </w:p>
        </w:tc>
        <w:tc>
          <w:tcPr>
            <w:tcW w:w="1706" w:type="dxa"/>
            <w:shd w:val="clear" w:color="auto" w:fill="auto"/>
            <w:vAlign w:val="center"/>
          </w:tcPr>
          <w:p w14:paraId="6891773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5000≤Z＜80000</w:t>
            </w:r>
          </w:p>
        </w:tc>
        <w:tc>
          <w:tcPr>
            <w:tcW w:w="1431" w:type="dxa"/>
            <w:shd w:val="clear" w:color="auto" w:fill="auto"/>
            <w:vAlign w:val="center"/>
          </w:tcPr>
          <w:p w14:paraId="2C31237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300≤Z＜5000</w:t>
            </w:r>
          </w:p>
        </w:tc>
        <w:tc>
          <w:tcPr>
            <w:tcW w:w="995" w:type="dxa"/>
            <w:shd w:val="clear" w:color="auto" w:fill="auto"/>
            <w:vAlign w:val="center"/>
          </w:tcPr>
          <w:p w14:paraId="073AA9A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Z＜300</w:t>
            </w:r>
          </w:p>
        </w:tc>
      </w:tr>
      <w:tr w14:paraId="05A9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625" w:type="dxa"/>
            <w:vMerge w:val="restart"/>
            <w:shd w:val="clear" w:color="auto" w:fill="auto"/>
            <w:vAlign w:val="center"/>
          </w:tcPr>
          <w:p w14:paraId="7CEC63A2">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批发业</w:t>
            </w:r>
          </w:p>
        </w:tc>
        <w:tc>
          <w:tcPr>
            <w:tcW w:w="1466" w:type="dxa"/>
            <w:shd w:val="clear" w:color="auto" w:fill="auto"/>
            <w:vAlign w:val="center"/>
          </w:tcPr>
          <w:p w14:paraId="18B8435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4335552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01BF7DD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X≥200</w:t>
            </w:r>
          </w:p>
        </w:tc>
        <w:tc>
          <w:tcPr>
            <w:tcW w:w="1706" w:type="dxa"/>
            <w:shd w:val="clear" w:color="auto" w:fill="auto"/>
            <w:vAlign w:val="center"/>
          </w:tcPr>
          <w:p w14:paraId="1FCE10A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20≤X＜200</w:t>
            </w:r>
          </w:p>
        </w:tc>
        <w:tc>
          <w:tcPr>
            <w:tcW w:w="1431" w:type="dxa"/>
            <w:shd w:val="clear" w:color="auto" w:fill="auto"/>
            <w:vAlign w:val="center"/>
          </w:tcPr>
          <w:p w14:paraId="387B4DE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5≤X＜20</w:t>
            </w:r>
          </w:p>
        </w:tc>
        <w:tc>
          <w:tcPr>
            <w:tcW w:w="995" w:type="dxa"/>
            <w:shd w:val="clear" w:color="auto" w:fill="auto"/>
            <w:vAlign w:val="center"/>
          </w:tcPr>
          <w:p w14:paraId="52E653B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X＜5</w:t>
            </w:r>
          </w:p>
        </w:tc>
      </w:tr>
      <w:tr w14:paraId="0959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625" w:type="dxa"/>
            <w:vMerge w:val="continue"/>
            <w:vAlign w:val="center"/>
          </w:tcPr>
          <w:p w14:paraId="4A5DD84C">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31A9858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654D706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555C064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Y≥40000</w:t>
            </w:r>
          </w:p>
        </w:tc>
        <w:tc>
          <w:tcPr>
            <w:tcW w:w="1706" w:type="dxa"/>
            <w:shd w:val="clear" w:color="auto" w:fill="auto"/>
            <w:vAlign w:val="center"/>
          </w:tcPr>
          <w:p w14:paraId="1DC6DC0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5000≤Y＜40000</w:t>
            </w:r>
          </w:p>
        </w:tc>
        <w:tc>
          <w:tcPr>
            <w:tcW w:w="1431" w:type="dxa"/>
            <w:shd w:val="clear" w:color="auto" w:fill="auto"/>
            <w:vAlign w:val="center"/>
          </w:tcPr>
          <w:p w14:paraId="7DF03894">
            <w:pPr>
              <w:widowControl/>
              <w:spacing w:line="360" w:lineRule="auto"/>
              <w:ind w:left="-2" w:leftChars="-1" w:firstLine="42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1000≤Y＜5000</w:t>
            </w:r>
          </w:p>
        </w:tc>
        <w:tc>
          <w:tcPr>
            <w:tcW w:w="995" w:type="dxa"/>
            <w:shd w:val="clear" w:color="auto" w:fill="auto"/>
            <w:vAlign w:val="center"/>
          </w:tcPr>
          <w:p w14:paraId="13DB02BA">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Y＜1000</w:t>
            </w:r>
          </w:p>
        </w:tc>
      </w:tr>
      <w:tr w14:paraId="3116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625" w:type="dxa"/>
            <w:vMerge w:val="restart"/>
            <w:shd w:val="clear" w:color="auto" w:fill="auto"/>
            <w:vAlign w:val="center"/>
          </w:tcPr>
          <w:p w14:paraId="538FC474">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零售业</w:t>
            </w:r>
          </w:p>
        </w:tc>
        <w:tc>
          <w:tcPr>
            <w:tcW w:w="1466" w:type="dxa"/>
            <w:shd w:val="clear" w:color="auto" w:fill="auto"/>
            <w:vAlign w:val="center"/>
          </w:tcPr>
          <w:p w14:paraId="7F75A44A">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162A48B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2F5AAED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X≥300</w:t>
            </w:r>
          </w:p>
        </w:tc>
        <w:tc>
          <w:tcPr>
            <w:tcW w:w="1706" w:type="dxa"/>
            <w:shd w:val="clear" w:color="auto" w:fill="auto"/>
            <w:vAlign w:val="center"/>
          </w:tcPr>
          <w:p w14:paraId="3F12B44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50≤X＜300</w:t>
            </w:r>
          </w:p>
        </w:tc>
        <w:tc>
          <w:tcPr>
            <w:tcW w:w="1431" w:type="dxa"/>
            <w:shd w:val="clear" w:color="auto" w:fill="auto"/>
            <w:vAlign w:val="center"/>
          </w:tcPr>
          <w:p w14:paraId="666218A1">
            <w:pPr>
              <w:widowControl/>
              <w:spacing w:line="360" w:lineRule="auto"/>
              <w:ind w:left="-2" w:leftChars="-1" w:firstLine="42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10≤X＜50 </w:t>
            </w:r>
          </w:p>
        </w:tc>
        <w:tc>
          <w:tcPr>
            <w:tcW w:w="995" w:type="dxa"/>
            <w:shd w:val="clear" w:color="auto" w:fill="auto"/>
            <w:vAlign w:val="center"/>
          </w:tcPr>
          <w:p w14:paraId="67E9A7F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w:t>
            </w:r>
          </w:p>
        </w:tc>
      </w:tr>
      <w:tr w14:paraId="30A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625" w:type="dxa"/>
            <w:vMerge w:val="continue"/>
            <w:vAlign w:val="center"/>
          </w:tcPr>
          <w:p w14:paraId="40BE36BD">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0E7C201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7C0A02FE">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515CEDD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Y≥20000</w:t>
            </w:r>
          </w:p>
        </w:tc>
        <w:tc>
          <w:tcPr>
            <w:tcW w:w="1706" w:type="dxa"/>
            <w:shd w:val="clear" w:color="auto" w:fill="auto"/>
            <w:vAlign w:val="center"/>
          </w:tcPr>
          <w:p w14:paraId="4639BC17">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500≤Y＜20000</w:t>
            </w:r>
          </w:p>
        </w:tc>
        <w:tc>
          <w:tcPr>
            <w:tcW w:w="1431" w:type="dxa"/>
            <w:shd w:val="clear" w:color="auto" w:fill="auto"/>
            <w:vAlign w:val="center"/>
          </w:tcPr>
          <w:p w14:paraId="22440ADA">
            <w:pPr>
              <w:widowControl/>
              <w:spacing w:line="360" w:lineRule="auto"/>
              <w:ind w:left="-2" w:leftChars="-1" w:firstLine="42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100≤Y＜500 </w:t>
            </w:r>
          </w:p>
        </w:tc>
        <w:tc>
          <w:tcPr>
            <w:tcW w:w="995" w:type="dxa"/>
            <w:shd w:val="clear" w:color="auto" w:fill="auto"/>
            <w:vAlign w:val="center"/>
          </w:tcPr>
          <w:p w14:paraId="74A61AB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w:t>
            </w:r>
          </w:p>
        </w:tc>
      </w:tr>
      <w:tr w14:paraId="00FB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625" w:type="dxa"/>
            <w:vMerge w:val="restart"/>
            <w:shd w:val="clear" w:color="auto" w:fill="auto"/>
            <w:vAlign w:val="center"/>
          </w:tcPr>
          <w:p w14:paraId="409B109B">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交通运输业</w:t>
            </w:r>
          </w:p>
        </w:tc>
        <w:tc>
          <w:tcPr>
            <w:tcW w:w="1466" w:type="dxa"/>
            <w:shd w:val="clear" w:color="auto" w:fill="auto"/>
            <w:vAlign w:val="center"/>
          </w:tcPr>
          <w:p w14:paraId="1FD28A3B">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2B410F1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19F6588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X≥1000</w:t>
            </w:r>
          </w:p>
        </w:tc>
        <w:tc>
          <w:tcPr>
            <w:tcW w:w="1706" w:type="dxa"/>
            <w:shd w:val="clear" w:color="auto" w:fill="auto"/>
            <w:vAlign w:val="center"/>
          </w:tcPr>
          <w:p w14:paraId="69732A3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300≤X＜1000</w:t>
            </w:r>
          </w:p>
        </w:tc>
        <w:tc>
          <w:tcPr>
            <w:tcW w:w="1431" w:type="dxa"/>
            <w:shd w:val="clear" w:color="auto" w:fill="auto"/>
            <w:vAlign w:val="center"/>
          </w:tcPr>
          <w:p w14:paraId="498C5E2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20≤X＜300</w:t>
            </w:r>
          </w:p>
        </w:tc>
        <w:tc>
          <w:tcPr>
            <w:tcW w:w="995" w:type="dxa"/>
            <w:shd w:val="clear" w:color="auto" w:fill="auto"/>
            <w:vAlign w:val="center"/>
          </w:tcPr>
          <w:p w14:paraId="3DD6AA4A">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X＜20</w:t>
            </w:r>
          </w:p>
        </w:tc>
      </w:tr>
      <w:tr w14:paraId="15ED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625" w:type="dxa"/>
            <w:vMerge w:val="continue"/>
            <w:vAlign w:val="center"/>
          </w:tcPr>
          <w:p w14:paraId="373723E9">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77AEC30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09A74A6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4AC7F96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Y≥30000</w:t>
            </w:r>
          </w:p>
        </w:tc>
        <w:tc>
          <w:tcPr>
            <w:tcW w:w="1706" w:type="dxa"/>
            <w:shd w:val="clear" w:color="auto" w:fill="auto"/>
            <w:vAlign w:val="center"/>
          </w:tcPr>
          <w:p w14:paraId="48A4287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3000≤Y＜30000</w:t>
            </w:r>
          </w:p>
        </w:tc>
        <w:tc>
          <w:tcPr>
            <w:tcW w:w="1431" w:type="dxa"/>
            <w:shd w:val="clear" w:color="auto" w:fill="auto"/>
            <w:vAlign w:val="center"/>
          </w:tcPr>
          <w:p w14:paraId="51CD2A7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200≤Y＜3000</w:t>
            </w:r>
          </w:p>
        </w:tc>
        <w:tc>
          <w:tcPr>
            <w:tcW w:w="995" w:type="dxa"/>
            <w:shd w:val="clear" w:color="auto" w:fill="auto"/>
            <w:vAlign w:val="center"/>
          </w:tcPr>
          <w:p w14:paraId="3A58C03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Y＜200</w:t>
            </w:r>
          </w:p>
        </w:tc>
      </w:tr>
      <w:tr w14:paraId="424A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625" w:type="dxa"/>
            <w:vMerge w:val="restart"/>
            <w:shd w:val="clear" w:color="auto" w:fill="auto"/>
            <w:vAlign w:val="center"/>
          </w:tcPr>
          <w:p w14:paraId="533384C4">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仓储业</w:t>
            </w:r>
          </w:p>
        </w:tc>
        <w:tc>
          <w:tcPr>
            <w:tcW w:w="1466" w:type="dxa"/>
            <w:shd w:val="clear" w:color="auto" w:fill="auto"/>
            <w:vAlign w:val="center"/>
          </w:tcPr>
          <w:p w14:paraId="2ACEC99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7491819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6EE2A87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X≥200</w:t>
            </w:r>
          </w:p>
        </w:tc>
        <w:tc>
          <w:tcPr>
            <w:tcW w:w="1706" w:type="dxa"/>
            <w:shd w:val="clear" w:color="auto" w:fill="auto"/>
            <w:vAlign w:val="center"/>
          </w:tcPr>
          <w:p w14:paraId="2CAB4CE9">
            <w:pPr>
              <w:widowControl/>
              <w:spacing w:line="360" w:lineRule="auto"/>
              <w:ind w:left="19" w:leftChars="-51" w:hanging="126" w:hangingChars="6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100≤X＜200</w:t>
            </w:r>
          </w:p>
        </w:tc>
        <w:tc>
          <w:tcPr>
            <w:tcW w:w="1431" w:type="dxa"/>
            <w:shd w:val="clear" w:color="auto" w:fill="auto"/>
            <w:vAlign w:val="center"/>
          </w:tcPr>
          <w:p w14:paraId="650F86F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20≤X＜100</w:t>
            </w:r>
          </w:p>
        </w:tc>
        <w:tc>
          <w:tcPr>
            <w:tcW w:w="995" w:type="dxa"/>
            <w:shd w:val="clear" w:color="auto" w:fill="auto"/>
            <w:vAlign w:val="center"/>
          </w:tcPr>
          <w:p w14:paraId="5BF39A4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X＜20</w:t>
            </w:r>
          </w:p>
        </w:tc>
      </w:tr>
      <w:tr w14:paraId="55B4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625" w:type="dxa"/>
            <w:vMerge w:val="continue"/>
            <w:vAlign w:val="center"/>
          </w:tcPr>
          <w:p w14:paraId="0F72C5C2">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0E14A8C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09149E3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0777B83E">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Y≥30000</w:t>
            </w:r>
          </w:p>
        </w:tc>
        <w:tc>
          <w:tcPr>
            <w:tcW w:w="1706" w:type="dxa"/>
            <w:shd w:val="clear" w:color="auto" w:fill="auto"/>
            <w:vAlign w:val="center"/>
          </w:tcPr>
          <w:p w14:paraId="62E0F82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1000≤Y＜30000</w:t>
            </w:r>
          </w:p>
        </w:tc>
        <w:tc>
          <w:tcPr>
            <w:tcW w:w="1431" w:type="dxa"/>
            <w:shd w:val="clear" w:color="auto" w:fill="auto"/>
            <w:vAlign w:val="center"/>
          </w:tcPr>
          <w:p w14:paraId="1F08072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100≤Y＜1000</w:t>
            </w:r>
          </w:p>
        </w:tc>
        <w:tc>
          <w:tcPr>
            <w:tcW w:w="995" w:type="dxa"/>
            <w:shd w:val="clear" w:color="auto" w:fill="auto"/>
            <w:vAlign w:val="center"/>
          </w:tcPr>
          <w:p w14:paraId="65CCD0FA">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w:t>
            </w:r>
          </w:p>
        </w:tc>
      </w:tr>
      <w:tr w14:paraId="31E7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625" w:type="dxa"/>
            <w:vMerge w:val="restart"/>
            <w:shd w:val="clear" w:color="auto" w:fill="auto"/>
            <w:vAlign w:val="center"/>
          </w:tcPr>
          <w:p w14:paraId="13AC694E">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邮政业</w:t>
            </w:r>
          </w:p>
        </w:tc>
        <w:tc>
          <w:tcPr>
            <w:tcW w:w="1466" w:type="dxa"/>
            <w:shd w:val="clear" w:color="auto" w:fill="auto"/>
            <w:vAlign w:val="center"/>
          </w:tcPr>
          <w:p w14:paraId="577D9EFB">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695C0DF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06B31FC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X≥1000</w:t>
            </w:r>
          </w:p>
        </w:tc>
        <w:tc>
          <w:tcPr>
            <w:tcW w:w="1706" w:type="dxa"/>
            <w:shd w:val="clear" w:color="auto" w:fill="auto"/>
            <w:vAlign w:val="center"/>
          </w:tcPr>
          <w:p w14:paraId="6AA2A91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300≤X＜1000</w:t>
            </w:r>
          </w:p>
        </w:tc>
        <w:tc>
          <w:tcPr>
            <w:tcW w:w="1431" w:type="dxa"/>
            <w:shd w:val="clear" w:color="auto" w:fill="auto"/>
            <w:vAlign w:val="center"/>
          </w:tcPr>
          <w:p w14:paraId="23769C8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20≤X＜300</w:t>
            </w:r>
          </w:p>
        </w:tc>
        <w:tc>
          <w:tcPr>
            <w:tcW w:w="995" w:type="dxa"/>
            <w:shd w:val="clear" w:color="auto" w:fill="auto"/>
            <w:vAlign w:val="center"/>
          </w:tcPr>
          <w:p w14:paraId="59F7196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X＜20</w:t>
            </w:r>
          </w:p>
        </w:tc>
      </w:tr>
      <w:tr w14:paraId="7D75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625" w:type="dxa"/>
            <w:vMerge w:val="continue"/>
            <w:vAlign w:val="center"/>
          </w:tcPr>
          <w:p w14:paraId="6B24EADA">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2940CEC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723DB69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29D19F9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Y≥30000</w:t>
            </w:r>
          </w:p>
        </w:tc>
        <w:tc>
          <w:tcPr>
            <w:tcW w:w="1706" w:type="dxa"/>
            <w:shd w:val="clear" w:color="auto" w:fill="auto"/>
            <w:vAlign w:val="center"/>
          </w:tcPr>
          <w:p w14:paraId="46343B9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2000≤Y＜30000</w:t>
            </w:r>
          </w:p>
        </w:tc>
        <w:tc>
          <w:tcPr>
            <w:tcW w:w="1431" w:type="dxa"/>
            <w:shd w:val="clear" w:color="auto" w:fill="auto"/>
            <w:vAlign w:val="center"/>
          </w:tcPr>
          <w:p w14:paraId="252D86D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100≤Y＜2000</w:t>
            </w:r>
          </w:p>
        </w:tc>
        <w:tc>
          <w:tcPr>
            <w:tcW w:w="995" w:type="dxa"/>
            <w:shd w:val="clear" w:color="auto" w:fill="auto"/>
            <w:vAlign w:val="center"/>
          </w:tcPr>
          <w:p w14:paraId="0069872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w:t>
            </w:r>
          </w:p>
        </w:tc>
      </w:tr>
      <w:tr w14:paraId="51D0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625" w:type="dxa"/>
            <w:vMerge w:val="restart"/>
            <w:shd w:val="clear" w:color="auto" w:fill="auto"/>
            <w:vAlign w:val="center"/>
          </w:tcPr>
          <w:p w14:paraId="3FABF55E">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住宿业</w:t>
            </w:r>
          </w:p>
        </w:tc>
        <w:tc>
          <w:tcPr>
            <w:tcW w:w="1466" w:type="dxa"/>
            <w:shd w:val="clear" w:color="auto" w:fill="auto"/>
            <w:vAlign w:val="center"/>
          </w:tcPr>
          <w:p w14:paraId="18B4028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18E0868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18553DE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X≥300</w:t>
            </w:r>
          </w:p>
        </w:tc>
        <w:tc>
          <w:tcPr>
            <w:tcW w:w="1706" w:type="dxa"/>
            <w:shd w:val="clear" w:color="auto" w:fill="auto"/>
            <w:vAlign w:val="center"/>
          </w:tcPr>
          <w:p w14:paraId="0DE238A4">
            <w:pPr>
              <w:widowControl/>
              <w:spacing w:line="360" w:lineRule="auto"/>
              <w:ind w:left="19" w:leftChars="-51" w:hanging="126" w:hangingChars="6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100≤X＜300 </w:t>
            </w:r>
          </w:p>
        </w:tc>
        <w:tc>
          <w:tcPr>
            <w:tcW w:w="1431" w:type="dxa"/>
            <w:shd w:val="clear" w:color="auto" w:fill="auto"/>
            <w:vAlign w:val="center"/>
          </w:tcPr>
          <w:p w14:paraId="15B81CCB">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10≤X＜100</w:t>
            </w:r>
          </w:p>
        </w:tc>
        <w:tc>
          <w:tcPr>
            <w:tcW w:w="995" w:type="dxa"/>
            <w:shd w:val="clear" w:color="auto" w:fill="auto"/>
            <w:vAlign w:val="center"/>
          </w:tcPr>
          <w:p w14:paraId="0BE9ED0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w:t>
            </w:r>
          </w:p>
        </w:tc>
      </w:tr>
      <w:tr w14:paraId="7303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625" w:type="dxa"/>
            <w:vMerge w:val="continue"/>
            <w:vAlign w:val="center"/>
          </w:tcPr>
          <w:p w14:paraId="2190968E">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3D73636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1677F4BB">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452DC84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Y≥10000</w:t>
            </w:r>
          </w:p>
        </w:tc>
        <w:tc>
          <w:tcPr>
            <w:tcW w:w="1706" w:type="dxa"/>
            <w:shd w:val="clear" w:color="auto" w:fill="auto"/>
            <w:vAlign w:val="center"/>
          </w:tcPr>
          <w:p w14:paraId="48316F4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2000≤Y＜10000</w:t>
            </w:r>
          </w:p>
        </w:tc>
        <w:tc>
          <w:tcPr>
            <w:tcW w:w="1431" w:type="dxa"/>
            <w:shd w:val="clear" w:color="auto" w:fill="auto"/>
            <w:vAlign w:val="center"/>
          </w:tcPr>
          <w:p w14:paraId="1A751CA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100≤Y＜2000</w:t>
            </w:r>
          </w:p>
        </w:tc>
        <w:tc>
          <w:tcPr>
            <w:tcW w:w="995" w:type="dxa"/>
            <w:shd w:val="clear" w:color="auto" w:fill="auto"/>
            <w:vAlign w:val="center"/>
          </w:tcPr>
          <w:p w14:paraId="6181680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w:t>
            </w:r>
          </w:p>
        </w:tc>
      </w:tr>
      <w:tr w14:paraId="0887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625" w:type="dxa"/>
            <w:vMerge w:val="restart"/>
            <w:shd w:val="clear" w:color="auto" w:fill="auto"/>
            <w:vAlign w:val="center"/>
          </w:tcPr>
          <w:p w14:paraId="2DFF7E9F">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餐饮业</w:t>
            </w:r>
          </w:p>
        </w:tc>
        <w:tc>
          <w:tcPr>
            <w:tcW w:w="1466" w:type="dxa"/>
            <w:shd w:val="clear" w:color="auto" w:fill="auto"/>
            <w:vAlign w:val="center"/>
          </w:tcPr>
          <w:p w14:paraId="61F1F45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06749E7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57353F8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X≥300</w:t>
            </w:r>
          </w:p>
        </w:tc>
        <w:tc>
          <w:tcPr>
            <w:tcW w:w="1706" w:type="dxa"/>
            <w:shd w:val="clear" w:color="auto" w:fill="auto"/>
            <w:vAlign w:val="center"/>
          </w:tcPr>
          <w:p w14:paraId="2DB1656D">
            <w:pPr>
              <w:widowControl/>
              <w:spacing w:line="360" w:lineRule="auto"/>
              <w:ind w:left="19" w:leftChars="-51" w:hanging="126" w:hangingChars="6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100≤X＜300 </w:t>
            </w:r>
          </w:p>
        </w:tc>
        <w:tc>
          <w:tcPr>
            <w:tcW w:w="1431" w:type="dxa"/>
            <w:shd w:val="clear" w:color="auto" w:fill="auto"/>
            <w:vAlign w:val="center"/>
          </w:tcPr>
          <w:p w14:paraId="3D489BF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10≤X＜100</w:t>
            </w:r>
          </w:p>
        </w:tc>
        <w:tc>
          <w:tcPr>
            <w:tcW w:w="995" w:type="dxa"/>
            <w:shd w:val="clear" w:color="auto" w:fill="auto"/>
            <w:vAlign w:val="center"/>
          </w:tcPr>
          <w:p w14:paraId="617BE82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w:t>
            </w:r>
          </w:p>
        </w:tc>
      </w:tr>
      <w:tr w14:paraId="7AF2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625" w:type="dxa"/>
            <w:vMerge w:val="continue"/>
            <w:vAlign w:val="center"/>
          </w:tcPr>
          <w:p w14:paraId="6460E6FE">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4C54D86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57696E3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45599EE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Y≥10000</w:t>
            </w:r>
          </w:p>
        </w:tc>
        <w:tc>
          <w:tcPr>
            <w:tcW w:w="1706" w:type="dxa"/>
            <w:shd w:val="clear" w:color="auto" w:fill="auto"/>
            <w:vAlign w:val="center"/>
          </w:tcPr>
          <w:p w14:paraId="382BDC7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2000≤Y＜10000</w:t>
            </w:r>
          </w:p>
        </w:tc>
        <w:tc>
          <w:tcPr>
            <w:tcW w:w="1431" w:type="dxa"/>
            <w:shd w:val="clear" w:color="auto" w:fill="auto"/>
            <w:vAlign w:val="center"/>
          </w:tcPr>
          <w:p w14:paraId="4CD7E0C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100≤Y＜2000</w:t>
            </w:r>
          </w:p>
        </w:tc>
        <w:tc>
          <w:tcPr>
            <w:tcW w:w="995" w:type="dxa"/>
            <w:shd w:val="clear" w:color="auto" w:fill="auto"/>
            <w:vAlign w:val="center"/>
          </w:tcPr>
          <w:p w14:paraId="78377AC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w:t>
            </w:r>
          </w:p>
        </w:tc>
      </w:tr>
      <w:tr w14:paraId="7986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625" w:type="dxa"/>
            <w:vMerge w:val="restart"/>
            <w:shd w:val="clear" w:color="auto" w:fill="auto"/>
            <w:vAlign w:val="center"/>
          </w:tcPr>
          <w:p w14:paraId="2FAAAFF4">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信息传输业</w:t>
            </w:r>
          </w:p>
        </w:tc>
        <w:tc>
          <w:tcPr>
            <w:tcW w:w="1466" w:type="dxa"/>
            <w:shd w:val="clear" w:color="auto" w:fill="auto"/>
            <w:vAlign w:val="center"/>
          </w:tcPr>
          <w:p w14:paraId="0FF52BA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7D3227D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2BE335E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X≥2000</w:t>
            </w:r>
          </w:p>
        </w:tc>
        <w:tc>
          <w:tcPr>
            <w:tcW w:w="1706" w:type="dxa"/>
            <w:shd w:val="clear" w:color="auto" w:fill="auto"/>
            <w:vAlign w:val="center"/>
          </w:tcPr>
          <w:p w14:paraId="5D50FCF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100≤X＜2000</w:t>
            </w:r>
          </w:p>
        </w:tc>
        <w:tc>
          <w:tcPr>
            <w:tcW w:w="1431" w:type="dxa"/>
            <w:shd w:val="clear" w:color="auto" w:fill="auto"/>
            <w:vAlign w:val="center"/>
          </w:tcPr>
          <w:p w14:paraId="553052E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10≤X＜100</w:t>
            </w:r>
          </w:p>
        </w:tc>
        <w:tc>
          <w:tcPr>
            <w:tcW w:w="995" w:type="dxa"/>
            <w:shd w:val="clear" w:color="auto" w:fill="auto"/>
            <w:vAlign w:val="center"/>
          </w:tcPr>
          <w:p w14:paraId="0D5B710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w:t>
            </w:r>
          </w:p>
        </w:tc>
      </w:tr>
      <w:tr w14:paraId="26A1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625" w:type="dxa"/>
            <w:vMerge w:val="continue"/>
            <w:vAlign w:val="center"/>
          </w:tcPr>
          <w:p w14:paraId="49AF9D14">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607AC49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330231C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486A1597">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Y≥100000</w:t>
            </w:r>
          </w:p>
        </w:tc>
        <w:tc>
          <w:tcPr>
            <w:tcW w:w="1706" w:type="dxa"/>
            <w:shd w:val="clear" w:color="auto" w:fill="auto"/>
            <w:vAlign w:val="center"/>
          </w:tcPr>
          <w:p w14:paraId="5A1AB11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1000≤Y＜100000</w:t>
            </w:r>
          </w:p>
        </w:tc>
        <w:tc>
          <w:tcPr>
            <w:tcW w:w="1431" w:type="dxa"/>
            <w:shd w:val="clear" w:color="auto" w:fill="auto"/>
            <w:vAlign w:val="center"/>
          </w:tcPr>
          <w:p w14:paraId="7429CE97">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100≤Y＜1000</w:t>
            </w:r>
          </w:p>
        </w:tc>
        <w:tc>
          <w:tcPr>
            <w:tcW w:w="995" w:type="dxa"/>
            <w:shd w:val="clear" w:color="auto" w:fill="auto"/>
            <w:vAlign w:val="center"/>
          </w:tcPr>
          <w:p w14:paraId="243D2A4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w:t>
            </w:r>
          </w:p>
        </w:tc>
      </w:tr>
      <w:tr w14:paraId="1347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625" w:type="dxa"/>
            <w:vMerge w:val="restart"/>
            <w:shd w:val="clear" w:color="auto" w:fill="auto"/>
            <w:vAlign w:val="center"/>
          </w:tcPr>
          <w:p w14:paraId="46422E54">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软件和信息技术服务业*</w:t>
            </w:r>
          </w:p>
        </w:tc>
        <w:tc>
          <w:tcPr>
            <w:tcW w:w="1466" w:type="dxa"/>
            <w:shd w:val="clear" w:color="auto" w:fill="auto"/>
            <w:vAlign w:val="center"/>
          </w:tcPr>
          <w:p w14:paraId="370DB8C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355849D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6CCB419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X≥300</w:t>
            </w:r>
          </w:p>
        </w:tc>
        <w:tc>
          <w:tcPr>
            <w:tcW w:w="1706" w:type="dxa"/>
            <w:shd w:val="clear" w:color="auto" w:fill="auto"/>
            <w:vAlign w:val="center"/>
          </w:tcPr>
          <w:p w14:paraId="02796940">
            <w:pPr>
              <w:widowControl/>
              <w:spacing w:line="360" w:lineRule="auto"/>
              <w:ind w:left="19" w:leftChars="-51" w:hanging="126" w:hangingChars="6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100≤X＜300 </w:t>
            </w:r>
          </w:p>
        </w:tc>
        <w:tc>
          <w:tcPr>
            <w:tcW w:w="1431" w:type="dxa"/>
            <w:shd w:val="clear" w:color="auto" w:fill="auto"/>
            <w:vAlign w:val="center"/>
          </w:tcPr>
          <w:p w14:paraId="699157C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10≤X＜100</w:t>
            </w:r>
          </w:p>
        </w:tc>
        <w:tc>
          <w:tcPr>
            <w:tcW w:w="995" w:type="dxa"/>
            <w:shd w:val="clear" w:color="auto" w:fill="auto"/>
            <w:vAlign w:val="center"/>
          </w:tcPr>
          <w:p w14:paraId="6499A04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w:t>
            </w:r>
          </w:p>
        </w:tc>
      </w:tr>
      <w:tr w14:paraId="3B04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625" w:type="dxa"/>
            <w:vMerge w:val="continue"/>
            <w:vAlign w:val="center"/>
          </w:tcPr>
          <w:p w14:paraId="697D6785">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6E15EF0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0CEBA4E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0936DC4B">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Y≥10000</w:t>
            </w:r>
          </w:p>
        </w:tc>
        <w:tc>
          <w:tcPr>
            <w:tcW w:w="1706" w:type="dxa"/>
            <w:shd w:val="clear" w:color="auto" w:fill="auto"/>
            <w:vAlign w:val="center"/>
          </w:tcPr>
          <w:p w14:paraId="2EDEBEB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1000≤Y＜10000</w:t>
            </w:r>
          </w:p>
        </w:tc>
        <w:tc>
          <w:tcPr>
            <w:tcW w:w="1431" w:type="dxa"/>
            <w:shd w:val="clear" w:color="auto" w:fill="auto"/>
            <w:vAlign w:val="center"/>
          </w:tcPr>
          <w:p w14:paraId="4428D53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50≤Y＜1000</w:t>
            </w:r>
          </w:p>
        </w:tc>
        <w:tc>
          <w:tcPr>
            <w:tcW w:w="995" w:type="dxa"/>
            <w:shd w:val="clear" w:color="auto" w:fill="auto"/>
            <w:vAlign w:val="center"/>
          </w:tcPr>
          <w:p w14:paraId="53B0139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Y＜50</w:t>
            </w:r>
          </w:p>
        </w:tc>
      </w:tr>
      <w:tr w14:paraId="5FA3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625" w:type="dxa"/>
            <w:vMerge w:val="restart"/>
            <w:shd w:val="clear" w:color="auto" w:fill="auto"/>
            <w:vAlign w:val="center"/>
          </w:tcPr>
          <w:p w14:paraId="21B2EAD0">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房地产开发经营</w:t>
            </w:r>
          </w:p>
        </w:tc>
        <w:tc>
          <w:tcPr>
            <w:tcW w:w="1466" w:type="dxa"/>
            <w:shd w:val="clear" w:color="auto" w:fill="auto"/>
            <w:vAlign w:val="center"/>
          </w:tcPr>
          <w:p w14:paraId="4C49996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552534E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687A8FC0">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Y≥200000</w:t>
            </w:r>
          </w:p>
        </w:tc>
        <w:tc>
          <w:tcPr>
            <w:tcW w:w="1706" w:type="dxa"/>
            <w:shd w:val="clear" w:color="auto" w:fill="auto"/>
            <w:vAlign w:val="center"/>
          </w:tcPr>
          <w:p w14:paraId="6E4CA77A">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1000≤Y＜200000</w:t>
            </w:r>
          </w:p>
        </w:tc>
        <w:tc>
          <w:tcPr>
            <w:tcW w:w="1431" w:type="dxa"/>
            <w:shd w:val="clear" w:color="auto" w:fill="auto"/>
            <w:vAlign w:val="center"/>
          </w:tcPr>
          <w:p w14:paraId="4A5C337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100≤Y＜1000</w:t>
            </w:r>
          </w:p>
        </w:tc>
        <w:tc>
          <w:tcPr>
            <w:tcW w:w="995" w:type="dxa"/>
            <w:shd w:val="clear" w:color="auto" w:fill="auto"/>
            <w:vAlign w:val="center"/>
          </w:tcPr>
          <w:p w14:paraId="4C821D2E">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Y＜100</w:t>
            </w:r>
          </w:p>
        </w:tc>
      </w:tr>
      <w:tr w14:paraId="513D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625" w:type="dxa"/>
            <w:vMerge w:val="continue"/>
            <w:vAlign w:val="center"/>
          </w:tcPr>
          <w:p w14:paraId="377CEB18">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52D2611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资产总额(Z)</w:t>
            </w:r>
          </w:p>
        </w:tc>
        <w:tc>
          <w:tcPr>
            <w:tcW w:w="711" w:type="dxa"/>
            <w:shd w:val="clear" w:color="auto" w:fill="auto"/>
            <w:vAlign w:val="center"/>
          </w:tcPr>
          <w:p w14:paraId="56591A2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49133AE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Z≥10000</w:t>
            </w:r>
          </w:p>
        </w:tc>
        <w:tc>
          <w:tcPr>
            <w:tcW w:w="1706" w:type="dxa"/>
            <w:shd w:val="clear" w:color="auto" w:fill="auto"/>
            <w:vAlign w:val="center"/>
          </w:tcPr>
          <w:p w14:paraId="7DC45DE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5000≤Z＜10000</w:t>
            </w:r>
          </w:p>
        </w:tc>
        <w:tc>
          <w:tcPr>
            <w:tcW w:w="1431" w:type="dxa"/>
            <w:shd w:val="clear" w:color="auto" w:fill="auto"/>
            <w:vAlign w:val="center"/>
          </w:tcPr>
          <w:p w14:paraId="74D334F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2000≤Z＜5000   </w:t>
            </w:r>
          </w:p>
        </w:tc>
        <w:tc>
          <w:tcPr>
            <w:tcW w:w="995" w:type="dxa"/>
            <w:shd w:val="clear" w:color="auto" w:fill="auto"/>
            <w:vAlign w:val="center"/>
          </w:tcPr>
          <w:p w14:paraId="2631D63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Z＜2000</w:t>
            </w:r>
          </w:p>
        </w:tc>
      </w:tr>
      <w:tr w14:paraId="5EB6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625" w:type="dxa"/>
            <w:vMerge w:val="restart"/>
            <w:shd w:val="clear" w:color="auto" w:fill="auto"/>
            <w:vAlign w:val="center"/>
          </w:tcPr>
          <w:p w14:paraId="65E875C8">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物业管理</w:t>
            </w:r>
          </w:p>
        </w:tc>
        <w:tc>
          <w:tcPr>
            <w:tcW w:w="1466" w:type="dxa"/>
            <w:shd w:val="clear" w:color="auto" w:fill="auto"/>
            <w:vAlign w:val="center"/>
          </w:tcPr>
          <w:p w14:paraId="2BDEA14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4E5B10D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36BD8CD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X≥1000</w:t>
            </w:r>
          </w:p>
        </w:tc>
        <w:tc>
          <w:tcPr>
            <w:tcW w:w="1706" w:type="dxa"/>
            <w:shd w:val="clear" w:color="auto" w:fill="auto"/>
            <w:vAlign w:val="center"/>
          </w:tcPr>
          <w:p w14:paraId="4C37BC65">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300≤X＜1000</w:t>
            </w:r>
          </w:p>
        </w:tc>
        <w:tc>
          <w:tcPr>
            <w:tcW w:w="1431" w:type="dxa"/>
            <w:shd w:val="clear" w:color="auto" w:fill="auto"/>
            <w:vAlign w:val="center"/>
          </w:tcPr>
          <w:p w14:paraId="19F10C9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100≤X＜300 </w:t>
            </w:r>
          </w:p>
        </w:tc>
        <w:tc>
          <w:tcPr>
            <w:tcW w:w="995" w:type="dxa"/>
            <w:shd w:val="clear" w:color="auto" w:fill="auto"/>
            <w:vAlign w:val="center"/>
          </w:tcPr>
          <w:p w14:paraId="7C1A7F4A">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X＜100</w:t>
            </w:r>
          </w:p>
        </w:tc>
      </w:tr>
      <w:tr w14:paraId="1611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25" w:type="dxa"/>
            <w:vMerge w:val="continue"/>
            <w:vAlign w:val="center"/>
          </w:tcPr>
          <w:p w14:paraId="37223C33">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7032CB0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营业收入(Y)</w:t>
            </w:r>
          </w:p>
        </w:tc>
        <w:tc>
          <w:tcPr>
            <w:tcW w:w="711" w:type="dxa"/>
            <w:shd w:val="clear" w:color="auto" w:fill="auto"/>
            <w:vAlign w:val="center"/>
          </w:tcPr>
          <w:p w14:paraId="373E076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3B118B3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Y≥5000</w:t>
            </w:r>
          </w:p>
        </w:tc>
        <w:tc>
          <w:tcPr>
            <w:tcW w:w="1706" w:type="dxa"/>
            <w:shd w:val="clear" w:color="auto" w:fill="auto"/>
            <w:vAlign w:val="center"/>
          </w:tcPr>
          <w:p w14:paraId="46CEFA60">
            <w:pPr>
              <w:widowControl/>
              <w:spacing w:line="360" w:lineRule="auto"/>
              <w:ind w:left="19" w:leftChars="-51" w:hanging="126" w:hangingChars="6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1000≤Y＜5000 </w:t>
            </w:r>
          </w:p>
        </w:tc>
        <w:tc>
          <w:tcPr>
            <w:tcW w:w="1431" w:type="dxa"/>
            <w:shd w:val="clear" w:color="auto" w:fill="auto"/>
            <w:vAlign w:val="center"/>
          </w:tcPr>
          <w:p w14:paraId="117F6EF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500≤Y＜1000</w:t>
            </w:r>
          </w:p>
        </w:tc>
        <w:tc>
          <w:tcPr>
            <w:tcW w:w="995" w:type="dxa"/>
            <w:shd w:val="clear" w:color="auto" w:fill="auto"/>
            <w:vAlign w:val="center"/>
          </w:tcPr>
          <w:p w14:paraId="05F5CD8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Y＜500</w:t>
            </w:r>
          </w:p>
        </w:tc>
      </w:tr>
      <w:tr w14:paraId="6A1A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625" w:type="dxa"/>
            <w:vMerge w:val="restart"/>
            <w:shd w:val="clear" w:color="auto" w:fill="auto"/>
            <w:vAlign w:val="center"/>
          </w:tcPr>
          <w:p w14:paraId="0469877D">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租赁和商务服务业</w:t>
            </w:r>
          </w:p>
        </w:tc>
        <w:tc>
          <w:tcPr>
            <w:tcW w:w="1466" w:type="dxa"/>
            <w:shd w:val="clear" w:color="auto" w:fill="auto"/>
            <w:vAlign w:val="center"/>
          </w:tcPr>
          <w:p w14:paraId="4ABACAB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3FDCA68D">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70984D86">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X≥300</w:t>
            </w:r>
          </w:p>
        </w:tc>
        <w:tc>
          <w:tcPr>
            <w:tcW w:w="1706" w:type="dxa"/>
            <w:shd w:val="clear" w:color="auto" w:fill="auto"/>
            <w:vAlign w:val="center"/>
          </w:tcPr>
          <w:p w14:paraId="040657EE">
            <w:pPr>
              <w:widowControl/>
              <w:spacing w:line="360" w:lineRule="auto"/>
              <w:ind w:left="19" w:leftChars="-51" w:hanging="126" w:hangingChars="6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100≤X＜300 </w:t>
            </w:r>
          </w:p>
        </w:tc>
        <w:tc>
          <w:tcPr>
            <w:tcW w:w="1431" w:type="dxa"/>
            <w:shd w:val="clear" w:color="auto" w:fill="auto"/>
            <w:vAlign w:val="center"/>
          </w:tcPr>
          <w:p w14:paraId="71835869">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10≤X＜100</w:t>
            </w:r>
          </w:p>
        </w:tc>
        <w:tc>
          <w:tcPr>
            <w:tcW w:w="995" w:type="dxa"/>
            <w:shd w:val="clear" w:color="auto" w:fill="auto"/>
            <w:vAlign w:val="center"/>
          </w:tcPr>
          <w:p w14:paraId="3760DF5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w:t>
            </w:r>
          </w:p>
        </w:tc>
      </w:tr>
      <w:tr w14:paraId="2B29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625" w:type="dxa"/>
            <w:vMerge w:val="continue"/>
            <w:vAlign w:val="center"/>
          </w:tcPr>
          <w:p w14:paraId="79B751BA">
            <w:pPr>
              <w:widowControl/>
              <w:spacing w:line="360" w:lineRule="auto"/>
              <w:contextualSpacing/>
              <w:jc w:val="left"/>
              <w:rPr>
                <w:rFonts w:cs="宋体" w:asciiTheme="minorEastAsia" w:hAnsiTheme="minorEastAsia" w:eastAsiaTheme="minorEastAsia"/>
                <w:kern w:val="0"/>
                <w:szCs w:val="21"/>
              </w:rPr>
            </w:pPr>
          </w:p>
        </w:tc>
        <w:tc>
          <w:tcPr>
            <w:tcW w:w="1466" w:type="dxa"/>
            <w:shd w:val="clear" w:color="auto" w:fill="auto"/>
            <w:vAlign w:val="center"/>
          </w:tcPr>
          <w:p w14:paraId="25EE5F63">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资产总额(Z)</w:t>
            </w:r>
          </w:p>
        </w:tc>
        <w:tc>
          <w:tcPr>
            <w:tcW w:w="711" w:type="dxa"/>
            <w:shd w:val="clear" w:color="auto" w:fill="auto"/>
            <w:vAlign w:val="center"/>
          </w:tcPr>
          <w:p w14:paraId="2B15EA1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万元</w:t>
            </w:r>
          </w:p>
        </w:tc>
        <w:tc>
          <w:tcPr>
            <w:tcW w:w="1129" w:type="dxa"/>
            <w:shd w:val="clear" w:color="auto" w:fill="auto"/>
            <w:vAlign w:val="center"/>
          </w:tcPr>
          <w:p w14:paraId="5E4F5C57">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Z≥120000</w:t>
            </w:r>
          </w:p>
        </w:tc>
        <w:tc>
          <w:tcPr>
            <w:tcW w:w="1706" w:type="dxa"/>
            <w:shd w:val="clear" w:color="auto" w:fill="auto"/>
            <w:vAlign w:val="center"/>
          </w:tcPr>
          <w:p w14:paraId="21842A1E">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8000≤Z＜120000</w:t>
            </w:r>
          </w:p>
        </w:tc>
        <w:tc>
          <w:tcPr>
            <w:tcW w:w="1431" w:type="dxa"/>
            <w:shd w:val="clear" w:color="auto" w:fill="auto"/>
            <w:vAlign w:val="center"/>
          </w:tcPr>
          <w:p w14:paraId="2BE95EC8">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100≤Z＜8000</w:t>
            </w:r>
          </w:p>
        </w:tc>
        <w:tc>
          <w:tcPr>
            <w:tcW w:w="995" w:type="dxa"/>
            <w:shd w:val="clear" w:color="auto" w:fill="auto"/>
            <w:vAlign w:val="center"/>
          </w:tcPr>
          <w:p w14:paraId="75CDAC0E">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Z＜100</w:t>
            </w:r>
          </w:p>
        </w:tc>
      </w:tr>
      <w:tr w14:paraId="395D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625" w:type="dxa"/>
            <w:shd w:val="clear" w:color="auto" w:fill="auto"/>
            <w:vAlign w:val="center"/>
          </w:tcPr>
          <w:p w14:paraId="3689DD8C">
            <w:pPr>
              <w:widowControl/>
              <w:spacing w:line="360" w:lineRule="auto"/>
              <w:contextualSpacing/>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其他未列明行业</w:t>
            </w:r>
          </w:p>
        </w:tc>
        <w:tc>
          <w:tcPr>
            <w:tcW w:w="1466" w:type="dxa"/>
            <w:shd w:val="clear" w:color="auto" w:fill="auto"/>
            <w:vAlign w:val="center"/>
          </w:tcPr>
          <w:p w14:paraId="010C4272">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从业人员(X)</w:t>
            </w:r>
          </w:p>
        </w:tc>
        <w:tc>
          <w:tcPr>
            <w:tcW w:w="711" w:type="dxa"/>
            <w:shd w:val="clear" w:color="auto" w:fill="auto"/>
            <w:vAlign w:val="center"/>
          </w:tcPr>
          <w:p w14:paraId="53E6A724">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w:t>
            </w:r>
          </w:p>
        </w:tc>
        <w:tc>
          <w:tcPr>
            <w:tcW w:w="1129" w:type="dxa"/>
            <w:shd w:val="clear" w:color="auto" w:fill="auto"/>
            <w:vAlign w:val="center"/>
          </w:tcPr>
          <w:p w14:paraId="10859EDC">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X≥300</w:t>
            </w:r>
          </w:p>
        </w:tc>
        <w:tc>
          <w:tcPr>
            <w:tcW w:w="1706" w:type="dxa"/>
            <w:shd w:val="clear" w:color="auto" w:fill="auto"/>
            <w:vAlign w:val="center"/>
          </w:tcPr>
          <w:p w14:paraId="0F11E725">
            <w:pPr>
              <w:widowControl/>
              <w:spacing w:line="360" w:lineRule="auto"/>
              <w:ind w:left="19" w:leftChars="-51" w:hanging="126" w:hangingChars="60"/>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100≤X＜300 </w:t>
            </w:r>
          </w:p>
        </w:tc>
        <w:tc>
          <w:tcPr>
            <w:tcW w:w="1431" w:type="dxa"/>
            <w:shd w:val="clear" w:color="auto" w:fill="auto"/>
            <w:vAlign w:val="center"/>
          </w:tcPr>
          <w:p w14:paraId="24D44D11">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10≤X＜100</w:t>
            </w:r>
          </w:p>
        </w:tc>
        <w:tc>
          <w:tcPr>
            <w:tcW w:w="995" w:type="dxa"/>
            <w:shd w:val="clear" w:color="auto" w:fill="auto"/>
            <w:vAlign w:val="center"/>
          </w:tcPr>
          <w:p w14:paraId="6742DE1F">
            <w:pPr>
              <w:widowControl/>
              <w:spacing w:line="360" w:lineRule="auto"/>
              <w:contextualSpacing/>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X＜10</w:t>
            </w:r>
          </w:p>
        </w:tc>
      </w:tr>
    </w:tbl>
    <w:p w14:paraId="43CE60B0">
      <w:pPr>
        <w:spacing w:before="120" w:beforeLines="50" w:line="360" w:lineRule="auto"/>
        <w:ind w:firstLine="454" w:firstLineChars="200"/>
        <w:rPr>
          <w:rFonts w:cs="宋体" w:asciiTheme="minorEastAsia" w:hAnsiTheme="minorEastAsia" w:eastAsiaTheme="minorEastAsia"/>
          <w:b/>
          <w:spacing w:val="8"/>
          <w:kern w:val="0"/>
          <w:szCs w:val="21"/>
        </w:rPr>
      </w:pPr>
      <w:r>
        <w:rPr>
          <w:rFonts w:hint="eastAsia" w:cs="宋体" w:asciiTheme="minorEastAsia" w:hAnsiTheme="minorEastAsia" w:eastAsiaTheme="minorEastAsia"/>
          <w:b/>
          <w:spacing w:val="8"/>
          <w:kern w:val="0"/>
          <w:szCs w:val="21"/>
        </w:rPr>
        <w:t>说明：</w:t>
      </w:r>
    </w:p>
    <w:p w14:paraId="1412AD3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1.大型、中型和小型企业须同时满足所列指标的下限，否则下划一档；微型企业只须满足所列指标中的一项即可。</w:t>
      </w:r>
    </w:p>
    <w:p w14:paraId="3989E557">
      <w:pPr>
        <w:spacing w:line="360" w:lineRule="auto"/>
        <w:rPr>
          <w:rFonts w:asciiTheme="minorEastAsia" w:hAnsiTheme="minorEastAsia" w:eastAsiaTheme="minorEastAsia"/>
          <w:szCs w:val="21"/>
        </w:rPr>
      </w:pPr>
      <w:r>
        <w:rPr>
          <w:rFonts w:asciiTheme="minorEastAsia" w:hAnsiTheme="minorEastAsia" w:eastAsiaTheme="minorEastAsia"/>
        </w:rPr>
        <w:t xml:space="preserve"> </w:t>
      </w:r>
      <w:r>
        <w:rPr>
          <w:rFonts w:hint="eastAsia" w:asciiTheme="minorEastAsia" w:hAnsiTheme="minorEastAsia" w:eastAsiaTheme="minorEastAsia"/>
        </w:rPr>
        <w:t xml:space="preserve">   2.</w:t>
      </w:r>
      <w:r>
        <w:rPr>
          <w:rFonts w:hint="eastAsia" w:asciiTheme="minorEastAsia" w:hAnsiTheme="minorEastAsia" w:eastAsiaTheme="minorEastAsia"/>
          <w:szCs w:val="21"/>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C4351A">
      <w:pPr>
        <w:spacing w:line="360" w:lineRule="auto"/>
        <w:ind w:firstLine="420"/>
        <w:rPr>
          <w:rFonts w:asciiTheme="minorEastAsia" w:hAnsiTheme="minorEastAsia" w:eastAsiaTheme="minorEastAsia"/>
          <w:b/>
        </w:rPr>
      </w:pPr>
      <w:r>
        <w:rPr>
          <w:rFonts w:hint="eastAsia" w:asciiTheme="minorEastAsia" w:hAnsiTheme="minorEastAsia" w:eastAsiaTheme="minorEastAsi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8FA3CB0">
      <w:pPr>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rPr>
        <w:t>（2）监狱企业</w:t>
      </w:r>
    </w:p>
    <w:p w14:paraId="4A34E08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根据《财政部司法部关于政府采购支持监狱企业发展有关问题的通知》（财库〔2014〕68号）文的规定，在政府采购活动中，监狱企业视同小型、微型企业，评审时报价同小型、微型企业的报价扣除方式（详见表一）进行扣除，用扣除后的报价参与评审。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905102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未递交监狱企业的证明文件的在报价评审时不对报价进行扣除。（注：提供相关证明文件的扫描件。）</w:t>
      </w:r>
    </w:p>
    <w:p w14:paraId="5425BF84">
      <w:pPr>
        <w:spacing w:line="360" w:lineRule="auto"/>
        <w:ind w:firstLine="422" w:firstLineChars="200"/>
        <w:rPr>
          <w:rFonts w:asciiTheme="minorEastAsia" w:hAnsiTheme="minorEastAsia" w:eastAsiaTheme="minorEastAsia"/>
        </w:rPr>
      </w:pPr>
      <w:r>
        <w:rPr>
          <w:rFonts w:hint="eastAsia" w:asciiTheme="minorEastAsia" w:hAnsiTheme="minorEastAsia" w:eastAsiaTheme="minorEastAsia"/>
          <w:b/>
        </w:rPr>
        <w:t>注：监狱企业、残疾人福利性单位属于小型、微型企业的，不重复享受政策。</w:t>
      </w:r>
    </w:p>
    <w:p w14:paraId="1069C073">
      <w:pPr>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rPr>
        <w:t>（3）残疾人福利性单位</w:t>
      </w:r>
    </w:p>
    <w:p w14:paraId="0F8295F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根据《财政部 民政部 中国残疾人联合会关于促进残疾人就业政府采购政策的通知》（财库〔2017〕141号）文的规定，在政府采购活动中，残疾人福利性单位视同小型、微型企业，评审时报价同小型、微型企业的报价扣除方式（详见表一）进行扣除，用扣除后的报价参与评审。享受政府采购支持政策的残疾人福利性单位应当同时满足以下条件： </w:t>
      </w:r>
    </w:p>
    <w:p w14:paraId="482C0D0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①安置的残疾人占本单位在职职工人数的比例不低于25%（含25%），并且安置的残疾人人数不少于10 人（含10人）； </w:t>
      </w:r>
    </w:p>
    <w:p w14:paraId="06F9403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②依法与安置的每位残疾人签订了一年以上（含一年）的劳动合同或服务协议； </w:t>
      </w:r>
    </w:p>
    <w:p w14:paraId="05D0E7F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③为安置的每位残疾人按月足额缴纳了基本养老保险、基本医疗保险、失业保险、工伤保险和生育保 险等社会保险费； </w:t>
      </w:r>
    </w:p>
    <w:p w14:paraId="2B4C864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④通过银行等金融机构向安置的每位残疾人，按月支付了不低于单位所在区县适用的经省级人民政府 批准的月最低工资标准的工资； </w:t>
      </w:r>
    </w:p>
    <w:p w14:paraId="1F4D6C4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653FA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符合条件的残疾人福利性单位在参加政府采购活动时，应当提供《残疾人福利性单位声明函》（声明函格式见</w:t>
      </w:r>
      <w:r>
        <w:rPr>
          <w:rFonts w:hint="eastAsia" w:asciiTheme="minorEastAsia" w:hAnsiTheme="minorEastAsia" w:eastAsiaTheme="minorEastAsia"/>
          <w:szCs w:val="21"/>
        </w:rPr>
        <w:t>第六章“投标文件格式”</w:t>
      </w:r>
      <w:r>
        <w:rPr>
          <w:rFonts w:hint="eastAsia" w:asciiTheme="minorEastAsia" w:hAnsiTheme="minorEastAsia" w:eastAsiaTheme="minorEastAsia"/>
        </w:rPr>
        <w:t>），未递交声明函的在报价评审时不对报价进行扣除。</w:t>
      </w:r>
    </w:p>
    <w:p w14:paraId="6E3AC59B">
      <w:pPr>
        <w:pStyle w:val="28"/>
        <w:tabs>
          <w:tab w:val="left" w:pos="2472"/>
        </w:tabs>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rPr>
        <w:t>注：监狱企业、残疾人福利性单位属于小型、微型企业的，不重复享受政策。</w:t>
      </w:r>
    </w:p>
    <w:p w14:paraId="3E371843">
      <w:pPr>
        <w:pStyle w:val="21"/>
        <w:spacing w:line="360" w:lineRule="auto"/>
        <w:ind w:firstLine="422" w:firstLineChars="200"/>
        <w:rPr>
          <w:color w:val="auto"/>
          <w:sz w:val="21"/>
          <w:szCs w:val="21"/>
        </w:rPr>
      </w:pPr>
      <w:r>
        <w:rPr>
          <w:rFonts w:hint="eastAsia"/>
          <w:b/>
          <w:color w:val="auto"/>
          <w:sz w:val="21"/>
          <w:szCs w:val="21"/>
        </w:rPr>
        <w:t>（4）节能产品、环境标志产品</w:t>
      </w:r>
    </w:p>
    <w:p w14:paraId="19350925">
      <w:pPr>
        <w:pStyle w:val="28"/>
        <w:tabs>
          <w:tab w:val="left" w:pos="2472"/>
        </w:tabs>
        <w:spacing w:line="360" w:lineRule="auto"/>
        <w:ind w:firstLine="420" w:firstLineChars="200"/>
        <w:rPr>
          <w:rFonts w:asciiTheme="minorEastAsia" w:hAnsiTheme="minorEastAsia" w:eastAsiaTheme="minorEastAsia"/>
          <w:b/>
        </w:rPr>
      </w:pPr>
      <w:r>
        <w:rPr>
          <w:rFonts w:hint="eastAsia"/>
          <w:szCs w:val="21"/>
        </w:rPr>
        <w:t>根据《财政部 发展改革委 生态环境部 市场监管总局关于调整优化节能产品、环境标志产品政府采购执行机制的通知》（财库〔2019〕9号）文的规定，若投标人拟提供的产品属于品目清单范围内的，采购人将依据国家确定的认证机构出具的、处于有效期之内的《中国节能产品认证证书》、《中国环境标志产品认证证书》，对获得证书的产品实施政府强制采购或优先采购。</w:t>
      </w:r>
    </w:p>
    <w:p w14:paraId="194049D8">
      <w:pPr>
        <w:pStyle w:val="21"/>
        <w:spacing w:line="360" w:lineRule="auto"/>
        <w:ind w:firstLine="422" w:firstLineChars="200"/>
        <w:rPr>
          <w:rFonts w:hint="eastAsia" w:ascii="宋体" w:hAnsi="宋体" w:eastAsia="宋体" w:cs="Times New Roman"/>
          <w:b/>
          <w:color w:val="auto"/>
          <w:sz w:val="21"/>
          <w:szCs w:val="21"/>
        </w:rPr>
      </w:pPr>
      <w:r>
        <w:rPr>
          <w:rFonts w:hint="eastAsia" w:ascii="宋体" w:hAnsi="宋体" w:eastAsia="宋体" w:cs="Times New Roman"/>
          <w:b/>
          <w:color w:val="auto"/>
          <w:sz w:val="21"/>
          <w:szCs w:val="21"/>
          <w:lang w:eastAsia="zh-CN"/>
        </w:rPr>
        <w:t>（</w:t>
      </w:r>
      <w:r>
        <w:rPr>
          <w:rFonts w:hint="eastAsia" w:ascii="宋体" w:hAnsi="宋体" w:eastAsia="宋体" w:cs="Times New Roman"/>
          <w:b/>
          <w:color w:val="auto"/>
          <w:sz w:val="21"/>
          <w:szCs w:val="21"/>
          <w:lang w:val="en-US" w:eastAsia="zh-CN"/>
        </w:rPr>
        <w:t>5</w:t>
      </w:r>
      <w:r>
        <w:rPr>
          <w:rFonts w:hint="eastAsia" w:ascii="宋体" w:hAnsi="宋体" w:eastAsia="宋体" w:cs="Times New Roman"/>
          <w:b/>
          <w:color w:val="auto"/>
          <w:sz w:val="21"/>
          <w:szCs w:val="21"/>
          <w:lang w:eastAsia="zh-CN"/>
        </w:rPr>
        <w:t>）</w:t>
      </w:r>
      <w:r>
        <w:rPr>
          <w:rFonts w:hint="eastAsia" w:ascii="宋体" w:hAnsi="宋体" w:eastAsia="宋体" w:cs="Times New Roman"/>
          <w:b/>
          <w:color w:val="auto"/>
          <w:sz w:val="21"/>
          <w:szCs w:val="21"/>
        </w:rPr>
        <w:t>本国产品支持政策</w:t>
      </w:r>
    </w:p>
    <w:p w14:paraId="5807130D">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根据《国务院办公厅关于在政府采购中实施本国产品标准及相关政策的通知》（国办发〔2025〕34号）</w:t>
      </w:r>
      <w:r>
        <w:rPr>
          <w:rFonts w:hint="eastAsia" w:hAnsi="宋体"/>
          <w:color w:val="000000"/>
          <w:szCs w:val="21"/>
        </w:rPr>
        <w:t>以及关于贯彻落实《国务院办公厅关于在政府采购中实施本国产品标准及相关政策的通知》的意见，</w:t>
      </w:r>
      <w:r>
        <w:rPr>
          <w:rFonts w:hint="eastAsia" w:hAnsi="宋体"/>
          <w:color w:val="000000"/>
          <w:szCs w:val="21"/>
          <w:lang w:eastAsia="zh-CN"/>
        </w:rPr>
        <w:t>投标人</w:t>
      </w:r>
      <w:r>
        <w:rPr>
          <w:rFonts w:hint="eastAsia" w:hAnsi="宋体"/>
          <w:color w:val="000000"/>
          <w:szCs w:val="21"/>
        </w:rPr>
        <w:t>提供的产品符合本国产品标准及相关政策的，享受评标方法规定的本国产品支持政策。</w:t>
      </w:r>
    </w:p>
    <w:p w14:paraId="7F6B6661">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int="eastAsia" w:hAnsi="宋体"/>
          <w:color w:val="000000"/>
          <w:szCs w:val="21"/>
          <w:lang w:val="en-US" w:eastAsia="zh-CN"/>
        </w:rPr>
        <w:t>一、</w:t>
      </w:r>
      <w:r>
        <w:rPr>
          <w:rFonts w:hAnsi="宋体"/>
          <w:color w:val="000000"/>
          <w:szCs w:val="21"/>
        </w:rPr>
        <w:t>本国产品标准</w:t>
      </w:r>
    </w:p>
    <w:p w14:paraId="308B863E">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本国产品应当符合以下条件：</w:t>
      </w:r>
    </w:p>
    <w:p w14:paraId="0B1A1D80">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（一）在中国境内生产</w:t>
      </w:r>
    </w:p>
    <w:p w14:paraId="377F3A11">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产品应当在中国境内生产，即在中华人民共和国关境内实现从原材料、组件到产品的属性改变。</w:t>
      </w:r>
    </w:p>
    <w:p w14:paraId="501BADF2">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属性改变是指经过制造、加工或者组装等工序，产生完全不同于原材料、组件的新产品，并具有新的名称和特征（用途）。属性改变不包括以下细微操作：</w:t>
      </w:r>
    </w:p>
    <w:p w14:paraId="6EA375F4">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1.为确保产品在运输或者储存期间保持某种状态而进行的操作；</w:t>
      </w:r>
    </w:p>
    <w:p w14:paraId="72A95040">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2.为产品运输或者销售进行的包装或者展示；</w:t>
      </w:r>
    </w:p>
    <w:p w14:paraId="043C054E">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3.在产品或者其包装上粘贴或者印刷品牌、标志、标识以及其他用于区别的标记；</w:t>
      </w:r>
    </w:p>
    <w:p w14:paraId="6D9B803D">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4.简单的上漆、磨光和分装；</w:t>
      </w:r>
    </w:p>
    <w:p w14:paraId="759E7F15">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5.其他不属于属性改变的情形。</w:t>
      </w:r>
    </w:p>
    <w:p w14:paraId="4D5A210B">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int="eastAsia" w:hAnsi="宋体"/>
          <w:color w:val="000000"/>
          <w:szCs w:val="21"/>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CBE41D6">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（二）在中国境内生产的组件成本占比达到规定比例</w:t>
      </w:r>
    </w:p>
    <w:p w14:paraId="6486E97A">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产品在中国境内生产的组件成本占比应当达到规定比例，计算公式为：</w:t>
      </w:r>
    </w:p>
    <w:p w14:paraId="0AA601F8">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80" w:firstLineChars="200"/>
        <w:textAlignment w:val="auto"/>
        <w:rPr>
          <w:rFonts w:hAnsi="宋体"/>
          <w:color w:val="000000"/>
          <w:szCs w:val="21"/>
        </w:rPr>
      </w:pPr>
      <w:r>
        <w:rPr>
          <w:rFonts w:hAnsi="宋体" w:cs="宋体"/>
          <w:color w:val="000000"/>
          <w:sz w:val="24"/>
          <w:szCs w:val="24"/>
        </w:rPr>
        <w:drawing>
          <wp:inline distT="0" distB="0" distL="114300" distR="114300">
            <wp:extent cx="4829175" cy="764540"/>
            <wp:effectExtent l="0" t="0" r="1905" b="1270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4"/>
                    <a:stretch>
                      <a:fillRect/>
                    </a:stretch>
                  </pic:blipFill>
                  <pic:spPr>
                    <a:xfrm>
                      <a:off x="0" y="0"/>
                      <a:ext cx="4829175" cy="764540"/>
                    </a:xfrm>
                    <a:prstGeom prst="rect">
                      <a:avLst/>
                    </a:prstGeom>
                    <a:noFill/>
                    <a:ln>
                      <a:noFill/>
                    </a:ln>
                  </pic:spPr>
                </pic:pic>
              </a:graphicData>
            </a:graphic>
          </wp:inline>
        </w:drawing>
      </w:r>
    </w:p>
    <w:p w14:paraId="25507223">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E8D3CF9">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（三）特定产品的关键组件、关键工序符合相关要求</w:t>
      </w:r>
    </w:p>
    <w:p w14:paraId="31D25AB0">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对特定产品，在符合本通知第一条第（一）项和第（二）项条件的基础上，应当符合财政部会同有关行业主管部门确定的其关键组件、关键工序在中国境内生产、完成等要求。</w:t>
      </w:r>
    </w:p>
    <w:p w14:paraId="60A3C6D9">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821B4EA">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int="eastAsia" w:hAnsi="宋体"/>
          <w:color w:val="000000"/>
          <w:szCs w:val="21"/>
          <w:lang w:val="en-US" w:eastAsia="zh-CN"/>
        </w:rPr>
        <w:t>二、</w:t>
      </w:r>
      <w:r>
        <w:rPr>
          <w:rFonts w:hAnsi="宋体"/>
          <w:color w:val="000000"/>
          <w:szCs w:val="21"/>
        </w:rPr>
        <w:t>本国产品标准的适用范围</w:t>
      </w:r>
    </w:p>
    <w:p w14:paraId="4A03CDAA">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7ED9E5">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int="eastAsia" w:hAnsi="宋体"/>
          <w:color w:val="000000"/>
          <w:szCs w:val="21"/>
          <w:lang w:val="en-US" w:eastAsia="zh-CN"/>
        </w:rPr>
        <w:t>三、</w:t>
      </w:r>
      <w:r>
        <w:rPr>
          <w:rFonts w:hAnsi="宋体"/>
          <w:color w:val="000000"/>
          <w:szCs w:val="21"/>
        </w:rPr>
        <w:t>对本国产品的支持政策</w:t>
      </w:r>
    </w:p>
    <w:p w14:paraId="133902CA">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政府采购活动中既有本国产品又有非本国产品参与竞争的，依法对本国产品给予价格评审优惠，对本国产品的报价给予20%的价格扣除，用扣除后的价格参与评审。</w:t>
      </w:r>
    </w:p>
    <w:p w14:paraId="6CFDF37B">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Ansi="宋体"/>
          <w:color w:val="000000"/>
          <w:szCs w:val="21"/>
        </w:rPr>
      </w:pPr>
      <w:r>
        <w:rPr>
          <w:rFonts w:hAnsi="宋体"/>
          <w:color w:val="000000"/>
          <w:szCs w:val="21"/>
        </w:rPr>
        <w:t>当采购项目或者采购包中含有多种产品，</w:t>
      </w:r>
      <w:r>
        <w:rPr>
          <w:rFonts w:hint="eastAsia" w:hAnsi="宋体"/>
          <w:color w:val="000000"/>
          <w:szCs w:val="21"/>
          <w:lang w:eastAsia="zh-CN"/>
        </w:rPr>
        <w:t>投标人</w:t>
      </w:r>
      <w:r>
        <w:rPr>
          <w:rFonts w:hAnsi="宋体"/>
          <w:color w:val="000000"/>
          <w:szCs w:val="21"/>
        </w:rPr>
        <w:t>为该采购项目或者采购包提供的符合本国产品标准的产品成本之和占该</w:t>
      </w:r>
      <w:r>
        <w:rPr>
          <w:rFonts w:hint="eastAsia" w:hAnsi="宋体"/>
          <w:color w:val="000000"/>
          <w:szCs w:val="21"/>
          <w:lang w:eastAsia="zh-CN"/>
        </w:rPr>
        <w:t>投标人</w:t>
      </w:r>
      <w:r>
        <w:rPr>
          <w:rFonts w:hAnsi="宋体"/>
          <w:color w:val="000000"/>
          <w:szCs w:val="21"/>
        </w:rPr>
        <w:t>提供的全部产品成本之和的比例达到80%以上时，依法对该</w:t>
      </w:r>
      <w:r>
        <w:rPr>
          <w:rFonts w:hint="eastAsia" w:hAnsi="宋体"/>
          <w:color w:val="000000"/>
          <w:szCs w:val="21"/>
          <w:lang w:eastAsia="zh-CN"/>
        </w:rPr>
        <w:t>投标人</w:t>
      </w:r>
      <w:r>
        <w:rPr>
          <w:rFonts w:hAnsi="宋体"/>
          <w:color w:val="000000"/>
          <w:szCs w:val="21"/>
        </w:rPr>
        <w:t>提供的全部产品给予价格评审优惠，即对该</w:t>
      </w:r>
      <w:r>
        <w:rPr>
          <w:rFonts w:hint="eastAsia" w:hAnsi="宋体"/>
          <w:color w:val="000000"/>
          <w:szCs w:val="21"/>
          <w:lang w:eastAsia="zh-CN"/>
        </w:rPr>
        <w:t>投标人</w:t>
      </w:r>
      <w:r>
        <w:rPr>
          <w:rFonts w:hAnsi="宋体"/>
          <w:color w:val="000000"/>
          <w:szCs w:val="21"/>
        </w:rPr>
        <w:t>提供的全部产品的总报价给予20%的价格扣除，用扣除后的价格参与评审。</w:t>
      </w:r>
    </w:p>
    <w:p w14:paraId="7D67058C">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color w:val="000000"/>
          <w:szCs w:val="21"/>
        </w:rPr>
      </w:pPr>
      <w:r>
        <w:rPr>
          <w:rFonts w:hint="eastAsia" w:hAnsi="宋体"/>
          <w:color w:val="000000"/>
          <w:szCs w:val="21"/>
          <w:lang w:val="en-US" w:eastAsia="zh-CN"/>
        </w:rPr>
        <w:t>四、</w:t>
      </w:r>
      <w:r>
        <w:rPr>
          <w:rFonts w:hint="eastAsia" w:hAnsi="宋体"/>
          <w:color w:val="000000"/>
          <w:szCs w:val="21"/>
        </w:rPr>
        <w:t>评审中发现《声明函》内容含义不明确、同类事项与投标（响应）文件表述不一致或者有明显文字错误等情况的，应当以书面形式要求</w:t>
      </w:r>
      <w:r>
        <w:rPr>
          <w:rFonts w:hint="eastAsia" w:hAnsi="宋体"/>
          <w:color w:val="000000"/>
          <w:szCs w:val="21"/>
          <w:lang w:eastAsia="zh-CN"/>
        </w:rPr>
        <w:t>投标人</w:t>
      </w:r>
      <w:r>
        <w:rPr>
          <w:rFonts w:hint="eastAsia" w:hAnsi="宋体"/>
          <w:color w:val="000000"/>
          <w:szCs w:val="21"/>
        </w:rPr>
        <w:t>作出必要的澄清、说明或者补正。经澄清、说明或者补正的《声明函》仍然不符合《通知》规定要求的，</w:t>
      </w:r>
      <w:r>
        <w:rPr>
          <w:rFonts w:hint="eastAsia" w:hAnsi="宋体"/>
          <w:color w:val="000000"/>
          <w:szCs w:val="21"/>
          <w:lang w:eastAsia="zh-CN"/>
        </w:rPr>
        <w:t>投标人</w:t>
      </w:r>
      <w:r>
        <w:rPr>
          <w:rFonts w:hint="eastAsia" w:hAnsi="宋体"/>
          <w:color w:val="000000"/>
          <w:szCs w:val="21"/>
        </w:rPr>
        <w:t>提供的相关产品视为不符合本国产品标准。</w:t>
      </w:r>
    </w:p>
    <w:p w14:paraId="57407B1C">
      <w:pPr>
        <w:pStyle w:val="21"/>
        <w:keepNext w:val="0"/>
        <w:keepLines w:val="0"/>
        <w:pageBreakBefore w:val="0"/>
        <w:widowControl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Times New Roman"/>
          <w:b/>
          <w:color w:val="auto"/>
          <w:sz w:val="21"/>
          <w:szCs w:val="21"/>
          <w:lang w:val="en-US" w:eastAsia="zh-CN"/>
        </w:rPr>
      </w:pPr>
      <w:r>
        <w:rPr>
          <w:rFonts w:hint="eastAsia" w:ascii="宋体" w:hAnsi="宋体" w:eastAsia="宋体" w:cs="Times New Roman"/>
          <w:b/>
          <w:color w:val="auto"/>
          <w:sz w:val="21"/>
          <w:szCs w:val="21"/>
          <w:lang w:val="en-US" w:eastAsia="zh-CN"/>
        </w:rPr>
        <w:t>（6）异常低价投标（响应）审查程序</w:t>
      </w:r>
    </w:p>
    <w:p w14:paraId="627FF3C9">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default" w:hAnsi="宋体"/>
          <w:b w:val="0"/>
          <w:bCs w:val="0"/>
          <w:color w:val="000000"/>
          <w:szCs w:val="21"/>
          <w:lang w:val="en-US" w:eastAsia="zh-CN"/>
        </w:rPr>
      </w:pPr>
      <w:r>
        <w:rPr>
          <w:rFonts w:hint="eastAsia" w:hAnsi="宋体"/>
          <w:b w:val="0"/>
          <w:bCs w:val="0"/>
          <w:color w:val="000000"/>
          <w:szCs w:val="21"/>
          <w:lang w:val="en-US" w:eastAsia="zh-CN"/>
        </w:rPr>
        <w:t>根据《关于推动解决政府采购异常低价问题的通知》（财库〔2026〕2号）采用政府采购异常低价审查。</w:t>
      </w:r>
    </w:p>
    <w:p w14:paraId="102FB035">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b w:val="0"/>
          <w:bCs w:val="0"/>
          <w:color w:val="000000"/>
          <w:szCs w:val="21"/>
          <w:lang w:val="en-US" w:eastAsia="zh-CN"/>
        </w:rPr>
      </w:pPr>
      <w:r>
        <w:rPr>
          <w:rFonts w:hint="eastAsia" w:hAnsi="宋体"/>
          <w:b w:val="0"/>
          <w:bCs w:val="0"/>
          <w:color w:val="000000"/>
          <w:szCs w:val="21"/>
          <w:lang w:val="en-US" w:eastAsia="zh-CN"/>
        </w:rPr>
        <w:t>（一）政府采购评审中出现下列情形之一的，评审委员会应当启动异常低价投标（响应）审查程序：</w:t>
      </w:r>
    </w:p>
    <w:p w14:paraId="55AC2204">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（1）投标(响应)报价低于全部通过符合性审查</w:t>
      </w:r>
      <w:r>
        <w:rPr>
          <w:rFonts w:hint="eastAsia" w:hAnsi="宋体"/>
          <w:b w:val="0"/>
          <w:bCs w:val="0"/>
          <w:color w:val="000000"/>
          <w:szCs w:val="21"/>
          <w:lang w:eastAsia="zh-CN"/>
        </w:rPr>
        <w:t>投标人</w:t>
      </w:r>
      <w:r>
        <w:rPr>
          <w:rFonts w:hint="eastAsia" w:hAnsi="宋体"/>
          <w:b w:val="0"/>
          <w:bCs w:val="0"/>
          <w:color w:val="000000"/>
          <w:szCs w:val="21"/>
        </w:rPr>
        <w:t>投标(响应)报价平均值50%的，即投标(响应)报价&lt;全部通过符合性审查</w:t>
      </w:r>
      <w:r>
        <w:rPr>
          <w:rFonts w:hint="eastAsia" w:hAnsi="宋体"/>
          <w:b w:val="0"/>
          <w:bCs w:val="0"/>
          <w:color w:val="000000"/>
          <w:szCs w:val="21"/>
          <w:lang w:eastAsia="zh-CN"/>
        </w:rPr>
        <w:t>投标人</w:t>
      </w:r>
      <w:r>
        <w:rPr>
          <w:rFonts w:hint="eastAsia" w:hAnsi="宋体"/>
          <w:b w:val="0"/>
          <w:bCs w:val="0"/>
          <w:color w:val="000000"/>
          <w:szCs w:val="21"/>
        </w:rPr>
        <w:t>投标(响应)报价平均值*50%；</w:t>
      </w:r>
    </w:p>
    <w:p w14:paraId="568E3E90">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（2）投标(响应)报价低于通过符合性审查的次低报价</w:t>
      </w:r>
      <w:r>
        <w:rPr>
          <w:rFonts w:hint="eastAsia" w:hAnsi="宋体"/>
          <w:b w:val="0"/>
          <w:bCs w:val="0"/>
          <w:color w:val="000000"/>
          <w:szCs w:val="21"/>
          <w:lang w:eastAsia="zh-CN"/>
        </w:rPr>
        <w:t>投标人</w:t>
      </w:r>
      <w:r>
        <w:rPr>
          <w:rFonts w:hint="eastAsia" w:hAnsi="宋体"/>
          <w:b w:val="0"/>
          <w:bCs w:val="0"/>
          <w:color w:val="000000"/>
          <w:szCs w:val="21"/>
        </w:rPr>
        <w:t>投标(响应)报价50%的，即投标(响应)报价〈通过符合性审查的次低报价</w:t>
      </w:r>
      <w:r>
        <w:rPr>
          <w:rFonts w:hint="eastAsia" w:hAnsi="宋体"/>
          <w:b w:val="0"/>
          <w:bCs w:val="0"/>
          <w:color w:val="000000"/>
          <w:szCs w:val="21"/>
          <w:lang w:eastAsia="zh-CN"/>
        </w:rPr>
        <w:t>投标人</w:t>
      </w:r>
      <w:r>
        <w:rPr>
          <w:rFonts w:hint="eastAsia" w:hAnsi="宋体"/>
          <w:b w:val="0"/>
          <w:bCs w:val="0"/>
          <w:color w:val="000000"/>
          <w:szCs w:val="21"/>
        </w:rPr>
        <w:t>投标(响应)报价*50%；</w:t>
      </w:r>
    </w:p>
    <w:p w14:paraId="193C2C77">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（3）投标(响应)报价低于采购项目最高限价45%的，即投标(响应)报价&lt;采购项目最高限价*45%；</w:t>
      </w:r>
    </w:p>
    <w:p w14:paraId="1CB3548C">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（4）评审委员会基于专业判断，认为</w:t>
      </w:r>
      <w:r>
        <w:rPr>
          <w:rFonts w:hint="eastAsia" w:hAnsi="宋体"/>
          <w:b w:val="0"/>
          <w:bCs w:val="0"/>
          <w:color w:val="000000"/>
          <w:szCs w:val="21"/>
          <w:lang w:eastAsia="zh-CN"/>
        </w:rPr>
        <w:t>投标人</w:t>
      </w:r>
      <w:r>
        <w:rPr>
          <w:rFonts w:hint="eastAsia" w:hAnsi="宋体"/>
          <w:b w:val="0"/>
          <w:bCs w:val="0"/>
          <w:color w:val="000000"/>
          <w:szCs w:val="21"/>
        </w:rPr>
        <w:t>报价过低，有可能影响产品质量或者不能诚信履约的其他情形。</w:t>
      </w:r>
    </w:p>
    <w:p w14:paraId="41007087">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（二）评审委员会启动异常低价投标（响应）审查后，属于前述第1项至第4项情形的，应当要求相关</w:t>
      </w:r>
      <w:r>
        <w:rPr>
          <w:rFonts w:hint="eastAsia" w:hAnsi="宋体"/>
          <w:b w:val="0"/>
          <w:bCs w:val="0"/>
          <w:color w:val="000000"/>
          <w:szCs w:val="21"/>
          <w:lang w:eastAsia="zh-CN"/>
        </w:rPr>
        <w:t>投标人</w:t>
      </w:r>
      <w:r>
        <w:rPr>
          <w:rFonts w:hint="eastAsia" w:hAnsi="宋体"/>
          <w:b w:val="0"/>
          <w:bCs w:val="0"/>
          <w:color w:val="000000"/>
          <w:szCs w:val="21"/>
        </w:rPr>
        <w:t>在评审现场合理的时间内对投标（响应）价格作出解释，提供项目具体成本测算等与报价合理性相关的书面说明及必要的证明材料，包括但不限于原材料成本、人工成本、制造费用等，给予相关</w:t>
      </w:r>
      <w:r>
        <w:rPr>
          <w:rFonts w:hint="eastAsia" w:hAnsi="宋体"/>
          <w:b w:val="0"/>
          <w:bCs w:val="0"/>
          <w:color w:val="000000"/>
          <w:szCs w:val="21"/>
          <w:lang w:eastAsia="zh-CN"/>
        </w:rPr>
        <w:t>投标人</w:t>
      </w:r>
      <w:r>
        <w:rPr>
          <w:rFonts w:hint="eastAsia" w:hAnsi="宋体"/>
          <w:b w:val="0"/>
          <w:bCs w:val="0"/>
          <w:color w:val="000000"/>
          <w:szCs w:val="21"/>
        </w:rPr>
        <w:t>的合理时间一般不少于30分钟。其中，属于第3项情形，</w:t>
      </w:r>
      <w:r>
        <w:rPr>
          <w:rFonts w:hint="eastAsia" w:hAnsi="宋体"/>
          <w:b w:val="0"/>
          <w:bCs w:val="0"/>
          <w:color w:val="000000"/>
          <w:szCs w:val="21"/>
          <w:lang w:eastAsia="zh-CN"/>
        </w:rPr>
        <w:t>投标人</w:t>
      </w:r>
      <w:r>
        <w:rPr>
          <w:rFonts w:hint="eastAsia" w:hAnsi="宋体"/>
          <w:b w:val="0"/>
          <w:bCs w:val="0"/>
          <w:color w:val="000000"/>
          <w:szCs w:val="21"/>
        </w:rPr>
        <w:t>已随投标（响应）文件一并提交相关书面说明及必要的证明材料的，在评审现场可不再重复提交。</w:t>
      </w:r>
    </w:p>
    <w:p w14:paraId="6E3B6379">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hAnsi="宋体"/>
          <w:b w:val="0"/>
          <w:bCs w:val="0"/>
          <w:color w:val="000000"/>
          <w:szCs w:val="21"/>
          <w:lang w:eastAsia="zh-CN"/>
        </w:rPr>
        <w:t>投标人</w:t>
      </w:r>
      <w:r>
        <w:rPr>
          <w:rFonts w:hint="eastAsia" w:hAnsi="宋体"/>
          <w:b w:val="0"/>
          <w:bCs w:val="0"/>
          <w:color w:val="000000"/>
          <w:szCs w:val="21"/>
        </w:rPr>
        <w:t>不能提供书面说明、证明材料，或者提供的书面说明、证明材料不能证明其报价合理性的，评审委员会应当将其作为无效投标（响应）处理。</w:t>
      </w:r>
    </w:p>
    <w:p w14:paraId="40F037C4">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B6029A">
      <w:pPr>
        <w:pStyle w:val="28"/>
        <w:keepNext w:val="0"/>
        <w:keepLines w:val="0"/>
        <w:pageBreakBefore w:val="0"/>
        <w:widowControl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hAnsi="宋体"/>
          <w:b w:val="0"/>
          <w:bCs w:val="0"/>
          <w:color w:val="000000"/>
          <w:szCs w:val="21"/>
        </w:rPr>
      </w:pPr>
      <w:r>
        <w:rPr>
          <w:rFonts w:hint="eastAsia" w:hAnsi="宋体"/>
          <w:b w:val="0"/>
          <w:bCs w:val="0"/>
          <w:color w:val="000000"/>
          <w:szCs w:val="21"/>
        </w:rPr>
        <w:t>异常低价投标（响应）审查的启动原因、审查意见和审查结果应当在评审报告中记录，并随</w:t>
      </w:r>
      <w:r>
        <w:rPr>
          <w:rFonts w:hint="eastAsia" w:hAnsi="宋体"/>
          <w:b w:val="0"/>
          <w:bCs w:val="0"/>
          <w:color w:val="000000"/>
          <w:szCs w:val="21"/>
          <w:lang w:eastAsia="zh-CN"/>
        </w:rPr>
        <w:t>投标人</w:t>
      </w:r>
      <w:r>
        <w:rPr>
          <w:rFonts w:hint="eastAsia" w:hAnsi="宋体"/>
          <w:b w:val="0"/>
          <w:bCs w:val="0"/>
          <w:color w:val="000000"/>
          <w:szCs w:val="21"/>
        </w:rPr>
        <w:t>提供的相关书面说明及证明材料，以及评审委员会有关互联网浏览、查询历史一并归档。</w:t>
      </w:r>
    </w:p>
    <w:p w14:paraId="20306BBB">
      <w:pPr>
        <w:spacing w:line="360" w:lineRule="auto"/>
        <w:ind w:firstLine="422"/>
        <w:outlineLvl w:val="3"/>
        <w:rPr>
          <w:rFonts w:asciiTheme="minorEastAsia" w:hAnsiTheme="minorEastAsia" w:eastAsiaTheme="minorEastAsia"/>
          <w:b/>
          <w:szCs w:val="21"/>
        </w:rPr>
      </w:pPr>
      <w:r>
        <w:rPr>
          <w:rFonts w:hint="eastAsia" w:asciiTheme="minorEastAsia" w:hAnsiTheme="minorEastAsia" w:eastAsiaTheme="minorEastAsia"/>
          <w:b/>
          <w:szCs w:val="21"/>
        </w:rPr>
        <w:t>3.3 投标文件的澄清、说明或者补正</w:t>
      </w:r>
    </w:p>
    <w:p w14:paraId="53AF85B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3.3.1在评审过程中，评标委员会对于投标人的投标文件中含义不明确、同类问题表述不一致或者有明显文字和计算错误的内容，应当以书面形式要求投标人做出必要的澄清、说明或者补正。</w:t>
      </w:r>
    </w:p>
    <w:p w14:paraId="7AD5473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3.3.2投标人的澄清、说明或者补正应当采用书面形式并加盖公章，或者由法定代表人或其授权的代表签字。投标人的澄清、说明或者补正不得超出投标文件的范围或改变投标文件的实质性内容（算术性错误修正的除外）。投标人的书面澄清、说明或者补正属于投标文件的组成部分。</w:t>
      </w:r>
    </w:p>
    <w:p w14:paraId="5F47262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3.3.3评标委员会对投标人递交的澄清、说明或者补正有疑问的，可以要求投标人进一步澄清、说明或者补正，直至满足评标委员会的要求。</w:t>
      </w:r>
    </w:p>
    <w:p w14:paraId="0E8E9DD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凡超出招标文件规定的或给采购人带来未曾要求的利益的变化、偏离或其他因素在评审时不予考虑。</w:t>
      </w:r>
    </w:p>
    <w:p w14:paraId="7CB9D57A">
      <w:pPr>
        <w:spacing w:line="360" w:lineRule="auto"/>
        <w:ind w:firstLine="422"/>
        <w:outlineLvl w:val="3"/>
        <w:rPr>
          <w:rFonts w:asciiTheme="minorEastAsia" w:hAnsiTheme="minorEastAsia" w:eastAsiaTheme="minorEastAsia"/>
          <w:b/>
          <w:szCs w:val="21"/>
        </w:rPr>
      </w:pPr>
      <w:r>
        <w:rPr>
          <w:rFonts w:asciiTheme="minorEastAsia" w:hAnsiTheme="minorEastAsia" w:eastAsiaTheme="minorEastAsia"/>
          <w:b/>
          <w:szCs w:val="21"/>
        </w:rPr>
        <w:t xml:space="preserve">3.4 </w:t>
      </w:r>
      <w:r>
        <w:rPr>
          <w:rFonts w:hint="eastAsia" w:asciiTheme="minorEastAsia" w:hAnsiTheme="minorEastAsia" w:eastAsiaTheme="minorEastAsia"/>
          <w:b/>
          <w:szCs w:val="21"/>
        </w:rPr>
        <w:t>算术性错误修正</w:t>
      </w:r>
    </w:p>
    <w:p w14:paraId="05D1066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投标人的投标文件中的投标报价出现前后不一致的，除招标文件另有规定外，评标委员会依法对其进行修正。修正后的投标报价按照本章第3.</w:t>
      </w:r>
      <w:r>
        <w:rPr>
          <w:rFonts w:asciiTheme="minorEastAsia" w:hAnsiTheme="minorEastAsia" w:eastAsiaTheme="minorEastAsia"/>
        </w:rPr>
        <w:t>3</w:t>
      </w:r>
      <w:r>
        <w:rPr>
          <w:rFonts w:hint="eastAsia" w:asciiTheme="minorEastAsia" w:hAnsiTheme="minorEastAsia" w:eastAsiaTheme="minorEastAsia"/>
        </w:rPr>
        <w:t xml:space="preserve">款的规定，经投标人确认后产生约束力，投标人不确认的，其投标无效。 </w:t>
      </w:r>
    </w:p>
    <w:p w14:paraId="2A98D9E3">
      <w:pPr>
        <w:spacing w:line="360" w:lineRule="auto"/>
        <w:ind w:firstLine="422"/>
        <w:outlineLvl w:val="3"/>
        <w:rPr>
          <w:rFonts w:asciiTheme="minorEastAsia" w:hAnsiTheme="minorEastAsia" w:eastAsiaTheme="minorEastAsia"/>
          <w:b/>
          <w:szCs w:val="21"/>
        </w:rPr>
      </w:pPr>
      <w:r>
        <w:rPr>
          <w:rFonts w:hint="eastAsia" w:asciiTheme="minorEastAsia" w:hAnsiTheme="minorEastAsia" w:eastAsiaTheme="minorEastAsia"/>
          <w:b/>
          <w:szCs w:val="21"/>
        </w:rPr>
        <w:t xml:space="preserve">3.5 投标文件相关信息的核查 </w:t>
      </w:r>
    </w:p>
    <w:p w14:paraId="74EBB5D0">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评标委员会对在评审过程中发现的投标人与投标人之间、投标人与采购人之间存在的串通投标的情形进行评审和认定。若投标人存在串通投标、弄虚作假、行贿等违法行为的，评标委员会应否决其投标。</w:t>
      </w:r>
    </w:p>
    <w:p w14:paraId="0D72DB79">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3.5.1有下列情形之一的，属于投标人相互串通投标：</w:t>
      </w:r>
    </w:p>
    <w:p w14:paraId="6A025F3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（1）投标人之间协商投标报价等投标文件的实质性内容；</w:t>
      </w:r>
    </w:p>
    <w:p w14:paraId="32F1D68D">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（2）投标人之间约定中标投标人；</w:t>
      </w:r>
    </w:p>
    <w:p w14:paraId="3BE44E55">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（3）投标人之间约定部分投标人放弃投标或中标；</w:t>
      </w:r>
    </w:p>
    <w:p w14:paraId="4C342C51">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（4）属于同一集团、协会、商会等组织成员的投标人按照该组织要求协同投标；</w:t>
      </w:r>
    </w:p>
    <w:p w14:paraId="76CBCA9E">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（5）投标人之间为谋取中标或排斥特定投标人而采取的其他联合行动。</w:t>
      </w:r>
    </w:p>
    <w:p w14:paraId="7BB68487">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3.5.2有下列情形之一的，视为投标人相互串通投标：</w:t>
      </w:r>
    </w:p>
    <w:p w14:paraId="5C548133">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（1）不同投标人的投标文件由同一单位或个人编制；</w:t>
      </w:r>
    </w:p>
    <w:p w14:paraId="34CA4980">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（2）不同投标人委托同一单位或个人办理投标事宜；</w:t>
      </w:r>
    </w:p>
    <w:p w14:paraId="5C3C6CB5">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（3）不同投标人的投标文件载明的项目组成员为同一人；</w:t>
      </w:r>
    </w:p>
    <w:p w14:paraId="515F36B9">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（4）不同投标人的投标文件异常一致或投标报价呈规律性差异。</w:t>
      </w:r>
    </w:p>
    <w:p w14:paraId="430D77EF">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3.5.3有下列情形之一的，属于采购人与投标人串通投标：</w:t>
      </w:r>
    </w:p>
    <w:p w14:paraId="25D8101A">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（1）采购人在开标前开启投标文件并将有关信息泄露给其他投标人；</w:t>
      </w:r>
    </w:p>
    <w:p w14:paraId="735BF2EB">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（2）采购人直接或间接向投标人泄露标底、评标委员会成员等信息；</w:t>
      </w:r>
    </w:p>
    <w:p w14:paraId="75DB7A7E">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（3）采购人明示或暗示投标人压低或抬高投标报价；</w:t>
      </w:r>
    </w:p>
    <w:p w14:paraId="125985B4">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（4）采购人授意投标人撤换、修改投标文件；</w:t>
      </w:r>
    </w:p>
    <w:p w14:paraId="4B8877E6">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（5）采购人明示或暗示投标人为特定投标人中标提供方便；</w:t>
      </w:r>
    </w:p>
    <w:p w14:paraId="35361A69">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（6）采购人与投标人为谋求特定投标人中标而采取的其他串通行为。</w:t>
      </w:r>
    </w:p>
    <w:p w14:paraId="406E1B95">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3.5.4投标人有下列情形之一的，属于弄虚作假的行为：</w:t>
      </w:r>
    </w:p>
    <w:p w14:paraId="6E4BB012">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（1）使用通过受让或租借等方式获取的资格、资质证书投标；</w:t>
      </w:r>
    </w:p>
    <w:p w14:paraId="71CE3820">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（2）使用伪造、变造的许可证件；</w:t>
      </w:r>
    </w:p>
    <w:p w14:paraId="0DD2C030">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（3）提供虚假的财务状况或业绩或其他证明材料或证件等；</w:t>
      </w:r>
    </w:p>
    <w:p w14:paraId="0230542C">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（4）提供虚假的信用状况；</w:t>
      </w:r>
    </w:p>
    <w:p w14:paraId="11D8965C">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（5）其他弄虚作假的行为。</w:t>
      </w:r>
    </w:p>
    <w:p w14:paraId="56246712">
      <w:pPr>
        <w:spacing w:line="360" w:lineRule="auto"/>
        <w:ind w:firstLine="422"/>
        <w:outlineLvl w:val="3"/>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 xml:space="preserve">6 </w:t>
      </w:r>
      <w:r>
        <w:rPr>
          <w:rFonts w:hint="eastAsia" w:asciiTheme="minorEastAsia" w:hAnsiTheme="minorEastAsia" w:eastAsiaTheme="minorEastAsia"/>
          <w:b/>
          <w:szCs w:val="21"/>
        </w:rPr>
        <w:t>评分要求和统计分数原则</w:t>
      </w:r>
    </w:p>
    <w:p w14:paraId="4AA73B2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6</w:t>
      </w:r>
      <w:r>
        <w:rPr>
          <w:rFonts w:hint="eastAsia" w:cs="宋体" w:asciiTheme="minorEastAsia" w:hAnsiTheme="minorEastAsia" w:eastAsiaTheme="minorEastAsia"/>
          <w:szCs w:val="21"/>
        </w:rPr>
        <w:t>.1评标委员会应首先对各投标人的投标文件进行评审，并按</w:t>
      </w:r>
      <w:r>
        <w:rPr>
          <w:rFonts w:hint="eastAsia" w:asciiTheme="minorEastAsia" w:hAnsiTheme="minorEastAsia" w:eastAsiaTheme="minorEastAsia"/>
          <w:szCs w:val="21"/>
        </w:rPr>
        <w:t>招标文件</w:t>
      </w:r>
      <w:r>
        <w:rPr>
          <w:rFonts w:hint="eastAsia" w:cs="宋体" w:asciiTheme="minorEastAsia" w:hAnsiTheme="minorEastAsia" w:eastAsiaTheme="minorEastAsia"/>
          <w:szCs w:val="21"/>
        </w:rPr>
        <w:t>规定的分值评分，若有打分档，各分档评分中间不得用插入法评分。</w:t>
      </w:r>
    </w:p>
    <w:p w14:paraId="322A28FA">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6</w:t>
      </w:r>
      <w:r>
        <w:rPr>
          <w:rFonts w:hint="eastAsia" w:cs="宋体" w:asciiTheme="minorEastAsia" w:hAnsiTheme="minorEastAsia" w:eastAsiaTheme="minorEastAsia"/>
          <w:szCs w:val="21"/>
        </w:rPr>
        <w:t>.2统计分数原则：评标委员会成员的评分通过计算平均分值为投标人的技术部分得分（保留小数点后两位）。商务部分得分由投标人的</w:t>
      </w:r>
      <w:r>
        <w:rPr>
          <w:rFonts w:hint="eastAsia" w:cs="仿宋" w:asciiTheme="minorEastAsia" w:hAnsiTheme="minorEastAsia" w:eastAsiaTheme="minorEastAsia"/>
          <w:szCs w:val="21"/>
        </w:rPr>
        <w:t>评审价</w:t>
      </w:r>
      <w:r>
        <w:rPr>
          <w:rFonts w:hint="eastAsia" w:cs="宋体" w:asciiTheme="minorEastAsia" w:hAnsiTheme="minorEastAsia" w:eastAsiaTheme="minorEastAsia"/>
          <w:szCs w:val="21"/>
        </w:rPr>
        <w:t>计算后得出（保留小数点后两位）。</w:t>
      </w:r>
    </w:p>
    <w:p w14:paraId="49760202">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.6</w:t>
      </w:r>
      <w:r>
        <w:rPr>
          <w:rFonts w:hint="eastAsia" w:cs="宋体" w:asciiTheme="minorEastAsia" w:hAnsiTheme="minorEastAsia" w:eastAsiaTheme="minorEastAsia"/>
          <w:szCs w:val="21"/>
        </w:rPr>
        <w:t>.3</w:t>
      </w:r>
      <w:r>
        <w:rPr>
          <w:rFonts w:hint="eastAsia" w:asciiTheme="minorEastAsia" w:hAnsiTheme="minorEastAsia" w:eastAsiaTheme="minorEastAsia"/>
        </w:rPr>
        <w:t xml:space="preserve"> </w:t>
      </w:r>
      <w:r>
        <w:rPr>
          <w:rFonts w:hint="eastAsia" w:cs="宋体" w:asciiTheme="minorEastAsia" w:hAnsiTheme="minorEastAsia" w:eastAsiaTheme="minorEastAsia"/>
          <w:szCs w:val="21"/>
        </w:rPr>
        <w:t>汇总评分结果</w:t>
      </w:r>
    </w:p>
    <w:p w14:paraId="449C9D1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评标委员会对所有有效投标人的投标文件的技术部分、商务部分分别进行评审评分后，再按评标办法前附表载明的公式计算出投标人的综合得分。</w:t>
      </w:r>
    </w:p>
    <w:p w14:paraId="2C40F270">
      <w:pPr>
        <w:spacing w:line="360" w:lineRule="auto"/>
        <w:ind w:firstLine="422"/>
        <w:outlineLvl w:val="3"/>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7</w:t>
      </w:r>
      <w:r>
        <w:rPr>
          <w:rFonts w:hint="eastAsia" w:asciiTheme="minorEastAsia" w:hAnsiTheme="minorEastAsia" w:eastAsiaTheme="minorEastAsia"/>
          <w:b/>
          <w:szCs w:val="21"/>
        </w:rPr>
        <w:t xml:space="preserve"> 评审结果 </w:t>
      </w:r>
    </w:p>
    <w:p w14:paraId="4FF17D61">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7.</w:t>
      </w:r>
      <w:r>
        <w:rPr>
          <w:rFonts w:asciiTheme="minorEastAsia" w:hAnsiTheme="minorEastAsia" w:eastAsiaTheme="minorEastAsia"/>
          <w:szCs w:val="21"/>
        </w:rPr>
        <w:t xml:space="preserve">1 </w:t>
      </w:r>
      <w:r>
        <w:rPr>
          <w:rFonts w:hint="eastAsia" w:asciiTheme="minorEastAsia" w:hAnsiTheme="minorEastAsia" w:eastAsiaTheme="minorEastAsia"/>
          <w:szCs w:val="21"/>
        </w:rPr>
        <w:t>本项目采用综合评分法</w:t>
      </w:r>
      <w:r>
        <w:rPr>
          <w:rFonts w:asciiTheme="minorEastAsia" w:hAnsiTheme="minorEastAsia" w:eastAsiaTheme="minorEastAsia"/>
          <w:szCs w:val="21"/>
        </w:rPr>
        <w:t>，评标结果按评审后得分由高到低顺序排列。得分相同的，按投标报价由低到高顺序排列。得分且投标报价相同的</w:t>
      </w:r>
      <w:bookmarkStart w:id="1123" w:name="OLE_LINK252"/>
      <w:r>
        <w:rPr>
          <w:rFonts w:asciiTheme="minorEastAsia" w:hAnsiTheme="minorEastAsia" w:eastAsiaTheme="minorEastAsia"/>
          <w:szCs w:val="21"/>
        </w:rPr>
        <w:t>并列</w:t>
      </w:r>
      <w:bookmarkEnd w:id="1123"/>
      <w:r>
        <w:rPr>
          <w:rFonts w:asciiTheme="minorEastAsia" w:hAnsiTheme="minorEastAsia" w:eastAsiaTheme="minorEastAsia"/>
          <w:szCs w:val="21"/>
        </w:rPr>
        <w:t>。投标文件满足招标文件全部实质性要求，且按照评审因素的量化指标评审得分最高的投标人为排名第一的中标候选人。</w:t>
      </w:r>
    </w:p>
    <w:p w14:paraId="1E777CC7">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7.</w:t>
      </w:r>
      <w:r>
        <w:rPr>
          <w:rFonts w:asciiTheme="minorEastAsia" w:hAnsiTheme="minorEastAsia" w:eastAsiaTheme="minorEastAsia"/>
          <w:szCs w:val="21"/>
        </w:rPr>
        <w:t>2 采购人根据评标委员会提出的书面评标报告和推荐的中标候选人名单，确定中标人。</w:t>
      </w:r>
    </w:p>
    <w:p w14:paraId="1624EC1D">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3.7.3</w:t>
      </w:r>
      <w:r>
        <w:rPr>
          <w:rFonts w:asciiTheme="minorEastAsia" w:hAnsiTheme="minorEastAsia" w:eastAsiaTheme="minorEastAsia"/>
          <w:szCs w:val="21"/>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102522CF">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3.7.4</w:t>
      </w:r>
      <w:r>
        <w:rPr>
          <w:rFonts w:asciiTheme="minorEastAsia" w:hAnsiTheme="minorEastAsia" w:eastAsiaTheme="minorEastAsia"/>
          <w:szCs w:val="21"/>
        </w:rPr>
        <w:t>非单一产品采购项目，多家投标人提供的核心产品品牌（核心产品由采购人根据采购项目技术构成、产品价格比重等确定）均相同的，按前款规定处理。</w:t>
      </w:r>
    </w:p>
    <w:p w14:paraId="794DBC2C">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br w:type="page"/>
      </w:r>
    </w:p>
    <w:p w14:paraId="642056AE">
      <w:pPr>
        <w:spacing w:before="120" w:beforeLines="50" w:line="360" w:lineRule="auto"/>
        <w:ind w:firstLine="482"/>
        <w:outlineLvl w:val="2"/>
        <w:rPr>
          <w:rFonts w:asciiTheme="minorEastAsia" w:hAnsiTheme="minorEastAsia" w:eastAsiaTheme="minorEastAsia"/>
          <w:b/>
          <w:sz w:val="24"/>
          <w:szCs w:val="24"/>
        </w:rPr>
      </w:pPr>
      <w:bookmarkStart w:id="1124" w:name="_Toc98865055"/>
      <w:bookmarkStart w:id="1125" w:name="_Toc87538411"/>
      <w:bookmarkStart w:id="1126" w:name="_Toc45791396"/>
      <w:bookmarkStart w:id="1127" w:name="_Toc110405179"/>
      <w:bookmarkStart w:id="1128" w:name="_Toc45976942"/>
      <w:bookmarkStart w:id="1129" w:name="_Toc81330981"/>
      <w:bookmarkStart w:id="1130" w:name="_Toc98033978"/>
      <w:bookmarkStart w:id="1131" w:name="_Toc30376"/>
      <w:bookmarkStart w:id="1132" w:name="_Toc83753934"/>
      <w:bookmarkStart w:id="1133" w:name="_Toc42205035"/>
      <w:bookmarkStart w:id="1134" w:name="_Toc84356294"/>
      <w:bookmarkStart w:id="1135" w:name="_Toc116584046"/>
      <w:bookmarkStart w:id="1136" w:name="_Toc87543862"/>
      <w:bookmarkStart w:id="1137" w:name="_Toc53412258"/>
      <w:bookmarkStart w:id="1138" w:name="_Toc109809356"/>
      <w:r>
        <w:rPr>
          <w:rFonts w:hint="eastAsia" w:asciiTheme="minorEastAsia" w:hAnsiTheme="minorEastAsia" w:eastAsiaTheme="minorEastAsia"/>
          <w:b/>
          <w:sz w:val="24"/>
          <w:szCs w:val="24"/>
        </w:rPr>
        <w:t>附件A：评审详细程序</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04B02D13">
      <w:pPr>
        <w:spacing w:line="360" w:lineRule="auto"/>
        <w:ind w:firstLine="562"/>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评审详细程序</w:t>
      </w:r>
    </w:p>
    <w:p w14:paraId="0D0D8E83">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A0.总  则</w:t>
      </w:r>
    </w:p>
    <w:p w14:paraId="23CED06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本附件是本章“评标办法”的组成部分，是对本章第3条所规定的评审程序的进一步细化，评标委员会应当按照本附件所规定的详细程序开展并完成评审工作。</w:t>
      </w:r>
    </w:p>
    <w:p w14:paraId="2FE42E25">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A1.基本程序</w:t>
      </w:r>
    </w:p>
    <w:p w14:paraId="4235F51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评审活动将按以下六个步骤进行：</w:t>
      </w:r>
    </w:p>
    <w:p w14:paraId="5CF3345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（1）评审准备；</w:t>
      </w:r>
    </w:p>
    <w:p w14:paraId="52B71D0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）符合性审查；</w:t>
      </w:r>
    </w:p>
    <w:p w14:paraId="62E7378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（3）投标报价部份评审；</w:t>
      </w:r>
    </w:p>
    <w:p w14:paraId="04F17D6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（4）技术部分评审；</w:t>
      </w:r>
    </w:p>
    <w:p w14:paraId="01CC1DB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（5）商务部分评审；</w:t>
      </w:r>
    </w:p>
    <w:p w14:paraId="40DE159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（6）澄清、说明或补正；</w:t>
      </w:r>
    </w:p>
    <w:p w14:paraId="29EC8B1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（7）推荐中标候选人或者直接确定中标投标人及递交评审报告。</w:t>
      </w:r>
    </w:p>
    <w:p w14:paraId="3F94D90A">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A2.评审准备</w:t>
      </w:r>
    </w:p>
    <w:p w14:paraId="277E6F7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A2.1评标委员会成员签到</w:t>
      </w:r>
    </w:p>
    <w:p w14:paraId="426F729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评标委员会成员到达评审现场签到并组建评标委员会。</w:t>
      </w:r>
    </w:p>
    <w:p w14:paraId="72053B6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A2.2评标委员会的分工</w:t>
      </w:r>
    </w:p>
    <w:p w14:paraId="5205CC9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评标委员会首先推选一名评标委员会组长。评标委员会组长负责评审活动的组织领导工作。评标委员会组长在与其他评标委员会成员协商的基础上，可以将评标委员会划分为技术组和商务组。</w:t>
      </w:r>
    </w:p>
    <w:p w14:paraId="3B95826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A2.3熟悉文件资料</w:t>
      </w:r>
    </w:p>
    <w:p w14:paraId="28F0638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A2.3.</w:t>
      </w:r>
      <w:r>
        <w:rPr>
          <w:rFonts w:asciiTheme="minorEastAsia" w:hAnsiTheme="minorEastAsia" w:eastAsiaTheme="minorEastAsia"/>
          <w:szCs w:val="21"/>
        </w:rPr>
        <w:t>1</w:t>
      </w:r>
      <w:r>
        <w:rPr>
          <w:rFonts w:hint="eastAsia" w:asciiTheme="minorEastAsia" w:hAnsiTheme="minorEastAsia" w:eastAsiaTheme="minorEastAsia"/>
          <w:szCs w:val="21"/>
        </w:rPr>
        <w:t>评标委员会组长应组织评标委员会成员认真研究招标文件，了解和熟悉采购目的、采购范围、主要合同条件、质量要求和合同履行期限（交货期）等要求，掌握评审标准和方法，熟悉评标办法。招标文件中未规定的标准和方法，评标委员会不得作为评审的依据。</w:t>
      </w:r>
    </w:p>
    <w:p w14:paraId="4B3726B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2.3.2采购人或采购代理机构应向评标委员会提供评审所需的信息和数据，包括招标文件、未在开标会上当场拒绝的各投标文件、开标会记录及各投标人在投标文件，有关的法律、法规、规章、国家标准以及采购人或评标委员会认为必要的其他信息和数据。</w:t>
      </w:r>
    </w:p>
    <w:p w14:paraId="65C68CE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A2.4对投标文件进行基础性数据分析和整理工作（清标）</w:t>
      </w:r>
    </w:p>
    <w:p w14:paraId="495CD80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不改变投标人投标文件实质性内容的前提下，评标委员会应当对投标文件进行基础性数据分析和整理（简称为“清标”），从而发现并提取其中可能存在的对采购范围理解的偏差、投标报价的算术性错误、错漏项、投标报价构成不合理、不平衡报价、是否低于成本报价等存在明显异常的问题，并就这些问题整理形成清标成果。评标委员会对清标成果审议后，决定需要投标人进行书面澄清、</w:t>
      </w:r>
    </w:p>
    <w:p w14:paraId="6F1FAE4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说明或补正的问题，形成质疑问卷，向投标人发出问题澄清通知（质疑问卷）。</w:t>
      </w:r>
    </w:p>
    <w:p w14:paraId="01CCBC09">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A3.初步评审</w:t>
      </w:r>
    </w:p>
    <w:p w14:paraId="5796E3C4">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A3.</w:t>
      </w:r>
      <w:r>
        <w:rPr>
          <w:rFonts w:asciiTheme="minorEastAsia" w:hAnsiTheme="minorEastAsia" w:eastAsiaTheme="minorEastAsia"/>
          <w:b/>
          <w:szCs w:val="21"/>
        </w:rPr>
        <w:t>1</w:t>
      </w:r>
      <w:r>
        <w:rPr>
          <w:rFonts w:hint="eastAsia" w:asciiTheme="minorEastAsia" w:hAnsiTheme="minorEastAsia" w:eastAsiaTheme="minorEastAsia"/>
          <w:b/>
          <w:szCs w:val="21"/>
        </w:rPr>
        <w:t>符合性审查</w:t>
      </w:r>
    </w:p>
    <w:p w14:paraId="19885ADD">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评标委员会依据本章第2.1.2款规定的审查标准对所有投标人的投标文件进行符合性审查，有一项不符合审查标准的，投标文件按否决处理。</w:t>
      </w:r>
    </w:p>
    <w:p w14:paraId="74E59007">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A3.</w:t>
      </w:r>
      <w:r>
        <w:rPr>
          <w:rFonts w:asciiTheme="minorEastAsia" w:hAnsiTheme="minorEastAsia" w:eastAsiaTheme="minorEastAsia"/>
          <w:b/>
          <w:szCs w:val="21"/>
        </w:rPr>
        <w:t>2</w:t>
      </w:r>
      <w:r>
        <w:rPr>
          <w:rFonts w:hint="eastAsia" w:asciiTheme="minorEastAsia" w:hAnsiTheme="minorEastAsia" w:eastAsiaTheme="minorEastAsia"/>
          <w:b/>
          <w:szCs w:val="21"/>
        </w:rPr>
        <w:t>判断投标文件是否作否决处理</w:t>
      </w:r>
    </w:p>
    <w:p w14:paraId="4D2E4D9C">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评标委员会在评审过程中，依据本章附件B中规定的否决条件判断投标人的投标文件是否作否决处理。</w:t>
      </w:r>
    </w:p>
    <w:p w14:paraId="2A4C647D">
      <w:pPr>
        <w:spacing w:line="360" w:lineRule="auto"/>
        <w:ind w:firstLine="422"/>
        <w:rPr>
          <w:rFonts w:cs="宋体" w:asciiTheme="minorEastAsia" w:hAnsiTheme="minorEastAsia" w:eastAsiaTheme="minorEastAsia"/>
          <w:b/>
          <w:szCs w:val="21"/>
        </w:rPr>
      </w:pPr>
      <w:r>
        <w:rPr>
          <w:rFonts w:hint="eastAsia" w:asciiTheme="minorEastAsia" w:hAnsiTheme="minorEastAsia" w:eastAsiaTheme="minorEastAsia"/>
          <w:b/>
          <w:szCs w:val="21"/>
        </w:rPr>
        <w:t>A3.</w:t>
      </w:r>
      <w:r>
        <w:rPr>
          <w:rFonts w:asciiTheme="minorEastAsia" w:hAnsiTheme="minorEastAsia" w:eastAsiaTheme="minorEastAsia"/>
          <w:b/>
          <w:szCs w:val="21"/>
        </w:rPr>
        <w:t>3</w:t>
      </w:r>
      <w:r>
        <w:rPr>
          <w:rFonts w:hint="eastAsia" w:cs="宋体" w:asciiTheme="minorEastAsia" w:hAnsiTheme="minorEastAsia" w:eastAsiaTheme="minorEastAsia"/>
          <w:b/>
          <w:szCs w:val="21"/>
        </w:rPr>
        <w:t xml:space="preserve">重新采购 </w:t>
      </w:r>
    </w:p>
    <w:p w14:paraId="40F3A773">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经评标委员会评审后，有效投标人的数量少于3家的，采购人应当依法重新采购。</w:t>
      </w:r>
    </w:p>
    <w:p w14:paraId="6A3BD8FA">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A3.</w:t>
      </w:r>
      <w:r>
        <w:rPr>
          <w:rFonts w:asciiTheme="minorEastAsia" w:hAnsiTheme="minorEastAsia" w:eastAsiaTheme="minorEastAsia"/>
          <w:b/>
          <w:szCs w:val="21"/>
        </w:rPr>
        <w:t>4</w:t>
      </w:r>
      <w:r>
        <w:rPr>
          <w:rFonts w:hint="eastAsia" w:asciiTheme="minorEastAsia" w:hAnsiTheme="minorEastAsia" w:eastAsiaTheme="minorEastAsia"/>
          <w:b/>
          <w:szCs w:val="21"/>
        </w:rPr>
        <w:t>算术性错误修正</w:t>
      </w:r>
    </w:p>
    <w:p w14:paraId="7F70134E">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投标人的投标文件中的投标报价出现前后不一致的，除招标文件另有规定外，评标委员会依法对其按照下列规定进行修正：</w:t>
      </w:r>
    </w:p>
    <w:p w14:paraId="61BD85CB">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（1）大写金额和小写金额不一致的，以大写金额为准；</w:t>
      </w:r>
    </w:p>
    <w:p w14:paraId="2E54DF25">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（2）单价金额小数点或者百分比有明显错位的，以“投标报价一览表”中的投标报价为准；</w:t>
      </w:r>
    </w:p>
    <w:p w14:paraId="1D9A88C0">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（3）总价金额与按单价汇总金额不一致的，以单价金额计算结果为准。</w:t>
      </w:r>
    </w:p>
    <w:p w14:paraId="7214CD7A">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同时出现两种以上不一致的，按照前款规定的顺序修正。修正后的报价按照本章第3.</w:t>
      </w:r>
      <w:r>
        <w:rPr>
          <w:rFonts w:asciiTheme="minorEastAsia" w:hAnsiTheme="minorEastAsia" w:eastAsiaTheme="minorEastAsia"/>
          <w:szCs w:val="21"/>
        </w:rPr>
        <w:t>3</w:t>
      </w:r>
      <w:r>
        <w:rPr>
          <w:rFonts w:hint="eastAsia" w:asciiTheme="minorEastAsia" w:hAnsiTheme="minorEastAsia" w:eastAsiaTheme="minorEastAsia"/>
          <w:szCs w:val="21"/>
        </w:rPr>
        <w:t>条的规定经投标人确认后产生约束力，投标人不确认的，其投标无效。</w:t>
      </w:r>
    </w:p>
    <w:p w14:paraId="04F5762F">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A4.投标报价部分评审</w:t>
      </w:r>
    </w:p>
    <w:p w14:paraId="008A8FAD">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 4.1评标委员会依据本章第2.2.</w:t>
      </w:r>
      <w:r>
        <w:rPr>
          <w:rFonts w:asciiTheme="minorEastAsia" w:hAnsiTheme="minorEastAsia" w:eastAsiaTheme="minorEastAsia"/>
          <w:szCs w:val="21"/>
        </w:rPr>
        <w:t>2</w:t>
      </w:r>
      <w:r>
        <w:rPr>
          <w:rFonts w:hint="eastAsia" w:asciiTheme="minorEastAsia" w:hAnsiTheme="minorEastAsia" w:eastAsiaTheme="minorEastAsia"/>
          <w:szCs w:val="21"/>
        </w:rPr>
        <w:t>款规定的分值对通过资格审查和符合性审查的投标人的投标文件中的投标报价部分进行评审评分。</w:t>
      </w:r>
    </w:p>
    <w:p w14:paraId="29191DEE">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A5.技术部分评审</w:t>
      </w:r>
    </w:p>
    <w:p w14:paraId="2A5B84E5">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 5.1评标委员会依据本章第2.2.3款规定的分值对通过资格审查和符合性审查的投标人的投标文件中的技术部分进行评审评分，</w:t>
      </w:r>
      <w:r>
        <w:rPr>
          <w:rFonts w:asciiTheme="minorEastAsia" w:hAnsiTheme="minorEastAsia" w:eastAsiaTheme="minorEastAsia"/>
        </w:rPr>
        <w:t>评标委员会成员</w:t>
      </w:r>
      <w:r>
        <w:rPr>
          <w:rFonts w:hint="eastAsia" w:asciiTheme="minorEastAsia" w:hAnsiTheme="minorEastAsia" w:eastAsiaTheme="minorEastAsia"/>
          <w:szCs w:val="21"/>
        </w:rPr>
        <w:t>的评分通过计算平均分值为投标人的技术部分得分。</w:t>
      </w:r>
    </w:p>
    <w:p w14:paraId="19A594E9">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 5.2评分分值计算保留小数点后两位，小数点后第三位“四舍五入”。</w:t>
      </w:r>
    </w:p>
    <w:p w14:paraId="6BF3C7AF">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A6.商务部分评审</w:t>
      </w:r>
    </w:p>
    <w:p w14:paraId="52CFB96A">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 6.1评标委员会依据本章第2.2.</w:t>
      </w:r>
      <w:r>
        <w:rPr>
          <w:rFonts w:asciiTheme="minorEastAsia" w:hAnsiTheme="minorEastAsia" w:eastAsiaTheme="minorEastAsia"/>
          <w:szCs w:val="21"/>
        </w:rPr>
        <w:t>4</w:t>
      </w:r>
      <w:r>
        <w:rPr>
          <w:rFonts w:hint="eastAsia" w:asciiTheme="minorEastAsia" w:hAnsiTheme="minorEastAsia" w:eastAsiaTheme="minorEastAsia"/>
          <w:szCs w:val="21"/>
        </w:rPr>
        <w:t>款规定的分值对通过资格审查和符合性审查的投标人的评审价进行评审评分，投标人的评审价得分即为投标人的商务部分得分。</w:t>
      </w:r>
    </w:p>
    <w:p w14:paraId="48402B1F">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w:t>
      </w:r>
      <w:r>
        <w:rPr>
          <w:rFonts w:asciiTheme="minorEastAsia" w:hAnsiTheme="minorEastAsia" w:eastAsiaTheme="minorEastAsia"/>
          <w:szCs w:val="21"/>
        </w:rPr>
        <w:t xml:space="preserve"> </w:t>
      </w:r>
      <w:r>
        <w:rPr>
          <w:rFonts w:hint="eastAsia" w:asciiTheme="minorEastAsia" w:hAnsiTheme="minorEastAsia" w:eastAsiaTheme="minorEastAsia"/>
          <w:szCs w:val="21"/>
        </w:rPr>
        <w:t>6.2评分分值计算保留小数点后两位，小数点后第三位“四舍五入”。</w:t>
      </w:r>
    </w:p>
    <w:p w14:paraId="4937E206">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A7澄清、说明或补正</w:t>
      </w:r>
    </w:p>
    <w:p w14:paraId="29222842">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在初步评审过程中，评标委员会应当就投标人的投标文件中不明确的内容要求投标人进行澄清、说明或者补正。投标人对此以书面形式予以澄清、说明或者补正。澄清、说明或补正根据本章第3.</w:t>
      </w:r>
      <w:r>
        <w:rPr>
          <w:rFonts w:asciiTheme="minorEastAsia" w:hAnsiTheme="minorEastAsia" w:eastAsiaTheme="minorEastAsia"/>
          <w:szCs w:val="21"/>
        </w:rPr>
        <w:t>3</w:t>
      </w:r>
      <w:r>
        <w:rPr>
          <w:rFonts w:hint="eastAsia" w:asciiTheme="minorEastAsia" w:hAnsiTheme="minorEastAsia" w:eastAsiaTheme="minorEastAsia"/>
          <w:szCs w:val="21"/>
        </w:rPr>
        <w:t>款的规定执行。</w:t>
      </w:r>
    </w:p>
    <w:p w14:paraId="351C96FB">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A8.特殊情况的处置程序</w:t>
      </w:r>
    </w:p>
    <w:p w14:paraId="41EA5BCC">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A8.1关于评审活动暂停</w:t>
      </w:r>
    </w:p>
    <w:p w14:paraId="245854A2">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A8.1.1评标委员会应当执行连续评审的原则，按评标办法中规定的程序、内容、方法、标准完成全部评审工作。只有发生不可抗力导致评审工作无法继续时，评审活动方可暂停。</w:t>
      </w:r>
    </w:p>
    <w:p w14:paraId="276CE2B7">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A8.1.2发生评审暂停情况时，评标委员会应当封存全部投标申请文件和评审记录，待不可抗力的影响结束且具备继续评审的条件时，由原评标委员会继续评审。</w:t>
      </w:r>
    </w:p>
    <w:p w14:paraId="455E6F39">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A8.2关于评审中途更换评委</w:t>
      </w:r>
    </w:p>
    <w:p w14:paraId="3EE62425">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A8.2.1除非发生下列情况之一，评标委员会成员不得在评审中途更换：</w:t>
      </w:r>
    </w:p>
    <w:p w14:paraId="42A707A2">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（1）因不可抗拒的客观原因，不能到场或需在评审中途退出评审活动。</w:t>
      </w:r>
    </w:p>
    <w:p w14:paraId="5805FB3C">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）根据法律法规规定，某个或某几个评标委员会成员需要回避。</w:t>
      </w:r>
    </w:p>
    <w:p w14:paraId="1DBA7326">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A8.2.2退出评审的评标委员会成员，其已完成的评审行为无效。由采购人根据本招标文件规定的评标委员会成员生产方式另行确定替代者进行评审。</w:t>
      </w:r>
    </w:p>
    <w:p w14:paraId="4060AE11">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A8.3不记名投票</w:t>
      </w:r>
    </w:p>
    <w:p w14:paraId="07E07CBF">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在任何评审环节中，需评标委员会就某项定性的评审结论做出表决的，由评标委员会全体成员按照少数服从多数的原则，以不记名投票方式表决。</w:t>
      </w:r>
    </w:p>
    <w:p w14:paraId="553D80B9">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A9.补充条款</w:t>
      </w:r>
    </w:p>
    <w:p w14:paraId="55065341">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评审中若遇特殊问题，由评标委员会根据有关法律、法规、规定研究决定。</w:t>
      </w:r>
      <w:r>
        <w:rPr>
          <w:rFonts w:asciiTheme="minorEastAsia" w:hAnsiTheme="minorEastAsia" w:eastAsiaTheme="minorEastAsia"/>
          <w:szCs w:val="21"/>
        </w:rPr>
        <w:br w:type="page"/>
      </w:r>
    </w:p>
    <w:p w14:paraId="37290AA7">
      <w:pPr>
        <w:spacing w:before="120" w:beforeLines="50" w:line="360" w:lineRule="auto"/>
        <w:ind w:firstLine="482"/>
        <w:outlineLvl w:val="2"/>
        <w:rPr>
          <w:rFonts w:asciiTheme="minorEastAsia" w:hAnsiTheme="minorEastAsia" w:eastAsiaTheme="minorEastAsia"/>
          <w:b/>
          <w:sz w:val="24"/>
          <w:szCs w:val="24"/>
        </w:rPr>
      </w:pPr>
      <w:bookmarkStart w:id="1139" w:name="_Toc87543863"/>
      <w:bookmarkStart w:id="1140" w:name="_Toc110405180"/>
      <w:bookmarkStart w:id="1141" w:name="_Toc87538412"/>
      <w:bookmarkStart w:id="1142" w:name="_Toc53412259"/>
      <w:bookmarkStart w:id="1143" w:name="_Toc42205036"/>
      <w:bookmarkStart w:id="1144" w:name="_Toc83753935"/>
      <w:bookmarkStart w:id="1145" w:name="_Toc45976943"/>
      <w:bookmarkStart w:id="1146" w:name="_Toc45791397"/>
      <w:bookmarkStart w:id="1147" w:name="_Toc84356295"/>
      <w:bookmarkStart w:id="1148" w:name="_Toc4288"/>
      <w:bookmarkStart w:id="1149" w:name="_Toc98865056"/>
      <w:bookmarkStart w:id="1150" w:name="_Toc116584047"/>
      <w:bookmarkStart w:id="1151" w:name="_Toc109809357"/>
      <w:bookmarkStart w:id="1152" w:name="_Toc98033979"/>
      <w:bookmarkStart w:id="1153" w:name="_Toc81330982"/>
      <w:r>
        <w:rPr>
          <w:rFonts w:hint="eastAsia" w:asciiTheme="minorEastAsia" w:hAnsiTheme="minorEastAsia" w:eastAsiaTheme="minorEastAsia"/>
          <w:b/>
          <w:sz w:val="24"/>
          <w:szCs w:val="24"/>
        </w:rPr>
        <w:t>附件B：否决投标条件</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626BF9D4">
      <w:pPr>
        <w:spacing w:line="360" w:lineRule="auto"/>
        <w:ind w:firstLine="562"/>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否决投标条件</w:t>
      </w:r>
    </w:p>
    <w:p w14:paraId="2515E7E0">
      <w:pPr>
        <w:spacing w:line="360" w:lineRule="auto"/>
        <w:ind w:firstLine="422"/>
        <w:rPr>
          <w:rFonts w:asciiTheme="minorEastAsia" w:hAnsiTheme="minorEastAsia" w:eastAsiaTheme="minorEastAsia"/>
          <w:b/>
          <w:szCs w:val="21"/>
        </w:rPr>
      </w:pPr>
      <w:r>
        <w:rPr>
          <w:rFonts w:hint="eastAsia" w:asciiTheme="minorEastAsia" w:hAnsiTheme="minorEastAsia" w:eastAsiaTheme="minorEastAsia"/>
          <w:b/>
          <w:szCs w:val="21"/>
        </w:rPr>
        <w:t>B0.总  则</w:t>
      </w:r>
    </w:p>
    <w:p w14:paraId="26139E6F">
      <w:pPr>
        <w:spacing w:line="360" w:lineRule="auto"/>
        <w:ind w:firstLine="420"/>
        <w:rPr>
          <w:rFonts w:asciiTheme="minorEastAsia" w:hAnsiTheme="minorEastAsia" w:eastAsiaTheme="minorEastAsia"/>
          <w:szCs w:val="21"/>
        </w:rPr>
      </w:pPr>
      <w:bookmarkStart w:id="1154" w:name="_Toc37603110"/>
      <w:bookmarkStart w:id="1155" w:name="_Toc29357077"/>
      <w:bookmarkStart w:id="1156" w:name="_Toc42205037"/>
      <w:bookmarkStart w:id="1157" w:name="_Toc458454495"/>
      <w:r>
        <w:rPr>
          <w:rFonts w:hint="eastAsia" w:asciiTheme="minorEastAsia" w:hAnsiTheme="minorEastAsia" w:eastAsiaTheme="minorEastAsia"/>
          <w:szCs w:val="21"/>
        </w:rPr>
        <w:t>本附件所集中列示的否决投标条件，是本章“评标办法”的组成部分，是对第二章“投标人须知”和本章正文部分所规定的否决投标条件的总结和补充，如果出现相互矛盾的情况，以本节的规定为准。</w:t>
      </w:r>
    </w:p>
    <w:p w14:paraId="0500C6EA">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B1.未按</w:t>
      </w:r>
      <w:r>
        <w:rPr>
          <w:rFonts w:hint="eastAsia" w:asciiTheme="minorEastAsia" w:hAnsiTheme="minorEastAsia" w:eastAsiaTheme="minorEastAsia"/>
        </w:rPr>
        <w:t>评标委员会</w:t>
      </w:r>
      <w:r>
        <w:rPr>
          <w:rFonts w:asciiTheme="minorEastAsia" w:hAnsiTheme="minorEastAsia" w:eastAsiaTheme="minorEastAsia"/>
        </w:rPr>
        <w:t>要求澄清、说明或补正的；</w:t>
      </w:r>
    </w:p>
    <w:p w14:paraId="005F9325">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B2</w:t>
      </w:r>
      <w:r>
        <w:rPr>
          <w:rFonts w:hint="eastAsia" w:asciiTheme="minorEastAsia" w:hAnsiTheme="minorEastAsia" w:eastAsiaTheme="minorEastAsia"/>
        </w:rPr>
        <w:t>.投标人的名称与所提供的资料上的名称不一致的；</w:t>
      </w:r>
    </w:p>
    <w:p w14:paraId="3669CE0A">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B3</w:t>
      </w:r>
      <w:r>
        <w:rPr>
          <w:rFonts w:hint="eastAsia" w:asciiTheme="minorEastAsia" w:hAnsiTheme="minorEastAsia" w:eastAsiaTheme="minorEastAsia"/>
        </w:rPr>
        <w:t>.</w:t>
      </w:r>
      <w:r>
        <w:rPr>
          <w:rFonts w:asciiTheme="minorEastAsia" w:hAnsiTheme="minorEastAsia" w:eastAsiaTheme="minorEastAsia"/>
        </w:rPr>
        <w:t>分包不符合第二章“</w:t>
      </w:r>
      <w:r>
        <w:rPr>
          <w:rFonts w:hint="eastAsia" w:asciiTheme="minorEastAsia" w:hAnsiTheme="minorEastAsia" w:eastAsiaTheme="minorEastAsia"/>
        </w:rPr>
        <w:t>投标人</w:t>
      </w:r>
      <w:r>
        <w:rPr>
          <w:rFonts w:asciiTheme="minorEastAsia" w:hAnsiTheme="minorEastAsia" w:eastAsiaTheme="minorEastAsia"/>
        </w:rPr>
        <w:t>须知”第1.11项规定的；</w:t>
      </w:r>
    </w:p>
    <w:p w14:paraId="26745424">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B4</w:t>
      </w:r>
      <w:r>
        <w:rPr>
          <w:rFonts w:hint="eastAsia" w:asciiTheme="minorEastAsia" w:hAnsiTheme="minorEastAsia" w:eastAsiaTheme="minorEastAsia"/>
        </w:rPr>
        <w:t>.</w:t>
      </w:r>
      <w:r>
        <w:rPr>
          <w:rFonts w:asciiTheme="minorEastAsia" w:hAnsiTheme="minorEastAsia" w:eastAsiaTheme="minorEastAsia"/>
        </w:rPr>
        <w:t>偏离不符合第二章“</w:t>
      </w:r>
      <w:r>
        <w:rPr>
          <w:rFonts w:hint="eastAsia" w:asciiTheme="minorEastAsia" w:hAnsiTheme="minorEastAsia" w:eastAsiaTheme="minorEastAsia"/>
        </w:rPr>
        <w:t>投标人</w:t>
      </w:r>
      <w:r>
        <w:rPr>
          <w:rFonts w:asciiTheme="minorEastAsia" w:hAnsiTheme="minorEastAsia" w:eastAsiaTheme="minorEastAsia"/>
        </w:rPr>
        <w:t>须知”第1.12项规定的；</w:t>
      </w:r>
    </w:p>
    <w:p w14:paraId="4EBBA471">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B5</w:t>
      </w:r>
      <w:r>
        <w:rPr>
          <w:rFonts w:hint="eastAsia" w:asciiTheme="minorEastAsia" w:hAnsiTheme="minorEastAsia" w:eastAsiaTheme="minorEastAsia"/>
        </w:rPr>
        <w:t>.投标内容不符合第二章“投标人须知前附表”第1.3.1项规定的；</w:t>
      </w:r>
    </w:p>
    <w:p w14:paraId="187B5C76">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B6</w:t>
      </w:r>
      <w:r>
        <w:rPr>
          <w:rFonts w:hint="eastAsia" w:asciiTheme="minorEastAsia" w:hAnsiTheme="minorEastAsia" w:eastAsiaTheme="minorEastAsia"/>
        </w:rPr>
        <w:t>.合同履行期限（交货期）不符合第二章“投标人须知前附表”第1.3.2项规定的；</w:t>
      </w:r>
    </w:p>
    <w:p w14:paraId="64C2CD20">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B7</w:t>
      </w:r>
      <w:r>
        <w:rPr>
          <w:rFonts w:hint="eastAsia" w:asciiTheme="minorEastAsia" w:hAnsiTheme="minorEastAsia" w:eastAsiaTheme="minorEastAsia"/>
        </w:rPr>
        <w:t>.质量标准不符合第二章“投标人须知前附表”第1.3.3项规定的；</w:t>
      </w:r>
    </w:p>
    <w:p w14:paraId="1ACC0F6B">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8.</w:t>
      </w:r>
      <w:r>
        <w:rPr>
          <w:rFonts w:hint="eastAsia" w:ascii="宋体" w:hAnsi="宋体"/>
        </w:rPr>
        <w:t>进口产品</w:t>
      </w:r>
      <w:r>
        <w:rPr>
          <w:rFonts w:hint="eastAsia" w:asciiTheme="minorEastAsia" w:hAnsiTheme="minorEastAsia" w:eastAsiaTheme="minorEastAsia"/>
        </w:rPr>
        <w:t>不符合第二章“投标人须知前附表”第1.3.4项规定的；</w:t>
      </w:r>
    </w:p>
    <w:p w14:paraId="053362F7">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lang w:val="en-US" w:eastAsia="zh-CN"/>
        </w:rPr>
        <w:t>9</w:t>
      </w:r>
      <w:r>
        <w:rPr>
          <w:rFonts w:hint="eastAsia" w:asciiTheme="minorEastAsia" w:hAnsiTheme="minorEastAsia" w:eastAsiaTheme="minorEastAsia"/>
        </w:rPr>
        <w:t>.联合体不符合第二章“投标人须知前附表”第1.4.</w:t>
      </w:r>
      <w:r>
        <w:rPr>
          <w:rFonts w:asciiTheme="minorEastAsia" w:hAnsiTheme="minorEastAsia" w:eastAsiaTheme="minorEastAsia"/>
        </w:rPr>
        <w:t>2</w:t>
      </w:r>
      <w:r>
        <w:rPr>
          <w:rFonts w:hint="eastAsia" w:asciiTheme="minorEastAsia" w:hAnsiTheme="minorEastAsia" w:eastAsiaTheme="minorEastAsia"/>
        </w:rPr>
        <w:t>项规定的；</w:t>
      </w:r>
    </w:p>
    <w:p w14:paraId="6DEA8DE8">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1</w:t>
      </w:r>
      <w:r>
        <w:rPr>
          <w:rFonts w:hint="eastAsia" w:asciiTheme="minorEastAsia" w:hAnsiTheme="minorEastAsia" w:eastAsiaTheme="minorEastAsia"/>
          <w:lang w:val="en-US" w:eastAsia="zh-CN"/>
        </w:rPr>
        <w:t>0</w:t>
      </w:r>
      <w:r>
        <w:rPr>
          <w:rFonts w:hint="eastAsia" w:asciiTheme="minorEastAsia" w:hAnsiTheme="minorEastAsia" w:eastAsiaTheme="minorEastAsia"/>
        </w:rPr>
        <w:t>.投标文件中只有一个有效的投标报价；</w:t>
      </w:r>
    </w:p>
    <w:p w14:paraId="67D34593">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B1</w:t>
      </w:r>
      <w:r>
        <w:rPr>
          <w:rFonts w:hint="eastAsia" w:asciiTheme="minorEastAsia" w:hAnsiTheme="minorEastAsia" w:eastAsiaTheme="minorEastAsia"/>
          <w:lang w:val="en-US" w:eastAsia="zh-CN"/>
        </w:rPr>
        <w:t>1</w:t>
      </w:r>
      <w:r>
        <w:rPr>
          <w:rFonts w:hint="eastAsia" w:asciiTheme="minorEastAsia" w:hAnsiTheme="minorEastAsia" w:eastAsiaTheme="minorEastAsia"/>
        </w:rPr>
        <w:t>.投标文件的签署不符合第二章“投标人须知前附表”第</w:t>
      </w:r>
      <w:r>
        <w:rPr>
          <w:rFonts w:asciiTheme="minorEastAsia" w:hAnsiTheme="minorEastAsia" w:eastAsiaTheme="minorEastAsia"/>
        </w:rPr>
        <w:t>3</w:t>
      </w:r>
      <w:r>
        <w:rPr>
          <w:rFonts w:hint="eastAsia" w:asciiTheme="minorEastAsia" w:hAnsiTheme="minorEastAsia" w:eastAsiaTheme="minorEastAsia"/>
        </w:rPr>
        <w:t>.</w:t>
      </w:r>
      <w:r>
        <w:rPr>
          <w:rFonts w:asciiTheme="minorEastAsia" w:hAnsiTheme="minorEastAsia" w:eastAsiaTheme="minorEastAsia"/>
        </w:rPr>
        <w:t>7</w:t>
      </w:r>
      <w:r>
        <w:rPr>
          <w:rFonts w:hint="eastAsia" w:asciiTheme="minorEastAsia" w:hAnsiTheme="minorEastAsia" w:eastAsiaTheme="minorEastAsia"/>
        </w:rPr>
        <w:t>.3项规定的；</w:t>
      </w:r>
    </w:p>
    <w:p w14:paraId="1A46230B">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B1</w:t>
      </w:r>
      <w:r>
        <w:rPr>
          <w:rFonts w:hint="eastAsia" w:asciiTheme="minorEastAsia" w:hAnsiTheme="minorEastAsia" w:eastAsiaTheme="minorEastAsia"/>
          <w:lang w:val="en-US" w:eastAsia="zh-CN"/>
        </w:rPr>
        <w:t>2</w:t>
      </w:r>
      <w:r>
        <w:rPr>
          <w:rFonts w:hint="eastAsia" w:asciiTheme="minorEastAsia" w:hAnsiTheme="minorEastAsia" w:eastAsiaTheme="minorEastAsia"/>
        </w:rPr>
        <w:t>.投标人的信誉不符合第二章“投标人须知前附表”</w:t>
      </w:r>
      <w:r>
        <w:rPr>
          <w:rFonts w:hint="eastAsia" w:asciiTheme="minorEastAsia" w:hAnsiTheme="minorEastAsia" w:eastAsiaTheme="minorEastAsia"/>
          <w:szCs w:val="21"/>
        </w:rPr>
        <w:t>第</w:t>
      </w:r>
      <w:r>
        <w:rPr>
          <w:rFonts w:asciiTheme="minorEastAsia" w:hAnsiTheme="minorEastAsia" w:eastAsiaTheme="minorEastAsia"/>
          <w:szCs w:val="21"/>
        </w:rPr>
        <w:t>10</w:t>
      </w:r>
      <w:r>
        <w:rPr>
          <w:rFonts w:hint="eastAsia" w:asciiTheme="minorEastAsia" w:hAnsiTheme="minorEastAsia" w:eastAsiaTheme="minorEastAsia"/>
          <w:szCs w:val="21"/>
        </w:rPr>
        <w:t>项中第2条规定</w:t>
      </w:r>
      <w:r>
        <w:rPr>
          <w:rFonts w:hint="eastAsia" w:asciiTheme="minorEastAsia" w:hAnsiTheme="minorEastAsia" w:eastAsiaTheme="minorEastAsia"/>
        </w:rPr>
        <w:t>的；</w:t>
      </w:r>
    </w:p>
    <w:p w14:paraId="263CE0BE">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B1</w:t>
      </w:r>
      <w:r>
        <w:rPr>
          <w:rFonts w:hint="eastAsia" w:asciiTheme="minorEastAsia" w:hAnsiTheme="minorEastAsia" w:eastAsiaTheme="minorEastAsia"/>
          <w:lang w:val="en-US" w:eastAsia="zh-CN"/>
        </w:rPr>
        <w:t>3</w:t>
      </w:r>
      <w:r>
        <w:rPr>
          <w:rFonts w:hint="eastAsia" w:asciiTheme="minorEastAsia" w:hAnsiTheme="minorEastAsia" w:eastAsiaTheme="minorEastAsia"/>
        </w:rPr>
        <w:t>.参与投标的投标人的单位负责人为同一人或存在直接控股、管理关系的；</w:t>
      </w:r>
    </w:p>
    <w:p w14:paraId="336D1072">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B1</w:t>
      </w:r>
      <w:r>
        <w:rPr>
          <w:rFonts w:hint="eastAsia" w:asciiTheme="minorEastAsia" w:hAnsiTheme="minorEastAsia" w:eastAsiaTheme="minorEastAsia"/>
          <w:lang w:val="en-US" w:eastAsia="zh-CN"/>
        </w:rPr>
        <w:t>4</w:t>
      </w:r>
      <w:r>
        <w:rPr>
          <w:rFonts w:hint="eastAsia" w:asciiTheme="minorEastAsia" w:hAnsiTheme="minorEastAsia" w:eastAsiaTheme="minorEastAsia"/>
        </w:rPr>
        <w:t>.投标有效期不符合第二章“投标人须知前附表”第3.3.1项规定的；</w:t>
      </w:r>
    </w:p>
    <w:p w14:paraId="0BCE7D28">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B1</w:t>
      </w:r>
      <w:r>
        <w:rPr>
          <w:rFonts w:hint="eastAsia" w:asciiTheme="minorEastAsia" w:hAnsiTheme="minorEastAsia" w:eastAsiaTheme="minorEastAsia"/>
          <w:lang w:val="en-US" w:eastAsia="zh-CN"/>
        </w:rPr>
        <w:t>5</w:t>
      </w:r>
      <w:r>
        <w:rPr>
          <w:rFonts w:hint="eastAsia" w:asciiTheme="minorEastAsia" w:hAnsiTheme="minorEastAsia" w:eastAsiaTheme="minorEastAsia"/>
        </w:rPr>
        <w:t>.投标文件</w:t>
      </w:r>
      <w:r>
        <w:rPr>
          <w:rFonts w:asciiTheme="minorEastAsia" w:hAnsiTheme="minorEastAsia" w:eastAsiaTheme="minorEastAsia"/>
        </w:rPr>
        <w:t>未按</w:t>
      </w:r>
      <w:r>
        <w:rPr>
          <w:rFonts w:hint="eastAsia" w:asciiTheme="minorEastAsia" w:hAnsiTheme="minorEastAsia" w:eastAsiaTheme="minorEastAsia"/>
        </w:rPr>
        <w:t>招标文件</w:t>
      </w:r>
      <w:r>
        <w:rPr>
          <w:rFonts w:asciiTheme="minorEastAsia" w:hAnsiTheme="minorEastAsia" w:eastAsiaTheme="minorEastAsia"/>
        </w:rPr>
        <w:t>的要求采用单位和个人数字证书电子签章的；</w:t>
      </w:r>
    </w:p>
    <w:p w14:paraId="26D355A6">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1</w:t>
      </w:r>
      <w:r>
        <w:rPr>
          <w:rFonts w:hint="eastAsia" w:asciiTheme="minorEastAsia" w:hAnsiTheme="minorEastAsia" w:eastAsiaTheme="minorEastAsia"/>
          <w:lang w:val="en-US" w:eastAsia="zh-CN"/>
        </w:rPr>
        <w:t>6</w:t>
      </w:r>
      <w:r>
        <w:rPr>
          <w:rFonts w:hint="eastAsia" w:asciiTheme="minorEastAsia" w:hAnsiTheme="minorEastAsia" w:eastAsiaTheme="minorEastAsia"/>
        </w:rPr>
        <w:t>.投标文件</w:t>
      </w:r>
      <w:r>
        <w:rPr>
          <w:rFonts w:asciiTheme="minorEastAsia" w:hAnsiTheme="minorEastAsia" w:eastAsiaTheme="minorEastAsia"/>
        </w:rPr>
        <w:t>未按</w:t>
      </w:r>
      <w:r>
        <w:rPr>
          <w:rFonts w:hint="eastAsia" w:asciiTheme="minorEastAsia" w:hAnsiTheme="minorEastAsia" w:eastAsiaTheme="minorEastAsia"/>
        </w:rPr>
        <w:t>招标文件</w:t>
      </w:r>
      <w:r>
        <w:rPr>
          <w:rFonts w:asciiTheme="minorEastAsia" w:hAnsiTheme="minorEastAsia" w:eastAsiaTheme="minorEastAsia"/>
        </w:rPr>
        <w:t>规定的格式填写，内容不全或关键字迹模糊、无法辨认的；</w:t>
      </w:r>
    </w:p>
    <w:p w14:paraId="16E87F8F">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1</w:t>
      </w:r>
      <w:r>
        <w:rPr>
          <w:rFonts w:hint="eastAsia" w:asciiTheme="minorEastAsia" w:hAnsiTheme="minorEastAsia" w:eastAsiaTheme="minorEastAsia"/>
          <w:lang w:val="en-US" w:eastAsia="zh-CN"/>
        </w:rPr>
        <w:t>7</w:t>
      </w:r>
      <w:r>
        <w:rPr>
          <w:rFonts w:hint="eastAsia" w:asciiTheme="minorEastAsia" w:hAnsiTheme="minorEastAsia" w:eastAsiaTheme="minorEastAsia"/>
        </w:rPr>
        <w:t>.投标人</w:t>
      </w:r>
      <w:r>
        <w:rPr>
          <w:rFonts w:asciiTheme="minorEastAsia" w:hAnsiTheme="minorEastAsia" w:eastAsiaTheme="minorEastAsia"/>
        </w:rPr>
        <w:t>递交两份或多份内容不同的</w:t>
      </w:r>
      <w:r>
        <w:rPr>
          <w:rFonts w:hint="eastAsia" w:asciiTheme="minorEastAsia" w:hAnsiTheme="minorEastAsia" w:eastAsiaTheme="minorEastAsia"/>
        </w:rPr>
        <w:t>投标文件</w:t>
      </w:r>
      <w:r>
        <w:rPr>
          <w:rFonts w:asciiTheme="minorEastAsia" w:hAnsiTheme="minorEastAsia" w:eastAsiaTheme="minorEastAsia"/>
        </w:rPr>
        <w:t>的；</w:t>
      </w:r>
    </w:p>
    <w:p w14:paraId="1FC05568">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1</w:t>
      </w:r>
      <w:r>
        <w:rPr>
          <w:rFonts w:hint="eastAsia" w:asciiTheme="minorEastAsia" w:hAnsiTheme="minorEastAsia" w:eastAsiaTheme="minorEastAsia"/>
          <w:lang w:val="en-US" w:eastAsia="zh-CN"/>
        </w:rPr>
        <w:t>8</w:t>
      </w:r>
      <w:r>
        <w:rPr>
          <w:rFonts w:hint="eastAsia" w:asciiTheme="minorEastAsia" w:hAnsiTheme="minorEastAsia" w:eastAsiaTheme="minorEastAsia"/>
        </w:rPr>
        <w:t>.评标委员会</w:t>
      </w:r>
      <w:r>
        <w:rPr>
          <w:rFonts w:asciiTheme="minorEastAsia" w:hAnsiTheme="minorEastAsia" w:eastAsiaTheme="minorEastAsia"/>
        </w:rPr>
        <w:t>初步评审时若发现</w:t>
      </w:r>
      <w:r>
        <w:rPr>
          <w:rFonts w:hint="eastAsia" w:asciiTheme="minorEastAsia" w:hAnsiTheme="minorEastAsia" w:eastAsiaTheme="minorEastAsia"/>
        </w:rPr>
        <w:t>投标人</w:t>
      </w:r>
      <w:r>
        <w:rPr>
          <w:rFonts w:asciiTheme="minorEastAsia" w:hAnsiTheme="minorEastAsia" w:eastAsiaTheme="minorEastAsia"/>
        </w:rPr>
        <w:t>报价存在有重大漏项、缺项，且在</w:t>
      </w:r>
      <w:r>
        <w:rPr>
          <w:rFonts w:hint="eastAsia" w:asciiTheme="minorEastAsia" w:hAnsiTheme="minorEastAsia" w:eastAsiaTheme="minorEastAsia"/>
        </w:rPr>
        <w:t>投标文件</w:t>
      </w:r>
      <w:r>
        <w:rPr>
          <w:rFonts w:asciiTheme="minorEastAsia" w:hAnsiTheme="minorEastAsia" w:eastAsiaTheme="minorEastAsia"/>
        </w:rPr>
        <w:t>中没有明确的阐述和承诺的，其</w:t>
      </w:r>
      <w:r>
        <w:rPr>
          <w:rFonts w:hint="eastAsia" w:asciiTheme="minorEastAsia" w:hAnsiTheme="minorEastAsia" w:eastAsiaTheme="minorEastAsia"/>
        </w:rPr>
        <w:t>投标文件</w:t>
      </w:r>
      <w:r>
        <w:rPr>
          <w:rFonts w:asciiTheme="minorEastAsia" w:hAnsiTheme="minorEastAsia" w:eastAsiaTheme="minorEastAsia"/>
        </w:rPr>
        <w:t>作否决处理；</w:t>
      </w:r>
    </w:p>
    <w:p w14:paraId="354530B0">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B</w:t>
      </w:r>
      <w:r>
        <w:rPr>
          <w:rFonts w:hint="eastAsia" w:asciiTheme="minorEastAsia" w:hAnsiTheme="minorEastAsia" w:eastAsiaTheme="minorEastAsia"/>
          <w:lang w:val="en-US" w:eastAsia="zh-CN"/>
        </w:rPr>
        <w:t>19</w:t>
      </w:r>
      <w:r>
        <w:rPr>
          <w:rFonts w:hint="eastAsia" w:asciiTheme="minorEastAsia" w:hAnsiTheme="minorEastAsia" w:eastAsiaTheme="minorEastAsia"/>
        </w:rPr>
        <w:t>.“证明材料要求”项未提供有效证明材料或证明材料中内容与所填报指标不一致的；</w:t>
      </w:r>
    </w:p>
    <w:p w14:paraId="2D96A482">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2</w:t>
      </w:r>
      <w:r>
        <w:rPr>
          <w:rFonts w:hint="eastAsia" w:asciiTheme="minorEastAsia" w:hAnsiTheme="minorEastAsia" w:eastAsiaTheme="minorEastAsia"/>
          <w:lang w:val="en-US" w:eastAsia="zh-CN"/>
        </w:rPr>
        <w:t>0</w:t>
      </w:r>
      <w:r>
        <w:rPr>
          <w:rFonts w:hint="eastAsia" w:asciiTheme="minorEastAsia" w:hAnsiTheme="minorEastAsia" w:eastAsiaTheme="minorEastAsia"/>
        </w:rPr>
        <w:t>.</w:t>
      </w:r>
      <w:r>
        <w:rPr>
          <w:rFonts w:asciiTheme="minorEastAsia" w:hAnsiTheme="minorEastAsia" w:eastAsiaTheme="minorEastAsia"/>
        </w:rPr>
        <w:t>有下列情形之一的，经</w:t>
      </w:r>
      <w:r>
        <w:rPr>
          <w:rFonts w:hint="eastAsia" w:asciiTheme="minorEastAsia" w:hAnsiTheme="minorEastAsia" w:eastAsiaTheme="minorEastAsia"/>
        </w:rPr>
        <w:t>评标委员会</w:t>
      </w:r>
      <w:r>
        <w:rPr>
          <w:rFonts w:asciiTheme="minorEastAsia" w:hAnsiTheme="minorEastAsia" w:eastAsiaTheme="minorEastAsia"/>
        </w:rPr>
        <w:t>集体表决后认定，视作串通</w:t>
      </w:r>
      <w:r>
        <w:rPr>
          <w:rFonts w:hint="eastAsia" w:asciiTheme="minorEastAsia" w:hAnsiTheme="minorEastAsia" w:eastAsiaTheme="minorEastAsia"/>
        </w:rPr>
        <w:t>投标</w:t>
      </w:r>
      <w:r>
        <w:rPr>
          <w:rFonts w:asciiTheme="minorEastAsia" w:hAnsiTheme="minorEastAsia" w:eastAsiaTheme="minorEastAsia"/>
        </w:rPr>
        <w:t>处理，并提请行政监督管理部门依法予以处罚：</w:t>
      </w:r>
    </w:p>
    <w:p w14:paraId="5760D12F">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（1）不同</w:t>
      </w:r>
      <w:r>
        <w:rPr>
          <w:rFonts w:hint="eastAsia" w:asciiTheme="minorEastAsia" w:hAnsiTheme="minorEastAsia" w:eastAsiaTheme="minorEastAsia"/>
        </w:rPr>
        <w:t>投标人</w:t>
      </w:r>
      <w:r>
        <w:rPr>
          <w:rFonts w:asciiTheme="minorEastAsia" w:hAnsiTheme="minorEastAsia" w:eastAsiaTheme="minorEastAsia"/>
        </w:rPr>
        <w:t>的</w:t>
      </w:r>
      <w:r>
        <w:rPr>
          <w:rFonts w:hint="eastAsia" w:asciiTheme="minorEastAsia" w:hAnsiTheme="minorEastAsia" w:eastAsiaTheme="minorEastAsia"/>
        </w:rPr>
        <w:t>投标文件</w:t>
      </w:r>
      <w:r>
        <w:rPr>
          <w:rFonts w:asciiTheme="minorEastAsia" w:hAnsiTheme="minorEastAsia" w:eastAsiaTheme="minorEastAsia"/>
        </w:rPr>
        <w:t>内容存在非正常一致的；</w:t>
      </w:r>
    </w:p>
    <w:p w14:paraId="352E2458">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（2）不同</w:t>
      </w:r>
      <w:r>
        <w:rPr>
          <w:rFonts w:hint="eastAsia" w:asciiTheme="minorEastAsia" w:hAnsiTheme="minorEastAsia" w:eastAsiaTheme="minorEastAsia"/>
        </w:rPr>
        <w:t>投标人</w:t>
      </w:r>
      <w:r>
        <w:rPr>
          <w:rFonts w:asciiTheme="minorEastAsia" w:hAnsiTheme="minorEastAsia" w:eastAsiaTheme="minorEastAsia"/>
        </w:rPr>
        <w:t>的</w:t>
      </w:r>
      <w:r>
        <w:rPr>
          <w:rFonts w:hint="eastAsia" w:asciiTheme="minorEastAsia" w:hAnsiTheme="minorEastAsia" w:eastAsiaTheme="minorEastAsia"/>
        </w:rPr>
        <w:t>投标文件</w:t>
      </w:r>
      <w:r>
        <w:rPr>
          <w:rFonts w:asciiTheme="minorEastAsia" w:hAnsiTheme="minorEastAsia" w:eastAsiaTheme="minorEastAsia"/>
        </w:rPr>
        <w:t>两处以上错漏一致的；</w:t>
      </w:r>
    </w:p>
    <w:p w14:paraId="082DBD2D">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（3）不同</w:t>
      </w:r>
      <w:r>
        <w:rPr>
          <w:rFonts w:hint="eastAsia" w:asciiTheme="minorEastAsia" w:hAnsiTheme="minorEastAsia" w:eastAsiaTheme="minorEastAsia"/>
        </w:rPr>
        <w:t>投标人</w:t>
      </w:r>
      <w:r>
        <w:rPr>
          <w:rFonts w:asciiTheme="minorEastAsia" w:hAnsiTheme="minorEastAsia" w:eastAsiaTheme="minorEastAsia"/>
        </w:rPr>
        <w:t>的</w:t>
      </w:r>
      <w:r>
        <w:rPr>
          <w:rFonts w:hint="eastAsia" w:asciiTheme="minorEastAsia" w:hAnsiTheme="minorEastAsia" w:eastAsiaTheme="minorEastAsia"/>
        </w:rPr>
        <w:t>投标文件</w:t>
      </w:r>
      <w:r>
        <w:rPr>
          <w:rFonts w:asciiTheme="minorEastAsia" w:hAnsiTheme="minorEastAsia" w:eastAsiaTheme="minorEastAsia"/>
        </w:rPr>
        <w:t>由同一企业或者同一个人编制的；</w:t>
      </w:r>
    </w:p>
    <w:p w14:paraId="6E1B6919">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（4）不同</w:t>
      </w:r>
      <w:r>
        <w:rPr>
          <w:rFonts w:hint="eastAsia" w:asciiTheme="minorEastAsia" w:hAnsiTheme="minorEastAsia" w:eastAsiaTheme="minorEastAsia"/>
        </w:rPr>
        <w:t>投标人</w:t>
      </w:r>
      <w:r>
        <w:rPr>
          <w:rFonts w:asciiTheme="minorEastAsia" w:hAnsiTheme="minorEastAsia" w:eastAsiaTheme="minorEastAsia"/>
        </w:rPr>
        <w:t>的</w:t>
      </w:r>
      <w:r>
        <w:rPr>
          <w:rFonts w:hint="eastAsia" w:asciiTheme="minorEastAsia" w:hAnsiTheme="minorEastAsia" w:eastAsiaTheme="minorEastAsia"/>
        </w:rPr>
        <w:t>投标文件</w:t>
      </w:r>
      <w:r>
        <w:rPr>
          <w:rFonts w:asciiTheme="minorEastAsia" w:hAnsiTheme="minorEastAsia" w:eastAsiaTheme="minorEastAsia"/>
        </w:rPr>
        <w:t>相互混装的；</w:t>
      </w:r>
    </w:p>
    <w:p w14:paraId="02A0E381">
      <w:pPr>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（5）不同</w:t>
      </w:r>
      <w:r>
        <w:rPr>
          <w:rFonts w:hint="eastAsia" w:asciiTheme="minorEastAsia" w:hAnsiTheme="minorEastAsia" w:eastAsiaTheme="minorEastAsia"/>
        </w:rPr>
        <w:t>投标人</w:t>
      </w:r>
      <w:r>
        <w:rPr>
          <w:rFonts w:asciiTheme="minorEastAsia" w:hAnsiTheme="minorEastAsia" w:eastAsiaTheme="minorEastAsia"/>
        </w:rPr>
        <w:t>委托同一人</w:t>
      </w:r>
      <w:r>
        <w:rPr>
          <w:rFonts w:hint="eastAsia" w:asciiTheme="minorEastAsia" w:hAnsiTheme="minorEastAsia" w:eastAsiaTheme="minorEastAsia"/>
        </w:rPr>
        <w:t>投标</w:t>
      </w:r>
      <w:r>
        <w:rPr>
          <w:rFonts w:asciiTheme="minorEastAsia" w:hAnsiTheme="minorEastAsia" w:eastAsiaTheme="minorEastAsia"/>
        </w:rPr>
        <w:t>的；</w:t>
      </w:r>
    </w:p>
    <w:p w14:paraId="03A39416">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rPr>
        <w:t>（</w:t>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评标委员会</w:t>
      </w:r>
      <w:r>
        <w:rPr>
          <w:rFonts w:asciiTheme="minorEastAsia" w:hAnsiTheme="minorEastAsia" w:eastAsiaTheme="minorEastAsia"/>
        </w:rPr>
        <w:t>认定的其他串通</w:t>
      </w:r>
      <w:r>
        <w:rPr>
          <w:rFonts w:hint="eastAsia" w:asciiTheme="minorEastAsia" w:hAnsiTheme="minorEastAsia" w:eastAsiaTheme="minorEastAsia"/>
        </w:rPr>
        <w:t>投标的</w:t>
      </w:r>
      <w:r>
        <w:rPr>
          <w:rFonts w:asciiTheme="minorEastAsia" w:hAnsiTheme="minorEastAsia" w:eastAsiaTheme="minorEastAsia"/>
        </w:rPr>
        <w:t>情形。</w:t>
      </w:r>
      <w:bookmarkEnd w:id="1056"/>
      <w:bookmarkEnd w:id="1154"/>
      <w:bookmarkEnd w:id="1155"/>
      <w:bookmarkEnd w:id="1156"/>
      <w:bookmarkEnd w:id="1157"/>
    </w:p>
    <w:p w14:paraId="61E9F1F7">
      <w:pPr>
        <w:widowControl/>
        <w:spacing w:before="120" w:beforeLines="50" w:after="120" w:afterLines="50" w:line="360" w:lineRule="auto"/>
        <w:ind w:firstLine="643"/>
        <w:jc w:val="center"/>
        <w:outlineLvl w:val="0"/>
        <w:rPr>
          <w:rFonts w:asciiTheme="minorEastAsia" w:hAnsiTheme="minorEastAsia" w:eastAsiaTheme="minorEastAsia"/>
          <w:b/>
          <w:bCs/>
          <w:sz w:val="32"/>
          <w:szCs w:val="32"/>
        </w:rPr>
      </w:pPr>
      <w:bookmarkStart w:id="1158" w:name="_Toc28261"/>
      <w:r>
        <w:rPr>
          <w:rFonts w:hint="eastAsia" w:asciiTheme="minorEastAsia" w:hAnsiTheme="minorEastAsia" w:eastAsiaTheme="minorEastAsia"/>
          <w:b/>
          <w:bCs/>
          <w:sz w:val="32"/>
          <w:szCs w:val="32"/>
        </w:rPr>
        <w:t>第四章 合同</w:t>
      </w:r>
      <w:bookmarkStart w:id="1159" w:name="_Toc229583213"/>
      <w:r>
        <w:rPr>
          <w:rFonts w:hint="eastAsia" w:asciiTheme="minorEastAsia" w:hAnsiTheme="minorEastAsia" w:eastAsiaTheme="minorEastAsia"/>
          <w:b/>
          <w:bCs/>
          <w:sz w:val="32"/>
          <w:szCs w:val="32"/>
        </w:rPr>
        <w:t>条款及格式</w:t>
      </w:r>
      <w:bookmarkEnd w:id="1057"/>
      <w:bookmarkEnd w:id="1058"/>
      <w:bookmarkEnd w:id="1158"/>
    </w:p>
    <w:bookmarkEnd w:id="1059"/>
    <w:bookmarkEnd w:id="1060"/>
    <w:bookmarkEnd w:id="1159"/>
    <w:p w14:paraId="72332B8B">
      <w:pPr>
        <w:spacing w:line="360" w:lineRule="auto"/>
        <w:jc w:val="center"/>
        <w:rPr>
          <w:rFonts w:ascii="宋体" w:cs="宋体"/>
          <w:sz w:val="24"/>
          <w:szCs w:val="24"/>
        </w:rPr>
      </w:pPr>
      <w:r>
        <w:rPr>
          <w:rFonts w:hint="eastAsia" w:ascii="宋体" w:hAnsi="宋体" w:cs="宋体"/>
          <w:sz w:val="24"/>
          <w:szCs w:val="24"/>
        </w:rPr>
        <w:t>（本合同草案仅供参考，可根据招标结果需要进行适时修改、最终以采购人与投标人合同谈判后确定的最终文本为准）</w:t>
      </w:r>
    </w:p>
    <w:p w14:paraId="37E57D68">
      <w:bookmarkStart w:id="1160" w:name="_Toc1791"/>
      <w:bookmarkStart w:id="1161" w:name="_Toc14345"/>
      <w:bookmarkStart w:id="1162" w:name="_Toc13616"/>
    </w:p>
    <w:p w14:paraId="33EFEB0E"/>
    <w:p w14:paraId="0151E4AD">
      <w:pPr>
        <w:pStyle w:val="21"/>
      </w:pPr>
      <w:r>
        <w:t>合同编号：</w:t>
      </w:r>
      <w:r>
        <w:rPr>
          <w:rFonts w:hint="eastAsia"/>
        </w:rPr>
        <w:t xml:space="preserve">              </w:t>
      </w:r>
      <w:r>
        <w:t>合同</w:t>
      </w:r>
      <w:r>
        <w:rPr>
          <w:rFonts w:hint="eastAsia"/>
        </w:rPr>
        <w:t>自</w:t>
      </w:r>
      <w:r>
        <w:t>编号：</w:t>
      </w:r>
      <w:r>
        <w:tab/>
      </w:r>
      <w:r>
        <w:rPr>
          <w:rFonts w:hint="eastAsia"/>
        </w:rPr>
        <w:t xml:space="preserve">     </w:t>
      </w:r>
      <w:r>
        <w:t>招标编号：</w:t>
      </w:r>
      <w:bookmarkEnd w:id="1160"/>
      <w:bookmarkEnd w:id="1161"/>
      <w:bookmarkEnd w:id="1162"/>
    </w:p>
    <w:p w14:paraId="0FD3C8F3">
      <w:pPr>
        <w:pStyle w:val="21"/>
        <w:spacing w:before="56"/>
        <w:ind w:left="6"/>
        <w:rPr>
          <w:color w:val="auto"/>
          <w:szCs w:val="24"/>
        </w:rPr>
      </w:pPr>
      <w:r>
        <w:rPr>
          <w:color w:val="auto"/>
          <w:szCs w:val="24"/>
        </w:rPr>
        <w:t>●本合同须加盖甲乙双方骑缝章有效</w:t>
      </w:r>
    </w:p>
    <w:p w14:paraId="43226119">
      <w:pPr>
        <w:rPr>
          <w:rFonts w:ascii="宋体" w:hAnsi="宋体" w:cs="宋体"/>
          <w:sz w:val="32"/>
          <w:szCs w:val="32"/>
        </w:rPr>
      </w:pPr>
    </w:p>
    <w:p w14:paraId="2F52257B">
      <w:pPr>
        <w:keepNext w:val="0"/>
        <w:keepLines w:val="0"/>
        <w:pageBreakBefore w:val="0"/>
        <w:widowControl w:val="0"/>
        <w:kinsoku/>
        <w:wordWrap/>
        <w:overflowPunct/>
        <w:topLinePunct w:val="0"/>
        <w:autoSpaceDE/>
        <w:autoSpaceDN/>
        <w:bidi w:val="0"/>
        <w:adjustRightInd/>
        <w:snapToGrid/>
        <w:spacing w:beforeAutospacing="0" w:line="360" w:lineRule="auto"/>
        <w:ind w:firstLine="0" w:firstLineChars="0"/>
        <w:jc w:val="center"/>
        <w:textAlignment w:val="auto"/>
        <w:rPr>
          <w:rFonts w:hint="eastAsia" w:ascii="宋体" w:hAnsi="宋体" w:eastAsia="宋体" w:cs="宋体"/>
          <w:color w:val="000000"/>
          <w:sz w:val="36"/>
          <w:highlight w:val="none"/>
        </w:rPr>
      </w:pPr>
      <w:r>
        <w:rPr>
          <w:rFonts w:hint="eastAsia" w:ascii="宋体" w:hAnsi="宋体" w:eastAsia="宋体" w:cs="宋体"/>
          <w:color w:val="000000"/>
          <w:sz w:val="36"/>
          <w:highlight w:val="none"/>
        </w:rPr>
        <w:t>云南省政府采购</w:t>
      </w:r>
    </w:p>
    <w:p w14:paraId="245A60CA">
      <w:pPr>
        <w:pStyle w:val="6"/>
        <w:keepNext w:val="0"/>
        <w:keepLines w:val="0"/>
        <w:pageBreakBefore w:val="0"/>
        <w:widowControl w:val="0"/>
        <w:kinsoku/>
        <w:wordWrap/>
        <w:overflowPunct/>
        <w:topLinePunct w:val="0"/>
        <w:autoSpaceDE/>
        <w:autoSpaceDN/>
        <w:bidi w:val="0"/>
        <w:adjustRightInd/>
        <w:snapToGrid/>
        <w:spacing w:beforeAutospacing="0"/>
        <w:ind w:firstLine="0" w:firstLineChars="0"/>
        <w:textAlignment w:val="auto"/>
        <w:rPr>
          <w:rFonts w:hint="eastAsia" w:ascii="宋体" w:hAnsi="宋体" w:eastAsia="宋体" w:cs="宋体"/>
          <w:sz w:val="24"/>
          <w:szCs w:val="24"/>
          <w:highlight w:val="none"/>
        </w:rPr>
      </w:pPr>
    </w:p>
    <w:p w14:paraId="466AD893">
      <w:pPr>
        <w:keepNext w:val="0"/>
        <w:keepLines w:val="0"/>
        <w:pageBreakBefore w:val="0"/>
        <w:widowControl w:val="0"/>
        <w:kinsoku/>
        <w:wordWrap/>
        <w:overflowPunct/>
        <w:topLinePunct w:val="0"/>
        <w:autoSpaceDE/>
        <w:autoSpaceDN/>
        <w:bidi w:val="0"/>
        <w:adjustRightInd/>
        <w:snapToGrid/>
        <w:spacing w:beforeAutospacing="0" w:after="240"/>
        <w:ind w:firstLine="0" w:firstLineChars="0"/>
        <w:textAlignment w:val="auto"/>
        <w:rPr>
          <w:rFonts w:hint="eastAsia" w:ascii="宋体" w:hAnsi="宋体" w:eastAsia="宋体" w:cs="宋体"/>
          <w:color w:val="000000"/>
          <w:sz w:val="24"/>
          <w:highlight w:val="none"/>
        </w:rPr>
      </w:pPr>
    </w:p>
    <w:p w14:paraId="1BAA1A0B">
      <w:pPr>
        <w:keepNext w:val="0"/>
        <w:keepLines w:val="0"/>
        <w:pageBreakBefore w:val="0"/>
        <w:widowControl w:val="0"/>
        <w:kinsoku/>
        <w:wordWrap/>
        <w:overflowPunct/>
        <w:topLinePunct w:val="0"/>
        <w:autoSpaceDE/>
        <w:autoSpaceDN/>
        <w:bidi w:val="0"/>
        <w:adjustRightInd/>
        <w:snapToGrid/>
        <w:spacing w:beforeAutospacing="0" w:after="240"/>
        <w:ind w:firstLine="0" w:firstLineChars="0"/>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（委托采购）</w:t>
      </w:r>
    </w:p>
    <w:p w14:paraId="68E322B3">
      <w:pPr>
        <w:pStyle w:val="6"/>
        <w:keepNext w:val="0"/>
        <w:keepLines w:val="0"/>
        <w:pageBreakBefore w:val="0"/>
        <w:widowControl w:val="0"/>
        <w:kinsoku/>
        <w:wordWrap/>
        <w:overflowPunct/>
        <w:topLinePunct w:val="0"/>
        <w:autoSpaceDE/>
        <w:autoSpaceDN/>
        <w:bidi w:val="0"/>
        <w:adjustRightInd/>
        <w:snapToGrid/>
        <w:spacing w:beforeAutospacing="0"/>
        <w:ind w:firstLine="0" w:firstLineChars="0"/>
        <w:textAlignment w:val="auto"/>
        <w:rPr>
          <w:rFonts w:hint="eastAsia" w:ascii="宋体" w:hAnsi="宋体" w:eastAsia="宋体" w:cs="宋体"/>
          <w:sz w:val="32"/>
          <w:szCs w:val="24"/>
          <w:highlight w:val="none"/>
        </w:rPr>
      </w:pPr>
    </w:p>
    <w:p w14:paraId="3A23CBBD">
      <w:pPr>
        <w:keepNext w:val="0"/>
        <w:keepLines w:val="0"/>
        <w:pageBreakBefore w:val="0"/>
        <w:widowControl w:val="0"/>
        <w:kinsoku/>
        <w:wordWrap/>
        <w:overflowPunct/>
        <w:topLinePunct w:val="0"/>
        <w:autoSpaceDE/>
        <w:autoSpaceDN/>
        <w:bidi w:val="0"/>
        <w:adjustRightInd/>
        <w:snapToGrid/>
        <w:spacing w:beforeAutospacing="0" w:after="240" w:line="360" w:lineRule="auto"/>
        <w:ind w:firstLine="0" w:firstLineChars="0"/>
        <w:jc w:val="center"/>
        <w:textAlignment w:val="auto"/>
        <w:rPr>
          <w:rFonts w:hint="eastAsia" w:ascii="宋体" w:hAnsi="宋体" w:eastAsia="宋体" w:cs="宋体"/>
          <w:color w:val="000000"/>
          <w:sz w:val="48"/>
          <w:highlight w:val="none"/>
        </w:rPr>
      </w:pPr>
      <w:r>
        <w:rPr>
          <w:rFonts w:hint="eastAsia" w:ascii="宋体" w:hAnsi="宋体" w:eastAsia="宋体" w:cs="宋体"/>
          <w:color w:val="000000"/>
          <w:sz w:val="48"/>
          <w:highlight w:val="none"/>
        </w:rPr>
        <w:t>合</w:t>
      </w:r>
    </w:p>
    <w:p w14:paraId="5BA8E47D">
      <w:pPr>
        <w:keepNext w:val="0"/>
        <w:keepLines w:val="0"/>
        <w:pageBreakBefore w:val="0"/>
        <w:widowControl w:val="0"/>
        <w:kinsoku/>
        <w:wordWrap/>
        <w:overflowPunct/>
        <w:topLinePunct w:val="0"/>
        <w:autoSpaceDE/>
        <w:autoSpaceDN/>
        <w:bidi w:val="0"/>
        <w:adjustRightInd/>
        <w:snapToGrid/>
        <w:spacing w:beforeAutospacing="0" w:after="240" w:line="360" w:lineRule="auto"/>
        <w:ind w:firstLine="0" w:firstLineChars="0"/>
        <w:jc w:val="center"/>
        <w:textAlignment w:val="auto"/>
        <w:rPr>
          <w:rFonts w:hint="eastAsia" w:ascii="宋体" w:hAnsi="宋体" w:eastAsia="宋体" w:cs="宋体"/>
          <w:color w:val="000000"/>
          <w:sz w:val="48"/>
          <w:highlight w:val="none"/>
        </w:rPr>
      </w:pPr>
      <w:r>
        <w:rPr>
          <w:rFonts w:hint="eastAsia" w:ascii="宋体" w:hAnsi="宋体" w:eastAsia="宋体" w:cs="宋体"/>
          <w:color w:val="000000"/>
          <w:sz w:val="48"/>
          <w:highlight w:val="none"/>
        </w:rPr>
        <w:t>同</w:t>
      </w:r>
    </w:p>
    <w:p w14:paraId="60C96CD8">
      <w:pPr>
        <w:keepNext w:val="0"/>
        <w:keepLines w:val="0"/>
        <w:pageBreakBefore w:val="0"/>
        <w:widowControl w:val="0"/>
        <w:kinsoku/>
        <w:wordWrap/>
        <w:overflowPunct/>
        <w:topLinePunct w:val="0"/>
        <w:autoSpaceDE/>
        <w:autoSpaceDN/>
        <w:bidi w:val="0"/>
        <w:adjustRightInd/>
        <w:snapToGrid/>
        <w:spacing w:beforeAutospacing="0" w:after="240" w:line="360" w:lineRule="auto"/>
        <w:ind w:firstLine="0" w:firstLineChars="0"/>
        <w:jc w:val="center"/>
        <w:textAlignment w:val="auto"/>
        <w:rPr>
          <w:rFonts w:hint="eastAsia" w:ascii="宋体" w:hAnsi="宋体" w:eastAsia="宋体" w:cs="宋体"/>
          <w:color w:val="000000"/>
          <w:sz w:val="48"/>
          <w:highlight w:val="none"/>
        </w:rPr>
      </w:pPr>
      <w:r>
        <w:rPr>
          <w:rFonts w:hint="eastAsia" w:ascii="宋体" w:hAnsi="宋体" w:eastAsia="宋体" w:cs="宋体"/>
          <w:color w:val="000000"/>
          <w:sz w:val="48"/>
          <w:highlight w:val="none"/>
        </w:rPr>
        <w:t>书</w:t>
      </w:r>
    </w:p>
    <w:p w14:paraId="73A70CE2">
      <w:pPr>
        <w:pStyle w:val="6"/>
        <w:keepNext w:val="0"/>
        <w:keepLines w:val="0"/>
        <w:pageBreakBefore w:val="0"/>
        <w:widowControl w:val="0"/>
        <w:kinsoku/>
        <w:wordWrap/>
        <w:overflowPunct/>
        <w:topLinePunct w:val="0"/>
        <w:autoSpaceDE/>
        <w:autoSpaceDN/>
        <w:bidi w:val="0"/>
        <w:adjustRightInd/>
        <w:snapToGrid/>
        <w:spacing w:beforeAutospacing="0"/>
        <w:ind w:firstLine="0" w:firstLineChars="0"/>
        <w:textAlignment w:val="auto"/>
        <w:rPr>
          <w:rFonts w:hint="eastAsia" w:ascii="宋体" w:hAnsi="宋体" w:eastAsia="宋体" w:cs="宋体"/>
          <w:sz w:val="24"/>
          <w:szCs w:val="24"/>
          <w:highlight w:val="none"/>
        </w:rPr>
      </w:pPr>
    </w:p>
    <w:p w14:paraId="48EB8D1A">
      <w:pPr>
        <w:pStyle w:val="6"/>
        <w:keepNext w:val="0"/>
        <w:keepLines w:val="0"/>
        <w:pageBreakBefore w:val="0"/>
        <w:widowControl w:val="0"/>
        <w:kinsoku/>
        <w:wordWrap/>
        <w:overflowPunct/>
        <w:topLinePunct w:val="0"/>
        <w:autoSpaceDE/>
        <w:autoSpaceDN/>
        <w:bidi w:val="0"/>
        <w:adjustRightInd/>
        <w:snapToGrid/>
        <w:spacing w:beforeAutospacing="0"/>
        <w:ind w:firstLine="0" w:firstLineChars="0"/>
        <w:textAlignment w:val="auto"/>
        <w:rPr>
          <w:rFonts w:hint="eastAsia" w:ascii="宋体" w:hAnsi="宋体" w:eastAsia="宋体" w:cs="宋体"/>
          <w:highlight w:val="none"/>
        </w:rPr>
      </w:pPr>
    </w:p>
    <w:p w14:paraId="6EF74C11">
      <w:pPr>
        <w:keepNext w:val="0"/>
        <w:keepLines w:val="0"/>
        <w:pageBreakBefore w:val="0"/>
        <w:widowControl w:val="0"/>
        <w:kinsoku/>
        <w:wordWrap/>
        <w:overflowPunct/>
        <w:topLinePunct w:val="0"/>
        <w:autoSpaceDE/>
        <w:autoSpaceDN/>
        <w:bidi w:val="0"/>
        <w:adjustRightInd/>
        <w:snapToGrid/>
        <w:spacing w:beforeAutospacing="0" w:after="240"/>
        <w:ind w:firstLine="0" w:firstLineChars="0"/>
        <w:jc w:val="center"/>
        <w:textAlignment w:val="auto"/>
        <w:rPr>
          <w:rFonts w:hint="eastAsia" w:ascii="宋体" w:hAnsi="宋体" w:eastAsia="宋体" w:cs="宋体"/>
          <w:b/>
          <w:bCs/>
          <w:color w:val="000000"/>
          <w:sz w:val="24"/>
          <w:highlight w:val="none"/>
        </w:rPr>
      </w:pPr>
    </w:p>
    <w:p w14:paraId="1CBB2C24">
      <w:pPr>
        <w:pStyle w:val="6"/>
        <w:keepNext w:val="0"/>
        <w:keepLines w:val="0"/>
        <w:pageBreakBefore w:val="0"/>
        <w:widowControl w:val="0"/>
        <w:kinsoku/>
        <w:wordWrap/>
        <w:overflowPunct/>
        <w:topLinePunct w:val="0"/>
        <w:autoSpaceDE/>
        <w:autoSpaceDN/>
        <w:bidi w:val="0"/>
        <w:adjustRightInd/>
        <w:snapToGrid/>
        <w:spacing w:beforeAutospacing="0"/>
        <w:ind w:firstLine="0" w:firstLineChars="0"/>
        <w:textAlignment w:val="auto"/>
        <w:rPr>
          <w:rFonts w:hint="eastAsia" w:ascii="宋体" w:hAnsi="宋体" w:eastAsia="宋体" w:cs="宋体"/>
          <w:highlight w:val="none"/>
        </w:rPr>
      </w:pPr>
    </w:p>
    <w:p w14:paraId="20FEDBCE">
      <w:pPr>
        <w:pStyle w:val="6"/>
        <w:keepNext w:val="0"/>
        <w:keepLines w:val="0"/>
        <w:pageBreakBefore w:val="0"/>
        <w:widowControl w:val="0"/>
        <w:kinsoku/>
        <w:wordWrap/>
        <w:overflowPunct/>
        <w:topLinePunct w:val="0"/>
        <w:autoSpaceDE/>
        <w:autoSpaceDN/>
        <w:bidi w:val="0"/>
        <w:adjustRightInd/>
        <w:snapToGrid/>
        <w:spacing w:beforeAutospacing="0"/>
        <w:ind w:firstLine="0" w:firstLineChars="0"/>
        <w:textAlignment w:val="auto"/>
        <w:rPr>
          <w:rFonts w:hint="eastAsia" w:ascii="宋体" w:hAnsi="宋体" w:eastAsia="宋体" w:cs="宋体"/>
          <w:highlight w:val="none"/>
        </w:rPr>
      </w:pPr>
    </w:p>
    <w:p w14:paraId="722CB356">
      <w:pPr>
        <w:keepNext w:val="0"/>
        <w:keepLines w:val="0"/>
        <w:pageBreakBefore w:val="0"/>
        <w:widowControl w:val="0"/>
        <w:kinsoku/>
        <w:wordWrap/>
        <w:overflowPunct/>
        <w:topLinePunct w:val="0"/>
        <w:autoSpaceDE/>
        <w:autoSpaceDN/>
        <w:bidi w:val="0"/>
        <w:adjustRightInd/>
        <w:snapToGrid/>
        <w:spacing w:beforeAutospacing="0" w:after="240"/>
        <w:ind w:firstLine="0" w:firstLineChars="0"/>
        <w:jc w:val="center"/>
        <w:textAlignment w:val="auto"/>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签订地点：云南省</w:t>
      </w:r>
      <w:r>
        <w:rPr>
          <w:rFonts w:hint="eastAsia" w:ascii="宋体" w:hAnsi="宋体" w:eastAsia="宋体" w:cs="宋体"/>
          <w:b/>
          <w:bCs/>
          <w:color w:val="000000"/>
          <w:sz w:val="24"/>
          <w:highlight w:val="none"/>
          <w:lang w:val="en-US" w:eastAsia="zh-CN"/>
        </w:rPr>
        <w:t>玉溪</w:t>
      </w:r>
      <w:r>
        <w:rPr>
          <w:rFonts w:hint="eastAsia" w:ascii="宋体" w:hAnsi="宋体" w:eastAsia="宋体" w:cs="宋体"/>
          <w:b/>
          <w:bCs/>
          <w:color w:val="000000"/>
          <w:sz w:val="24"/>
          <w:highlight w:val="none"/>
        </w:rPr>
        <w:t>市</w:t>
      </w:r>
    </w:p>
    <w:p w14:paraId="36035B07">
      <w:pPr>
        <w:pStyle w:val="51"/>
        <w:keepNext w:val="0"/>
        <w:keepLines w:val="0"/>
        <w:pageBreakBefore w:val="0"/>
        <w:widowControl w:val="0"/>
        <w:kinsoku/>
        <w:wordWrap/>
        <w:overflowPunct/>
        <w:topLinePunct w:val="0"/>
        <w:autoSpaceDE/>
        <w:autoSpaceDN/>
        <w:bidi w:val="0"/>
        <w:adjustRightInd/>
        <w:snapToGrid/>
        <w:spacing w:beforeAutospacing="0"/>
        <w:ind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云南省财政厅  制 </w:t>
      </w:r>
    </w:p>
    <w:p w14:paraId="171230C2">
      <w:pPr>
        <w:spacing w:before="4"/>
        <w:rPr>
          <w:rFonts w:ascii="宋体" w:hAnsi="宋体" w:cs="宋体"/>
          <w:sz w:val="32"/>
          <w:szCs w:val="32"/>
        </w:rPr>
      </w:pPr>
    </w:p>
    <w:p w14:paraId="69A6075B">
      <w:pPr>
        <w:rPr>
          <w:rFonts w:ascii="宋体" w:hAnsi="宋体"/>
          <w:kern w:val="32"/>
          <w:szCs w:val="21"/>
        </w:rPr>
      </w:pPr>
      <w:r>
        <w:rPr>
          <w:rFonts w:ascii="宋体" w:hAnsi="宋体"/>
          <w:kern w:val="32"/>
          <w:szCs w:val="21"/>
        </w:rPr>
        <w:br w:type="page"/>
      </w:r>
    </w:p>
    <w:p w14:paraId="1E69A432">
      <w:pPr>
        <w:spacing w:after="240"/>
        <w:ind w:firstLine="482" w:firstLineChars="200"/>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（签署页）</w:t>
      </w:r>
    </w:p>
    <w:p w14:paraId="2BE6C26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甲方（采购人公章）名称：</w:t>
      </w:r>
    </w:p>
    <w:p w14:paraId="5A8AB57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p>
    <w:p w14:paraId="7F29E52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 编：</w:t>
      </w:r>
    </w:p>
    <w:p w14:paraId="7359C38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法定代表人或委托代理人：</w:t>
      </w:r>
    </w:p>
    <w:p w14:paraId="44C45B7E">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项目（技术）负责人：</w:t>
      </w:r>
    </w:p>
    <w:p w14:paraId="5FE9792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 话：</w:t>
      </w:r>
    </w:p>
    <w:p w14:paraId="24F7578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签订日期：</w:t>
      </w:r>
    </w:p>
    <w:p w14:paraId="7F74B781">
      <w:pPr>
        <w:spacing w:line="360" w:lineRule="auto"/>
        <w:ind w:left="1619" w:leftChars="771" w:firstLine="480" w:firstLineChars="200"/>
        <w:rPr>
          <w:rFonts w:hint="eastAsia" w:ascii="宋体" w:hAnsi="宋体" w:eastAsia="宋体" w:cs="宋体"/>
          <w:color w:val="000000"/>
          <w:sz w:val="24"/>
          <w:highlight w:val="none"/>
        </w:rPr>
      </w:pPr>
    </w:p>
    <w:p w14:paraId="6D76E302">
      <w:pPr>
        <w:spacing w:line="360" w:lineRule="auto"/>
        <w:ind w:left="1619" w:leftChars="771" w:firstLine="480" w:firstLineChars="200"/>
        <w:rPr>
          <w:rFonts w:hint="eastAsia" w:ascii="宋体" w:hAnsi="宋体" w:eastAsia="宋体" w:cs="宋体"/>
          <w:color w:val="000000"/>
          <w:sz w:val="24"/>
          <w:highlight w:val="none"/>
        </w:rPr>
      </w:pPr>
    </w:p>
    <w:p w14:paraId="5AE04C1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乙方（中标人公章）名称：</w:t>
      </w:r>
    </w:p>
    <w:p w14:paraId="79F2990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p>
    <w:p w14:paraId="27C49A5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 编：</w:t>
      </w:r>
    </w:p>
    <w:p w14:paraId="37D92D1E">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法定代表人或委托代理人：</w:t>
      </w:r>
    </w:p>
    <w:p w14:paraId="7BBCBA3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经办人：</w:t>
      </w:r>
    </w:p>
    <w:p w14:paraId="21D0844B">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 话：</w:t>
      </w:r>
    </w:p>
    <w:p w14:paraId="5275AEBE">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签订日期：</w:t>
      </w:r>
    </w:p>
    <w:p w14:paraId="6D0D5651">
      <w:pPr>
        <w:rPr>
          <w:rFonts w:hint="eastAsia" w:ascii="宋体" w:hAnsi="宋体" w:eastAsia="宋体" w:cs="宋体"/>
          <w:bCs/>
          <w:color w:val="auto"/>
          <w:kern w:val="0"/>
          <w:sz w:val="21"/>
          <w:szCs w:val="21"/>
          <w:highlight w:val="none"/>
        </w:rPr>
      </w:pPr>
    </w:p>
    <w:p w14:paraId="6DDB3108">
      <w:pP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br w:type="page"/>
      </w:r>
    </w:p>
    <w:p w14:paraId="176D569B">
      <w:pPr>
        <w:spacing w:line="500" w:lineRule="exact"/>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甲方（采购方）：</w:t>
      </w:r>
      <w:r>
        <w:rPr>
          <w:rFonts w:hint="eastAsia" w:ascii="宋体" w:hAnsi="宋体" w:eastAsia="宋体" w:cs="宋体"/>
          <w:bCs/>
          <w:color w:val="auto"/>
          <w:kern w:val="0"/>
          <w:sz w:val="21"/>
          <w:szCs w:val="21"/>
          <w:highlight w:val="none"/>
          <w:lang w:eastAsia="zh-CN"/>
        </w:rPr>
        <w:t>新平彝族傣族自治县农业农村局</w:t>
      </w:r>
    </w:p>
    <w:p w14:paraId="1B64934B">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乙方（供货方）：</w:t>
      </w:r>
    </w:p>
    <w:p w14:paraId="3795ACF2">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根据《中华人民共和国政府采购法》、《中华人民共和国政府采购法实施条例》、《中华人民共和国</w:t>
      </w:r>
      <w:r>
        <w:rPr>
          <w:rFonts w:hint="eastAsia" w:ascii="宋体" w:hAnsi="宋体" w:eastAsia="宋体" w:cs="宋体"/>
          <w:bCs/>
          <w:color w:val="auto"/>
          <w:kern w:val="0"/>
          <w:sz w:val="21"/>
          <w:szCs w:val="21"/>
          <w:highlight w:val="none"/>
          <w:lang w:val="en-US" w:eastAsia="zh-CN"/>
        </w:rPr>
        <w:t>民法典</w:t>
      </w:r>
      <w:r>
        <w:rPr>
          <w:rFonts w:hint="eastAsia" w:ascii="宋体" w:hAnsi="宋体" w:eastAsia="宋体" w:cs="宋体"/>
          <w:bCs/>
          <w:color w:val="auto"/>
          <w:kern w:val="0"/>
          <w:sz w:val="21"/>
          <w:szCs w:val="21"/>
          <w:highlight w:val="none"/>
        </w:rPr>
        <w:t>》等的相关规定，甲乙双方本着平等、自愿、诚实信用的基本原则，就甲方向乙方购买</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相关事宜，经双方协商一致，达成如下协议，供双方共同遵守。</w:t>
      </w:r>
    </w:p>
    <w:p w14:paraId="43B9F1E6">
      <w:pPr>
        <w:pStyle w:val="325"/>
        <w:spacing w:line="5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一、词语定义及合同文件：</w:t>
      </w:r>
    </w:p>
    <w:p w14:paraId="527C7633">
      <w:pPr>
        <w:pStyle w:val="325"/>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1、词语定义</w:t>
      </w:r>
    </w:p>
    <w:p w14:paraId="64BB4803">
      <w:pPr>
        <w:pStyle w:val="325"/>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本合同下列词语应具有本条款所赋予的定义：</w:t>
      </w:r>
    </w:p>
    <w:p w14:paraId="4568AF94">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1.1“货</w:t>
      </w:r>
      <w:r>
        <w:rPr>
          <w:rFonts w:hint="eastAsia" w:ascii="宋体" w:hAnsi="宋体" w:eastAsia="宋体" w:cs="宋体"/>
          <w:bCs/>
          <w:color w:val="auto"/>
          <w:kern w:val="0"/>
          <w:sz w:val="21"/>
          <w:szCs w:val="21"/>
          <w:highlight w:val="none"/>
        </w:rPr>
        <w:t>物（产品）”：本合同所称货物（产品）是指甲方进行公开招标（招标文件编号：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）采购</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，乙方基于其投标文件被确定为中标人而应向甲方提供的符合招标要求规格及功能的（货物）产品、全部附</w:t>
      </w:r>
      <w:r>
        <w:rPr>
          <w:rFonts w:hint="eastAsia" w:ascii="宋体" w:hAnsi="宋体" w:eastAsia="宋体" w:cs="宋体"/>
          <w:color w:val="auto"/>
          <w:sz w:val="21"/>
          <w:szCs w:val="21"/>
          <w:highlight w:val="none"/>
        </w:rPr>
        <w:t>属备品备件及其在投标文件中承诺的其他相关附属</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等。</w:t>
      </w:r>
    </w:p>
    <w:p w14:paraId="365F01EA">
      <w:pPr>
        <w:pStyle w:val="325"/>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承担的义务”系指根据合同规定乙方应承担的与供货有关的全部义务及辅助义务，比如运输、保险、加工以及其它伴随义务，比如配合措施、维修（换货）响应和合同中规定乙方应承担的其它义务，乙方应对上述行为承担质量担保责任，造成甲方损失的，甲方有权直接追究乙方相应责任。</w:t>
      </w:r>
    </w:p>
    <w:p w14:paraId="16587FE8">
      <w:pPr>
        <w:pStyle w:val="325"/>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合同价款”系指根据中标的投标文件和合同规定，乙方在完全履行合同义务后甲方应支付乙方的价款。本合同实行固定费用总价包干，即采购货物的价款、备品备件的价格、专用工具费、包装费用、运输费用、保险费用、装卸费用、售后服务费用、相关税费、技术资料费、验收费、专利或专有技术使用费用等所需的全部费用均包含在内，乙方不得以任何理由及方式要求甲方另行支付或承担任何费用。</w:t>
      </w:r>
    </w:p>
    <w:p w14:paraId="7682B3B9">
      <w:pPr>
        <w:pStyle w:val="325"/>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1.4“甲方”系指合同中明确规定的实际购买货物和接受服务的单位。</w:t>
      </w:r>
    </w:p>
    <w:p w14:paraId="079E86F1">
      <w:pPr>
        <w:pStyle w:val="325"/>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1.5“乙方”系指合同中规定的提供货物和提供服务的单位。</w:t>
      </w:r>
    </w:p>
    <w:p w14:paraId="58054158">
      <w:pPr>
        <w:pStyle w:val="325"/>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损失”本合同所指损失是指合同一方因不履行合同义务而使另一方及第三方遭受各种实际损失与预期可得利益的损失及损害的费用，还包括守约方为减轻损害或维护权利而需支付的各种调查费用、车旅费用、律师费用、诉讼费、保全费、鉴定费等。</w:t>
      </w:r>
    </w:p>
    <w:p w14:paraId="0AA9F94F">
      <w:pPr>
        <w:pStyle w:val="325"/>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2、合同文件的效力及解释顺序</w:t>
      </w:r>
    </w:p>
    <w:p w14:paraId="53B46C8A">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下列文件是本合同的组成部分，并具有同等法律效力。组成合同的各个文件应能相互解释，互为说明。解释合同文件的优先次序以文件的最后确定时间为准。</w:t>
      </w:r>
    </w:p>
    <w:p w14:paraId="53CF0A29">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2.1涉及到对本合同修改的合同书、补充协议或会议纪要等。</w:t>
      </w:r>
    </w:p>
    <w:p w14:paraId="695CFB6B">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2.2招标文件合同条款及本合同书。</w:t>
      </w:r>
    </w:p>
    <w:p w14:paraId="41477A5E">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2.3合同供货范围与价格表及条款。</w:t>
      </w:r>
    </w:p>
    <w:p w14:paraId="18424580">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2.4中标通知书。</w:t>
      </w:r>
    </w:p>
    <w:p w14:paraId="0759E6FA">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2.5合同附件：</w:t>
      </w:r>
    </w:p>
    <w:p w14:paraId="54D843F0">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2.5.1乙方的投标文件；</w:t>
      </w:r>
    </w:p>
    <w:p w14:paraId="4A304FF2">
      <w:pPr>
        <w:widowControl/>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2.5.2招标过程中的澄清答疑文件；</w:t>
      </w:r>
    </w:p>
    <w:p w14:paraId="6EED2540">
      <w:pPr>
        <w:widowControl/>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2.5.3甲方的招标文件；</w:t>
      </w:r>
    </w:p>
    <w:p w14:paraId="3E8A7C9B">
      <w:pPr>
        <w:pStyle w:val="45"/>
        <w:spacing w:line="5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2.6经合同双方认可的其它文件。</w:t>
      </w:r>
    </w:p>
    <w:p w14:paraId="3545E70D">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二、采购货物（项目）名称、型号、数量、价格</w:t>
      </w:r>
    </w:p>
    <w:p w14:paraId="305A836C">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r>
        <w:rPr>
          <w:rFonts w:hint="eastAsia" w:ascii="宋体" w:hAnsi="宋体" w:eastAsia="宋体" w:cs="宋体"/>
          <w:b/>
          <w:color w:val="auto"/>
          <w:kern w:val="0"/>
          <w:sz w:val="21"/>
          <w:szCs w:val="21"/>
          <w:highlight w:val="none"/>
        </w:rPr>
        <w:t>新平彝族傣族自治县农业农村局</w:t>
      </w:r>
      <w:r>
        <w:rPr>
          <w:rFonts w:hint="eastAsia" w:ascii="宋体" w:hAnsi="宋体" w:eastAsia="宋体" w:cs="宋体"/>
          <w:bCs/>
          <w:color w:val="auto"/>
          <w:kern w:val="0"/>
          <w:sz w:val="21"/>
          <w:szCs w:val="21"/>
          <w:highlight w:val="none"/>
        </w:rPr>
        <w:t>（甲方）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项目进行公开招</w:t>
      </w:r>
      <w:r>
        <w:rPr>
          <w:rFonts w:hint="eastAsia" w:ascii="宋体" w:hAnsi="宋体" w:eastAsia="宋体" w:cs="宋体"/>
          <w:bCs/>
          <w:color w:val="auto"/>
          <w:kern w:val="0"/>
          <w:sz w:val="21"/>
          <w:szCs w:val="21"/>
          <w:highlight w:val="none"/>
        </w:rPr>
        <w:t>标，经评标委员会确定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（乙方）为中标人。甲方采购货物（产品）明细按照《</w:t>
      </w:r>
      <w:r>
        <w:rPr>
          <w:rFonts w:hint="eastAsia" w:ascii="宋体" w:hAnsi="宋体" w:eastAsia="宋体" w:cs="宋体"/>
          <w:b/>
          <w:bCs/>
          <w:color w:val="auto"/>
          <w:kern w:val="0"/>
          <w:sz w:val="21"/>
          <w:szCs w:val="21"/>
          <w:highlight w:val="none"/>
        </w:rPr>
        <w:t>合同清单及投标技术参数</w:t>
      </w:r>
      <w:r>
        <w:rPr>
          <w:rFonts w:hint="eastAsia" w:ascii="宋体" w:hAnsi="宋体" w:eastAsia="宋体" w:cs="宋体"/>
          <w:bCs/>
          <w:color w:val="auto"/>
          <w:kern w:val="0"/>
          <w:sz w:val="21"/>
          <w:szCs w:val="21"/>
          <w:highlight w:val="none"/>
        </w:rPr>
        <w:t>》（附件一）执行。</w:t>
      </w:r>
    </w:p>
    <w:p w14:paraId="679C0BDD">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三、合同款支付</w:t>
      </w:r>
    </w:p>
    <w:p w14:paraId="5915B2C4">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 本合同总价款为：</w:t>
      </w:r>
      <w:r>
        <w:rPr>
          <w:rFonts w:hint="eastAsia" w:ascii="宋体" w:hAnsi="宋体" w:eastAsia="宋体" w:cs="宋体"/>
          <w:b/>
          <w:bCs/>
          <w:color w:val="auto"/>
          <w:sz w:val="21"/>
          <w:szCs w:val="21"/>
          <w:highlight w:val="none"/>
          <w:u w:val="thick"/>
        </w:rPr>
        <w:t>￥</w:t>
      </w:r>
      <w:r>
        <w:rPr>
          <w:rFonts w:hint="eastAsia" w:ascii="宋体" w:hAnsi="宋体" w:eastAsia="宋体" w:cs="宋体"/>
          <w:bCs/>
          <w:color w:val="auto"/>
          <w:kern w:val="0"/>
          <w:sz w:val="21"/>
          <w:szCs w:val="21"/>
          <w:highlight w:val="none"/>
          <w:u w:val="thick"/>
        </w:rPr>
        <w:t>元（大写：）</w:t>
      </w:r>
      <w:r>
        <w:rPr>
          <w:rFonts w:hint="eastAsia" w:ascii="宋体" w:hAnsi="宋体" w:eastAsia="宋体" w:cs="宋体"/>
          <w:bCs/>
          <w:color w:val="auto"/>
          <w:kern w:val="0"/>
          <w:sz w:val="21"/>
          <w:szCs w:val="21"/>
          <w:highlight w:val="none"/>
        </w:rPr>
        <w:t>。该合同总价包含但不限于本合同项下采购货物（产品）的价款、专用工具费、包装费用、运输费用、安装费用、调试费用、保险费用、装卸费用、售后服务费用、税费、技术资料费、验收费、专利或专有技术使用费用等所需的全部费用，为固定总价。</w:t>
      </w:r>
    </w:p>
    <w:p w14:paraId="598CCF89">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3.2合同款结算</w:t>
      </w:r>
    </w:p>
    <w:p w14:paraId="2BCED607">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3.2.1甲乙双方收款账户：款项往来按照对方提供的收款单位名称、开户银行及账号进行电汇或转账。甲方指定账户（开户名称：     ；开户银行：     ；银行账号     ），乙方指定的账户（开户名称： ；开户银行： ；银行账号：）；若账户信息发生变更的，应在第一时间书面通知对方，因未及时书面通知而产生的一切后果，由未通知一方全部承担。</w:t>
      </w:r>
    </w:p>
    <w:p w14:paraId="4F9591BB">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3.2.2甲方付款前，乙方应提供的票据和满足的条件如下</w:t>
      </w:r>
    </w:p>
    <w:p w14:paraId="095A5B53">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（1）通过书面验收；</w:t>
      </w:r>
    </w:p>
    <w:p w14:paraId="6DA03C70">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（2）向甲方开具正式税务发票；</w:t>
      </w:r>
    </w:p>
    <w:p w14:paraId="3ED95FFA">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以上条件不具备，甲方有权拒付款项。</w:t>
      </w:r>
    </w:p>
    <w:p w14:paraId="53559696">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3.2.3合同款支付方式：</w:t>
      </w:r>
    </w:p>
    <w:p w14:paraId="7467A0DE">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甲乙双方签订合同以后，30个工作日内支付货款总额的</w:t>
      </w:r>
      <w:r>
        <w:rPr>
          <w:rFonts w:hint="eastAsia" w:ascii="宋体" w:hAnsi="宋体" w:eastAsia="宋体" w:cs="宋体"/>
          <w:bCs/>
          <w:color w:val="auto"/>
          <w:kern w:val="0"/>
          <w:sz w:val="21"/>
          <w:szCs w:val="21"/>
          <w:highlight w:val="none"/>
          <w:u w:val="single"/>
        </w:rPr>
        <w:t>30</w:t>
      </w:r>
      <w:r>
        <w:rPr>
          <w:rFonts w:hint="eastAsia" w:ascii="宋体" w:hAnsi="宋体" w:eastAsia="宋体" w:cs="宋体"/>
          <w:bCs/>
          <w:color w:val="auto"/>
          <w:kern w:val="0"/>
          <w:sz w:val="21"/>
          <w:szCs w:val="21"/>
          <w:highlight w:val="none"/>
        </w:rPr>
        <w:t>%（乙方向甲方开具增值税发票）；乙方负责将全部货物（产品）按双方约定送达甲方指定地点（新平县境内），乙方向甲方开具等额增值税发票后，甲方向乙方支付合同总额的</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%即¥</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元，大写：</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；经甲方书面验收合格后，乙方向甲方开具等额增值税发票后，甲方向乙方支付合同总额的</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%即¥</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元，大写：</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0CF43F4">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四、货物（产品）交付时间、要求及质量标准</w:t>
      </w:r>
    </w:p>
    <w:p w14:paraId="2ECCDD81">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4.1乙方应于合同签订后</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个日历天内将货物（产品）送达甲方指定地点。</w:t>
      </w:r>
    </w:p>
    <w:p w14:paraId="36DAF09F">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乙方提供的货物（产品）必须符合国家质量标准、国家安全环保标准、国家有关产品质量认证标准并满足甲方技术要求，以及甲乙双方在招标文件、投标文件或双方往来其他文件中约定的标准，不一致时以最优标准为准。</w:t>
      </w:r>
    </w:p>
    <w:p w14:paraId="1D823C4F">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4.3乙方保证提供的货物（产品）是全新（包括零部件）、表面和内部均无任何瑕疵。符合投标文件规定、具有国家有关部门注册并符合国家质量检测和安全认证标准（进口产品具有国家有关部门完整手续）和产品出厂标准的原装合格产品。</w:t>
      </w:r>
    </w:p>
    <w:p w14:paraId="746EBAAA">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4.4乙方应采取相应措施对货物（产品）进行包装，足以确保货物（产品）在正常运输和装卸条件下安全无损地到达甲方指定地点。</w:t>
      </w:r>
    </w:p>
    <w:p w14:paraId="69E041CD">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4.5乙方需负责把所有货物（产品）免费送达甲方指定地点。自货物（产品）交甲方并经过书面验收合格后风险转移给甲方。甲方书面验收之前的风险及运输过程中产生的运输、保险、装卸、送检、验收所需的各种费用及必要的保险费用等一切费用由乙方承担。</w:t>
      </w:r>
    </w:p>
    <w:p w14:paraId="2FC645DF">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4.6乙方应将货物（产品）按照国家标准、行业规范及法律规定必需具备的出厂检验合格的标志或附有以标签、文件等方式制作的产品合格证、使用说明、三包凭证、质保凭证、检测证明等相关资料以及附属的所有配件如专用电线电缆等货物（产品）正常运行所必需的随机消耗品应一并提交甲方。</w:t>
      </w:r>
    </w:p>
    <w:p w14:paraId="3977DF84">
      <w:pPr>
        <w:pStyle w:val="325"/>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4.7乙方应保证甲方在中华人民共和国使用该货物（产品）或其任何一部分时不受第三方提出的侵犯专利权、商标权、著作权、工业设计权或其它知识产权等使用合同标的引起第三方侵权之诉。如果任何第三方提出侵权指控，乙方须与第三方交涉并承担可能发生的一切法律责任和费用（包括但不限于律师费、诉讼费、鉴定费、保全费等），若乙方与任何第三方因此发生争议，并不影响本合同的继续履行，乙方仍需按本合同约定提供相同条件的货物，但甲方也有权选择终止本合同的履行，并要求乙方承担因此造成的全部损失。</w:t>
      </w:r>
    </w:p>
    <w:p w14:paraId="665BE7D0">
      <w:pPr>
        <w:spacing w:line="500" w:lineRule="exact"/>
        <w:ind w:left="56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五、货物（产品）保修和售后服务</w:t>
      </w:r>
    </w:p>
    <w:p w14:paraId="36690E96">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5.1本合同项下全部货物（产品）质保期为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年</w:t>
      </w:r>
      <w:r>
        <w:rPr>
          <w:rFonts w:hint="eastAsia" w:ascii="宋体" w:hAnsi="宋体" w:eastAsia="宋体" w:cs="宋体"/>
          <w:color w:val="auto"/>
          <w:sz w:val="21"/>
          <w:szCs w:val="21"/>
          <w:highlight w:val="none"/>
        </w:rPr>
        <w:t>，自甲方最终验收合格出具书面验收意见显示的时间起算质保期。产品出厂质保卡等凭证承诺的质保期短于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年的，以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年为准，长于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年的适用质保卡的质保期，并保证货物（产品）在甲方报废前正常运行。</w:t>
      </w:r>
    </w:p>
    <w:p w14:paraId="3200867A">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5.2质保期内，乙方对货物（产品）提供全免费上门保修或免费更换；保修期内同一货物的同一质量问题无法正常使用，乙方必须予以更换同品牌、同型号或不低于投标配置的其它新货物（产品）。</w:t>
      </w:r>
    </w:p>
    <w:p w14:paraId="4A865535">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5.3质保期满后，仅收取必要的成本费，不得以其他任何形式另行收取额外费用。</w:t>
      </w:r>
    </w:p>
    <w:p w14:paraId="1C8B297D">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5.4质保期内，乙方在接到甲方电话通知后，应在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小时响应，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小时内提供质保服务，并在两个工作日内修复，否则甲方有权要求乙方免费更换全新产品。</w:t>
      </w:r>
    </w:p>
    <w:p w14:paraId="50630122">
      <w:pPr>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5.5如甲方因为人员布置的调整、组织结构的变动、搬迁，乙方应提供搬运等服务，甲方能够自行搬运的情况下除外。</w:t>
      </w:r>
    </w:p>
    <w:p w14:paraId="3524A8A0">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5.6乙方应向甲方提供在云南省内的售后服务中心、特约售后服务站等售后服务网点的名单、联系地址、联系电话。</w:t>
      </w:r>
    </w:p>
    <w:p w14:paraId="4ED0F250">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乙方技术支持联系人：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730BDA">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5.7乙方7*24小时售后服务热线：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。若乙方售后服务人员电话更改，应及时书面通知甲方，否则给甲方造成损失由乙方承担。</w:t>
      </w:r>
    </w:p>
    <w:p w14:paraId="6A962CB0">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货物在质保期使用时，如发现质量问题，甲方应及时通知乙方，乙方收到甲方的通知后，应及时处理；若乙方未及时处理，甲方有权另行委托第三方专业人员进行处理，由此产生的售后费用以及第三方人员可能遭受或造成的任何人身损害事故的一切费用均乙方承担，造成甲方损失的，甲方有权向乙方追偿，相关费用甲方有权直接从质保金中予以扣除。</w:t>
      </w:r>
    </w:p>
    <w:p w14:paraId="075A8CE6">
      <w:pPr>
        <w:pStyle w:val="325"/>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5.9甲方根据实际情况可以要求乙方进行技术培训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个工作日，乙方主要对甲方使用货物（产品）人员现场例行免费培训，培训内容包括货物（产品）的使用、保存等；食宿自理（各自负责）。</w:t>
      </w:r>
    </w:p>
    <w:p w14:paraId="7BB3B547">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六、货物（产品）验收及验收标准</w:t>
      </w:r>
    </w:p>
    <w:p w14:paraId="0C4BF4A3">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6.1初步验收：货到甲方后，甲方按乙方发货清单对产品外观质量、数量进行检查。甲方对产品外观、数量的检查，只是对产品的表面验收，不能视为是对产品质量的验收确认。若有异议，甲方在货到后3个工作日内以传真或电子邮件方式通知乙方，乙方应当在收到通知后的3个工作日内书面回复或派人到甲方住所地处理该异议，逾期不予处理的，视为乙方未或逾期履行交付义务，应依照本合同约定承担相应违约责任。</w:t>
      </w:r>
    </w:p>
    <w:p w14:paraId="01CDBD64">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6.2正式验收：</w:t>
      </w:r>
      <w:r>
        <w:rPr>
          <w:rFonts w:hint="eastAsia" w:ascii="宋体" w:hAnsi="宋体" w:eastAsia="宋体" w:cs="宋体"/>
          <w:color w:val="auto"/>
          <w:sz w:val="21"/>
          <w:szCs w:val="21"/>
          <w:highlight w:val="none"/>
        </w:rPr>
        <w:t>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甲方组织验收，乙方应当及时派人参加和协助验收。甲方不能自行完成验收的，有权选择专业鉴定、检验机构进行检测验收，因此产生的费用，由乙方负担。验收合格后，甲方签发产品验收合格意见；验收不合格的，甲方不予接收，乙方应及时地无条件地按照甲方的要求进行修复或更换，甲方重新组织验收，直至验收合格为止。不予配合或逾期交货的视为乙方逾期交付并按照本合同承担相应违约责任。乙方未及时派人参加验收，视为同意甲方的验收结论。</w:t>
      </w:r>
    </w:p>
    <w:p w14:paraId="50095D8F">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6.3验收合格后并不视为免除乙方</w:t>
      </w:r>
      <w:r>
        <w:rPr>
          <w:rFonts w:hint="eastAsia" w:ascii="宋体" w:hAnsi="宋体" w:eastAsia="宋体" w:cs="宋体"/>
          <w:color w:val="auto"/>
          <w:sz w:val="21"/>
          <w:szCs w:val="21"/>
          <w:highlight w:val="none"/>
        </w:rPr>
        <w:t>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责任，乙方</w:t>
      </w:r>
      <w:r>
        <w:rPr>
          <w:rFonts w:hint="eastAsia" w:ascii="宋体" w:hAnsi="宋体" w:eastAsia="宋体" w:cs="宋体"/>
          <w:color w:val="auto"/>
          <w:sz w:val="21"/>
          <w:szCs w:val="21"/>
          <w:highlight w:val="none"/>
        </w:rPr>
        <w:t>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在约定的质保期内发生质量问题仍需承担相应的赔偿、更换、修理等责任。</w:t>
      </w:r>
    </w:p>
    <w:p w14:paraId="20E46B79">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七、甲乙双方的权利和义务</w:t>
      </w:r>
    </w:p>
    <w:p w14:paraId="62FB8100">
      <w:pPr>
        <w:spacing w:before="60" w:after="60" w:line="500" w:lineRule="exact"/>
        <w:ind w:firstLine="51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7.1甲方的权利和义务</w:t>
      </w:r>
    </w:p>
    <w:p w14:paraId="1A98F8F4">
      <w:pPr>
        <w:spacing w:before="60" w:after="60" w:line="500" w:lineRule="exact"/>
        <w:ind w:firstLine="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7.1.1负责合同签订后项目实施的安排指导工作。</w:t>
      </w:r>
    </w:p>
    <w:p w14:paraId="017C5BC6">
      <w:pPr>
        <w:spacing w:before="60" w:after="60" w:line="500" w:lineRule="exact"/>
        <w:ind w:firstLine="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7.1.2负责提供货物（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）所必须的场地和环境。</w:t>
      </w:r>
    </w:p>
    <w:p w14:paraId="1A8860F7">
      <w:pPr>
        <w:spacing w:before="60" w:after="60" w:line="500" w:lineRule="exact"/>
        <w:ind w:firstLine="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7.1.3乙方提供的货物（产品）质量与投标文件规定不符，甲方有权退货，并要求乙方承担甲方由此遭受的经济损失。</w:t>
      </w:r>
    </w:p>
    <w:p w14:paraId="20824221">
      <w:pPr>
        <w:spacing w:before="60" w:after="60" w:line="500" w:lineRule="exact"/>
        <w:ind w:firstLine="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7.1.4甲方发现乙方所售货物（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存在任何瑕疵，有权随时要求乙方进行换货。换货必须全新并符合投标文件规定的品质、规格和性能。若换货仍不能达到甲方的要求，甲方有权要求退货，并由乙方承担因此而产生的一切费用和甲方遭受的一切损失。</w:t>
      </w:r>
    </w:p>
    <w:p w14:paraId="02B3D015">
      <w:pPr>
        <w:spacing w:before="60" w:after="60" w:line="500" w:lineRule="exact"/>
        <w:ind w:firstLine="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7.1.5负责组织成立验收小组对货物（产品）进行初步验收和最终验收，并出具验收意见，甲方验收小组在验收意见上签字同意验收合格视为验收通过。</w:t>
      </w:r>
    </w:p>
    <w:p w14:paraId="053780FD">
      <w:pPr>
        <w:spacing w:before="60" w:after="60" w:line="500" w:lineRule="exact"/>
        <w:ind w:firstLine="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7.1.6按合同规定享有乙方提供的货物（产品）服务。</w:t>
      </w:r>
    </w:p>
    <w:p w14:paraId="24933B93">
      <w:pPr>
        <w:spacing w:before="60" w:after="60" w:line="500" w:lineRule="exact"/>
        <w:ind w:firstLine="5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7.1.7按采购规定落实采购资金并办理采购资金结算手续。</w:t>
      </w:r>
    </w:p>
    <w:p w14:paraId="4899A571">
      <w:pPr>
        <w:spacing w:before="60" w:after="60" w:line="500" w:lineRule="exact"/>
        <w:ind w:firstLine="5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7.1.8本合同项下应由乙方承担的赔偿责任，甲方有权直接在质保金内扣除。</w:t>
      </w:r>
    </w:p>
    <w:p w14:paraId="479E83DB">
      <w:pPr>
        <w:spacing w:before="60" w:after="60" w:line="500" w:lineRule="exact"/>
        <w:ind w:firstLine="5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7.1.9 依照相关法律规定为实现本合同目的享有和承担的其他权利、义务。</w:t>
      </w:r>
    </w:p>
    <w:p w14:paraId="1098CC7B">
      <w:pPr>
        <w:spacing w:before="60" w:after="60" w:line="500" w:lineRule="exact"/>
        <w:ind w:firstLine="51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7.2乙方的权利和义务</w:t>
      </w:r>
    </w:p>
    <w:p w14:paraId="2EF95DEE">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7.2.1按照甲方要求的时间、地点、数量将货物交予甲方。在交货之前，乙方应就产品的品质、规格、性能、数量及重量作出准确和全面的检测，保证其产品不存在任何瑕疵。</w:t>
      </w:r>
    </w:p>
    <w:p w14:paraId="4CB93930">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7.2.2按照甲方要求进行使货物（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）达到正常运行或使用状态。</w:t>
      </w:r>
    </w:p>
    <w:p w14:paraId="16955C5D">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7.2.3对货物（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）质量负责，自交货起，负责技术支持和售后服务。</w:t>
      </w:r>
    </w:p>
    <w:p w14:paraId="028BCA2C">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 做好货物（</w:t>
      </w:r>
      <w:r>
        <w:rPr>
          <w:rFonts w:hint="eastAsia" w:ascii="宋体" w:hAnsi="宋体" w:eastAsia="宋体" w:cs="宋体"/>
          <w:bCs/>
          <w:color w:val="auto"/>
          <w:kern w:val="0"/>
          <w:sz w:val="21"/>
          <w:szCs w:val="21"/>
          <w:highlight w:val="none"/>
        </w:rPr>
        <w:t>产品</w:t>
      </w:r>
      <w:r>
        <w:rPr>
          <w:rFonts w:hint="eastAsia" w:ascii="宋体" w:hAnsi="宋体" w:eastAsia="宋体" w:cs="宋体"/>
          <w:color w:val="auto"/>
          <w:sz w:val="21"/>
          <w:szCs w:val="21"/>
          <w:highlight w:val="none"/>
        </w:rPr>
        <w:t>）在质保期内的售后服务工作。甲方在使用过程中出现质量问题的，保证按质量承诺及时售后。</w:t>
      </w:r>
    </w:p>
    <w:p w14:paraId="29A003E7">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7.2.5乙方保证所提供商品和服务不能对甲方的正常使用人员的人身健康造成危害且符合国家环境保护的有关规定，如若因此造成甲方人员及任何第三方人身损害的，乙方应承担医药费等全部赔偿责任。</w:t>
      </w:r>
    </w:p>
    <w:p w14:paraId="646029EC">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7.2.6乙方应为其现场服务人员办理保险，现场服务人员的人身、意外风险均由乙方承担，与甲方无任何关系。若现场服务人员在提供服务时自己或给任何第三方造成一切人身、安全事故的责任及因此产生的一切费用均由乙方全部承担。</w:t>
      </w:r>
    </w:p>
    <w:p w14:paraId="315645B5">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7.2.7严格遵守投标、技术澄清、商务投标、中标所承诺的一切规定和条款。</w:t>
      </w:r>
    </w:p>
    <w:p w14:paraId="10CBD933">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7.2.8参与甲方共同进行货物（产品）的验收。</w:t>
      </w:r>
    </w:p>
    <w:p w14:paraId="6631F118">
      <w:pPr>
        <w:pStyle w:val="325"/>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7.2.9</w:t>
      </w:r>
      <w:r>
        <w:rPr>
          <w:rFonts w:hint="eastAsia" w:ascii="宋体" w:hAnsi="宋体" w:eastAsia="宋体" w:cs="宋体"/>
          <w:bCs/>
          <w:color w:val="auto"/>
          <w:sz w:val="21"/>
          <w:szCs w:val="21"/>
          <w:highlight w:val="none"/>
        </w:rPr>
        <w:t>依照相关法律规定为实现本合同目的享有和承担的其他权利、义务。</w:t>
      </w:r>
    </w:p>
    <w:p w14:paraId="5D3D14EC">
      <w:pPr>
        <w:pStyle w:val="325"/>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7.2.10</w:t>
      </w:r>
      <w:r>
        <w:rPr>
          <w:rFonts w:hint="eastAsia" w:ascii="宋体" w:hAnsi="宋体" w:eastAsia="宋体" w:cs="宋体"/>
          <w:color w:val="auto"/>
          <w:sz w:val="21"/>
          <w:szCs w:val="21"/>
          <w:highlight w:val="none"/>
        </w:rPr>
        <w:t>货物（产品）通过验收合格，交付甲方使用后，</w:t>
      </w:r>
      <w:r>
        <w:rPr>
          <w:rFonts w:hint="eastAsia" w:ascii="宋体" w:hAnsi="宋体" w:eastAsia="宋体" w:cs="宋体"/>
          <w:bCs/>
          <w:color w:val="auto"/>
          <w:sz w:val="21"/>
          <w:szCs w:val="21"/>
          <w:highlight w:val="none"/>
        </w:rPr>
        <w:t>有权要求甲方按照合同约定支付合同款。</w:t>
      </w:r>
    </w:p>
    <w:p w14:paraId="2A0B1DFF">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八、违约责任 </w:t>
      </w:r>
    </w:p>
    <w:p w14:paraId="5195D601">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8.1乙方逾期交货，每逾期1个日历天，乙方须向甲方支付合同款1 ‰的违约金；逾期超过15个日历天的，甲方有权解除合同，乙方须向甲方支付合同款30%的违约金。</w:t>
      </w:r>
    </w:p>
    <w:p w14:paraId="12F30C30">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8.2乙方应当按照双方约定及时履行维修、保养及培训等义务。若乙方未按照合同约定履行相关义务的，甲方有权委托第三方进行维修、更换、保养及培训。所需全部费用由乙方承担（甲方有权在质保金中扣除，不足部分由乙方补齐）。</w:t>
      </w:r>
    </w:p>
    <w:p w14:paraId="0C5218CC">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8.3乙方交付产品的品质、性能、技术标准、质量要求不符合本合同约定的，乙方应无条件地按甲方要求进行修复或者更换，由此造成的时间延误视为乙方未按时交货，按逾期交货处理。</w:t>
      </w:r>
    </w:p>
    <w:p w14:paraId="56D57CAC">
      <w:pPr>
        <w:pStyle w:val="325"/>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8.4乙方承诺其销售的产品不存在权利瑕疵，没有侵犯他人知识产权或其他合法权益，也不存在司法或行政的查封、扣押、冻结等转让限制。因存在前述权利瑕疵给甲方造成损失的，乙方除应退还甲方已支付的全部价款及其利息外，还应按合同款的30%向甲方支付违约金并赔偿因此给甲方造成的全部损失。</w:t>
      </w:r>
    </w:p>
    <w:p w14:paraId="53D13122">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8.5乙方提供产品，因产品质量不合格、质量存在瑕疵或者未达技术服务要求或违反本协议其他条款约定义务的，导致未能验收合格的，甲方有权终止合同，并要求乙方支付合同款的30%的违约金并赔偿造成甲方的全部损失（包括但不限于甲方通过诉讼途径维护合法权益发生的诉讼费、仲裁费、律师代理费、差旅费、财产保全费、财产保全担保费、执行费、评估费、拍卖费、公证费、公告费等）。</w:t>
      </w:r>
    </w:p>
    <w:p w14:paraId="164117AA">
      <w:pPr>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8.6</w:t>
      </w:r>
      <w:r>
        <w:rPr>
          <w:rFonts w:hint="eastAsia" w:ascii="宋体" w:hAnsi="宋体" w:eastAsia="宋体" w:cs="宋体"/>
          <w:bCs/>
          <w:color w:val="auto"/>
          <w:sz w:val="21"/>
          <w:szCs w:val="21"/>
          <w:highlight w:val="none"/>
        </w:rPr>
        <w:t>质保期内，如乙方所供货物（产品）在使用过程中存在隐藏的重大缺陷（设计、工艺或者材料）及质量问题导致发生安全事故，造成甲方人员、任何第三方人员伤亡及财物损失的，由乙方承担医药费等全部赔偿责任，涉嫌违法或构成犯罪的甲方将移交相关部门处理。</w:t>
      </w:r>
    </w:p>
    <w:p w14:paraId="621C145D">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九、保密义务</w:t>
      </w:r>
    </w:p>
    <w:p w14:paraId="79744894">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任一方在本合同签订、履行过程中知悉、获得到的另一方商业秘密、单位秘密均应予严格保密，该保密义务不因双方提前终止合作或合作到期后而解除，且甲乙双方应采取必要措施，要求其雇员或相关工作人员也同样遵守保密义务。</w:t>
      </w:r>
    </w:p>
    <w:p w14:paraId="40E2B1E9">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十、不可抗力</w:t>
      </w:r>
    </w:p>
    <w:p w14:paraId="5EA13B29">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10.1任何一方由于不可抗力的原因不能履行合同时，应在不可抗力发生后 5个工作日内向对方通报不能履行或不能完全履行的理由，在10个工作日内向对方送达不可抗力发生地公证机关或相关部门出具的不可抗力书面证明。</w:t>
      </w:r>
    </w:p>
    <w:p w14:paraId="6E0448A6">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10.2 不可抗力事件发生时，双方应立即通过友好协商决定如何执行本合同。不可抗力事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但一方当事人迟延履行后发生不可抗力的，不能免除该方责任。</w:t>
      </w:r>
    </w:p>
    <w:p w14:paraId="0FA76DE9">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10.3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政策、法律规定修改等）。</w:t>
      </w:r>
    </w:p>
    <w:p w14:paraId="3457DAF5">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 争议解决方式</w:t>
      </w:r>
    </w:p>
    <w:p w14:paraId="56DE2932">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本合同适用法律为中华人民共和国法律、法规。在本合同履行过程中发生争议的，由双方协商解决；协商不成时，任何一方均有权向甲方所在地有管辖权的人民法院起诉。</w:t>
      </w:r>
    </w:p>
    <w:p w14:paraId="5C15435B">
      <w:pPr>
        <w:spacing w:line="50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 通知和送达</w:t>
      </w:r>
    </w:p>
    <w:p w14:paraId="61F47B1C">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本合同的任何一方发出的书面文件，收件地址以本合同所列的地址为准；合同一方向对方发出的文件，下列情形之一视为已送达：</w:t>
      </w:r>
    </w:p>
    <w:p w14:paraId="282A0F9E">
      <w:pPr>
        <w:numPr>
          <w:ilvl w:val="0"/>
          <w:numId w:val="2"/>
        </w:num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该文件已交付对方；</w:t>
      </w:r>
    </w:p>
    <w:p w14:paraId="04FDE6A5">
      <w:pPr>
        <w:numPr>
          <w:ilvl w:val="0"/>
          <w:numId w:val="2"/>
        </w:num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该文件通过邮寄对方本合同所列的地址，该邮寄送达不需对方签收；</w:t>
      </w:r>
    </w:p>
    <w:p w14:paraId="66E6E626">
      <w:pPr>
        <w:numPr>
          <w:ilvl w:val="0"/>
          <w:numId w:val="2"/>
        </w:num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该文件通过传真、电子邮件发往对方在本合同所列传真机、电子邮箱；</w:t>
      </w:r>
    </w:p>
    <w:p w14:paraId="6F529899">
      <w:pPr>
        <w:pStyle w:val="45"/>
        <w:numPr>
          <w:ilvl w:val="0"/>
          <w:numId w:val="2"/>
        </w:numPr>
        <w:spacing w:line="500" w:lineRule="exact"/>
        <w:ind w:left="0" w:leftChars="0" w:firstLine="420" w:firstLineChars="200"/>
        <w:rPr>
          <w:rFonts w:hint="eastAsia" w:ascii="宋体" w:hAnsi="宋体" w:eastAsia="宋体" w:cs="宋体"/>
          <w:bCs/>
          <w:color w:val="auto"/>
          <w:kern w:val="0"/>
          <w:sz w:val="21"/>
          <w:szCs w:val="21"/>
          <w:highlight w:val="none"/>
        </w:rPr>
      </w:pPr>
      <w:bookmarkStart w:id="1163" w:name="_Hlk508200790"/>
      <w:r>
        <w:rPr>
          <w:rFonts w:hint="eastAsia" w:ascii="宋体" w:hAnsi="宋体" w:eastAsia="宋体" w:cs="宋体"/>
          <w:bCs/>
          <w:color w:val="auto"/>
          <w:kern w:val="0"/>
          <w:sz w:val="21"/>
          <w:szCs w:val="21"/>
          <w:highlight w:val="none"/>
        </w:rPr>
        <w:t>甲方指定邮寄地址及联系方式：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；联系电话：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bookmarkEnd w:id="1163"/>
    <w:p w14:paraId="2ACE1CE7">
      <w:pPr>
        <w:numPr>
          <w:ilvl w:val="0"/>
          <w:numId w:val="2"/>
        </w:numPr>
        <w:spacing w:line="500" w:lineRule="exact"/>
        <w:ind w:firstLine="420"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Cs/>
          <w:color w:val="auto"/>
          <w:kern w:val="0"/>
          <w:sz w:val="21"/>
          <w:szCs w:val="21"/>
          <w:highlight w:val="none"/>
        </w:rPr>
        <w:t>乙方指定邮寄地址及联系方式：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；联系电话：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66E629D0">
      <w:pPr>
        <w:spacing w:line="500" w:lineRule="exact"/>
        <w:ind w:left="56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十三、其他条款</w:t>
      </w:r>
    </w:p>
    <w:p w14:paraId="669107B1">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13.1有关本合同条款的修改、补充和变更，均应以书面形式进行，必须经双方签字并盖章后生效。如需修改或补充合同内容，经协商，双方应签署书面修改或补充协议，新签署协议与本合同条款有冲突，则以新签署协议为准，该协议将作为本合同的一个组成部分。本合同内容由甲、乙双方填写，任何一方不得单独改动。</w:t>
      </w:r>
    </w:p>
    <w:p w14:paraId="62C2AA17">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13.2本合同一式陆份，具有同等法律效力，甲方持肆份，乙方持贰份。本合同自甲、乙双方签字或盖章（包括骑缝章）之日起生效，委托代理人代为签署的，应由单位出具授权委托书。双方履行完本合同约定的权利义务后，本合同即自行终止。</w:t>
      </w:r>
    </w:p>
    <w:p w14:paraId="4F2E65CD">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13.3合同生效后，如乙方履行合同义务的能力或信用出现严重缺陷，甲方可以通知乙方中止合同。经乙方对履行合同义务提供充分保证，则合同应继续履行。如果甲方行使中止权利，甲方有权停付到期应向乙方支付中止部分的款项。</w:t>
      </w:r>
    </w:p>
    <w:p w14:paraId="2906BA08">
      <w:pPr>
        <w:spacing w:line="5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13.4任何一方未取得另一方书面同意，不得将本合同项下部分或全部权利、义务转让给第三方。</w:t>
      </w:r>
    </w:p>
    <w:p w14:paraId="5085152D">
      <w:pPr>
        <w:pStyle w:val="66"/>
        <w:rPr>
          <w:rFonts w:hint="eastAsia" w:ascii="宋体" w:hAnsi="宋体" w:eastAsia="宋体" w:cs="宋体"/>
          <w:bCs/>
          <w:color w:val="auto"/>
          <w:kern w:val="0"/>
          <w:sz w:val="21"/>
          <w:szCs w:val="21"/>
          <w:highlight w:val="none"/>
        </w:rPr>
      </w:pPr>
    </w:p>
    <w:p w14:paraId="25230B64">
      <w:pPr>
        <w:pStyle w:val="325"/>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附件一：</w:t>
      </w:r>
    </w:p>
    <w:p w14:paraId="0514EFAD">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合同清单及投标技术参数</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26"/>
        <w:gridCol w:w="718"/>
        <w:gridCol w:w="719"/>
        <w:gridCol w:w="2464"/>
        <w:gridCol w:w="1266"/>
        <w:gridCol w:w="1266"/>
        <w:gridCol w:w="1342"/>
      </w:tblGrid>
      <w:tr w14:paraId="4FB1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96" w:type="dxa"/>
            <w:vAlign w:val="center"/>
          </w:tcPr>
          <w:p w14:paraId="6C7FF7E0">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产品序号</w:t>
            </w:r>
          </w:p>
        </w:tc>
        <w:tc>
          <w:tcPr>
            <w:tcW w:w="926" w:type="dxa"/>
            <w:vAlign w:val="center"/>
          </w:tcPr>
          <w:p w14:paraId="14A95F9D">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货物</w:t>
            </w:r>
            <w:r>
              <w:rPr>
                <w:rFonts w:hint="eastAsia" w:ascii="宋体" w:hAnsi="宋体" w:eastAsia="宋体" w:cs="宋体"/>
                <w:b/>
                <w:bCs/>
                <w:color w:val="auto"/>
                <w:sz w:val="21"/>
                <w:szCs w:val="21"/>
                <w:highlight w:val="none"/>
              </w:rPr>
              <w:t>名称</w:t>
            </w:r>
          </w:p>
        </w:tc>
        <w:tc>
          <w:tcPr>
            <w:tcW w:w="718" w:type="dxa"/>
            <w:vAlign w:val="center"/>
          </w:tcPr>
          <w:p w14:paraId="6C6C0562">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719" w:type="dxa"/>
            <w:vAlign w:val="center"/>
          </w:tcPr>
          <w:p w14:paraId="2CA07E90">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rPr>
              <w:t>型号</w:t>
            </w:r>
          </w:p>
        </w:tc>
        <w:tc>
          <w:tcPr>
            <w:tcW w:w="2464" w:type="dxa"/>
            <w:vAlign w:val="center"/>
          </w:tcPr>
          <w:p w14:paraId="5ED41B22">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266" w:type="dxa"/>
            <w:vAlign w:val="center"/>
          </w:tcPr>
          <w:p w14:paraId="19827E50">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266" w:type="dxa"/>
            <w:vAlign w:val="center"/>
          </w:tcPr>
          <w:p w14:paraId="74532326">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tc>
        <w:tc>
          <w:tcPr>
            <w:tcW w:w="1342" w:type="dxa"/>
            <w:vAlign w:val="center"/>
          </w:tcPr>
          <w:p w14:paraId="159B2CB5">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总价</w:t>
            </w:r>
          </w:p>
          <w:p w14:paraId="7AF005AB">
            <w:pPr>
              <w:pStyle w:val="32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218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96" w:type="dxa"/>
            <w:shd w:val="clear" w:color="auto" w:fill="auto"/>
            <w:vAlign w:val="center"/>
          </w:tcPr>
          <w:p w14:paraId="535B3830">
            <w:pPr>
              <w:jc w:val="center"/>
              <w:rPr>
                <w:rFonts w:hint="eastAsia" w:ascii="宋体" w:hAnsi="宋体" w:eastAsia="宋体" w:cs="宋体"/>
                <w:color w:val="auto"/>
                <w:sz w:val="21"/>
                <w:szCs w:val="21"/>
                <w:highlight w:val="none"/>
              </w:rPr>
            </w:pPr>
          </w:p>
        </w:tc>
        <w:tc>
          <w:tcPr>
            <w:tcW w:w="926" w:type="dxa"/>
            <w:shd w:val="clear" w:color="auto" w:fill="auto"/>
            <w:vAlign w:val="center"/>
          </w:tcPr>
          <w:p w14:paraId="41C48C03">
            <w:pPr>
              <w:jc w:val="center"/>
              <w:rPr>
                <w:rFonts w:hint="eastAsia" w:ascii="宋体" w:hAnsi="宋体" w:eastAsia="宋体" w:cs="宋体"/>
                <w:color w:val="auto"/>
                <w:sz w:val="21"/>
                <w:szCs w:val="21"/>
                <w:highlight w:val="none"/>
              </w:rPr>
            </w:pPr>
          </w:p>
        </w:tc>
        <w:tc>
          <w:tcPr>
            <w:tcW w:w="718" w:type="dxa"/>
            <w:shd w:val="clear" w:color="auto" w:fill="auto"/>
            <w:vAlign w:val="center"/>
          </w:tcPr>
          <w:p w14:paraId="2502587F">
            <w:pPr>
              <w:rPr>
                <w:rFonts w:hint="eastAsia" w:ascii="宋体" w:hAnsi="宋体" w:eastAsia="宋体" w:cs="宋体"/>
                <w:color w:val="auto"/>
                <w:sz w:val="21"/>
                <w:szCs w:val="21"/>
                <w:highlight w:val="none"/>
              </w:rPr>
            </w:pPr>
          </w:p>
        </w:tc>
        <w:tc>
          <w:tcPr>
            <w:tcW w:w="719" w:type="dxa"/>
            <w:shd w:val="clear" w:color="auto" w:fill="auto"/>
            <w:vAlign w:val="center"/>
          </w:tcPr>
          <w:p w14:paraId="4A1FC248">
            <w:pPr>
              <w:rPr>
                <w:rFonts w:hint="eastAsia" w:ascii="宋体" w:hAnsi="宋体" w:eastAsia="宋体" w:cs="宋体"/>
                <w:color w:val="auto"/>
                <w:sz w:val="21"/>
                <w:szCs w:val="21"/>
                <w:highlight w:val="none"/>
              </w:rPr>
            </w:pPr>
          </w:p>
        </w:tc>
        <w:tc>
          <w:tcPr>
            <w:tcW w:w="2464" w:type="dxa"/>
            <w:tcBorders>
              <w:right w:val="single" w:color="auto" w:sz="4" w:space="0"/>
            </w:tcBorders>
            <w:shd w:val="clear" w:color="000000" w:fill="FFFFFF"/>
            <w:vAlign w:val="center"/>
          </w:tcPr>
          <w:p w14:paraId="4DD23302">
            <w:pPr>
              <w:widowControl/>
              <w:jc w:val="left"/>
              <w:rPr>
                <w:rFonts w:hint="eastAsia" w:ascii="宋体" w:hAnsi="宋体" w:eastAsia="宋体" w:cs="宋体"/>
                <w:color w:val="auto"/>
                <w:kern w:val="0"/>
                <w:sz w:val="21"/>
                <w:szCs w:val="21"/>
                <w:highlight w:val="none"/>
              </w:rPr>
            </w:pPr>
          </w:p>
        </w:tc>
        <w:tc>
          <w:tcPr>
            <w:tcW w:w="1266" w:type="dxa"/>
            <w:tcBorders>
              <w:right w:val="single" w:color="auto" w:sz="4" w:space="0"/>
            </w:tcBorders>
            <w:shd w:val="clear" w:color="000000" w:fill="FFFFFF"/>
            <w:vAlign w:val="center"/>
          </w:tcPr>
          <w:p w14:paraId="6038EB43">
            <w:pPr>
              <w:widowControl/>
              <w:spacing w:line="0" w:lineRule="atLeast"/>
              <w:jc w:val="center"/>
              <w:rPr>
                <w:rFonts w:hint="eastAsia" w:ascii="宋体" w:hAnsi="宋体" w:eastAsia="宋体" w:cs="宋体"/>
                <w:color w:val="auto"/>
                <w:kern w:val="0"/>
                <w:sz w:val="21"/>
                <w:szCs w:val="21"/>
                <w:highlight w:val="none"/>
              </w:rPr>
            </w:pPr>
          </w:p>
        </w:tc>
        <w:tc>
          <w:tcPr>
            <w:tcW w:w="1266" w:type="dxa"/>
            <w:tcBorders>
              <w:right w:val="single" w:color="auto" w:sz="4" w:space="0"/>
            </w:tcBorders>
            <w:shd w:val="clear" w:color="000000" w:fill="FFFFFF"/>
            <w:vAlign w:val="center"/>
          </w:tcPr>
          <w:p w14:paraId="2BC71CA0">
            <w:pPr>
              <w:widowControl/>
              <w:jc w:val="center"/>
              <w:rPr>
                <w:rFonts w:hint="eastAsia" w:ascii="宋体" w:hAnsi="宋体" w:eastAsia="宋体" w:cs="宋体"/>
                <w:color w:val="auto"/>
                <w:kern w:val="0"/>
                <w:sz w:val="21"/>
                <w:szCs w:val="21"/>
                <w:highlight w:val="none"/>
              </w:rPr>
            </w:pPr>
          </w:p>
        </w:tc>
        <w:tc>
          <w:tcPr>
            <w:tcW w:w="1342" w:type="dxa"/>
            <w:tcBorders>
              <w:right w:val="single" w:color="auto" w:sz="4" w:space="0"/>
            </w:tcBorders>
            <w:shd w:val="clear" w:color="000000" w:fill="FFFFFF"/>
            <w:vAlign w:val="center"/>
          </w:tcPr>
          <w:p w14:paraId="117B69BF">
            <w:pPr>
              <w:widowControl/>
              <w:jc w:val="center"/>
              <w:rPr>
                <w:rFonts w:hint="eastAsia" w:ascii="宋体" w:hAnsi="宋体" w:eastAsia="宋体" w:cs="宋体"/>
                <w:color w:val="auto"/>
                <w:kern w:val="0"/>
                <w:sz w:val="21"/>
                <w:szCs w:val="21"/>
                <w:highlight w:val="none"/>
              </w:rPr>
            </w:pPr>
          </w:p>
        </w:tc>
      </w:tr>
    </w:tbl>
    <w:p w14:paraId="64F05A2B">
      <w:pPr>
        <w:tabs>
          <w:tab w:val="left" w:pos="709"/>
        </w:tabs>
        <w:spacing w:line="360" w:lineRule="auto"/>
        <w:ind w:firstLine="420" w:firstLineChars="200"/>
        <w:rPr>
          <w:rFonts w:ascii="宋体" w:hAnsi="宋体"/>
          <w:kern w:val="32"/>
          <w:szCs w:val="21"/>
        </w:rPr>
      </w:pPr>
    </w:p>
    <w:p w14:paraId="463E7AD5">
      <w:pPr>
        <w:tabs>
          <w:tab w:val="left" w:pos="709"/>
        </w:tabs>
        <w:spacing w:line="360" w:lineRule="auto"/>
        <w:ind w:firstLine="420" w:firstLineChars="200"/>
        <w:rPr>
          <w:rFonts w:ascii="宋体" w:hAnsi="宋体"/>
          <w:kern w:val="32"/>
          <w:szCs w:val="21"/>
        </w:rPr>
      </w:pPr>
    </w:p>
    <w:p w14:paraId="75B2638D">
      <w:pPr>
        <w:tabs>
          <w:tab w:val="left" w:pos="709"/>
        </w:tabs>
        <w:spacing w:line="360" w:lineRule="auto"/>
        <w:ind w:firstLine="420" w:firstLineChars="200"/>
        <w:rPr>
          <w:rFonts w:ascii="宋体" w:hAnsi="宋体"/>
          <w:kern w:val="32"/>
          <w:szCs w:val="21"/>
        </w:rPr>
      </w:pPr>
    </w:p>
    <w:p w14:paraId="4C830943">
      <w:pPr>
        <w:tabs>
          <w:tab w:val="left" w:pos="709"/>
        </w:tabs>
        <w:spacing w:line="360" w:lineRule="auto"/>
        <w:ind w:firstLine="420" w:firstLineChars="200"/>
        <w:rPr>
          <w:rFonts w:ascii="宋体" w:hAnsi="宋体"/>
          <w:kern w:val="32"/>
          <w:szCs w:val="21"/>
        </w:rPr>
      </w:pPr>
    </w:p>
    <w:p w14:paraId="3B3DF129">
      <w:pPr>
        <w:rPr>
          <w:rFonts w:ascii="宋体" w:hAnsi="宋体"/>
          <w:szCs w:val="21"/>
        </w:rPr>
      </w:pPr>
    </w:p>
    <w:p w14:paraId="0F5943ED">
      <w:pP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p>
    <w:p w14:paraId="42222A04">
      <w:pPr>
        <w:numPr>
          <w:ilvl w:val="0"/>
          <w:numId w:val="3"/>
        </w:numPr>
        <w:spacing w:line="360" w:lineRule="auto"/>
        <w:ind w:firstLine="643"/>
        <w:jc w:val="center"/>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 xml:space="preserve"> </w:t>
      </w:r>
      <w:bookmarkStart w:id="1164" w:name="_Toc22932"/>
      <w:r>
        <w:rPr>
          <w:rFonts w:hint="eastAsia" w:asciiTheme="minorEastAsia" w:hAnsiTheme="minorEastAsia" w:eastAsiaTheme="minorEastAsia"/>
          <w:b/>
          <w:bCs/>
          <w:sz w:val="32"/>
          <w:szCs w:val="32"/>
        </w:rPr>
        <w:t>采购需求</w:t>
      </w:r>
      <w:bookmarkEnd w:id="1164"/>
    </w:p>
    <w:p w14:paraId="779A4F4E">
      <w:pPr>
        <w:widowControl/>
        <w:numPr>
          <w:ilvl w:val="0"/>
          <w:numId w:val="0"/>
        </w:numPr>
        <w:spacing w:line="360" w:lineRule="auto"/>
        <w:jc w:val="left"/>
        <w:rPr>
          <w:rFonts w:hint="eastAsia" w:ascii="宋体" w:hAnsi="宋体" w:cs="宋体"/>
          <w:b/>
          <w:bCs/>
          <w:kern w:val="0"/>
          <w:sz w:val="24"/>
          <w:szCs w:val="24"/>
        </w:rPr>
      </w:pPr>
      <w:r>
        <w:rPr>
          <w:rFonts w:hint="eastAsia" w:ascii="宋体" w:hAnsi="宋体" w:cs="宋体"/>
          <w:b/>
          <w:bCs/>
          <w:kern w:val="0"/>
          <w:sz w:val="24"/>
          <w:szCs w:val="24"/>
          <w:lang w:val="en-US" w:eastAsia="zh-CN"/>
        </w:rPr>
        <w:t>一、采购标的</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72"/>
        <w:gridCol w:w="1982"/>
        <w:gridCol w:w="2804"/>
        <w:gridCol w:w="949"/>
        <w:gridCol w:w="639"/>
        <w:gridCol w:w="849"/>
        <w:gridCol w:w="1279"/>
      </w:tblGrid>
      <w:tr w14:paraId="06E2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7" w:hRule="atLeast"/>
          <w:jc w:val="center"/>
        </w:trPr>
        <w:tc>
          <w:tcPr>
            <w:tcW w:w="5000" w:type="pct"/>
            <w:gridSpan w:val="7"/>
            <w:tcMar>
              <w:top w:w="0" w:type="dxa"/>
              <w:left w:w="108" w:type="dxa"/>
              <w:bottom w:w="0" w:type="dxa"/>
              <w:right w:w="108" w:type="dxa"/>
            </w:tcMar>
            <w:vAlign w:val="center"/>
          </w:tcPr>
          <w:p w14:paraId="04C5FFB6">
            <w:pPr>
              <w:pageBreakBefore w:val="0"/>
              <w:widowControl/>
              <w:kinsoku/>
              <w:wordWrap/>
              <w:overflowPunct/>
              <w:topLinePunct w:val="0"/>
              <w:autoSpaceDE/>
              <w:autoSpaceDN/>
              <w:bidi w:val="0"/>
              <w:adjustRightInd/>
              <w:snapToGrid/>
              <w:ind w:firstLine="0" w:firstLineChars="0"/>
              <w:jc w:val="center"/>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货物需求一览表</w:t>
            </w:r>
          </w:p>
        </w:tc>
      </w:tr>
      <w:tr w14:paraId="3E06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jc w:val="center"/>
        </w:trPr>
        <w:tc>
          <w:tcPr>
            <w:tcW w:w="367" w:type="pct"/>
            <w:tcMar>
              <w:top w:w="0" w:type="dxa"/>
              <w:left w:w="108" w:type="dxa"/>
              <w:bottom w:w="0" w:type="dxa"/>
              <w:right w:w="108" w:type="dxa"/>
            </w:tcMar>
            <w:vAlign w:val="center"/>
          </w:tcPr>
          <w:p w14:paraId="4F758A37">
            <w:pPr>
              <w:pageBreakBefore w:val="0"/>
              <w:widowControl/>
              <w:kinsoku/>
              <w:wordWrap/>
              <w:overflowPunct/>
              <w:topLinePunct w:val="0"/>
              <w:autoSpaceDE/>
              <w:autoSpaceDN/>
              <w:bidi w:val="0"/>
              <w:adjustRightInd/>
              <w:snapToGrid/>
              <w:ind w:firstLine="0" w:firstLineChars="0"/>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1081" w:type="pct"/>
            <w:tcMar>
              <w:top w:w="0" w:type="dxa"/>
              <w:left w:w="108" w:type="dxa"/>
              <w:bottom w:w="0" w:type="dxa"/>
              <w:right w:w="108" w:type="dxa"/>
            </w:tcMar>
            <w:vAlign w:val="center"/>
          </w:tcPr>
          <w:p w14:paraId="52E1ECAE">
            <w:pPr>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1"/>
                <w:szCs w:val="21"/>
              </w:rPr>
            </w:pPr>
            <w:r>
              <w:rPr>
                <w:rFonts w:hint="eastAsia" w:ascii="宋体" w:hAnsi="宋体" w:cs="宋体"/>
                <w:b/>
                <w:bCs/>
                <w:color w:val="auto"/>
                <w:kern w:val="0"/>
                <w:sz w:val="21"/>
                <w:szCs w:val="21"/>
                <w:lang w:val="en-US" w:eastAsia="zh-CN"/>
              </w:rPr>
              <w:t>货物</w:t>
            </w:r>
            <w:r>
              <w:rPr>
                <w:rFonts w:hint="eastAsia" w:ascii="宋体" w:hAnsi="宋体" w:cs="宋体"/>
                <w:b/>
                <w:bCs/>
                <w:color w:val="auto"/>
                <w:kern w:val="0"/>
                <w:sz w:val="21"/>
                <w:szCs w:val="21"/>
              </w:rPr>
              <w:t>名称</w:t>
            </w:r>
          </w:p>
        </w:tc>
        <w:tc>
          <w:tcPr>
            <w:tcW w:w="1528" w:type="pct"/>
            <w:tcMar>
              <w:top w:w="0" w:type="dxa"/>
              <w:left w:w="108" w:type="dxa"/>
              <w:bottom w:w="0" w:type="dxa"/>
              <w:right w:w="108" w:type="dxa"/>
            </w:tcMar>
            <w:vAlign w:val="center"/>
          </w:tcPr>
          <w:p w14:paraId="6E529EF3">
            <w:pPr>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技术参数</w:t>
            </w:r>
          </w:p>
        </w:tc>
        <w:tc>
          <w:tcPr>
            <w:tcW w:w="517" w:type="pct"/>
            <w:tcMar>
              <w:top w:w="0" w:type="dxa"/>
              <w:left w:w="108" w:type="dxa"/>
              <w:bottom w:w="0" w:type="dxa"/>
              <w:right w:w="108" w:type="dxa"/>
            </w:tcMar>
            <w:vAlign w:val="center"/>
          </w:tcPr>
          <w:p w14:paraId="59BAFF77">
            <w:pPr>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数量</w:t>
            </w:r>
          </w:p>
        </w:tc>
        <w:tc>
          <w:tcPr>
            <w:tcW w:w="348" w:type="pct"/>
            <w:tcMar>
              <w:top w:w="0" w:type="dxa"/>
              <w:left w:w="108" w:type="dxa"/>
              <w:bottom w:w="0" w:type="dxa"/>
              <w:right w:w="108" w:type="dxa"/>
            </w:tcMar>
            <w:vAlign w:val="center"/>
          </w:tcPr>
          <w:p w14:paraId="518242A5">
            <w:pPr>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1"/>
                <w:szCs w:val="21"/>
              </w:rPr>
            </w:pPr>
            <w:r>
              <w:rPr>
                <w:rFonts w:hint="eastAsia" w:ascii="宋体" w:hAnsi="宋体" w:cs="宋体"/>
                <w:b/>
                <w:bCs/>
                <w:color w:val="auto"/>
                <w:kern w:val="0"/>
                <w:sz w:val="21"/>
                <w:szCs w:val="21"/>
              </w:rPr>
              <w:t>计量单位</w:t>
            </w:r>
          </w:p>
        </w:tc>
        <w:tc>
          <w:tcPr>
            <w:tcW w:w="462" w:type="pct"/>
            <w:tcMar>
              <w:top w:w="0" w:type="dxa"/>
              <w:left w:w="108" w:type="dxa"/>
              <w:bottom w:w="0" w:type="dxa"/>
              <w:right w:w="108" w:type="dxa"/>
            </w:tcMar>
            <w:vAlign w:val="center"/>
          </w:tcPr>
          <w:p w14:paraId="5022BEBB">
            <w:pPr>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单价（元）</w:t>
            </w:r>
          </w:p>
        </w:tc>
        <w:tc>
          <w:tcPr>
            <w:tcW w:w="693" w:type="pct"/>
            <w:tcMar>
              <w:top w:w="0" w:type="dxa"/>
              <w:left w:w="108" w:type="dxa"/>
              <w:bottom w:w="0" w:type="dxa"/>
              <w:right w:w="108" w:type="dxa"/>
            </w:tcMar>
            <w:vAlign w:val="center"/>
          </w:tcPr>
          <w:p w14:paraId="46A4E8A2">
            <w:pPr>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总价（元）</w:t>
            </w:r>
          </w:p>
        </w:tc>
      </w:tr>
      <w:tr w14:paraId="382D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1" w:hRule="atLeast"/>
          <w:jc w:val="center"/>
        </w:trPr>
        <w:tc>
          <w:tcPr>
            <w:tcW w:w="367" w:type="pct"/>
            <w:tcMar>
              <w:top w:w="0" w:type="dxa"/>
              <w:left w:w="108" w:type="dxa"/>
              <w:bottom w:w="0" w:type="dxa"/>
              <w:right w:w="108" w:type="dxa"/>
            </w:tcMar>
            <w:vAlign w:val="center"/>
          </w:tcPr>
          <w:p w14:paraId="3B07F67B">
            <w:pPr>
              <w:pageBreakBefore w:val="0"/>
              <w:widowControl/>
              <w:kinsoku/>
              <w:wordWrap/>
              <w:overflowPunct/>
              <w:topLinePunct w:val="0"/>
              <w:autoSpaceDE/>
              <w:autoSpaceDN/>
              <w:bidi w:val="0"/>
              <w:adjustRightInd/>
              <w:snapToGrid/>
              <w:ind w:firstLine="0" w:firstLineChars="0"/>
              <w:jc w:val="center"/>
              <w:textAlignment w:val="bottom"/>
              <w:rPr>
                <w:rFonts w:ascii="宋体" w:hAnsi="宋体" w:cs="宋体"/>
                <w:color w:val="auto"/>
                <w:kern w:val="0"/>
                <w:sz w:val="21"/>
                <w:szCs w:val="21"/>
              </w:rPr>
            </w:pPr>
            <w:r>
              <w:rPr>
                <w:rFonts w:hint="eastAsia" w:ascii="宋体" w:hAnsi="宋体" w:cs="宋体"/>
                <w:color w:val="auto"/>
                <w:kern w:val="0"/>
                <w:sz w:val="21"/>
                <w:szCs w:val="21"/>
              </w:rPr>
              <w:t>1</w:t>
            </w:r>
          </w:p>
        </w:tc>
        <w:tc>
          <w:tcPr>
            <w:tcW w:w="1081" w:type="pct"/>
            <w:tcMar>
              <w:top w:w="0" w:type="dxa"/>
              <w:left w:w="108" w:type="dxa"/>
              <w:bottom w:w="0" w:type="dxa"/>
              <w:right w:w="108" w:type="dxa"/>
            </w:tcMar>
            <w:vAlign w:val="center"/>
          </w:tcPr>
          <w:p w14:paraId="506055DF">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30%螺虫·噻虫嗪</w:t>
            </w:r>
          </w:p>
        </w:tc>
        <w:tc>
          <w:tcPr>
            <w:tcW w:w="1528" w:type="pct"/>
            <w:tcMar>
              <w:top w:w="0" w:type="dxa"/>
              <w:left w:w="108" w:type="dxa"/>
              <w:bottom w:w="0" w:type="dxa"/>
              <w:right w:w="108" w:type="dxa"/>
            </w:tcMar>
            <w:vAlign w:val="center"/>
          </w:tcPr>
          <w:p w14:paraId="51448CE2">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default" w:ascii="宋体" w:hAnsi="宋体" w:cs="宋体"/>
                <w:color w:val="auto"/>
                <w:kern w:val="0"/>
                <w:sz w:val="21"/>
                <w:szCs w:val="21"/>
                <w:lang w:val="en-US" w:eastAsia="zh-CN"/>
              </w:rPr>
              <w:t>★总有效成分：螺虫·噻虫嗪（30%），其中螺虫乙酯15%，噻虫嗪15%。</w:t>
            </w:r>
          </w:p>
          <w:p w14:paraId="26536803">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default" w:ascii="宋体" w:hAnsi="宋体" w:cs="宋体"/>
                <w:color w:val="auto"/>
                <w:kern w:val="0"/>
                <w:sz w:val="21"/>
                <w:szCs w:val="21"/>
                <w:lang w:val="en-US" w:eastAsia="zh-CN"/>
              </w:rPr>
              <w:t>剂型：悬浮剂。</w:t>
            </w:r>
          </w:p>
          <w:p w14:paraId="4629DB97">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default" w:ascii="宋体" w:hAnsi="宋体" w:cs="宋体"/>
                <w:color w:val="auto"/>
                <w:kern w:val="0"/>
                <w:sz w:val="21"/>
                <w:szCs w:val="21"/>
                <w:lang w:val="en-US" w:eastAsia="zh-CN"/>
              </w:rPr>
              <w:t>规格：500g/瓶。</w:t>
            </w:r>
          </w:p>
          <w:p w14:paraId="58766EAE">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default" w:ascii="宋体" w:hAnsi="宋体" w:cs="宋体"/>
                <w:color w:val="auto"/>
                <w:kern w:val="0"/>
                <w:sz w:val="21"/>
                <w:szCs w:val="21"/>
                <w:lang w:val="en-US" w:eastAsia="zh-CN"/>
              </w:rPr>
              <w:t>登记作物：包括柑橘</w:t>
            </w:r>
          </w:p>
          <w:p w14:paraId="45298433">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default" w:ascii="宋体" w:hAnsi="宋体" w:cs="宋体"/>
                <w:color w:val="auto"/>
                <w:kern w:val="0"/>
                <w:sz w:val="21"/>
                <w:szCs w:val="21"/>
                <w:lang w:val="en-US" w:eastAsia="zh-CN"/>
              </w:rPr>
              <w:t>防治对象：包含木虱。</w:t>
            </w:r>
          </w:p>
        </w:tc>
        <w:tc>
          <w:tcPr>
            <w:tcW w:w="517" w:type="pct"/>
            <w:tcMar>
              <w:top w:w="0" w:type="dxa"/>
              <w:left w:w="108" w:type="dxa"/>
              <w:bottom w:w="0" w:type="dxa"/>
              <w:right w:w="108" w:type="dxa"/>
            </w:tcMar>
            <w:vAlign w:val="center"/>
          </w:tcPr>
          <w:p w14:paraId="3F504000">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8613</w:t>
            </w:r>
          </w:p>
        </w:tc>
        <w:tc>
          <w:tcPr>
            <w:tcW w:w="348" w:type="pct"/>
            <w:tcMar>
              <w:top w:w="0" w:type="dxa"/>
              <w:left w:w="108" w:type="dxa"/>
              <w:bottom w:w="0" w:type="dxa"/>
              <w:right w:w="108" w:type="dxa"/>
            </w:tcMar>
            <w:vAlign w:val="center"/>
          </w:tcPr>
          <w:p w14:paraId="41955999">
            <w:pPr>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瓶</w:t>
            </w:r>
          </w:p>
        </w:tc>
        <w:tc>
          <w:tcPr>
            <w:tcW w:w="462" w:type="pct"/>
            <w:tcMar>
              <w:top w:w="0" w:type="dxa"/>
              <w:left w:w="108" w:type="dxa"/>
              <w:bottom w:w="0" w:type="dxa"/>
              <w:right w:w="108" w:type="dxa"/>
            </w:tcMar>
            <w:vAlign w:val="center"/>
          </w:tcPr>
          <w:p w14:paraId="41B37CF4">
            <w:pPr>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94.00</w:t>
            </w:r>
          </w:p>
        </w:tc>
        <w:tc>
          <w:tcPr>
            <w:tcW w:w="693" w:type="pct"/>
            <w:tcMar>
              <w:top w:w="0" w:type="dxa"/>
              <w:left w:w="108" w:type="dxa"/>
              <w:bottom w:w="0" w:type="dxa"/>
              <w:right w:w="108" w:type="dxa"/>
            </w:tcMar>
            <w:vAlign w:val="center"/>
          </w:tcPr>
          <w:p w14:paraId="28528B09">
            <w:pPr>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809622.00</w:t>
            </w:r>
          </w:p>
        </w:tc>
      </w:tr>
    </w:tbl>
    <w:p w14:paraId="2CC08F4B">
      <w:pPr>
        <w:widowControl/>
        <w:spacing w:line="360" w:lineRule="auto"/>
        <w:ind w:firstLine="630" w:firstLineChars="300"/>
        <w:jc w:val="left"/>
        <w:rPr>
          <w:rFonts w:hint="eastAsia" w:ascii="宋体" w:hAnsi="宋体" w:cs="宋体"/>
          <w:kern w:val="0"/>
          <w:szCs w:val="21"/>
          <w:highlight w:val="none"/>
        </w:rPr>
      </w:pPr>
      <w:r>
        <w:rPr>
          <w:rFonts w:hint="eastAsia" w:ascii="宋体" w:hAnsi="宋体" w:cs="宋体"/>
          <w:kern w:val="0"/>
          <w:szCs w:val="21"/>
          <w:highlight w:val="none"/>
        </w:rPr>
        <w:t>证明材料要求</w:t>
      </w:r>
      <w:r>
        <w:rPr>
          <w:rFonts w:hint="eastAsia" w:ascii="宋体" w:hAnsi="宋体" w:cs="宋体"/>
          <w:kern w:val="0"/>
          <w:szCs w:val="21"/>
          <w:highlight w:val="none"/>
          <w:lang w:eastAsia="zh-CN"/>
        </w:rPr>
        <w:t>：投标人</w:t>
      </w:r>
      <w:r>
        <w:rPr>
          <w:rFonts w:hint="eastAsia" w:ascii="宋体" w:hAnsi="宋体" w:cs="宋体"/>
          <w:kern w:val="0"/>
          <w:szCs w:val="21"/>
          <w:highlight w:val="none"/>
        </w:rPr>
        <w:t>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0597F0C5">
      <w:pPr>
        <w:widowControl/>
        <w:spacing w:line="360" w:lineRule="auto"/>
        <w:jc w:val="left"/>
        <w:rPr>
          <w:rFonts w:ascii="宋体" w:hAnsi="宋体" w:cs="宋体"/>
          <w:b/>
          <w:bCs/>
          <w:kern w:val="0"/>
          <w:sz w:val="24"/>
          <w:szCs w:val="24"/>
        </w:rPr>
      </w:pPr>
      <w:r>
        <w:rPr>
          <w:rFonts w:hint="eastAsia" w:ascii="宋体" w:hAnsi="宋体" w:cs="宋体"/>
          <w:b/>
          <w:bCs/>
          <w:kern w:val="0"/>
          <w:sz w:val="24"/>
          <w:szCs w:val="24"/>
          <w:lang w:val="en-US" w:eastAsia="zh-CN"/>
        </w:rPr>
        <w:t>二、商务要求</w:t>
      </w:r>
    </w:p>
    <w:p w14:paraId="010735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1.核心目标：在2026年8月前在全县范围内开展柑桔黄龙病统防统治1次，完成柑桔园黄龙病统防统治8万亩次。</w:t>
      </w:r>
    </w:p>
    <w:p w14:paraId="660E66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2.交付（实施）的时间（期限）和地点（范围）：</w:t>
      </w:r>
    </w:p>
    <w:p w14:paraId="2AAE26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（1）合同履行期限：合同签订后10日内完成供货。如遇不可抗力影响，交货时间可由双方协商后推延。</w:t>
      </w:r>
    </w:p>
    <w:p w14:paraId="7DA312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（2）交付（或实施）地点：采购人指定地点。</w:t>
      </w:r>
    </w:p>
    <w:p w14:paraId="16338E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验收标准：在货物运抵使用单位后，将在采购人要求的时间，中标人派遣负责人到达现场，在采购人相关技术人员在场的情况下，开箱清点货物，对货物的质量、规格、数量和重量进行检验，并出具检验证书。如发现货物的规格或数量或两者都与合同不符，采购人有权在货物运抵现场后 30 天内，根据合同条款向中标人提出索赔（由保险公司或运输部门承担的除外）。根据相关法律法规，按照相关标准进行验收，直至验收合格。</w:t>
      </w:r>
    </w:p>
    <w:p w14:paraId="78BBC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4.质量要求：满足国家、行业、招标文件要求，所提供的产品必须是全新合格正品，具有质检报告，满足采购人要求，一次性验收合格。</w:t>
      </w:r>
    </w:p>
    <w:p w14:paraId="759D89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5.保质期 、有效期：所供农药自交货验收合格之日起，剩余有效期不得少于 12 个月；产品须标注清晰生产日期、有效期至，无涂改、无模糊。</w:t>
      </w:r>
    </w:p>
    <w:p w14:paraId="519D0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6.补充要求：中标人须提供产品使用说明书（含安全使用规范、稀释比例、使用方法等），并可根据采购人需求，派遣专业技术人员提供免费技术指导，确保使用者正确、安全使用产品。</w:t>
      </w:r>
    </w:p>
    <w:p w14:paraId="4F84B655">
      <w:pPr>
        <w:rPr>
          <w:rFonts w:hint="eastAsia" w:ascii="宋体" w:hAnsi="宋体" w:cs="宋体"/>
          <w:b/>
          <w:bCs/>
          <w:kern w:val="0"/>
          <w:sz w:val="24"/>
          <w:szCs w:val="24"/>
        </w:rPr>
      </w:pPr>
      <w:r>
        <w:rPr>
          <w:rFonts w:hint="eastAsia" w:ascii="宋体" w:hAnsi="宋体" w:cs="宋体"/>
          <w:b/>
          <w:bCs/>
          <w:kern w:val="0"/>
          <w:sz w:val="24"/>
          <w:szCs w:val="24"/>
        </w:rPr>
        <w:br w:type="page"/>
      </w:r>
    </w:p>
    <w:p w14:paraId="14F81ECA">
      <w:pPr>
        <w:rPr>
          <w:rFonts w:hint="eastAsia" w:ascii="宋体" w:hAnsi="宋体" w:cs="宋体"/>
          <w:b/>
          <w:bCs/>
          <w:kern w:val="0"/>
          <w:sz w:val="24"/>
          <w:szCs w:val="24"/>
        </w:rPr>
        <w:sectPr>
          <w:headerReference r:id="rId6" w:type="first"/>
          <w:footerReference r:id="rId8" w:type="first"/>
          <w:headerReference r:id="rId5" w:type="default"/>
          <w:footerReference r:id="rId7" w:type="default"/>
          <w:pgSz w:w="11906" w:h="16838"/>
          <w:pgMar w:top="1440" w:right="1474" w:bottom="1440" w:left="1474" w:header="851" w:footer="851" w:gutter="0"/>
          <w:cols w:space="720" w:num="1"/>
          <w:docGrid w:linePitch="312" w:charSpace="0"/>
        </w:sectPr>
      </w:pPr>
    </w:p>
    <w:p w14:paraId="6777CE39"/>
    <w:p w14:paraId="3B8B8D9F">
      <w:pPr>
        <w:spacing w:line="360" w:lineRule="auto"/>
        <w:ind w:firstLine="643"/>
        <w:jc w:val="center"/>
        <w:outlineLvl w:val="0"/>
        <w:rPr>
          <w:rFonts w:asciiTheme="minorEastAsia" w:hAnsiTheme="minorEastAsia" w:eastAsiaTheme="minorEastAsia"/>
          <w:b/>
          <w:bCs/>
          <w:sz w:val="32"/>
          <w:szCs w:val="32"/>
        </w:rPr>
      </w:pPr>
      <w:bookmarkStart w:id="1165" w:name="_Toc21904"/>
      <w:r>
        <w:rPr>
          <w:rFonts w:hint="eastAsia" w:asciiTheme="minorEastAsia" w:hAnsiTheme="minorEastAsia" w:eastAsiaTheme="minorEastAsia"/>
          <w:b/>
          <w:bCs/>
          <w:sz w:val="32"/>
          <w:szCs w:val="32"/>
        </w:rPr>
        <w:t>第六章 投标文件格式</w:t>
      </w:r>
      <w:bookmarkEnd w:id="1165"/>
    </w:p>
    <w:p w14:paraId="55BFAF20">
      <w:pPr>
        <w:tabs>
          <w:tab w:val="left" w:pos="2916"/>
        </w:tabs>
        <w:spacing w:before="360" w:beforeLines="150" w:line="360" w:lineRule="auto"/>
        <w:jc w:val="center"/>
        <w:rPr>
          <w:rFonts w:hint="eastAsia" w:asciiTheme="minorEastAsia" w:hAnsiTheme="minorEastAsia" w:eastAsiaTheme="minorEastAsia"/>
          <w:b/>
          <w:bCs/>
          <w:sz w:val="52"/>
          <w:szCs w:val="52"/>
          <w:lang w:eastAsia="zh-CN"/>
        </w:rPr>
      </w:pPr>
      <w:bookmarkStart w:id="1166" w:name="_Hlk521082080"/>
      <w:bookmarkStart w:id="1167" w:name="_Toc292983027"/>
      <w:bookmarkStart w:id="1168" w:name="_Toc381796416"/>
      <w:bookmarkStart w:id="1169" w:name="_Toc42205044"/>
      <w:bookmarkStart w:id="1170" w:name="_Toc381796417"/>
      <w:bookmarkStart w:id="1171" w:name="_Toc292983029"/>
      <w:bookmarkStart w:id="1172" w:name="_Toc84356306"/>
      <w:bookmarkStart w:id="1173" w:name="_Toc265766858"/>
      <w:bookmarkStart w:id="1174" w:name="_Toc37603116"/>
      <w:bookmarkStart w:id="1175" w:name="_Toc14337"/>
      <w:bookmarkStart w:id="1176" w:name="_Toc186354393"/>
      <w:r>
        <w:rPr>
          <w:rFonts w:hint="eastAsia" w:asciiTheme="minorEastAsia" w:hAnsiTheme="minorEastAsia" w:eastAsiaTheme="minorEastAsia"/>
          <w:b/>
          <w:bCs/>
          <w:sz w:val="48"/>
          <w:szCs w:val="48"/>
          <w:lang w:eastAsia="zh-CN"/>
        </w:rPr>
        <w:t>新平县2026年柑桔黄龙病统防统治项目防控药剂采购</w:t>
      </w:r>
    </w:p>
    <w:p w14:paraId="4326C557">
      <w:pPr>
        <w:spacing w:line="360" w:lineRule="auto"/>
        <w:ind w:firstLine="480"/>
        <w:jc w:val="center"/>
        <w:rPr>
          <w:rFonts w:asciiTheme="minorEastAsia" w:hAnsiTheme="minorEastAsia" w:eastAsiaTheme="minorEastAsia"/>
          <w:sz w:val="24"/>
          <w:szCs w:val="24"/>
        </w:rPr>
      </w:pPr>
    </w:p>
    <w:p w14:paraId="0CCD9B29">
      <w:pPr>
        <w:spacing w:line="360" w:lineRule="auto"/>
        <w:ind w:firstLine="480"/>
        <w:jc w:val="center"/>
        <w:rPr>
          <w:rFonts w:asciiTheme="minorEastAsia" w:hAnsiTheme="minorEastAsia" w:eastAsiaTheme="minorEastAsia"/>
          <w:sz w:val="24"/>
          <w:szCs w:val="24"/>
        </w:rPr>
      </w:pPr>
    </w:p>
    <w:p w14:paraId="4EE6C446">
      <w:pPr>
        <w:spacing w:line="360" w:lineRule="auto"/>
        <w:ind w:firstLine="480"/>
        <w:jc w:val="center"/>
        <w:rPr>
          <w:rFonts w:asciiTheme="minorEastAsia" w:hAnsiTheme="minorEastAsia" w:eastAsiaTheme="minorEastAsia"/>
          <w:sz w:val="24"/>
          <w:szCs w:val="24"/>
        </w:rPr>
      </w:pPr>
    </w:p>
    <w:p w14:paraId="4F6B43D3">
      <w:pPr>
        <w:spacing w:line="360" w:lineRule="auto"/>
        <w:ind w:firstLine="480"/>
        <w:jc w:val="center"/>
        <w:rPr>
          <w:rFonts w:asciiTheme="minorEastAsia" w:hAnsiTheme="minorEastAsia" w:eastAsiaTheme="minorEastAsia"/>
          <w:sz w:val="24"/>
          <w:szCs w:val="24"/>
        </w:rPr>
      </w:pPr>
    </w:p>
    <w:p w14:paraId="0D750FC3">
      <w:pPr>
        <w:spacing w:line="360" w:lineRule="auto"/>
        <w:ind w:firstLine="480"/>
        <w:jc w:val="center"/>
        <w:rPr>
          <w:rFonts w:asciiTheme="minorEastAsia" w:hAnsiTheme="minorEastAsia" w:eastAsiaTheme="minorEastAsia"/>
          <w:sz w:val="24"/>
          <w:szCs w:val="24"/>
        </w:rPr>
      </w:pPr>
    </w:p>
    <w:p w14:paraId="2B758447">
      <w:pPr>
        <w:spacing w:line="360" w:lineRule="auto"/>
        <w:ind w:firstLine="480"/>
        <w:jc w:val="center"/>
        <w:rPr>
          <w:rFonts w:asciiTheme="minorEastAsia" w:hAnsiTheme="minorEastAsia" w:eastAsiaTheme="minorEastAsia"/>
          <w:sz w:val="24"/>
          <w:szCs w:val="24"/>
        </w:rPr>
      </w:pPr>
    </w:p>
    <w:p w14:paraId="0A23908A">
      <w:pPr>
        <w:spacing w:line="360" w:lineRule="auto"/>
        <w:ind w:firstLine="480"/>
        <w:jc w:val="center"/>
        <w:rPr>
          <w:rFonts w:asciiTheme="minorEastAsia" w:hAnsiTheme="minorEastAsia" w:eastAsiaTheme="minorEastAsia"/>
          <w:sz w:val="24"/>
          <w:szCs w:val="24"/>
        </w:rPr>
      </w:pPr>
    </w:p>
    <w:p w14:paraId="5864650C">
      <w:pPr>
        <w:spacing w:line="360" w:lineRule="auto"/>
        <w:ind w:firstLine="480"/>
        <w:jc w:val="center"/>
        <w:rPr>
          <w:rFonts w:asciiTheme="minorEastAsia" w:hAnsiTheme="minorEastAsia" w:eastAsiaTheme="minorEastAsia"/>
          <w:sz w:val="24"/>
          <w:szCs w:val="24"/>
        </w:rPr>
      </w:pPr>
    </w:p>
    <w:p w14:paraId="5EB66727">
      <w:pPr>
        <w:pStyle w:val="28"/>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投 标 文 件</w:t>
      </w:r>
    </w:p>
    <w:p w14:paraId="61D59894">
      <w:pPr>
        <w:spacing w:line="360" w:lineRule="auto"/>
        <w:ind w:firstLine="480"/>
        <w:jc w:val="center"/>
        <w:rPr>
          <w:rFonts w:hint="eastAsia" w:asciiTheme="minorEastAsia" w:hAnsiTheme="minorEastAsia" w:eastAsiaTheme="minorEastAsia"/>
          <w:sz w:val="24"/>
          <w:lang w:eastAsia="zh-CN"/>
        </w:rPr>
      </w:pPr>
      <w:r>
        <w:rPr>
          <w:rFonts w:hint="eastAsia" w:asciiTheme="minorEastAsia" w:hAnsiTheme="minorEastAsia" w:eastAsiaTheme="minorEastAsia"/>
          <w:b/>
          <w:sz w:val="32"/>
          <w:szCs w:val="32"/>
        </w:rPr>
        <w:t>项目编号：</w:t>
      </w:r>
    </w:p>
    <w:p w14:paraId="46E1B382">
      <w:pPr>
        <w:spacing w:line="360" w:lineRule="auto"/>
        <w:ind w:firstLine="480"/>
        <w:jc w:val="center"/>
        <w:rPr>
          <w:rFonts w:asciiTheme="minorEastAsia" w:hAnsiTheme="minorEastAsia" w:eastAsiaTheme="minorEastAsia"/>
          <w:sz w:val="24"/>
        </w:rPr>
      </w:pPr>
    </w:p>
    <w:p w14:paraId="538CBA02">
      <w:pPr>
        <w:spacing w:line="360" w:lineRule="auto"/>
        <w:ind w:firstLine="480"/>
        <w:jc w:val="center"/>
        <w:rPr>
          <w:rFonts w:asciiTheme="minorEastAsia" w:hAnsiTheme="minorEastAsia" w:eastAsiaTheme="minorEastAsia"/>
          <w:sz w:val="24"/>
        </w:rPr>
      </w:pPr>
    </w:p>
    <w:p w14:paraId="42B42E97">
      <w:pPr>
        <w:spacing w:line="360" w:lineRule="auto"/>
        <w:ind w:firstLine="480"/>
        <w:jc w:val="center"/>
        <w:rPr>
          <w:rFonts w:asciiTheme="minorEastAsia" w:hAnsiTheme="minorEastAsia" w:eastAsiaTheme="minorEastAsia"/>
          <w:sz w:val="24"/>
        </w:rPr>
      </w:pPr>
    </w:p>
    <w:p w14:paraId="65BD207A">
      <w:pPr>
        <w:spacing w:line="360" w:lineRule="auto"/>
        <w:ind w:firstLine="480"/>
        <w:jc w:val="center"/>
        <w:rPr>
          <w:rFonts w:asciiTheme="minorEastAsia" w:hAnsiTheme="minorEastAsia" w:eastAsiaTheme="minorEastAsia"/>
          <w:sz w:val="24"/>
        </w:rPr>
      </w:pPr>
    </w:p>
    <w:p w14:paraId="79C6F76E">
      <w:pPr>
        <w:spacing w:line="360" w:lineRule="auto"/>
        <w:ind w:firstLine="480"/>
        <w:jc w:val="center"/>
        <w:rPr>
          <w:rFonts w:asciiTheme="minorEastAsia" w:hAnsiTheme="minorEastAsia" w:eastAsiaTheme="minorEastAsia"/>
          <w:sz w:val="24"/>
        </w:rPr>
      </w:pPr>
    </w:p>
    <w:p w14:paraId="3A4F833A">
      <w:pPr>
        <w:spacing w:line="360" w:lineRule="auto"/>
        <w:ind w:firstLine="480"/>
        <w:rPr>
          <w:rFonts w:asciiTheme="minorEastAsia" w:hAnsiTheme="minorEastAsia" w:eastAsiaTheme="minorEastAsia"/>
          <w:sz w:val="24"/>
        </w:rPr>
      </w:pPr>
    </w:p>
    <w:p w14:paraId="52885547">
      <w:pPr>
        <w:spacing w:line="360" w:lineRule="auto"/>
        <w:ind w:firstLine="480"/>
        <w:rPr>
          <w:rFonts w:asciiTheme="minorEastAsia" w:hAnsiTheme="minorEastAsia" w:eastAsiaTheme="minorEastAsia"/>
          <w:sz w:val="24"/>
        </w:rPr>
      </w:pPr>
    </w:p>
    <w:p w14:paraId="0ADB6226">
      <w:pPr>
        <w:spacing w:line="360" w:lineRule="auto"/>
        <w:ind w:firstLine="993" w:firstLineChars="309"/>
        <w:jc w:val="left"/>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投标人</w:t>
      </w:r>
      <w:r>
        <w:rPr>
          <w:rFonts w:asciiTheme="minorEastAsia" w:hAnsiTheme="minorEastAsia" w:eastAsiaTheme="minorEastAsia"/>
          <w:b/>
          <w:bCs/>
          <w:sz w:val="32"/>
          <w:szCs w:val="32"/>
        </w:rPr>
        <w:t>（</w:t>
      </w:r>
      <w:r>
        <w:rPr>
          <w:rFonts w:hint="eastAsia" w:asciiTheme="minorEastAsia" w:hAnsiTheme="minorEastAsia" w:eastAsiaTheme="minorEastAsia"/>
          <w:b/>
          <w:bCs/>
          <w:sz w:val="32"/>
          <w:szCs w:val="32"/>
        </w:rPr>
        <w:t>电子签章</w:t>
      </w:r>
      <w:r>
        <w:rPr>
          <w:rFonts w:asciiTheme="minorEastAsia" w:hAnsiTheme="minorEastAsia" w:eastAsiaTheme="minorEastAsia"/>
          <w:b/>
          <w:bCs/>
          <w:sz w:val="32"/>
          <w:szCs w:val="32"/>
        </w:rPr>
        <w:t>）：</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14:paraId="534E8889">
      <w:pPr>
        <w:spacing w:line="360" w:lineRule="auto"/>
        <w:ind w:firstLine="957" w:firstLineChars="298"/>
        <w:jc w:val="left"/>
        <w:rPr>
          <w:rFonts w:asciiTheme="minorEastAsia" w:hAnsiTheme="minorEastAsia" w:eastAsiaTheme="minorEastAsia"/>
          <w:b/>
          <w:bCs/>
          <w:sz w:val="32"/>
          <w:szCs w:val="32"/>
        </w:rPr>
      </w:pPr>
      <w:r>
        <w:rPr>
          <w:rFonts w:asciiTheme="minorEastAsia" w:hAnsiTheme="minorEastAsia" w:eastAsiaTheme="minorEastAsia"/>
          <w:b/>
          <w:bCs/>
          <w:sz w:val="32"/>
          <w:szCs w:val="32"/>
        </w:rPr>
        <w:t>法定代表人</w:t>
      </w:r>
      <w:r>
        <w:rPr>
          <w:rFonts w:hint="eastAsia" w:asciiTheme="minorEastAsia" w:hAnsiTheme="minorEastAsia" w:eastAsiaTheme="minorEastAsia"/>
          <w:b/>
          <w:bCs/>
          <w:sz w:val="32"/>
          <w:szCs w:val="32"/>
        </w:rPr>
        <w:t>（电子签章）</w:t>
      </w:r>
      <w:r>
        <w:rPr>
          <w:rFonts w:asciiTheme="minorEastAsia" w:hAnsiTheme="minorEastAsia" w:eastAsiaTheme="minorEastAsia"/>
          <w:b/>
          <w:bCs/>
          <w:sz w:val="32"/>
          <w:szCs w:val="32"/>
        </w:rPr>
        <w:t>：</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p>
    <w:p w14:paraId="0DB0E13F">
      <w:pPr>
        <w:spacing w:line="360" w:lineRule="auto"/>
        <w:ind w:firstLine="2731" w:firstLineChars="850"/>
        <w:jc w:val="left"/>
        <w:rPr>
          <w:rFonts w:asciiTheme="minorEastAsia" w:hAnsiTheme="minorEastAsia" w:eastAsiaTheme="minorEastAsia"/>
          <w:b/>
          <w:bCs/>
          <w:sz w:val="32"/>
          <w:szCs w:val="32"/>
        </w:rPr>
      </w:pPr>
      <w:r>
        <w:rPr>
          <w:rFonts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rPr>
        <w:t>年</w:t>
      </w:r>
      <w:r>
        <w:rPr>
          <w:rFonts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rPr>
        <w:t>月</w:t>
      </w:r>
      <w:r>
        <w:rPr>
          <w:rFonts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rPr>
        <w:t>日</w:t>
      </w:r>
      <w:bookmarkEnd w:id="1166"/>
      <w:bookmarkEnd w:id="1167"/>
      <w:bookmarkEnd w:id="1168"/>
      <w:r>
        <w:rPr>
          <w:rFonts w:asciiTheme="minorEastAsia" w:hAnsiTheme="minorEastAsia" w:eastAsiaTheme="minorEastAsia"/>
          <w:b/>
          <w:kern w:val="0"/>
          <w:sz w:val="32"/>
          <w:szCs w:val="32"/>
        </w:rPr>
        <w:br w:type="page"/>
      </w:r>
    </w:p>
    <w:p w14:paraId="1C11219E">
      <w:pPr>
        <w:spacing w:line="360" w:lineRule="auto"/>
        <w:ind w:firstLine="602"/>
        <w:jc w:val="center"/>
        <w:outlineLvl w:val="1"/>
        <w:rPr>
          <w:rFonts w:asciiTheme="minorEastAsia" w:hAnsiTheme="minorEastAsia" w:eastAsiaTheme="minorEastAsia"/>
          <w:b/>
          <w:sz w:val="30"/>
          <w:szCs w:val="30"/>
        </w:rPr>
      </w:pPr>
      <w:bookmarkStart w:id="1177" w:name="_Toc128658855"/>
      <w:bookmarkStart w:id="1178" w:name="_Toc3317"/>
      <w:r>
        <w:rPr>
          <w:rFonts w:hint="eastAsia" w:asciiTheme="minorEastAsia" w:hAnsiTheme="minorEastAsia" w:eastAsiaTheme="minorEastAsia"/>
          <w:b/>
          <w:sz w:val="30"/>
          <w:szCs w:val="30"/>
        </w:rPr>
        <w:t>一、</w:t>
      </w:r>
      <w:bookmarkEnd w:id="1177"/>
      <w:r>
        <w:rPr>
          <w:rFonts w:hint="eastAsia" w:asciiTheme="minorEastAsia" w:hAnsiTheme="minorEastAsia" w:eastAsiaTheme="minorEastAsia"/>
          <w:b/>
          <w:sz w:val="30"/>
          <w:szCs w:val="30"/>
        </w:rPr>
        <w:t>资格审查部分</w:t>
      </w:r>
      <w:bookmarkEnd w:id="1178"/>
    </w:p>
    <w:p w14:paraId="61B6372A">
      <w:pPr>
        <w:spacing w:line="360" w:lineRule="auto"/>
        <w:ind w:firstLine="562"/>
        <w:jc w:val="center"/>
        <w:outlineLvl w:val="2"/>
        <w:rPr>
          <w:rFonts w:asciiTheme="minorEastAsia" w:hAnsiTheme="minorEastAsia" w:eastAsiaTheme="minorEastAsia"/>
          <w:b/>
          <w:sz w:val="28"/>
          <w:szCs w:val="28"/>
        </w:rPr>
      </w:pPr>
      <w:bookmarkStart w:id="1179" w:name="_Toc81331001"/>
      <w:bookmarkStart w:id="1180" w:name="_Toc110405198"/>
      <w:bookmarkStart w:id="1181" w:name="_Toc116584064"/>
      <w:bookmarkStart w:id="1182" w:name="_Toc98865068"/>
      <w:bookmarkStart w:id="1183" w:name="_Toc3350"/>
      <w:bookmarkStart w:id="1184" w:name="_Toc75783586"/>
      <w:bookmarkStart w:id="1185" w:name="_Toc69678483"/>
      <w:bookmarkStart w:id="1186" w:name="_Toc42205046"/>
      <w:bookmarkStart w:id="1187" w:name="_Toc109809379"/>
      <w:bookmarkStart w:id="1188" w:name="_Toc45976960"/>
      <w:bookmarkStart w:id="1189" w:name="_Toc53412271"/>
      <w:bookmarkStart w:id="1190" w:name="_Toc292983033"/>
      <w:bookmarkStart w:id="1191" w:name="_Toc265766862"/>
      <w:r>
        <w:rPr>
          <w:rFonts w:hint="eastAsia" w:asciiTheme="minorEastAsia" w:hAnsiTheme="minorEastAsia" w:eastAsiaTheme="minorEastAsia"/>
          <w:b/>
          <w:sz w:val="28"/>
          <w:szCs w:val="28"/>
        </w:rPr>
        <w:t>（一）</w:t>
      </w:r>
      <w:bookmarkEnd w:id="1179"/>
      <w:bookmarkEnd w:id="1180"/>
      <w:bookmarkEnd w:id="1181"/>
      <w:bookmarkEnd w:id="1182"/>
      <w:bookmarkEnd w:id="1183"/>
      <w:bookmarkEnd w:id="1184"/>
      <w:bookmarkEnd w:id="1185"/>
      <w:bookmarkEnd w:id="1186"/>
      <w:bookmarkEnd w:id="1187"/>
      <w:bookmarkEnd w:id="1188"/>
      <w:bookmarkEnd w:id="1189"/>
      <w:r>
        <w:rPr>
          <w:rFonts w:hint="eastAsia" w:asciiTheme="minorEastAsia" w:hAnsiTheme="minorEastAsia" w:eastAsiaTheme="minorEastAsia"/>
          <w:b/>
          <w:sz w:val="28"/>
          <w:szCs w:val="28"/>
        </w:rPr>
        <w:t>具有独立承担民事责任的能力</w:t>
      </w:r>
    </w:p>
    <w:p w14:paraId="767C527C">
      <w:pPr>
        <w:wordWrap w:val="0"/>
        <w:topLinePunct/>
        <w:spacing w:before="120" w:beforeLines="50" w:line="360" w:lineRule="auto"/>
        <w:ind w:firstLine="420"/>
        <w:jc w:val="left"/>
        <w:rPr>
          <w:rFonts w:asciiTheme="minorEastAsia" w:hAnsiTheme="minorEastAsia" w:eastAsiaTheme="minorEastAsia"/>
        </w:rPr>
        <w:sectPr>
          <w:type w:val="continuous"/>
          <w:pgSz w:w="11906" w:h="16838"/>
          <w:pgMar w:top="1440" w:right="1474" w:bottom="1440" w:left="1474" w:header="851" w:footer="851" w:gutter="0"/>
          <w:cols w:space="720" w:num="1"/>
          <w:docGrid w:linePitch="312" w:charSpace="0"/>
        </w:sectPr>
      </w:pPr>
      <w:r>
        <w:rPr>
          <w:rFonts w:hint="eastAsia" w:asciiTheme="minorEastAsia" w:hAnsiTheme="minorEastAsia" w:eastAsiaTheme="minorEastAsia"/>
        </w:rPr>
        <w:t>注：提供有效的营业执照（副本）或事业单位法人证书（副本）或其他类似的法定证明文件的原件扫描件。</w:t>
      </w:r>
    </w:p>
    <w:bookmarkEnd w:id="1190"/>
    <w:bookmarkEnd w:id="1191"/>
    <w:p w14:paraId="68E1FDC7">
      <w:pPr>
        <w:spacing w:line="360" w:lineRule="auto"/>
        <w:ind w:firstLine="562"/>
        <w:jc w:val="center"/>
        <w:outlineLvl w:val="2"/>
        <w:rPr>
          <w:rFonts w:asciiTheme="minorEastAsia" w:hAnsiTheme="minorEastAsia" w:eastAsiaTheme="minorEastAsia"/>
          <w:b/>
          <w:sz w:val="28"/>
          <w:szCs w:val="28"/>
        </w:rPr>
      </w:pPr>
      <w:bookmarkStart w:id="1192" w:name="_Toc81331002"/>
      <w:bookmarkStart w:id="1193" w:name="_Toc109809380"/>
      <w:bookmarkStart w:id="1194" w:name="_Toc42205047"/>
      <w:bookmarkStart w:id="1195" w:name="_Toc69678484"/>
      <w:bookmarkStart w:id="1196" w:name="_Toc53412272"/>
      <w:bookmarkStart w:id="1197" w:name="_Toc110405199"/>
      <w:bookmarkStart w:id="1198" w:name="_Toc45976961"/>
      <w:bookmarkStart w:id="1199" w:name="_Toc116584065"/>
      <w:bookmarkStart w:id="1200" w:name="_Toc98865069"/>
      <w:bookmarkStart w:id="1201" w:name="_Toc11887"/>
      <w:bookmarkStart w:id="1202" w:name="_Toc75783587"/>
      <w:r>
        <w:rPr>
          <w:rFonts w:hint="eastAsia" w:asciiTheme="minorEastAsia" w:hAnsiTheme="minorEastAsia" w:eastAsiaTheme="minorEastAsia"/>
          <w:b/>
          <w:sz w:val="28"/>
          <w:szCs w:val="28"/>
        </w:rPr>
        <w:t>（二）</w:t>
      </w:r>
      <w:bookmarkEnd w:id="1192"/>
      <w:bookmarkEnd w:id="1193"/>
      <w:bookmarkEnd w:id="1194"/>
      <w:bookmarkEnd w:id="1195"/>
      <w:bookmarkEnd w:id="1196"/>
      <w:bookmarkEnd w:id="1197"/>
      <w:bookmarkEnd w:id="1198"/>
      <w:bookmarkEnd w:id="1199"/>
      <w:bookmarkEnd w:id="1200"/>
      <w:bookmarkEnd w:id="1201"/>
      <w:bookmarkEnd w:id="1202"/>
      <w:r>
        <w:rPr>
          <w:rFonts w:hint="eastAsia" w:asciiTheme="minorEastAsia" w:hAnsiTheme="minorEastAsia" w:eastAsiaTheme="minorEastAsia"/>
          <w:b/>
          <w:sz w:val="28"/>
          <w:szCs w:val="28"/>
        </w:rPr>
        <w:t>具有良好的商业信誉和健全的财务会计制度</w:t>
      </w:r>
    </w:p>
    <w:p w14:paraId="6506EE8D">
      <w:pPr>
        <w:pageBreakBefore w:val="0"/>
        <w:kinsoku/>
        <w:wordWrap/>
        <w:overflowPunct/>
        <w:topLinePunct w:val="0"/>
        <w:autoSpaceDE/>
        <w:autoSpaceDN/>
        <w:bidi w:val="0"/>
        <w:adjustRightInd/>
        <w:snapToGrid/>
        <w:spacing w:line="360" w:lineRule="auto"/>
        <w:ind w:firstLine="420"/>
        <w:rPr>
          <w:rFonts w:hint="eastAsia" w:ascii="宋体" w:hAnsi="宋体" w:cs="宋体"/>
          <w:color w:val="auto"/>
          <w:szCs w:val="21"/>
          <w:lang w:eastAsia="zh-CN"/>
        </w:rPr>
      </w:pPr>
      <w:r>
        <w:rPr>
          <w:rFonts w:hint="eastAsia" w:ascii="宋体" w:hAnsi="宋体" w:cs="宋体"/>
          <w:b w:val="0"/>
          <w:bCs w:val="0"/>
          <w:color w:val="auto"/>
          <w:szCs w:val="21"/>
        </w:rPr>
        <w:t>1.具有良好的商业信誉</w:t>
      </w:r>
      <w:r>
        <w:rPr>
          <w:rFonts w:hint="eastAsia" w:ascii="宋体" w:hAnsi="宋体" w:cs="宋体"/>
          <w:b w:val="0"/>
          <w:bCs w:val="0"/>
          <w:color w:val="auto"/>
          <w:szCs w:val="21"/>
          <w:lang w:eastAsia="zh-CN"/>
        </w:rPr>
        <w:t>：①查询渠道：</w:t>
      </w:r>
      <w:r>
        <w:rPr>
          <w:rFonts w:hint="eastAsia" w:ascii="宋体" w:hAnsi="宋体" w:cs="宋体"/>
          <w:b w:val="0"/>
          <w:bCs w:val="0"/>
          <w:color w:val="auto"/>
          <w:szCs w:val="21"/>
          <w:lang w:val="en-US" w:eastAsia="zh-CN"/>
        </w:rPr>
        <w:t>“</w:t>
      </w:r>
      <w:r>
        <w:rPr>
          <w:rFonts w:hint="eastAsia" w:ascii="宋体" w:hAnsi="宋体" w:cs="宋体"/>
          <w:color w:val="auto"/>
          <w:szCs w:val="21"/>
          <w:lang w:eastAsia="zh-CN"/>
        </w:rPr>
        <w:t>信用中国</w:t>
      </w:r>
      <w:r>
        <w:rPr>
          <w:rFonts w:hint="eastAsia" w:ascii="宋体" w:hAnsi="宋体" w:cs="宋体"/>
          <w:b w:val="0"/>
          <w:bCs w:val="0"/>
          <w:color w:val="auto"/>
          <w:szCs w:val="21"/>
          <w:lang w:val="en-US" w:eastAsia="zh-CN"/>
        </w:rPr>
        <w:t>”</w:t>
      </w:r>
      <w:r>
        <w:rPr>
          <w:rFonts w:hint="eastAsia" w:ascii="宋体" w:hAnsi="宋体" w:cs="宋体"/>
          <w:color w:val="auto"/>
          <w:szCs w:val="21"/>
          <w:lang w:eastAsia="zh-CN"/>
        </w:rPr>
        <w:t>网站</w:t>
      </w:r>
      <w:r>
        <w:rPr>
          <w:rFonts w:hint="eastAsia" w:ascii="宋体" w:hAnsi="宋体" w:cs="宋体"/>
          <w:b w:val="0"/>
          <w:bCs w:val="0"/>
          <w:color w:val="auto"/>
          <w:szCs w:val="21"/>
        </w:rPr>
        <w:t>（www.creditchina.gov.cn）</w:t>
      </w:r>
      <w:r>
        <w:rPr>
          <w:rFonts w:hint="eastAsia" w:ascii="宋体" w:hAnsi="宋体" w:cs="宋体"/>
          <w:color w:val="auto"/>
          <w:szCs w:val="21"/>
          <w:lang w:eastAsia="zh-CN"/>
        </w:rPr>
        <w:t>和“中国政府采购”网</w:t>
      </w:r>
      <w:r>
        <w:rPr>
          <w:rFonts w:hint="eastAsia" w:ascii="宋体" w:hAnsi="宋体" w:cs="宋体"/>
          <w:color w:val="auto"/>
          <w:szCs w:val="21"/>
          <w:lang w:val="en-US" w:eastAsia="zh-CN"/>
        </w:rPr>
        <w:t>站</w:t>
      </w:r>
      <w:r>
        <w:rPr>
          <w:rFonts w:hint="eastAsia" w:ascii="宋体" w:hAnsi="宋体" w:cs="宋体"/>
          <w:b w:val="0"/>
          <w:bCs w:val="0"/>
          <w:color w:val="auto"/>
          <w:szCs w:val="21"/>
        </w:rPr>
        <w:t>（www.ccgp.gov.cn）</w:t>
      </w:r>
      <w:r>
        <w:rPr>
          <w:rFonts w:hint="eastAsia" w:ascii="宋体" w:hAnsi="宋体" w:cs="宋体"/>
          <w:color w:val="auto"/>
          <w:szCs w:val="21"/>
          <w:lang w:eastAsia="zh-CN"/>
        </w:rPr>
        <w:t>；</w:t>
      </w:r>
      <w:r>
        <w:rPr>
          <w:rFonts w:hint="eastAsia" w:ascii="宋体" w:hAnsi="宋体" w:cs="宋体"/>
          <w:b w:val="0"/>
          <w:bCs w:val="0"/>
          <w:color w:val="auto"/>
          <w:kern w:val="0"/>
          <w:szCs w:val="21"/>
        </w:rPr>
        <w:t>②</w:t>
      </w:r>
      <w:r>
        <w:rPr>
          <w:rFonts w:hint="eastAsia" w:ascii="宋体" w:hAnsi="宋体" w:cs="宋体"/>
          <w:b w:val="0"/>
          <w:bCs w:val="0"/>
          <w:color w:val="auto"/>
          <w:szCs w:val="21"/>
          <w:lang w:eastAsia="zh-CN"/>
        </w:rPr>
        <w:t>截止时点：</w:t>
      </w:r>
      <w:r>
        <w:rPr>
          <w:rFonts w:hint="eastAsia" w:ascii="宋体" w:hAnsi="宋体" w:cs="宋体"/>
          <w:color w:val="auto"/>
          <w:szCs w:val="21"/>
          <w:lang w:eastAsia="zh-CN"/>
        </w:rPr>
        <w:t>采购人或采购代理机构的实际查询时间</w:t>
      </w:r>
      <w:r>
        <w:rPr>
          <w:rFonts w:hint="eastAsia" w:ascii="宋体" w:hAnsi="宋体" w:cs="宋体"/>
          <w:color w:val="auto"/>
          <w:szCs w:val="21"/>
          <w:lang w:val="en-US" w:eastAsia="zh-CN"/>
        </w:rPr>
        <w:t>为</w:t>
      </w:r>
      <w:r>
        <w:rPr>
          <w:rFonts w:hint="eastAsia" w:ascii="宋体" w:hAnsi="宋体" w:cs="宋体"/>
          <w:color w:val="auto"/>
          <w:szCs w:val="21"/>
          <w:lang w:eastAsia="zh-CN"/>
        </w:rPr>
        <w:t>投标截止时间以后、资格审查阶段；</w:t>
      </w:r>
      <w:r>
        <w:rPr>
          <w:rFonts w:hint="eastAsia" w:ascii="宋体" w:hAnsi="宋体" w:cs="宋体"/>
          <w:b w:val="0"/>
          <w:bCs w:val="0"/>
          <w:color w:val="auto"/>
          <w:kern w:val="0"/>
          <w:szCs w:val="21"/>
        </w:rPr>
        <w:t>③</w:t>
      </w:r>
      <w:r>
        <w:rPr>
          <w:rFonts w:hint="eastAsia" w:ascii="宋体" w:hAnsi="宋体" w:cs="宋体"/>
          <w:b w:val="0"/>
          <w:bCs w:val="0"/>
          <w:color w:val="auto"/>
          <w:szCs w:val="21"/>
          <w:lang w:val="en-US" w:eastAsia="zh-CN"/>
        </w:rPr>
        <w:t>信用信息查询记录和证据留存具体方式：</w:t>
      </w:r>
      <w:r>
        <w:rPr>
          <w:rFonts w:hint="eastAsia" w:ascii="宋体" w:hAnsi="宋体" w:cs="宋体"/>
          <w:color w:val="auto"/>
          <w:szCs w:val="21"/>
          <w:lang w:val="en-US" w:eastAsia="zh-CN"/>
        </w:rPr>
        <w:t>查询结果网页打印页作为查询记录和证据，与其他采购文件一并保存；④</w:t>
      </w:r>
      <w:r>
        <w:rPr>
          <w:rFonts w:hint="eastAsia" w:ascii="宋体" w:hAnsi="宋体" w:cs="宋体"/>
          <w:b w:val="0"/>
          <w:bCs w:val="0"/>
          <w:color w:val="auto"/>
          <w:szCs w:val="21"/>
          <w:lang w:eastAsia="zh-CN"/>
        </w:rPr>
        <w:t>信用信息的使用原则：</w:t>
      </w:r>
      <w:r>
        <w:rPr>
          <w:rFonts w:hint="eastAsia" w:ascii="宋体" w:hAnsi="宋体" w:cs="宋体"/>
          <w:color w:val="auto"/>
          <w:szCs w:val="21"/>
          <w:lang w:eastAsia="zh-CN"/>
        </w:rPr>
        <w:t>经认定被列入失信被执行人、重大税收违法案件当事人名单、政府采购严重违法失信行为记录名单的投标人，其投标无效。</w:t>
      </w:r>
      <w:r>
        <w:rPr>
          <w:rFonts w:hint="eastAsia" w:ascii="宋体" w:hAnsi="宋体" w:cs="宋体"/>
          <w:b/>
          <w:color w:val="auto"/>
        </w:rPr>
        <w:t>（此部分不需</w:t>
      </w:r>
      <w:r>
        <w:rPr>
          <w:rFonts w:hint="eastAsia" w:ascii="宋体" w:hAnsi="宋体" w:cs="宋体"/>
          <w:b/>
          <w:color w:val="auto"/>
          <w:highlight w:val="none"/>
        </w:rPr>
        <w:t>要</w:t>
      </w:r>
      <w:r>
        <w:rPr>
          <w:rFonts w:hint="eastAsia" w:ascii="宋体" w:hAnsi="宋体" w:cs="宋体"/>
          <w:b/>
          <w:color w:val="auto"/>
          <w:highlight w:val="none"/>
          <w:lang w:val="en-US" w:eastAsia="zh-CN"/>
        </w:rPr>
        <w:t>投标人</w:t>
      </w:r>
      <w:r>
        <w:rPr>
          <w:rFonts w:hint="eastAsia" w:ascii="宋体" w:hAnsi="宋体" w:cs="宋体"/>
          <w:b/>
          <w:color w:val="auto"/>
        </w:rPr>
        <w:t>提供证明材料）</w:t>
      </w:r>
    </w:p>
    <w:p w14:paraId="19A43796">
      <w:pPr>
        <w:pageBreakBefore w:val="0"/>
        <w:kinsoku/>
        <w:wordWrap/>
        <w:overflowPunct/>
        <w:topLinePunct w:val="0"/>
        <w:autoSpaceDE/>
        <w:autoSpaceDN/>
        <w:bidi w:val="0"/>
        <w:adjustRightInd/>
        <w:snapToGrid/>
        <w:spacing w:line="360" w:lineRule="auto"/>
        <w:ind w:firstLine="422"/>
        <w:rPr>
          <w:rFonts w:hint="eastAsia" w:ascii="宋体" w:hAnsi="宋体" w:eastAsia="宋体" w:cs="宋体"/>
          <w:b w:val="0"/>
          <w:bCs w:val="0"/>
          <w:color w:val="auto"/>
          <w:kern w:val="0"/>
          <w:szCs w:val="21"/>
          <w:lang w:eastAsia="zh-CN"/>
        </w:rPr>
      </w:pPr>
      <w:r>
        <w:rPr>
          <w:rFonts w:hint="eastAsia" w:ascii="宋体" w:hAnsi="宋体" w:cs="宋体"/>
          <w:b w:val="0"/>
          <w:bCs w:val="0"/>
          <w:color w:val="auto"/>
          <w:szCs w:val="21"/>
        </w:rPr>
        <w:t>2.</w:t>
      </w:r>
      <w:r>
        <w:rPr>
          <w:rFonts w:hint="eastAsia" w:ascii="宋体" w:hAnsi="宋体" w:cs="宋体"/>
          <w:b w:val="0"/>
          <w:bCs w:val="0"/>
          <w:color w:val="auto"/>
          <w:kern w:val="0"/>
          <w:szCs w:val="21"/>
        </w:rPr>
        <w:t>具有健全的财务会计制度</w:t>
      </w:r>
      <w:r>
        <w:rPr>
          <w:rFonts w:hint="eastAsia" w:ascii="宋体" w:hAnsi="宋体" w:cs="宋体"/>
          <w:b w:val="0"/>
          <w:bCs w:val="0"/>
          <w:color w:val="auto"/>
          <w:kern w:val="0"/>
          <w:szCs w:val="21"/>
          <w:lang w:eastAsia="zh-CN"/>
        </w:rPr>
        <w:t>：</w:t>
      </w:r>
    </w:p>
    <w:p w14:paraId="20D1246D">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①</w:t>
      </w:r>
      <w:r>
        <w:rPr>
          <w:rFonts w:hint="eastAsia" w:ascii="宋体" w:hAnsi="宋体" w:cs="宋体"/>
          <w:b w:val="0"/>
          <w:bCs w:val="0"/>
          <w:color w:val="auto"/>
          <w:szCs w:val="21"/>
        </w:rPr>
        <w:t>投标人</w:t>
      </w:r>
      <w:r>
        <w:rPr>
          <w:rFonts w:hint="eastAsia" w:ascii="宋体" w:hAnsi="宋体" w:cs="宋体"/>
          <w:color w:val="auto"/>
          <w:szCs w:val="21"/>
        </w:rPr>
        <w:t>须</w:t>
      </w:r>
      <w:r>
        <w:rPr>
          <w:rFonts w:hint="eastAsia" w:ascii="宋体" w:hAnsi="宋体" w:cs="宋体"/>
          <w:color w:val="auto"/>
          <w:kern w:val="0"/>
          <w:szCs w:val="21"/>
        </w:rPr>
        <w:t>提</w:t>
      </w:r>
      <w:r>
        <w:rPr>
          <w:rFonts w:hint="eastAsia" w:ascii="宋体" w:hAnsi="宋体" w:cs="宋体"/>
          <w:color w:val="auto"/>
          <w:kern w:val="0"/>
          <w:szCs w:val="21"/>
          <w:highlight w:val="none"/>
        </w:rPr>
        <w:t>供</w:t>
      </w:r>
      <w:r>
        <w:rPr>
          <w:rFonts w:hint="eastAsia" w:ascii="宋体" w:hAnsi="宋体" w:cs="宋体"/>
          <w:color w:val="auto"/>
          <w:kern w:val="0"/>
          <w:szCs w:val="21"/>
          <w:highlight w:val="none"/>
          <w:lang w:val="en-US" w:eastAsia="zh-CN"/>
        </w:rPr>
        <w:t>2023年至</w:t>
      </w:r>
      <w:r>
        <w:rPr>
          <w:rFonts w:hint="eastAsia" w:ascii="宋体" w:hAnsi="宋体" w:cs="宋体"/>
          <w:color w:val="auto"/>
          <w:szCs w:val="21"/>
          <w:highlight w:val="none"/>
          <w:lang w:val="en-US" w:eastAsia="zh-CN" w:bidi="ar"/>
        </w:rPr>
        <w:t>2025</w:t>
      </w:r>
      <w:r>
        <w:rPr>
          <w:rFonts w:hint="eastAsia" w:ascii="宋体" w:hAnsi="宋体" w:cs="宋体"/>
          <w:color w:val="auto"/>
          <w:szCs w:val="21"/>
          <w:highlight w:val="none"/>
          <w:lang w:bidi="ar"/>
        </w:rPr>
        <w:t>年度</w:t>
      </w:r>
      <w:r>
        <w:rPr>
          <w:rFonts w:hint="eastAsia" w:ascii="宋体" w:hAnsi="宋体" w:cs="宋体"/>
          <w:color w:val="auto"/>
          <w:szCs w:val="21"/>
          <w:highlight w:val="none"/>
          <w:lang w:val="en-US" w:eastAsia="zh-CN" w:bidi="ar"/>
        </w:rPr>
        <w:t>任意一年</w:t>
      </w:r>
      <w:r>
        <w:rPr>
          <w:rFonts w:hint="eastAsia" w:ascii="宋体" w:hAnsi="宋体" w:cs="宋体"/>
          <w:color w:val="auto"/>
          <w:kern w:val="0"/>
          <w:szCs w:val="21"/>
          <w:highlight w:val="none"/>
        </w:rPr>
        <w:t>经</w:t>
      </w:r>
      <w:r>
        <w:rPr>
          <w:rFonts w:hint="eastAsia" w:ascii="宋体" w:hAnsi="宋体" w:cs="宋体"/>
          <w:color w:val="auto"/>
          <w:kern w:val="0"/>
          <w:szCs w:val="21"/>
        </w:rPr>
        <w:t>审计的财务会计报告及报表资料（至少包括：财务审计报告、资产负债表、利润表、现金流量表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事业单位</w:t>
      </w:r>
      <w:r>
        <w:rPr>
          <w:rFonts w:hint="eastAsia" w:ascii="宋体" w:hAnsi="宋体" w:cs="宋体"/>
          <w:color w:val="auto"/>
          <w:kern w:val="0"/>
          <w:szCs w:val="21"/>
          <w:highlight w:val="none"/>
          <w:lang w:val="en-US" w:eastAsia="zh-CN"/>
        </w:rPr>
        <w:t>可</w:t>
      </w:r>
      <w:r>
        <w:rPr>
          <w:rFonts w:hint="eastAsia" w:ascii="宋体" w:hAnsi="宋体" w:cs="宋体"/>
          <w:color w:val="auto"/>
          <w:kern w:val="0"/>
          <w:szCs w:val="21"/>
          <w:highlight w:val="none"/>
          <w:lang w:eastAsia="zh-CN"/>
        </w:rPr>
        <w:t>提供</w:t>
      </w:r>
      <w:r>
        <w:rPr>
          <w:rFonts w:hint="eastAsia" w:ascii="宋体" w:hAnsi="宋体" w:cs="宋体"/>
          <w:color w:val="auto"/>
          <w:kern w:val="0"/>
          <w:szCs w:val="21"/>
          <w:highlight w:val="none"/>
          <w:lang w:val="en-US" w:eastAsia="zh-CN"/>
        </w:rPr>
        <w:t>内部财务报表；新成立企业，</w:t>
      </w:r>
      <w:r>
        <w:rPr>
          <w:rFonts w:ascii="宋体" w:hAnsi="宋体" w:cs="宋体"/>
          <w:color w:val="auto"/>
          <w:kern w:val="0"/>
          <w:szCs w:val="21"/>
        </w:rPr>
        <w:t>若成立</w:t>
      </w:r>
      <w:r>
        <w:rPr>
          <w:rFonts w:hint="eastAsia" w:ascii="宋体" w:hAnsi="宋体" w:cs="宋体"/>
          <w:color w:val="auto"/>
          <w:kern w:val="0"/>
          <w:szCs w:val="21"/>
        </w:rPr>
        <w:t>时间至本项目提交投标文件截止</w:t>
      </w:r>
      <w:r>
        <w:rPr>
          <w:rFonts w:hint="eastAsia" w:ascii="宋体" w:hAnsi="宋体" w:cs="宋体"/>
          <w:color w:val="auto"/>
          <w:kern w:val="0"/>
          <w:szCs w:val="21"/>
          <w:lang w:eastAsia="zh-CN"/>
        </w:rPr>
        <w:t>时间</w:t>
      </w:r>
      <w:r>
        <w:rPr>
          <w:rFonts w:hint="eastAsia" w:ascii="宋体" w:hAnsi="宋体" w:cs="宋体"/>
          <w:color w:val="auto"/>
          <w:kern w:val="0"/>
          <w:szCs w:val="21"/>
          <w:highlight w:val="none"/>
          <w:lang w:eastAsia="zh-CN"/>
        </w:rPr>
        <w:t>不满1年的可提供成立至今的财务报表。</w:t>
      </w:r>
      <w:r>
        <w:rPr>
          <w:rFonts w:ascii="宋体" w:hAnsi="宋体" w:cs="宋体"/>
          <w:color w:val="auto"/>
          <w:kern w:val="0"/>
          <w:szCs w:val="21"/>
        </w:rPr>
        <w:t xml:space="preserve"> </w:t>
      </w:r>
    </w:p>
    <w:p w14:paraId="6B60242D">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auto"/>
          <w:kern w:val="0"/>
          <w:szCs w:val="21"/>
          <w:lang w:eastAsia="zh-CN"/>
        </w:rPr>
      </w:pPr>
      <w:r>
        <w:rPr>
          <w:rFonts w:hint="eastAsia" w:ascii="宋体" w:hAnsi="宋体" w:cs="宋体"/>
          <w:color w:val="auto"/>
          <w:kern w:val="0"/>
          <w:szCs w:val="21"/>
        </w:rPr>
        <w:t>②</w:t>
      </w:r>
      <w:r>
        <w:rPr>
          <w:rFonts w:hint="eastAsia" w:ascii="宋体" w:hAnsi="宋体" w:cs="宋体"/>
          <w:b w:val="0"/>
          <w:bCs w:val="0"/>
          <w:color w:val="auto"/>
          <w:szCs w:val="21"/>
        </w:rPr>
        <w:t>投标人</w:t>
      </w:r>
      <w:r>
        <w:rPr>
          <w:rFonts w:hint="eastAsia" w:ascii="宋体" w:hAnsi="宋体" w:cs="宋体"/>
          <w:color w:val="auto"/>
          <w:szCs w:val="21"/>
        </w:rPr>
        <w:t>须</w:t>
      </w:r>
      <w:r>
        <w:rPr>
          <w:rFonts w:hint="eastAsia" w:ascii="宋体" w:hAnsi="宋体" w:cs="宋体"/>
          <w:color w:val="auto"/>
          <w:kern w:val="0"/>
          <w:szCs w:val="21"/>
        </w:rPr>
        <w:t>提供在</w:t>
      </w:r>
      <w:r>
        <w:rPr>
          <w:rFonts w:ascii="宋体" w:hAnsi="宋体" w:cs="宋体"/>
          <w:color w:val="auto"/>
          <w:kern w:val="0"/>
          <w:szCs w:val="21"/>
        </w:rPr>
        <w:t>提交投标文件截止时间</w:t>
      </w:r>
      <w:r>
        <w:rPr>
          <w:rFonts w:hint="eastAsia" w:ascii="宋体" w:hAnsi="宋体" w:cs="宋体"/>
          <w:color w:val="auto"/>
          <w:kern w:val="0"/>
          <w:szCs w:val="21"/>
        </w:rPr>
        <w:t>前三个月内银行开具的资信证明；（银行出具的资信证明无需针对本项目或本项目</w:t>
      </w:r>
      <w:r>
        <w:rPr>
          <w:rFonts w:hint="eastAsia" w:ascii="宋体" w:hAnsi="宋体" w:cs="宋体"/>
          <w:color w:val="auto"/>
          <w:kern w:val="0"/>
          <w:szCs w:val="21"/>
          <w:lang w:val="en-US" w:eastAsia="zh-CN"/>
        </w:rPr>
        <w:t>采购人</w:t>
      </w:r>
      <w:r>
        <w:rPr>
          <w:rFonts w:hint="eastAsia" w:ascii="宋体" w:hAnsi="宋体" w:cs="宋体"/>
          <w:color w:val="auto"/>
          <w:kern w:val="0"/>
          <w:szCs w:val="21"/>
        </w:rPr>
        <w:t>）</w:t>
      </w:r>
      <w:r>
        <w:rPr>
          <w:rFonts w:hint="eastAsia" w:ascii="宋体" w:hAnsi="宋体" w:cs="宋体"/>
          <w:color w:val="auto"/>
          <w:kern w:val="0"/>
          <w:szCs w:val="21"/>
          <w:lang w:eastAsia="zh-CN"/>
        </w:rPr>
        <w:t>。</w:t>
      </w:r>
    </w:p>
    <w:p w14:paraId="21E7F936">
      <w:pPr>
        <w:pageBreakBefore w:val="0"/>
        <w:kinsoku/>
        <w:wordWrap/>
        <w:overflowPunct/>
        <w:topLinePunct w:val="0"/>
        <w:autoSpaceDE/>
        <w:autoSpaceDN/>
        <w:bidi w:val="0"/>
        <w:adjustRightInd/>
        <w:snapToGrid/>
        <w:spacing w:line="360" w:lineRule="auto"/>
        <w:ind w:firstLine="420"/>
        <w:rPr>
          <w:rFonts w:ascii="宋体" w:hAnsi="宋体" w:cs="宋体"/>
          <w:color w:val="auto"/>
          <w:kern w:val="0"/>
          <w:szCs w:val="21"/>
        </w:rPr>
      </w:pPr>
      <w:r>
        <w:rPr>
          <w:rFonts w:hint="eastAsia" w:ascii="宋体" w:hAnsi="宋体" w:cs="宋体"/>
          <w:color w:val="auto"/>
          <w:kern w:val="0"/>
          <w:szCs w:val="21"/>
        </w:rPr>
        <w:t>③</w:t>
      </w:r>
      <w:r>
        <w:rPr>
          <w:rFonts w:hint="eastAsia" w:ascii="宋体" w:hAnsi="宋体" w:cs="宋体"/>
          <w:b w:val="0"/>
          <w:bCs w:val="0"/>
          <w:color w:val="auto"/>
          <w:szCs w:val="21"/>
        </w:rPr>
        <w:t>投标人</w:t>
      </w:r>
      <w:r>
        <w:rPr>
          <w:rFonts w:hint="eastAsia" w:ascii="宋体" w:hAnsi="宋体" w:cs="宋体"/>
          <w:color w:val="auto"/>
          <w:szCs w:val="21"/>
        </w:rPr>
        <w:t>须</w:t>
      </w:r>
      <w:r>
        <w:rPr>
          <w:rFonts w:hint="eastAsia" w:ascii="宋体" w:hAnsi="宋体" w:cs="宋体"/>
          <w:color w:val="auto"/>
          <w:kern w:val="0"/>
          <w:szCs w:val="21"/>
        </w:rPr>
        <w:t>提供财政部门认可的政府采购专业担保机构对投标人进行资信审查后出具的投标担保函。</w:t>
      </w:r>
    </w:p>
    <w:p w14:paraId="565E55C0">
      <w:pPr>
        <w:pageBreakBefore w:val="0"/>
        <w:kinsoku/>
        <w:wordWrap/>
        <w:overflowPunct/>
        <w:topLinePunct w:val="0"/>
        <w:autoSpaceDE/>
        <w:autoSpaceDN/>
        <w:bidi w:val="0"/>
        <w:adjustRightInd/>
        <w:snapToGrid/>
        <w:spacing w:line="360" w:lineRule="auto"/>
        <w:ind w:firstLine="422"/>
        <w:rPr>
          <w:color w:val="auto"/>
        </w:rPr>
      </w:pPr>
      <w:r>
        <w:rPr>
          <w:rFonts w:hint="eastAsia" w:ascii="宋体" w:hAnsi="宋体" w:cs="宋体"/>
          <w:b/>
          <w:bCs/>
          <w:color w:val="auto"/>
          <w:kern w:val="0"/>
          <w:szCs w:val="21"/>
        </w:rPr>
        <w:t>备注：以上①-③项证明材料具有同等效力，投标人可根据自身情况提供上述任意一种证明材料</w:t>
      </w:r>
      <w:r>
        <w:rPr>
          <w:rFonts w:hint="eastAsia" w:ascii="宋体" w:hAnsi="宋体" w:cs="宋体"/>
          <w:b/>
          <w:bCs/>
          <w:color w:val="auto"/>
          <w:szCs w:val="21"/>
        </w:rPr>
        <w:t>。</w:t>
      </w:r>
    </w:p>
    <w:p w14:paraId="2907C753">
      <w:pPr>
        <w:spacing w:line="360" w:lineRule="auto"/>
        <w:ind w:left="105" w:leftChars="50" w:right="105" w:rightChars="50" w:firstLine="420" w:firstLineChars="200"/>
        <w:rPr>
          <w:rFonts w:asciiTheme="minorEastAsia" w:hAnsiTheme="minorEastAsia" w:eastAsiaTheme="minorEastAsia"/>
        </w:rPr>
      </w:pPr>
    </w:p>
    <w:p w14:paraId="1A7348D3">
      <w:pPr>
        <w:widowControl/>
        <w:ind w:firstLine="562"/>
        <w:jc w:val="left"/>
        <w:rPr>
          <w:rFonts w:asciiTheme="minorEastAsia" w:hAnsiTheme="minorEastAsia" w:eastAsiaTheme="minorEastAsia"/>
          <w:b/>
          <w:sz w:val="28"/>
          <w:szCs w:val="28"/>
        </w:rPr>
      </w:pPr>
      <w:bookmarkStart w:id="1203" w:name="_Toc522397136"/>
      <w:bookmarkStart w:id="1204" w:name="_Toc110405200"/>
      <w:bookmarkStart w:id="1205" w:name="_Toc98865070"/>
      <w:bookmarkStart w:id="1206" w:name="_Toc116584066"/>
      <w:bookmarkStart w:id="1207" w:name="_Toc109809381"/>
      <w:bookmarkStart w:id="1208" w:name="_Toc69678485"/>
      <w:bookmarkStart w:id="1209" w:name="_Toc42205048"/>
      <w:bookmarkStart w:id="1210" w:name="_Toc81331003"/>
      <w:bookmarkStart w:id="1211" w:name="_Toc75783588"/>
      <w:bookmarkStart w:id="1212" w:name="_Toc53412273"/>
      <w:bookmarkStart w:id="1213" w:name="_Toc21738"/>
      <w:bookmarkStart w:id="1214" w:name="_Toc45976962"/>
      <w:bookmarkStart w:id="1215" w:name="_Toc494495988"/>
      <w:bookmarkStart w:id="1216" w:name="_Toc517710844"/>
      <w:bookmarkStart w:id="1217" w:name="_Toc518141928"/>
      <w:r>
        <w:rPr>
          <w:rFonts w:asciiTheme="minorEastAsia" w:hAnsiTheme="minorEastAsia" w:eastAsiaTheme="minorEastAsia"/>
          <w:b/>
          <w:sz w:val="28"/>
          <w:szCs w:val="28"/>
        </w:rPr>
        <w:br w:type="page"/>
      </w:r>
    </w:p>
    <w:p w14:paraId="746D4450">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（三）具有履行合同所必需的设备和专业技术能力</w:t>
      </w:r>
      <w:bookmarkEnd w:id="1203"/>
      <w:bookmarkEnd w:id="1204"/>
      <w:bookmarkEnd w:id="1205"/>
      <w:bookmarkEnd w:id="1206"/>
      <w:bookmarkEnd w:id="1207"/>
      <w:bookmarkEnd w:id="1208"/>
      <w:bookmarkEnd w:id="1209"/>
      <w:bookmarkEnd w:id="1210"/>
      <w:bookmarkEnd w:id="1211"/>
      <w:bookmarkEnd w:id="1212"/>
      <w:bookmarkEnd w:id="1213"/>
      <w:bookmarkEnd w:id="1214"/>
    </w:p>
    <w:p w14:paraId="1469A3C1">
      <w:pPr>
        <w:spacing w:line="360" w:lineRule="auto"/>
        <w:jc w:val="center"/>
        <w:rPr>
          <w:rFonts w:asciiTheme="minorEastAsia" w:hAnsiTheme="minorEastAsia" w:eastAsiaTheme="minorEastAsia"/>
        </w:rPr>
      </w:pPr>
      <w:bookmarkStart w:id="1218" w:name="_Hlk6220935"/>
      <w:r>
        <w:rPr>
          <w:rFonts w:hint="eastAsia" w:asciiTheme="minorEastAsia" w:hAnsiTheme="minorEastAsia" w:eastAsiaTheme="minorEastAsia"/>
        </w:rPr>
        <w:t>注：提供证明材料或书面承诺，内容自拟。</w:t>
      </w:r>
    </w:p>
    <w:p w14:paraId="6EA31041">
      <w:pPr>
        <w:spacing w:line="360" w:lineRule="auto"/>
        <w:jc w:val="center"/>
        <w:rPr>
          <w:rFonts w:asciiTheme="minorEastAsia" w:hAnsiTheme="minorEastAsia" w:eastAsiaTheme="minorEastAsia"/>
        </w:rPr>
      </w:pPr>
    </w:p>
    <w:p w14:paraId="67AE6F89">
      <w:pPr>
        <w:spacing w:line="360" w:lineRule="auto"/>
        <w:jc w:val="center"/>
        <w:rPr>
          <w:rFonts w:asciiTheme="minorEastAsia" w:hAnsiTheme="minorEastAsia" w:eastAsiaTheme="minorEastAsia"/>
        </w:rPr>
      </w:pPr>
    </w:p>
    <w:p w14:paraId="5639A267">
      <w:pPr>
        <w:spacing w:line="360" w:lineRule="auto"/>
        <w:jc w:val="center"/>
        <w:rPr>
          <w:rFonts w:asciiTheme="minorEastAsia" w:hAnsiTheme="minorEastAsia" w:eastAsiaTheme="minorEastAsia"/>
        </w:rPr>
      </w:pPr>
    </w:p>
    <w:p w14:paraId="1A3BFB5D">
      <w:pPr>
        <w:spacing w:line="360" w:lineRule="auto"/>
        <w:jc w:val="center"/>
        <w:rPr>
          <w:rFonts w:asciiTheme="minorEastAsia" w:hAnsiTheme="minorEastAsia" w:eastAsiaTheme="minorEastAsia"/>
        </w:rPr>
      </w:pPr>
    </w:p>
    <w:p w14:paraId="4D35F199">
      <w:pPr>
        <w:spacing w:line="360" w:lineRule="auto"/>
        <w:jc w:val="center"/>
        <w:rPr>
          <w:rFonts w:asciiTheme="minorEastAsia" w:hAnsiTheme="minorEastAsia" w:eastAsiaTheme="minorEastAsia"/>
        </w:rPr>
      </w:pPr>
    </w:p>
    <w:p w14:paraId="57E7FDF4">
      <w:pPr>
        <w:spacing w:line="360" w:lineRule="auto"/>
        <w:jc w:val="center"/>
        <w:rPr>
          <w:rFonts w:asciiTheme="minorEastAsia" w:hAnsiTheme="minorEastAsia" w:eastAsiaTheme="minorEastAsia"/>
        </w:rPr>
      </w:pPr>
    </w:p>
    <w:p w14:paraId="0D3FD753">
      <w:pPr>
        <w:spacing w:line="360" w:lineRule="auto"/>
        <w:jc w:val="center"/>
        <w:rPr>
          <w:rFonts w:asciiTheme="minorEastAsia" w:hAnsiTheme="minorEastAsia" w:eastAsiaTheme="minorEastAsia"/>
        </w:rPr>
      </w:pPr>
    </w:p>
    <w:p w14:paraId="7D6B6C49">
      <w:pPr>
        <w:spacing w:line="360" w:lineRule="auto"/>
        <w:jc w:val="center"/>
        <w:rPr>
          <w:rFonts w:asciiTheme="minorEastAsia" w:hAnsiTheme="minorEastAsia" w:eastAsiaTheme="minorEastAsia"/>
        </w:rPr>
      </w:pPr>
    </w:p>
    <w:p w14:paraId="12E24379">
      <w:pPr>
        <w:spacing w:line="360" w:lineRule="auto"/>
        <w:jc w:val="center"/>
        <w:rPr>
          <w:rFonts w:asciiTheme="minorEastAsia" w:hAnsiTheme="minorEastAsia" w:eastAsiaTheme="minorEastAsia"/>
        </w:rPr>
      </w:pPr>
    </w:p>
    <w:p w14:paraId="08E31747">
      <w:pPr>
        <w:spacing w:line="360" w:lineRule="auto"/>
        <w:jc w:val="center"/>
        <w:rPr>
          <w:rFonts w:asciiTheme="minorEastAsia" w:hAnsiTheme="minorEastAsia" w:eastAsiaTheme="minorEastAsia"/>
        </w:rPr>
      </w:pPr>
    </w:p>
    <w:p w14:paraId="2A898812">
      <w:pPr>
        <w:spacing w:line="360" w:lineRule="auto"/>
        <w:jc w:val="center"/>
        <w:rPr>
          <w:rFonts w:asciiTheme="minorEastAsia" w:hAnsiTheme="minorEastAsia" w:eastAsiaTheme="minorEastAsia"/>
        </w:rPr>
      </w:pPr>
    </w:p>
    <w:p w14:paraId="35387583">
      <w:pPr>
        <w:spacing w:line="360" w:lineRule="auto"/>
        <w:jc w:val="center"/>
        <w:rPr>
          <w:rFonts w:asciiTheme="minorEastAsia" w:hAnsiTheme="minorEastAsia" w:eastAsiaTheme="minorEastAsia"/>
        </w:rPr>
      </w:pPr>
    </w:p>
    <w:p w14:paraId="0F938C9F">
      <w:pPr>
        <w:spacing w:line="360" w:lineRule="auto"/>
        <w:jc w:val="center"/>
        <w:rPr>
          <w:rFonts w:asciiTheme="minorEastAsia" w:hAnsiTheme="minorEastAsia" w:eastAsiaTheme="minorEastAsia"/>
        </w:rPr>
      </w:pPr>
    </w:p>
    <w:p w14:paraId="52368221">
      <w:pPr>
        <w:spacing w:line="360" w:lineRule="auto"/>
        <w:jc w:val="center"/>
        <w:rPr>
          <w:rFonts w:asciiTheme="minorEastAsia" w:hAnsiTheme="minorEastAsia" w:eastAsiaTheme="minorEastAsia"/>
        </w:rPr>
      </w:pPr>
    </w:p>
    <w:p w14:paraId="5D5A12A5">
      <w:pPr>
        <w:spacing w:line="360" w:lineRule="auto"/>
        <w:jc w:val="center"/>
        <w:rPr>
          <w:rFonts w:asciiTheme="minorEastAsia" w:hAnsiTheme="minorEastAsia" w:eastAsiaTheme="minorEastAsia"/>
        </w:rPr>
      </w:pPr>
    </w:p>
    <w:p w14:paraId="54B3494F">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投标人：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0DB8C530">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(电子签章)</w:t>
      </w:r>
      <w:r>
        <w:rPr>
          <w:rFonts w:asciiTheme="minorEastAsia" w:hAnsiTheme="minorEastAsia" w:eastAsiaTheme="minorEastAsia"/>
          <w:bCs/>
          <w:szCs w:val="21"/>
          <w:u w:val="single"/>
        </w:rPr>
        <w:t xml:space="preserve"> </w:t>
      </w:r>
    </w:p>
    <w:p w14:paraId="6455D817">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14:paraId="62C5585D">
      <w:pPr>
        <w:spacing w:line="360" w:lineRule="auto"/>
        <w:jc w:val="center"/>
        <w:rPr>
          <w:rFonts w:asciiTheme="minorEastAsia" w:hAnsiTheme="minorEastAsia" w:eastAsiaTheme="minorEastAsia"/>
        </w:rPr>
      </w:pPr>
    </w:p>
    <w:bookmarkEnd w:id="1218"/>
    <w:p w14:paraId="14A3C75E">
      <w:pPr>
        <w:widowControl/>
        <w:ind w:firstLine="562"/>
        <w:jc w:val="left"/>
        <w:rPr>
          <w:rFonts w:asciiTheme="minorEastAsia" w:hAnsiTheme="minorEastAsia" w:eastAsiaTheme="minorEastAsia"/>
          <w:b/>
          <w:sz w:val="28"/>
          <w:szCs w:val="28"/>
        </w:rPr>
      </w:pPr>
      <w:bookmarkStart w:id="1219" w:name="_Toc8980"/>
      <w:bookmarkStart w:id="1220" w:name="_Toc45976963"/>
      <w:bookmarkStart w:id="1221" w:name="_Toc116584067"/>
      <w:bookmarkStart w:id="1222" w:name="_Toc81331004"/>
      <w:bookmarkStart w:id="1223" w:name="_Toc69678486"/>
      <w:bookmarkStart w:id="1224" w:name="_Toc75783589"/>
      <w:bookmarkStart w:id="1225" w:name="_Toc522397137"/>
      <w:bookmarkStart w:id="1226" w:name="_Toc110405201"/>
      <w:bookmarkStart w:id="1227" w:name="_Toc53412274"/>
      <w:bookmarkStart w:id="1228" w:name="_Toc98865071"/>
      <w:bookmarkStart w:id="1229" w:name="_Toc42205049"/>
      <w:bookmarkStart w:id="1230" w:name="_Toc109809382"/>
      <w:r>
        <w:rPr>
          <w:rFonts w:asciiTheme="minorEastAsia" w:hAnsiTheme="minorEastAsia" w:eastAsiaTheme="minorEastAsia"/>
          <w:b/>
          <w:sz w:val="28"/>
          <w:szCs w:val="28"/>
        </w:rPr>
        <w:br w:type="page"/>
      </w:r>
    </w:p>
    <w:p w14:paraId="189B7C55">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（四）有依法缴纳税收和社会保障资金的良好记录</w:t>
      </w:r>
      <w:bookmarkEnd w:id="1219"/>
      <w:bookmarkEnd w:id="1220"/>
      <w:bookmarkEnd w:id="1221"/>
      <w:bookmarkEnd w:id="1222"/>
      <w:bookmarkEnd w:id="1223"/>
      <w:bookmarkEnd w:id="1224"/>
      <w:bookmarkEnd w:id="1225"/>
      <w:bookmarkEnd w:id="1226"/>
      <w:bookmarkEnd w:id="1227"/>
      <w:bookmarkEnd w:id="1228"/>
      <w:bookmarkEnd w:id="1229"/>
      <w:bookmarkEnd w:id="1230"/>
    </w:p>
    <w:p w14:paraId="770534A7">
      <w:pPr>
        <w:tabs>
          <w:tab w:val="left" w:pos="709"/>
        </w:tabs>
        <w:spacing w:line="360" w:lineRule="auto"/>
        <w:ind w:firstLine="840" w:firstLineChars="400"/>
        <w:jc w:val="left"/>
        <w:rPr>
          <w:rFonts w:ascii="宋体" w:hAnsi="宋体" w:cs="宋体"/>
          <w:szCs w:val="21"/>
        </w:rPr>
      </w:pPr>
      <w:bookmarkStart w:id="1231" w:name="_Toc42205050"/>
      <w:bookmarkStart w:id="1232" w:name="_Toc75783590"/>
      <w:bookmarkStart w:id="1233" w:name="_Toc69678487"/>
      <w:bookmarkStart w:id="1234" w:name="_Toc81331005"/>
      <w:bookmarkStart w:id="1235" w:name="_Toc45976964"/>
      <w:bookmarkStart w:id="1236" w:name="_Toc522397138"/>
      <w:bookmarkStart w:id="1237" w:name="_Toc53412275"/>
      <w:r>
        <w:rPr>
          <w:rFonts w:hint="eastAsia" w:ascii="宋体" w:hAnsi="宋体" w:cs="宋体"/>
          <w:szCs w:val="21"/>
        </w:rPr>
        <w:t>注：提供2025年01月至今任意3个月依法缴纳税收（提供缴纳增值税或企业所得税的凭据）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p w14:paraId="7F28EB9D">
      <w:pPr>
        <w:tabs>
          <w:tab w:val="left" w:pos="709"/>
        </w:tabs>
        <w:spacing w:line="360" w:lineRule="auto"/>
        <w:ind w:firstLine="840" w:firstLineChars="400"/>
        <w:jc w:val="left"/>
        <w:rPr>
          <w:rFonts w:ascii="宋体" w:hAnsi="宋体" w:cs="宋体"/>
          <w:szCs w:val="21"/>
        </w:rPr>
      </w:pPr>
    </w:p>
    <w:p w14:paraId="2573C07E">
      <w:pPr>
        <w:tabs>
          <w:tab w:val="left" w:pos="709"/>
        </w:tabs>
        <w:spacing w:line="360" w:lineRule="auto"/>
        <w:ind w:firstLine="840" w:firstLineChars="400"/>
        <w:jc w:val="center"/>
        <w:rPr>
          <w:rFonts w:ascii="宋体" w:hAnsi="宋体"/>
          <w:szCs w:val="21"/>
        </w:rPr>
      </w:pPr>
      <w:r>
        <w:rPr>
          <w:rFonts w:hint="eastAsia" w:ascii="宋体" w:hAnsi="宋体" w:cs="宋体"/>
          <w:szCs w:val="21"/>
        </w:rPr>
        <w:t>（提供扫描件）</w:t>
      </w:r>
    </w:p>
    <w:p w14:paraId="3523476C">
      <w:pPr>
        <w:tabs>
          <w:tab w:val="left" w:pos="709"/>
        </w:tabs>
        <w:spacing w:line="360" w:lineRule="auto"/>
        <w:ind w:firstLine="1124" w:firstLineChars="400"/>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14:paraId="728C42D2">
      <w:pPr>
        <w:spacing w:line="360" w:lineRule="auto"/>
        <w:ind w:firstLine="562"/>
        <w:jc w:val="center"/>
        <w:outlineLvl w:val="2"/>
        <w:rPr>
          <w:rFonts w:asciiTheme="minorEastAsia" w:hAnsiTheme="minorEastAsia" w:eastAsiaTheme="minorEastAsia"/>
          <w:b/>
          <w:sz w:val="28"/>
          <w:szCs w:val="28"/>
        </w:rPr>
      </w:pPr>
      <w:bookmarkStart w:id="1238" w:name="_Toc4146"/>
      <w:bookmarkStart w:id="1239" w:name="_Toc98865072"/>
      <w:bookmarkStart w:id="1240" w:name="_Toc110405202"/>
      <w:bookmarkStart w:id="1241" w:name="_Toc109809383"/>
      <w:bookmarkStart w:id="1242" w:name="_Toc116584068"/>
      <w:r>
        <w:rPr>
          <w:rFonts w:hint="eastAsia" w:asciiTheme="minorEastAsia" w:hAnsiTheme="minorEastAsia" w:eastAsiaTheme="minorEastAsia"/>
          <w:b/>
          <w:sz w:val="28"/>
          <w:szCs w:val="28"/>
        </w:rPr>
        <w:t>（五）参加政府采购活动前三年内，在经营活动中没有重大违法记录</w:t>
      </w:r>
    </w:p>
    <w:p w14:paraId="5138701D">
      <w:pPr>
        <w:spacing w:line="360" w:lineRule="auto"/>
        <w:jc w:val="center"/>
        <w:rPr>
          <w:rFonts w:asciiTheme="minorEastAsia" w:hAnsiTheme="minorEastAsia" w:eastAsiaTheme="minorEastAsia"/>
        </w:rPr>
      </w:pPr>
      <w:r>
        <w:rPr>
          <w:rFonts w:hint="eastAsia" w:asciiTheme="minorEastAsia" w:hAnsiTheme="minorEastAsia" w:eastAsiaTheme="minorEastAsia"/>
        </w:rPr>
        <w:t>注：提供书面声明，内容自拟。</w:t>
      </w:r>
    </w:p>
    <w:p w14:paraId="12C60E09">
      <w:pPr>
        <w:spacing w:line="360" w:lineRule="auto"/>
        <w:jc w:val="center"/>
        <w:rPr>
          <w:rFonts w:asciiTheme="minorEastAsia" w:hAnsiTheme="minorEastAsia" w:eastAsiaTheme="minorEastAsia"/>
        </w:rPr>
      </w:pPr>
    </w:p>
    <w:p w14:paraId="415F01DC">
      <w:pPr>
        <w:spacing w:line="360" w:lineRule="auto"/>
        <w:jc w:val="center"/>
        <w:rPr>
          <w:rFonts w:asciiTheme="minorEastAsia" w:hAnsiTheme="minorEastAsia" w:eastAsiaTheme="minorEastAsia"/>
        </w:rPr>
      </w:pPr>
    </w:p>
    <w:p w14:paraId="735DA289">
      <w:pPr>
        <w:spacing w:line="360" w:lineRule="auto"/>
        <w:jc w:val="center"/>
        <w:rPr>
          <w:rFonts w:asciiTheme="minorEastAsia" w:hAnsiTheme="minorEastAsia" w:eastAsiaTheme="minorEastAsia"/>
        </w:rPr>
      </w:pPr>
    </w:p>
    <w:p w14:paraId="7D65B5D4">
      <w:pPr>
        <w:spacing w:line="360" w:lineRule="auto"/>
        <w:jc w:val="center"/>
        <w:rPr>
          <w:rFonts w:asciiTheme="minorEastAsia" w:hAnsiTheme="minorEastAsia" w:eastAsiaTheme="minorEastAsia"/>
        </w:rPr>
      </w:pPr>
    </w:p>
    <w:p w14:paraId="12F798AE">
      <w:pPr>
        <w:spacing w:line="360" w:lineRule="auto"/>
        <w:jc w:val="center"/>
        <w:rPr>
          <w:rFonts w:asciiTheme="minorEastAsia" w:hAnsiTheme="minorEastAsia" w:eastAsiaTheme="minorEastAsia"/>
        </w:rPr>
      </w:pPr>
    </w:p>
    <w:p w14:paraId="79D90EC4">
      <w:pPr>
        <w:spacing w:line="360" w:lineRule="auto"/>
        <w:jc w:val="center"/>
        <w:rPr>
          <w:rFonts w:asciiTheme="minorEastAsia" w:hAnsiTheme="minorEastAsia" w:eastAsiaTheme="minorEastAsia"/>
        </w:rPr>
      </w:pPr>
    </w:p>
    <w:p w14:paraId="2CE612DC">
      <w:pPr>
        <w:spacing w:line="360" w:lineRule="auto"/>
        <w:jc w:val="center"/>
        <w:rPr>
          <w:rFonts w:asciiTheme="minorEastAsia" w:hAnsiTheme="minorEastAsia" w:eastAsiaTheme="minorEastAsia"/>
        </w:rPr>
      </w:pPr>
    </w:p>
    <w:p w14:paraId="4EB6FB25">
      <w:pPr>
        <w:spacing w:line="360" w:lineRule="auto"/>
        <w:jc w:val="center"/>
        <w:rPr>
          <w:rFonts w:asciiTheme="minorEastAsia" w:hAnsiTheme="minorEastAsia" w:eastAsiaTheme="minorEastAsia"/>
        </w:rPr>
      </w:pPr>
    </w:p>
    <w:p w14:paraId="5868C9D9">
      <w:pPr>
        <w:spacing w:line="360" w:lineRule="auto"/>
        <w:jc w:val="center"/>
        <w:rPr>
          <w:rFonts w:asciiTheme="minorEastAsia" w:hAnsiTheme="minorEastAsia" w:eastAsiaTheme="minorEastAsia"/>
        </w:rPr>
      </w:pPr>
    </w:p>
    <w:p w14:paraId="2E508679">
      <w:pPr>
        <w:spacing w:line="360" w:lineRule="auto"/>
        <w:jc w:val="center"/>
        <w:rPr>
          <w:rFonts w:asciiTheme="minorEastAsia" w:hAnsiTheme="minorEastAsia" w:eastAsiaTheme="minorEastAsia"/>
        </w:rPr>
      </w:pPr>
    </w:p>
    <w:p w14:paraId="3A3F6E53">
      <w:pPr>
        <w:spacing w:line="360" w:lineRule="auto"/>
        <w:jc w:val="center"/>
        <w:rPr>
          <w:rFonts w:asciiTheme="minorEastAsia" w:hAnsiTheme="minorEastAsia" w:eastAsiaTheme="minorEastAsia"/>
        </w:rPr>
      </w:pPr>
    </w:p>
    <w:p w14:paraId="1237DEEC">
      <w:pPr>
        <w:spacing w:line="360" w:lineRule="auto"/>
        <w:jc w:val="center"/>
        <w:rPr>
          <w:rFonts w:asciiTheme="minorEastAsia" w:hAnsiTheme="minorEastAsia" w:eastAsiaTheme="minorEastAsia"/>
        </w:rPr>
      </w:pPr>
    </w:p>
    <w:p w14:paraId="2965EED4">
      <w:pPr>
        <w:spacing w:line="360" w:lineRule="auto"/>
        <w:jc w:val="center"/>
        <w:rPr>
          <w:rFonts w:asciiTheme="minorEastAsia" w:hAnsiTheme="minorEastAsia" w:eastAsiaTheme="minorEastAsia"/>
        </w:rPr>
      </w:pPr>
    </w:p>
    <w:p w14:paraId="0732706D">
      <w:pPr>
        <w:spacing w:line="360" w:lineRule="auto"/>
        <w:jc w:val="center"/>
        <w:rPr>
          <w:rFonts w:asciiTheme="minorEastAsia" w:hAnsiTheme="minorEastAsia" w:eastAsiaTheme="minorEastAsia"/>
        </w:rPr>
      </w:pPr>
    </w:p>
    <w:p w14:paraId="1ADDD4E3">
      <w:pPr>
        <w:spacing w:line="360" w:lineRule="auto"/>
        <w:jc w:val="center"/>
        <w:rPr>
          <w:rFonts w:asciiTheme="minorEastAsia" w:hAnsiTheme="minorEastAsia" w:eastAsiaTheme="minorEastAsia"/>
        </w:rPr>
      </w:pPr>
    </w:p>
    <w:p w14:paraId="33823193">
      <w:pPr>
        <w:spacing w:line="360" w:lineRule="auto"/>
        <w:jc w:val="center"/>
        <w:rPr>
          <w:rFonts w:asciiTheme="minorEastAsia" w:hAnsiTheme="minorEastAsia" w:eastAsiaTheme="minorEastAsia"/>
        </w:rPr>
      </w:pPr>
    </w:p>
    <w:p w14:paraId="5C87A8BB">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投标人：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2F29A56D">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(电子签章)</w:t>
      </w:r>
      <w:r>
        <w:rPr>
          <w:rFonts w:asciiTheme="minorEastAsia" w:hAnsiTheme="minorEastAsia" w:eastAsiaTheme="minorEastAsia"/>
          <w:bCs/>
          <w:szCs w:val="21"/>
          <w:u w:val="single"/>
        </w:rPr>
        <w:t xml:space="preserve"> </w:t>
      </w:r>
    </w:p>
    <w:p w14:paraId="08F31C7D">
      <w:pPr>
        <w:autoSpaceDE w:val="0"/>
        <w:autoSpaceDN w:val="0"/>
        <w:adjustRightInd w:val="0"/>
        <w:spacing w:line="360" w:lineRule="auto"/>
        <w:ind w:firstLine="4252" w:firstLineChars="2025"/>
        <w:jc w:val="left"/>
        <w:rPr>
          <w:rFonts w:ascii="宋体" w:hAnsi="宋体" w:cs="宋体"/>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bookmarkEnd w:id="1215"/>
    <w:bookmarkEnd w:id="1216"/>
    <w:bookmarkEnd w:id="1217"/>
    <w:bookmarkEnd w:id="1231"/>
    <w:bookmarkEnd w:id="1232"/>
    <w:bookmarkEnd w:id="1233"/>
    <w:bookmarkEnd w:id="1234"/>
    <w:bookmarkEnd w:id="1235"/>
    <w:bookmarkEnd w:id="1236"/>
    <w:bookmarkEnd w:id="1237"/>
    <w:bookmarkEnd w:id="1238"/>
    <w:bookmarkEnd w:id="1239"/>
    <w:bookmarkEnd w:id="1240"/>
    <w:bookmarkEnd w:id="1241"/>
    <w:bookmarkEnd w:id="1242"/>
    <w:p w14:paraId="480BA275">
      <w:pPr>
        <w:rPr>
          <w:rFonts w:asciiTheme="minorEastAsia" w:hAnsiTheme="minorEastAsia" w:eastAsiaTheme="minorEastAsia"/>
          <w:b/>
          <w:sz w:val="30"/>
          <w:szCs w:val="30"/>
        </w:rPr>
      </w:pPr>
      <w:bookmarkStart w:id="1243" w:name="_Toc128658856"/>
      <w:bookmarkStart w:id="1244" w:name="_Toc21376"/>
      <w:bookmarkStart w:id="1245" w:name="_Toc103586124"/>
      <w:bookmarkStart w:id="1246" w:name="_Toc42205066"/>
      <w:bookmarkStart w:id="1247" w:name="_Toc37603119"/>
      <w:r>
        <w:rPr>
          <w:rFonts w:hint="eastAsia" w:asciiTheme="minorEastAsia" w:hAnsiTheme="minorEastAsia" w:eastAsiaTheme="minorEastAsia"/>
          <w:b/>
          <w:sz w:val="30"/>
          <w:szCs w:val="30"/>
        </w:rPr>
        <w:br w:type="page"/>
      </w:r>
    </w:p>
    <w:p w14:paraId="59C16B5B">
      <w:pPr>
        <w:spacing w:line="360" w:lineRule="auto"/>
        <w:jc w:val="center"/>
        <w:outlineLvl w:val="2"/>
        <w:rPr>
          <w:rFonts w:asciiTheme="minorEastAsia" w:hAnsiTheme="minorEastAsia" w:eastAsiaTheme="minorEastAsia"/>
          <w:sz w:val="28"/>
          <w:szCs w:val="28"/>
        </w:rPr>
      </w:pPr>
      <w:r>
        <w:rPr>
          <w:rFonts w:hint="eastAsia" w:asciiTheme="minorEastAsia" w:hAnsiTheme="minorEastAsia" w:eastAsiaTheme="minorEastAsia"/>
          <w:b/>
          <w:sz w:val="28"/>
          <w:szCs w:val="28"/>
        </w:rPr>
        <w:t>（六）法律、行政法规规定的其他条件</w:t>
      </w:r>
    </w:p>
    <w:p w14:paraId="0E1B3723">
      <w:pPr>
        <w:bidi w:val="0"/>
        <w:jc w:val="center"/>
        <w:rPr>
          <w:rFonts w:hint="eastAsia"/>
          <w:b/>
          <w:bCs/>
        </w:rPr>
      </w:pPr>
      <w:bookmarkStart w:id="1248" w:name="OLE_LINK154"/>
    </w:p>
    <w:p w14:paraId="5A0EAB64">
      <w:pPr>
        <w:bidi w:val="0"/>
        <w:jc w:val="center"/>
        <w:rPr>
          <w:rFonts w:hint="eastAsia"/>
          <w:b/>
          <w:bCs/>
          <w:sz w:val="24"/>
          <w:szCs w:val="22"/>
        </w:rPr>
      </w:pPr>
      <w:bookmarkStart w:id="1249" w:name="OLE_LINK302"/>
      <w:r>
        <w:rPr>
          <w:rFonts w:hint="eastAsia"/>
          <w:b/>
          <w:bCs/>
          <w:sz w:val="24"/>
          <w:szCs w:val="22"/>
          <w:lang w:val="en-US" w:eastAsia="zh-CN"/>
        </w:rPr>
        <w:t>1、</w:t>
      </w:r>
      <w:r>
        <w:rPr>
          <w:rFonts w:hint="eastAsia"/>
          <w:b/>
          <w:bCs/>
          <w:sz w:val="24"/>
          <w:szCs w:val="22"/>
        </w:rPr>
        <w:t>投标人关联企业情况声明</w:t>
      </w:r>
      <w:bookmarkEnd w:id="1249"/>
    </w:p>
    <w:p w14:paraId="0B0521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bookmarkStart w:id="1250" w:name="OLE_LINK206"/>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郑重声明如下：</w:t>
      </w:r>
    </w:p>
    <w:p w14:paraId="786073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51317D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的直接上级控股/管理单位/自然人控股股东和直接下级控股/管理单位情况：</w:t>
      </w:r>
    </w:p>
    <w:tbl>
      <w:tblPr>
        <w:tblStyle w:val="56"/>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1813"/>
        <w:gridCol w:w="1545"/>
        <w:gridCol w:w="1596"/>
        <w:gridCol w:w="1144"/>
      </w:tblGrid>
      <w:tr w14:paraId="280FC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5119F14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bookmarkStart w:id="1251" w:name="OLE_LINK207"/>
            <w:bookmarkStart w:id="1252" w:name="OLE_LINK208" w:colFirst="0" w:colLast="4"/>
            <w:r>
              <w:rPr>
                <w:rFonts w:hint="eastAsia" w:ascii="宋体" w:hAnsi="宋体" w:eastAsia="宋体" w:cs="宋体"/>
                <w:color w:val="auto"/>
                <w:sz w:val="21"/>
                <w:szCs w:val="21"/>
                <w:highlight w:val="none"/>
              </w:rPr>
              <w:t>直接上级控股/管理单位/自然人控股股东名称</w:t>
            </w:r>
          </w:p>
        </w:tc>
        <w:tc>
          <w:tcPr>
            <w:tcW w:w="1053" w:type="pct"/>
            <w:tcBorders>
              <w:tl2br w:val="nil"/>
              <w:tr2bl w:val="nil"/>
            </w:tcBorders>
            <w:vAlign w:val="center"/>
          </w:tcPr>
          <w:p w14:paraId="0EC0BE7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对本单位的控股（出资）比例（%）</w:t>
            </w:r>
          </w:p>
        </w:tc>
        <w:tc>
          <w:tcPr>
            <w:tcW w:w="897" w:type="pct"/>
            <w:tcBorders>
              <w:tl2br w:val="nil"/>
              <w:tr2bl w:val="nil"/>
            </w:tcBorders>
            <w:vAlign w:val="center"/>
          </w:tcPr>
          <w:p w14:paraId="08E7E6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927" w:type="pct"/>
            <w:tcBorders>
              <w:tl2br w:val="nil"/>
              <w:tr2bl w:val="nil"/>
            </w:tcBorders>
            <w:vAlign w:val="center"/>
          </w:tcPr>
          <w:p w14:paraId="1BFB38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w:t>
            </w:r>
          </w:p>
        </w:tc>
        <w:tc>
          <w:tcPr>
            <w:tcW w:w="663" w:type="pct"/>
            <w:tcBorders>
              <w:tl2br w:val="nil"/>
              <w:tr2bl w:val="nil"/>
            </w:tcBorders>
            <w:vAlign w:val="center"/>
          </w:tcPr>
          <w:p w14:paraId="663DC4F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bookmarkEnd w:id="1251"/>
      <w:bookmarkEnd w:id="1252"/>
      <w:tr w14:paraId="5C37D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vAlign w:val="top"/>
          </w:tcPr>
          <w:p w14:paraId="406D42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053" w:type="pct"/>
            <w:tcBorders>
              <w:tl2br w:val="nil"/>
              <w:tr2bl w:val="nil"/>
            </w:tcBorders>
            <w:vAlign w:val="top"/>
          </w:tcPr>
          <w:p w14:paraId="18FC7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897" w:type="pct"/>
            <w:tcBorders>
              <w:tl2br w:val="nil"/>
              <w:tr2bl w:val="nil"/>
            </w:tcBorders>
            <w:vAlign w:val="top"/>
          </w:tcPr>
          <w:p w14:paraId="2D1E3F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927" w:type="pct"/>
            <w:tcBorders>
              <w:tl2br w:val="nil"/>
              <w:tr2bl w:val="nil"/>
            </w:tcBorders>
            <w:vAlign w:val="top"/>
          </w:tcPr>
          <w:p w14:paraId="3747D0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663" w:type="pct"/>
            <w:tcBorders>
              <w:tl2br w:val="nil"/>
              <w:tr2bl w:val="nil"/>
            </w:tcBorders>
            <w:vAlign w:val="top"/>
          </w:tcPr>
          <w:p w14:paraId="6C7266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8369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vAlign w:val="top"/>
          </w:tcPr>
          <w:p w14:paraId="48546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3" w:type="pct"/>
            <w:tcBorders>
              <w:tl2br w:val="nil"/>
              <w:tr2bl w:val="nil"/>
            </w:tcBorders>
            <w:vAlign w:val="top"/>
          </w:tcPr>
          <w:p w14:paraId="133B7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897" w:type="pct"/>
            <w:tcBorders>
              <w:tl2br w:val="nil"/>
              <w:tr2bl w:val="nil"/>
            </w:tcBorders>
            <w:vAlign w:val="top"/>
          </w:tcPr>
          <w:p w14:paraId="6E4E64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927" w:type="pct"/>
            <w:tcBorders>
              <w:tl2br w:val="nil"/>
              <w:tr2bl w:val="nil"/>
            </w:tcBorders>
            <w:vAlign w:val="top"/>
          </w:tcPr>
          <w:p w14:paraId="04D1C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663" w:type="pct"/>
            <w:tcBorders>
              <w:tl2br w:val="nil"/>
              <w:tr2bl w:val="nil"/>
            </w:tcBorders>
            <w:vAlign w:val="top"/>
          </w:tcPr>
          <w:p w14:paraId="556AEC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7522C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vAlign w:val="top"/>
          </w:tcPr>
          <w:p w14:paraId="7D429A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44EA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09396F9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bookmarkStart w:id="1253" w:name="OLE_LINK209" w:colFirst="0" w:colLast="4"/>
            <w:r>
              <w:rPr>
                <w:rFonts w:hint="eastAsia" w:ascii="宋体" w:hAnsi="宋体" w:eastAsia="宋体" w:cs="宋体"/>
                <w:color w:val="auto"/>
                <w:sz w:val="21"/>
                <w:szCs w:val="21"/>
                <w:highlight w:val="none"/>
              </w:rPr>
              <w:t>直接下级控股/管理单位名称</w:t>
            </w:r>
          </w:p>
        </w:tc>
        <w:tc>
          <w:tcPr>
            <w:tcW w:w="1053" w:type="pct"/>
            <w:tcBorders>
              <w:tl2br w:val="nil"/>
              <w:tr2bl w:val="nil"/>
            </w:tcBorders>
            <w:vAlign w:val="center"/>
          </w:tcPr>
          <w:p w14:paraId="7E4A90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本单位控股（出资）比例（%）</w:t>
            </w:r>
          </w:p>
        </w:tc>
        <w:tc>
          <w:tcPr>
            <w:tcW w:w="897" w:type="pct"/>
            <w:tcBorders>
              <w:tl2br w:val="nil"/>
              <w:tr2bl w:val="nil"/>
            </w:tcBorders>
            <w:vAlign w:val="center"/>
          </w:tcPr>
          <w:p w14:paraId="74B8F3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927" w:type="pct"/>
            <w:tcBorders>
              <w:tl2br w:val="nil"/>
              <w:tr2bl w:val="nil"/>
            </w:tcBorders>
            <w:vAlign w:val="center"/>
          </w:tcPr>
          <w:p w14:paraId="68E3E86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w:t>
            </w:r>
          </w:p>
        </w:tc>
        <w:tc>
          <w:tcPr>
            <w:tcW w:w="663" w:type="pct"/>
            <w:tcBorders>
              <w:tl2br w:val="nil"/>
              <w:tr2bl w:val="nil"/>
            </w:tcBorders>
            <w:vAlign w:val="center"/>
          </w:tcPr>
          <w:p w14:paraId="4C7EE6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bookmarkEnd w:id="1253"/>
      <w:tr w14:paraId="429CA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vAlign w:val="top"/>
          </w:tcPr>
          <w:p w14:paraId="5FB25C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053" w:type="pct"/>
            <w:tcBorders>
              <w:tl2br w:val="nil"/>
              <w:tr2bl w:val="nil"/>
            </w:tcBorders>
            <w:vAlign w:val="top"/>
          </w:tcPr>
          <w:p w14:paraId="674F3E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897" w:type="pct"/>
            <w:tcBorders>
              <w:tl2br w:val="nil"/>
              <w:tr2bl w:val="nil"/>
            </w:tcBorders>
            <w:vAlign w:val="top"/>
          </w:tcPr>
          <w:p w14:paraId="017237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927" w:type="pct"/>
            <w:tcBorders>
              <w:tl2br w:val="nil"/>
              <w:tr2bl w:val="nil"/>
            </w:tcBorders>
            <w:vAlign w:val="top"/>
          </w:tcPr>
          <w:p w14:paraId="3286A2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663" w:type="pct"/>
            <w:tcBorders>
              <w:tl2br w:val="nil"/>
              <w:tr2bl w:val="nil"/>
            </w:tcBorders>
            <w:vAlign w:val="top"/>
          </w:tcPr>
          <w:p w14:paraId="7B192B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ECE8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vAlign w:val="top"/>
          </w:tcPr>
          <w:p w14:paraId="697BBF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3" w:type="pct"/>
            <w:tcBorders>
              <w:tl2br w:val="nil"/>
              <w:tr2bl w:val="nil"/>
            </w:tcBorders>
            <w:vAlign w:val="top"/>
          </w:tcPr>
          <w:p w14:paraId="54D1C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897" w:type="pct"/>
            <w:tcBorders>
              <w:tl2br w:val="nil"/>
              <w:tr2bl w:val="nil"/>
            </w:tcBorders>
            <w:vAlign w:val="top"/>
          </w:tcPr>
          <w:p w14:paraId="60B8F5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927" w:type="pct"/>
            <w:tcBorders>
              <w:tl2br w:val="nil"/>
              <w:tr2bl w:val="nil"/>
            </w:tcBorders>
            <w:vAlign w:val="top"/>
          </w:tcPr>
          <w:p w14:paraId="1B83ED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663" w:type="pct"/>
            <w:tcBorders>
              <w:tl2br w:val="nil"/>
              <w:tr2bl w:val="nil"/>
            </w:tcBorders>
            <w:vAlign w:val="top"/>
          </w:tcPr>
          <w:p w14:paraId="7E0F07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bl>
    <w:p w14:paraId="3D0AA4D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3、属于同一直接上级控股/管理单位/自然人控股股东的其他兄弟单位情况：</w:t>
      </w:r>
    </w:p>
    <w:tbl>
      <w:tblPr>
        <w:tblStyle w:val="56"/>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1808"/>
        <w:gridCol w:w="1587"/>
        <w:gridCol w:w="1545"/>
        <w:gridCol w:w="1161"/>
      </w:tblGrid>
      <w:tr w14:paraId="6833E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1FF98F5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bookmarkStart w:id="1254" w:name="OLE_LINK210" w:colFirst="0" w:colLast="4"/>
            <w:r>
              <w:rPr>
                <w:rFonts w:hint="eastAsia" w:ascii="宋体" w:hAnsi="宋体" w:eastAsia="宋体" w:cs="宋体"/>
                <w:color w:val="auto"/>
                <w:sz w:val="21"/>
                <w:szCs w:val="21"/>
                <w:highlight w:val="none"/>
              </w:rPr>
              <w:t>其他兄弟单位名称</w:t>
            </w:r>
          </w:p>
        </w:tc>
        <w:tc>
          <w:tcPr>
            <w:tcW w:w="1046" w:type="pct"/>
            <w:tcBorders>
              <w:tl2br w:val="nil"/>
              <w:tr2bl w:val="nil"/>
            </w:tcBorders>
            <w:vAlign w:val="center"/>
          </w:tcPr>
          <w:p w14:paraId="23F069B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同一直接上级控股/管理单位/自然人控股股东对该单位控股（出资）比例（%）</w:t>
            </w:r>
          </w:p>
        </w:tc>
        <w:tc>
          <w:tcPr>
            <w:tcW w:w="918" w:type="pct"/>
            <w:tcBorders>
              <w:tl2br w:val="nil"/>
              <w:tr2bl w:val="nil"/>
            </w:tcBorders>
            <w:vAlign w:val="center"/>
          </w:tcPr>
          <w:p w14:paraId="2B82106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894" w:type="pct"/>
            <w:tcBorders>
              <w:tl2br w:val="nil"/>
              <w:tr2bl w:val="nil"/>
            </w:tcBorders>
            <w:vAlign w:val="center"/>
          </w:tcPr>
          <w:p w14:paraId="2F1DFE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w:t>
            </w:r>
          </w:p>
        </w:tc>
        <w:tc>
          <w:tcPr>
            <w:tcW w:w="671" w:type="pct"/>
            <w:tcBorders>
              <w:tl2br w:val="nil"/>
              <w:tr2bl w:val="nil"/>
            </w:tcBorders>
            <w:vAlign w:val="center"/>
          </w:tcPr>
          <w:p w14:paraId="77E99F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bookmarkEnd w:id="1254"/>
      <w:tr w14:paraId="5B0EF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vAlign w:val="top"/>
          </w:tcPr>
          <w:p w14:paraId="38CB9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046" w:type="pct"/>
            <w:tcBorders>
              <w:tl2br w:val="nil"/>
              <w:tr2bl w:val="nil"/>
            </w:tcBorders>
            <w:vAlign w:val="top"/>
          </w:tcPr>
          <w:p w14:paraId="6A26B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918" w:type="pct"/>
            <w:tcBorders>
              <w:tl2br w:val="nil"/>
              <w:tr2bl w:val="nil"/>
            </w:tcBorders>
            <w:vAlign w:val="top"/>
          </w:tcPr>
          <w:p w14:paraId="3A2DA2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894" w:type="pct"/>
            <w:tcBorders>
              <w:tl2br w:val="nil"/>
              <w:tr2bl w:val="nil"/>
            </w:tcBorders>
            <w:vAlign w:val="top"/>
          </w:tcPr>
          <w:p w14:paraId="4F853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671" w:type="pct"/>
            <w:tcBorders>
              <w:tl2br w:val="nil"/>
              <w:tr2bl w:val="nil"/>
            </w:tcBorders>
            <w:vAlign w:val="top"/>
          </w:tcPr>
          <w:p w14:paraId="4E157B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48D25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vAlign w:val="top"/>
          </w:tcPr>
          <w:p w14:paraId="4E6980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46" w:type="pct"/>
            <w:tcBorders>
              <w:tl2br w:val="nil"/>
              <w:tr2bl w:val="nil"/>
            </w:tcBorders>
            <w:vAlign w:val="top"/>
          </w:tcPr>
          <w:p w14:paraId="3C549C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918" w:type="pct"/>
            <w:tcBorders>
              <w:tl2br w:val="nil"/>
              <w:tr2bl w:val="nil"/>
            </w:tcBorders>
            <w:vAlign w:val="top"/>
          </w:tcPr>
          <w:p w14:paraId="6CD98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894" w:type="pct"/>
            <w:tcBorders>
              <w:tl2br w:val="nil"/>
              <w:tr2bl w:val="nil"/>
            </w:tcBorders>
            <w:vAlign w:val="top"/>
          </w:tcPr>
          <w:p w14:paraId="4216FD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671" w:type="pct"/>
            <w:tcBorders>
              <w:tl2br w:val="nil"/>
              <w:tr2bl w:val="nil"/>
            </w:tcBorders>
            <w:vAlign w:val="top"/>
          </w:tcPr>
          <w:p w14:paraId="7ED733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bl>
    <w:p w14:paraId="624E56FC">
      <w:pPr>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highlight w:val="none"/>
        </w:rPr>
        <w:t>注：如实填写</w:t>
      </w:r>
      <w:r>
        <w:rPr>
          <w:rFonts w:hint="eastAsia" w:ascii="宋体" w:hAnsi="宋体" w:cs="宋体"/>
          <w:color w:val="auto"/>
          <w:sz w:val="21"/>
          <w:szCs w:val="21"/>
          <w:highlight w:val="none"/>
          <w:lang w:val="en-US" w:eastAsia="zh-CN"/>
        </w:rPr>
        <w:t>上述表格中内容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若无控股/管理单位</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自然人控股股东</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兄弟单位关联企业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则在上述表格中填写“无”。</w:t>
      </w:r>
      <w:bookmarkEnd w:id="1248"/>
      <w:bookmarkEnd w:id="1250"/>
    </w:p>
    <w:p w14:paraId="5CE7628F">
      <w:pP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br w:type="page"/>
      </w:r>
    </w:p>
    <w:p w14:paraId="6DED3287">
      <w:pPr>
        <w:pStyle w:val="21"/>
        <w:spacing w:line="360" w:lineRule="auto"/>
        <w:ind w:firstLine="422" w:firstLineChars="200"/>
        <w:rPr>
          <w:rFonts w:hint="default" w:eastAsia="宋体"/>
          <w:b/>
          <w:bCs w:val="0"/>
          <w:sz w:val="21"/>
          <w:szCs w:val="16"/>
          <w:lang w:val="en-US" w:eastAsia="zh-CN"/>
        </w:rPr>
      </w:pPr>
      <w:r>
        <w:rPr>
          <w:rFonts w:hint="eastAsia" w:ascii="宋体" w:hAnsi="宋体" w:eastAsia="宋体" w:cs="宋体"/>
          <w:b/>
          <w:bCs w:val="0"/>
          <w:color w:val="auto"/>
          <w:kern w:val="2"/>
          <w:sz w:val="21"/>
          <w:szCs w:val="21"/>
          <w:lang w:val="en-US" w:eastAsia="zh-CN" w:bidi="ar"/>
        </w:rPr>
        <w:t>2、为采购项目提供整体设计、规范编制或者项目管理、监理、检测等服务的投标人，不得再参加该采购项目的其他采购活动</w:t>
      </w:r>
      <w:r>
        <w:rPr>
          <w:rFonts w:hint="eastAsia" w:ascii="宋体" w:hAnsi="宋体" w:cs="宋体"/>
          <w:b/>
          <w:bCs w:val="0"/>
          <w:color w:val="auto"/>
          <w:kern w:val="2"/>
          <w:sz w:val="21"/>
          <w:szCs w:val="21"/>
          <w:lang w:val="en-US" w:eastAsia="zh-CN" w:bidi="ar"/>
        </w:rPr>
        <w:t>（</w:t>
      </w:r>
      <w:r>
        <w:rPr>
          <w:rFonts w:hint="eastAsia" w:ascii="宋体" w:hAnsi="宋体" w:cs="宋体"/>
          <w:b/>
          <w:bCs w:val="0"/>
          <w:color w:val="auto"/>
          <w:szCs w:val="21"/>
          <w:lang w:val="en-US" w:eastAsia="zh-CN"/>
        </w:rPr>
        <w:t>提供</w:t>
      </w:r>
      <w:r>
        <w:rPr>
          <w:rFonts w:hint="eastAsia" w:ascii="宋体" w:hAnsi="宋体" w:cs="宋体"/>
          <w:b/>
          <w:bCs w:val="0"/>
          <w:color w:val="auto"/>
          <w:szCs w:val="21"/>
        </w:rPr>
        <w:t>承诺</w:t>
      </w:r>
      <w:r>
        <w:rPr>
          <w:rFonts w:hint="eastAsia" w:ascii="宋体" w:hAnsi="宋体" w:cs="宋体"/>
          <w:b/>
          <w:bCs w:val="0"/>
          <w:color w:val="auto"/>
          <w:szCs w:val="21"/>
          <w:lang w:val="en-US" w:eastAsia="zh-CN"/>
        </w:rPr>
        <w:t>书</w:t>
      </w:r>
      <w:r>
        <w:rPr>
          <w:rFonts w:hint="eastAsia" w:ascii="宋体" w:hAnsi="宋体" w:cs="宋体"/>
          <w:b/>
          <w:bCs w:val="0"/>
          <w:color w:val="auto"/>
          <w:kern w:val="2"/>
          <w:sz w:val="21"/>
          <w:szCs w:val="21"/>
          <w:lang w:val="en-US" w:eastAsia="zh-CN" w:bidi="ar"/>
        </w:rPr>
        <w:t>）。</w:t>
      </w:r>
    </w:p>
    <w:p w14:paraId="3819644E">
      <w:pPr>
        <w:pStyle w:val="21"/>
        <w:spacing w:line="360" w:lineRule="auto"/>
        <w:ind w:firstLine="465"/>
        <w:rPr>
          <w:rFonts w:cs="宋体"/>
          <w:color w:val="auto"/>
          <w:kern w:val="0"/>
          <w:sz w:val="21"/>
          <w:szCs w:val="16"/>
        </w:rPr>
      </w:pPr>
    </w:p>
    <w:p w14:paraId="31932E39">
      <w:pPr>
        <w:spacing w:before="120" w:beforeLines="50" w:line="360" w:lineRule="auto"/>
        <w:ind w:firstLine="357"/>
        <w:rPr>
          <w:rFonts w:asciiTheme="minorEastAsia" w:hAnsiTheme="minorEastAsia" w:eastAsiaTheme="minorEastAsia"/>
        </w:rPr>
      </w:pPr>
    </w:p>
    <w:p w14:paraId="2FDDF66A">
      <w:pPr>
        <w:spacing w:line="360" w:lineRule="auto"/>
        <w:rPr>
          <w:rFonts w:cs="宋体" w:asciiTheme="minorEastAsia" w:hAnsiTheme="minorEastAsia" w:eastAsiaTheme="minorEastAsia"/>
          <w:szCs w:val="21"/>
        </w:rPr>
      </w:pPr>
    </w:p>
    <w:p w14:paraId="32990E0B">
      <w:pPr>
        <w:pStyle w:val="21"/>
        <w:rPr>
          <w:rFonts w:asciiTheme="minorEastAsia" w:hAnsiTheme="minorEastAsia" w:eastAsiaTheme="minorEastAsia"/>
          <w:color w:val="auto"/>
        </w:rPr>
      </w:pPr>
    </w:p>
    <w:p w14:paraId="76D72DA5">
      <w:pPr>
        <w:rPr>
          <w:rFonts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5790FFA1">
      <w:pPr>
        <w:spacing w:line="360" w:lineRule="auto"/>
        <w:jc w:val="center"/>
        <w:outlineLvl w:val="2"/>
        <w:rPr>
          <w:rFonts w:asciiTheme="minorEastAsia" w:hAnsiTheme="minorEastAsia" w:eastAsiaTheme="minorEastAsia"/>
          <w:sz w:val="28"/>
          <w:szCs w:val="28"/>
        </w:rPr>
      </w:pPr>
      <w:bookmarkStart w:id="1255" w:name="_Toc30960"/>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七</w:t>
      </w:r>
      <w:r>
        <w:rPr>
          <w:rFonts w:hint="eastAsia" w:asciiTheme="minorEastAsia" w:hAnsiTheme="minorEastAsia" w:eastAsiaTheme="minorEastAsia"/>
          <w:b/>
          <w:sz w:val="28"/>
          <w:szCs w:val="28"/>
        </w:rPr>
        <w:t>）特定资格要求</w:t>
      </w:r>
    </w:p>
    <w:p w14:paraId="4BAD35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投标人</w:t>
      </w:r>
      <w:r>
        <w:rPr>
          <w:rFonts w:hint="eastAsia"/>
        </w:rPr>
        <w:t>若为生产厂家的须提供有效的农药生产许可证，并提供所投产品有效的农药三证（即：农药登记证、农药生产许可证或农药生产批准文件、农药质量标准），若为经销商的须提供有效的农药经营许可证，并提供所投产品生产厂家有效的农药三证（即：农药登记证、农药生产许可证或农药生产批准文件、农药质量标准）</w:t>
      </w:r>
    </w:p>
    <w:p w14:paraId="5CA1A9CF">
      <w:pP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1F3B801F">
      <w:pPr>
        <w:spacing w:line="360" w:lineRule="auto"/>
        <w:ind w:firstLine="602"/>
        <w:jc w:val="center"/>
        <w:outlineLvl w:val="1"/>
        <w:rPr>
          <w:rFonts w:asciiTheme="minorEastAsia" w:hAnsiTheme="minorEastAsia" w:eastAsiaTheme="minorEastAsia"/>
          <w:b/>
          <w:sz w:val="30"/>
          <w:szCs w:val="30"/>
        </w:rPr>
      </w:pPr>
      <w:r>
        <w:rPr>
          <w:rFonts w:hint="eastAsia" w:asciiTheme="minorEastAsia" w:hAnsiTheme="minorEastAsia" w:eastAsiaTheme="minorEastAsia"/>
          <w:b/>
          <w:sz w:val="30"/>
          <w:szCs w:val="30"/>
        </w:rPr>
        <w:t>二、</w:t>
      </w:r>
      <w:bookmarkEnd w:id="1243"/>
      <w:r>
        <w:rPr>
          <w:rFonts w:hint="eastAsia" w:asciiTheme="minorEastAsia" w:hAnsiTheme="minorEastAsia" w:eastAsiaTheme="minorEastAsia"/>
          <w:b/>
          <w:sz w:val="30"/>
          <w:szCs w:val="30"/>
        </w:rPr>
        <w:t>投标函部分</w:t>
      </w:r>
      <w:bookmarkEnd w:id="1255"/>
    </w:p>
    <w:p w14:paraId="01503F01">
      <w:pPr>
        <w:spacing w:line="360" w:lineRule="auto"/>
        <w:ind w:firstLine="562"/>
        <w:jc w:val="center"/>
        <w:outlineLvl w:val="2"/>
        <w:rPr>
          <w:rFonts w:asciiTheme="minorEastAsia" w:hAnsiTheme="minorEastAsia" w:eastAsiaTheme="minorEastAsia"/>
          <w:b/>
          <w:sz w:val="28"/>
          <w:szCs w:val="28"/>
        </w:rPr>
      </w:pPr>
      <w:bookmarkStart w:id="1256" w:name="_Toc116584073"/>
      <w:r>
        <w:rPr>
          <w:rFonts w:hint="eastAsia" w:asciiTheme="minorEastAsia" w:hAnsiTheme="minorEastAsia" w:eastAsiaTheme="minorEastAsia"/>
          <w:b/>
          <w:sz w:val="28"/>
          <w:szCs w:val="28"/>
        </w:rPr>
        <w:t>（一）投标</w:t>
      </w:r>
      <w:r>
        <w:rPr>
          <w:rFonts w:asciiTheme="minorEastAsia" w:hAnsiTheme="minorEastAsia" w:eastAsiaTheme="minorEastAsia"/>
          <w:b/>
          <w:sz w:val="28"/>
          <w:szCs w:val="28"/>
        </w:rPr>
        <w:t>函</w:t>
      </w:r>
      <w:bookmarkEnd w:id="1256"/>
    </w:p>
    <w:p w14:paraId="3EFF267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（采购人名称）</w:t>
      </w:r>
    </w:p>
    <w:p w14:paraId="557AE224">
      <w:pPr>
        <w:wordWrap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、根据你方采购项目编号为</w:t>
      </w:r>
      <w:r>
        <w:rPr>
          <w:rFonts w:hint="eastAsia" w:asciiTheme="minorEastAsia" w:hAnsiTheme="minorEastAsia" w:eastAsiaTheme="minorEastAsia"/>
          <w:szCs w:val="21"/>
          <w:u w:val="single"/>
        </w:rPr>
        <w:t xml:space="preserve">  （项目编号）  </w:t>
      </w:r>
      <w:r>
        <w:rPr>
          <w:rFonts w:hint="eastAsia" w:asciiTheme="minorEastAsia" w:hAnsiTheme="minorEastAsia" w:eastAsiaTheme="minorEastAsia"/>
          <w:szCs w:val="21"/>
        </w:rPr>
        <w:t>的</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（项目名称）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招标文件，遵照《中华人民共和国政府采购法》、《中华人民共和国政府采购法实施条例》等相关法律法规的规定，经研究上述招标文件的投标人须知及采购需求后，</w:t>
      </w:r>
      <w:r>
        <w:rPr>
          <w:rFonts w:hint="eastAsia" w:asciiTheme="minorEastAsia" w:hAnsiTheme="minorEastAsia" w:eastAsiaTheme="minorEastAsia"/>
          <w:snapToGrid w:val="0"/>
          <w:kern w:val="0"/>
          <w:szCs w:val="21"/>
        </w:rPr>
        <w:t>我公司现</w:t>
      </w:r>
      <w:r>
        <w:rPr>
          <w:rFonts w:hint="eastAsia" w:asciiTheme="minorEastAsia" w:hAnsiTheme="minorEastAsia" w:eastAsiaTheme="minorEastAsia"/>
        </w:rPr>
        <w:t>参与本项目投标。</w:t>
      </w:r>
    </w:p>
    <w:p w14:paraId="202AF88D">
      <w:pPr>
        <w:wordWrap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、我方承诺我方所递交的投标文件在招标文件第二章“投标人须知”前附表第3</w:t>
      </w:r>
      <w:r>
        <w:rPr>
          <w:rFonts w:asciiTheme="minorEastAsia" w:hAnsiTheme="minorEastAsia" w:eastAsiaTheme="minorEastAsia"/>
          <w:szCs w:val="21"/>
        </w:rPr>
        <w:t>.3.1</w:t>
      </w:r>
      <w:r>
        <w:rPr>
          <w:rFonts w:hint="eastAsia" w:asciiTheme="minorEastAsia" w:hAnsiTheme="minorEastAsia" w:eastAsiaTheme="minorEastAsia"/>
          <w:szCs w:val="21"/>
        </w:rPr>
        <w:t>项规定的投标有效期内有效。</w:t>
      </w:r>
    </w:p>
    <w:p w14:paraId="0B7F2F6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如我方</w:t>
      </w:r>
      <w:r>
        <w:rPr>
          <w:rFonts w:hint="eastAsia" w:asciiTheme="minorEastAsia" w:hAnsiTheme="minorEastAsia" w:eastAsiaTheme="minorEastAsia"/>
          <w:szCs w:val="21"/>
        </w:rPr>
        <w:t>中标</w:t>
      </w:r>
      <w:r>
        <w:rPr>
          <w:rFonts w:asciiTheme="minorEastAsia" w:hAnsiTheme="minorEastAsia" w:eastAsiaTheme="minorEastAsia"/>
          <w:szCs w:val="21"/>
        </w:rPr>
        <w:t>：</w:t>
      </w:r>
    </w:p>
    <w:p w14:paraId="52401F92">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（1）我方承诺在收到</w:t>
      </w:r>
      <w:r>
        <w:rPr>
          <w:rFonts w:hint="eastAsia" w:asciiTheme="minorEastAsia" w:hAnsiTheme="minorEastAsia" w:eastAsiaTheme="minorEastAsia"/>
          <w:szCs w:val="21"/>
        </w:rPr>
        <w:t>中标通知书</w:t>
      </w:r>
      <w:r>
        <w:rPr>
          <w:rFonts w:asciiTheme="minorEastAsia" w:hAnsiTheme="minorEastAsia" w:eastAsiaTheme="minorEastAsia"/>
          <w:szCs w:val="21"/>
        </w:rPr>
        <w:t>后，在</w:t>
      </w:r>
      <w:r>
        <w:rPr>
          <w:rFonts w:hint="eastAsia" w:asciiTheme="minorEastAsia" w:hAnsiTheme="minorEastAsia" w:eastAsiaTheme="minorEastAsia"/>
          <w:szCs w:val="21"/>
        </w:rPr>
        <w:t>中标通知书</w:t>
      </w:r>
      <w:r>
        <w:rPr>
          <w:rFonts w:asciiTheme="minorEastAsia" w:hAnsiTheme="minorEastAsia" w:eastAsiaTheme="minorEastAsia"/>
          <w:szCs w:val="21"/>
        </w:rPr>
        <w:t>规定的期限内与你方签订合同</w:t>
      </w:r>
      <w:r>
        <w:rPr>
          <w:rFonts w:hint="eastAsia" w:asciiTheme="minorEastAsia" w:hAnsiTheme="minorEastAsia" w:eastAsiaTheme="minorEastAsia"/>
          <w:szCs w:val="21"/>
        </w:rPr>
        <w:t>；</w:t>
      </w:r>
    </w:p>
    <w:p w14:paraId="06A774BF">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）我方承诺在合同约定的期限内完成</w:t>
      </w:r>
      <w:r>
        <w:rPr>
          <w:rFonts w:hint="eastAsia" w:asciiTheme="minorEastAsia" w:hAnsiTheme="minorEastAsia" w:eastAsiaTheme="minorEastAsia"/>
          <w:szCs w:val="21"/>
        </w:rPr>
        <w:t>所有工作内容</w:t>
      </w:r>
      <w:r>
        <w:rPr>
          <w:rFonts w:asciiTheme="minorEastAsia" w:hAnsiTheme="minorEastAsia" w:eastAsiaTheme="minorEastAsia"/>
          <w:szCs w:val="21"/>
        </w:rPr>
        <w:t>。</w:t>
      </w:r>
    </w:p>
    <w:p w14:paraId="7CE7393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我方在此声明，所</w:t>
      </w:r>
      <w:r>
        <w:rPr>
          <w:rFonts w:hint="eastAsia" w:asciiTheme="minorEastAsia" w:hAnsiTheme="minorEastAsia" w:eastAsiaTheme="minorEastAsia"/>
          <w:szCs w:val="21"/>
        </w:rPr>
        <w:t>递交</w:t>
      </w:r>
      <w:r>
        <w:rPr>
          <w:rFonts w:asciiTheme="minorEastAsia" w:hAnsiTheme="minorEastAsia" w:eastAsiaTheme="minorEastAsia"/>
          <w:szCs w:val="21"/>
        </w:rPr>
        <w:t>的</w:t>
      </w:r>
      <w:r>
        <w:rPr>
          <w:rFonts w:hint="eastAsia" w:asciiTheme="minorEastAsia" w:hAnsiTheme="minorEastAsia" w:eastAsiaTheme="minorEastAsia"/>
          <w:szCs w:val="21"/>
        </w:rPr>
        <w:t>投标文件</w:t>
      </w:r>
      <w:r>
        <w:rPr>
          <w:rFonts w:asciiTheme="minorEastAsia" w:hAnsiTheme="minorEastAsia" w:eastAsiaTheme="minorEastAsia"/>
          <w:szCs w:val="21"/>
        </w:rPr>
        <w:t>及有关资料内容完整、真实和准确。</w:t>
      </w:r>
    </w:p>
    <w:p w14:paraId="675E2AD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5、在合同协议书正式签署生效之前，本投标函连同你方的中标通知书将构成我们双方之间共同遵守的文件，对双方具有约束力。</w:t>
      </w:r>
    </w:p>
    <w:p w14:paraId="21A0864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（其他补充说明）。</w:t>
      </w:r>
    </w:p>
    <w:p w14:paraId="011A67D9">
      <w:pPr>
        <w:autoSpaceDE w:val="0"/>
        <w:autoSpaceDN w:val="0"/>
        <w:adjustRightInd w:val="0"/>
        <w:spacing w:line="360" w:lineRule="auto"/>
        <w:rPr>
          <w:rFonts w:asciiTheme="minorEastAsia" w:hAnsiTheme="minorEastAsia" w:eastAsiaTheme="minorEastAsia"/>
          <w:szCs w:val="21"/>
        </w:rPr>
      </w:pPr>
    </w:p>
    <w:p w14:paraId="10BBD843">
      <w:pPr>
        <w:autoSpaceDE w:val="0"/>
        <w:autoSpaceDN w:val="0"/>
        <w:adjustRightInd w:val="0"/>
        <w:spacing w:line="360" w:lineRule="auto"/>
        <w:rPr>
          <w:rFonts w:asciiTheme="minorEastAsia" w:hAnsiTheme="minorEastAsia" w:eastAsiaTheme="minorEastAsia"/>
          <w:szCs w:val="21"/>
        </w:rPr>
      </w:pPr>
    </w:p>
    <w:p w14:paraId="7D817477">
      <w:pPr>
        <w:autoSpaceDE w:val="0"/>
        <w:autoSpaceDN w:val="0"/>
        <w:adjustRightInd w:val="0"/>
        <w:spacing w:line="480" w:lineRule="auto"/>
        <w:rPr>
          <w:rFonts w:asciiTheme="minorEastAsia" w:hAnsiTheme="minorEastAsia" w:eastAsiaTheme="minorEastAsia"/>
          <w:szCs w:val="21"/>
        </w:rPr>
      </w:pPr>
    </w:p>
    <w:p w14:paraId="24FE93A4">
      <w:pPr>
        <w:autoSpaceDE w:val="0"/>
        <w:autoSpaceDN w:val="0"/>
        <w:adjustRightInd w:val="0"/>
        <w:spacing w:line="360" w:lineRule="auto"/>
        <w:ind w:firstLine="3968" w:firstLineChars="1890"/>
        <w:jc w:val="left"/>
        <w:rPr>
          <w:rFonts w:asciiTheme="minorEastAsia" w:hAnsiTheme="minorEastAsia" w:eastAsiaTheme="minorEastAsia"/>
          <w:bCs/>
          <w:szCs w:val="21"/>
        </w:rPr>
      </w:pPr>
      <w:r>
        <w:rPr>
          <w:rFonts w:hint="eastAsia" w:asciiTheme="minorEastAsia" w:hAnsiTheme="minorEastAsia" w:eastAsiaTheme="minorEastAsia"/>
          <w:bCs/>
          <w:szCs w:val="21"/>
        </w:rPr>
        <w:t>投标人：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14DC42CC">
      <w:pPr>
        <w:autoSpaceDE w:val="0"/>
        <w:autoSpaceDN w:val="0"/>
        <w:adjustRightInd w:val="0"/>
        <w:spacing w:line="360" w:lineRule="auto"/>
        <w:ind w:firstLine="3968" w:firstLineChars="1890"/>
        <w:jc w:val="left"/>
        <w:rPr>
          <w:rFonts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 xml:space="preserve"> (电子签章)</w:t>
      </w:r>
      <w:r>
        <w:rPr>
          <w:rFonts w:asciiTheme="minorEastAsia" w:hAnsiTheme="minorEastAsia" w:eastAsiaTheme="minorEastAsia"/>
          <w:bCs/>
          <w:szCs w:val="21"/>
          <w:u w:val="single"/>
        </w:rPr>
        <w:t xml:space="preserve"> </w:t>
      </w:r>
    </w:p>
    <w:p w14:paraId="406CD570">
      <w:pPr>
        <w:autoSpaceDE w:val="0"/>
        <w:autoSpaceDN w:val="0"/>
        <w:adjustRightInd w:val="0"/>
        <w:spacing w:line="360" w:lineRule="auto"/>
        <w:ind w:firstLine="3968" w:firstLineChars="1890"/>
        <w:jc w:val="left"/>
        <w:rPr>
          <w:rFonts w:asciiTheme="minorEastAsia" w:hAnsiTheme="minorEastAsia" w:eastAsiaTheme="minorEastAsia"/>
          <w:bCs/>
          <w:szCs w:val="21"/>
          <w:u w:val="single"/>
        </w:rPr>
      </w:pPr>
      <w:r>
        <w:rPr>
          <w:rFonts w:hint="eastAsia" w:asciiTheme="minorEastAsia" w:hAnsiTheme="minorEastAsia" w:eastAsiaTheme="minorEastAsia"/>
          <w:bCs/>
          <w:szCs w:val="21"/>
        </w:rPr>
        <w:t>地址：</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p w14:paraId="35A78234">
      <w:pPr>
        <w:autoSpaceDE w:val="0"/>
        <w:autoSpaceDN w:val="0"/>
        <w:adjustRightInd w:val="0"/>
        <w:spacing w:line="360" w:lineRule="auto"/>
        <w:ind w:firstLine="3968" w:firstLineChars="1890"/>
        <w:jc w:val="left"/>
        <w:rPr>
          <w:rFonts w:asciiTheme="minorEastAsia" w:hAnsiTheme="minorEastAsia" w:eastAsiaTheme="minorEastAsia"/>
          <w:bCs/>
          <w:szCs w:val="21"/>
          <w:u w:val="single"/>
        </w:rPr>
      </w:pPr>
      <w:r>
        <w:rPr>
          <w:rFonts w:hint="eastAsia" w:asciiTheme="minorEastAsia" w:hAnsiTheme="minorEastAsia" w:eastAsiaTheme="minorEastAsia"/>
          <w:bCs/>
          <w:szCs w:val="21"/>
        </w:rPr>
        <w:t>电话：</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p w14:paraId="419BDD13">
      <w:pPr>
        <w:autoSpaceDE w:val="0"/>
        <w:autoSpaceDN w:val="0"/>
        <w:adjustRightInd w:val="0"/>
        <w:spacing w:line="360" w:lineRule="auto"/>
        <w:ind w:firstLine="3968" w:firstLineChars="1890"/>
        <w:jc w:val="left"/>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14:paraId="463FC434">
      <w:pPr>
        <w:widowControl/>
        <w:ind w:firstLine="562"/>
        <w:jc w:val="left"/>
        <w:rPr>
          <w:rFonts w:asciiTheme="minorEastAsia" w:hAnsiTheme="minorEastAsia" w:eastAsiaTheme="minorEastAsia"/>
          <w:b/>
          <w:sz w:val="28"/>
          <w:szCs w:val="28"/>
        </w:rPr>
      </w:pPr>
      <w:bookmarkStart w:id="1257" w:name="_Toc116584074"/>
      <w:r>
        <w:rPr>
          <w:rFonts w:asciiTheme="minorEastAsia" w:hAnsiTheme="minorEastAsia" w:eastAsiaTheme="minorEastAsia"/>
          <w:b/>
          <w:sz w:val="28"/>
          <w:szCs w:val="28"/>
        </w:rPr>
        <w:br w:type="page"/>
      </w:r>
    </w:p>
    <w:p w14:paraId="7542B885">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（二）</w:t>
      </w:r>
      <w:r>
        <w:rPr>
          <w:rFonts w:asciiTheme="minorEastAsia" w:hAnsiTheme="minorEastAsia" w:eastAsiaTheme="minorEastAsia"/>
          <w:b/>
          <w:sz w:val="28"/>
          <w:szCs w:val="28"/>
        </w:rPr>
        <w:t>法定代表人身份证明</w:t>
      </w:r>
      <w:bookmarkEnd w:id="1257"/>
      <w:r>
        <w:rPr>
          <w:rFonts w:hint="eastAsia" w:asciiTheme="minorEastAsia" w:hAnsiTheme="minorEastAsia" w:eastAsiaTheme="minorEastAsia"/>
          <w:b/>
          <w:sz w:val="28"/>
          <w:szCs w:val="28"/>
        </w:rPr>
        <w:t>及授权委托书</w:t>
      </w:r>
    </w:p>
    <w:p w14:paraId="4D7131A8">
      <w:pPr>
        <w:spacing w:line="360" w:lineRule="auto"/>
        <w:ind w:firstLine="562"/>
        <w:jc w:val="center"/>
        <w:outlineLvl w:val="3"/>
        <w:rPr>
          <w:rFonts w:asciiTheme="minorEastAsia" w:hAnsiTheme="minorEastAsia" w:eastAsiaTheme="minorEastAsia"/>
          <w:b/>
          <w:sz w:val="28"/>
          <w:szCs w:val="28"/>
        </w:rPr>
      </w:pPr>
      <w:r>
        <w:rPr>
          <w:rFonts w:hint="eastAsia" w:asciiTheme="minorEastAsia" w:hAnsiTheme="minorEastAsia" w:eastAsiaTheme="minorEastAsia"/>
          <w:b/>
          <w:sz w:val="28"/>
          <w:szCs w:val="28"/>
        </w:rPr>
        <w:t>1、</w:t>
      </w:r>
      <w:r>
        <w:rPr>
          <w:rFonts w:asciiTheme="minorEastAsia" w:hAnsiTheme="minorEastAsia" w:eastAsiaTheme="minorEastAsia"/>
          <w:b/>
          <w:sz w:val="28"/>
          <w:szCs w:val="28"/>
        </w:rPr>
        <w:t>法定代表人身份证明</w:t>
      </w:r>
    </w:p>
    <w:p w14:paraId="350E345A">
      <w:pPr>
        <w:spacing w:line="360" w:lineRule="auto"/>
        <w:rPr>
          <w:rFonts w:asciiTheme="minorEastAsia" w:hAnsiTheme="minorEastAsia" w:eastAsiaTheme="minorEastAsia"/>
        </w:rPr>
      </w:pPr>
    </w:p>
    <w:p w14:paraId="41EA77C3">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投标人：</w:t>
      </w:r>
      <w:r>
        <w:rPr>
          <w:rFonts w:hint="eastAsia" w:cs="仿宋_GB2312" w:asciiTheme="minorEastAsia" w:hAnsiTheme="minorEastAsia" w:eastAsiaTheme="minorEastAsia"/>
          <w:szCs w:val="21"/>
          <w:u w:val="single"/>
        </w:rPr>
        <w:t xml:space="preserve">                                           </w:t>
      </w:r>
    </w:p>
    <w:p w14:paraId="5C6DFB36">
      <w:pPr>
        <w:spacing w:line="360" w:lineRule="auto"/>
        <w:ind w:firstLine="539" w:firstLineChars="257"/>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单位性质：</w:t>
      </w:r>
      <w:r>
        <w:rPr>
          <w:rFonts w:hint="eastAsia" w:cs="仿宋_GB2312" w:asciiTheme="minorEastAsia" w:hAnsiTheme="minorEastAsia" w:eastAsiaTheme="minorEastAsia"/>
          <w:szCs w:val="21"/>
          <w:u w:val="single"/>
        </w:rPr>
        <w:t xml:space="preserve">                                         </w:t>
      </w:r>
    </w:p>
    <w:p w14:paraId="4966F9C8">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地    址：</w:t>
      </w:r>
      <w:r>
        <w:rPr>
          <w:rFonts w:hint="eastAsia" w:cs="仿宋_GB2312" w:asciiTheme="minorEastAsia" w:hAnsiTheme="minorEastAsia" w:eastAsiaTheme="minorEastAsia"/>
          <w:szCs w:val="21"/>
          <w:u w:val="single"/>
        </w:rPr>
        <w:t xml:space="preserve">                                         </w:t>
      </w:r>
    </w:p>
    <w:p w14:paraId="3106C4E1">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成立时间：</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日</w:t>
      </w:r>
    </w:p>
    <w:p w14:paraId="0E4FC195">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经营期限：</w:t>
      </w:r>
      <w:r>
        <w:rPr>
          <w:rFonts w:hint="eastAsia" w:cs="仿宋_GB2312" w:asciiTheme="minorEastAsia" w:hAnsiTheme="minorEastAsia" w:eastAsiaTheme="minorEastAsia"/>
          <w:szCs w:val="21"/>
          <w:u w:val="single"/>
        </w:rPr>
        <w:t xml:space="preserve">                                         </w:t>
      </w:r>
    </w:p>
    <w:p w14:paraId="5C2D3176">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姓    名：</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 xml:space="preserve">    性    别：</w:t>
      </w:r>
      <w:r>
        <w:rPr>
          <w:rFonts w:hint="eastAsia" w:cs="仿宋_GB2312" w:asciiTheme="minorEastAsia" w:hAnsiTheme="minorEastAsia" w:eastAsiaTheme="minorEastAsia"/>
          <w:szCs w:val="21"/>
          <w:u w:val="single"/>
        </w:rPr>
        <w:t xml:space="preserve">           </w:t>
      </w:r>
    </w:p>
    <w:p w14:paraId="5E6FCAFF">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年    龄：</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 xml:space="preserve">    职    务：</w:t>
      </w:r>
      <w:r>
        <w:rPr>
          <w:rFonts w:hint="eastAsia" w:cs="仿宋_GB2312" w:asciiTheme="minorEastAsia" w:hAnsiTheme="minorEastAsia" w:eastAsiaTheme="minorEastAsia"/>
          <w:szCs w:val="21"/>
          <w:u w:val="single"/>
        </w:rPr>
        <w:t xml:space="preserve">           </w:t>
      </w:r>
    </w:p>
    <w:p w14:paraId="2466E53C">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系</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（投标人）的法定代表人。</w:t>
      </w:r>
    </w:p>
    <w:p w14:paraId="2DEEDFB2">
      <w:pPr>
        <w:autoSpaceDE w:val="0"/>
        <w:autoSpaceDN w:val="0"/>
        <w:adjustRightInd w:val="0"/>
        <w:spacing w:line="360" w:lineRule="auto"/>
        <w:ind w:firstLine="420"/>
        <w:jc w:val="center"/>
        <w:rPr>
          <w:rFonts w:asciiTheme="minorEastAsia" w:hAnsiTheme="minorEastAsia" w:eastAsiaTheme="minorEastAsia"/>
          <w:szCs w:val="21"/>
        </w:rPr>
      </w:pPr>
    </w:p>
    <w:p w14:paraId="61625116">
      <w:pPr>
        <w:spacing w:line="360" w:lineRule="auto"/>
        <w:ind w:firstLine="539" w:firstLineChars="257"/>
        <w:rPr>
          <w:rFonts w:cs="仿宋_GB2312" w:asciiTheme="minorEastAsia" w:hAnsiTheme="minorEastAsia" w:eastAsiaTheme="minorEastAsia"/>
          <w:szCs w:val="21"/>
        </w:rPr>
      </w:pPr>
      <w:r>
        <w:rPr>
          <w:rFonts w:hint="eastAsia" w:cs="仿宋_GB2312" w:asciiTheme="minorEastAsia" w:hAnsiTheme="minorEastAsia" w:eastAsiaTheme="minorEastAsia"/>
          <w:szCs w:val="21"/>
        </w:rPr>
        <w:t>特此证明。</w:t>
      </w:r>
    </w:p>
    <w:p w14:paraId="1DC3BD31">
      <w:pPr>
        <w:autoSpaceDE w:val="0"/>
        <w:autoSpaceDN w:val="0"/>
        <w:adjustRightInd w:val="0"/>
        <w:spacing w:line="360" w:lineRule="auto"/>
        <w:ind w:firstLine="422"/>
        <w:jc w:val="center"/>
        <w:rPr>
          <w:rFonts w:asciiTheme="minorEastAsia" w:hAnsiTheme="minorEastAsia" w:eastAsiaTheme="minorEastAsia"/>
          <w:b/>
          <w:bCs/>
          <w:szCs w:val="21"/>
        </w:rPr>
      </w:pPr>
      <w:r>
        <w:rPr>
          <w:rFonts w:hint="eastAsia" w:asciiTheme="minorEastAsia" w:hAnsiTheme="minorEastAsia" w:eastAsiaTheme="minorEastAsia"/>
          <w:b/>
          <w:bCs/>
          <w:szCs w:val="21"/>
        </w:rPr>
        <w:t>附：法定代表人身份证的原件扫描件</w:t>
      </w:r>
    </w:p>
    <w:p w14:paraId="79A131A8">
      <w:pPr>
        <w:spacing w:line="360" w:lineRule="auto"/>
        <w:rPr>
          <w:rFonts w:cs="仿宋_GB2312" w:asciiTheme="minorEastAsia" w:hAnsiTheme="minorEastAsia" w:eastAsiaTheme="minorEastAsia"/>
          <w:szCs w:val="21"/>
        </w:rPr>
      </w:pPr>
    </w:p>
    <w:p w14:paraId="03524FF2">
      <w:pPr>
        <w:spacing w:line="360" w:lineRule="auto"/>
        <w:rPr>
          <w:rFonts w:cs="仿宋_GB2312" w:asciiTheme="minorEastAsia" w:hAnsiTheme="minorEastAsia" w:eastAsiaTheme="minorEastAsia"/>
          <w:szCs w:val="21"/>
        </w:rPr>
      </w:pPr>
    </w:p>
    <w:p w14:paraId="27C3293A">
      <w:pPr>
        <w:spacing w:line="360" w:lineRule="auto"/>
        <w:rPr>
          <w:rFonts w:cs="仿宋_GB2312" w:asciiTheme="minorEastAsia" w:hAnsiTheme="minorEastAsia" w:eastAsiaTheme="minorEastAsia"/>
          <w:szCs w:val="21"/>
        </w:rPr>
      </w:pPr>
    </w:p>
    <w:p w14:paraId="65609A5A">
      <w:pPr>
        <w:spacing w:line="360" w:lineRule="auto"/>
        <w:rPr>
          <w:rFonts w:cs="仿宋_GB2312" w:asciiTheme="minorEastAsia" w:hAnsiTheme="minorEastAsia" w:eastAsiaTheme="minorEastAsia"/>
          <w:szCs w:val="21"/>
        </w:rPr>
      </w:pPr>
    </w:p>
    <w:p w14:paraId="5E584418">
      <w:pPr>
        <w:spacing w:line="360" w:lineRule="auto"/>
        <w:rPr>
          <w:rFonts w:cs="仿宋_GB2312" w:asciiTheme="minorEastAsia" w:hAnsiTheme="minorEastAsia" w:eastAsiaTheme="minorEastAsia"/>
          <w:szCs w:val="21"/>
        </w:rPr>
      </w:pPr>
    </w:p>
    <w:p w14:paraId="29681AD9">
      <w:pPr>
        <w:spacing w:line="360" w:lineRule="auto"/>
        <w:rPr>
          <w:rFonts w:cs="仿宋_GB2312" w:asciiTheme="minorEastAsia" w:hAnsiTheme="minorEastAsia" w:eastAsiaTheme="minorEastAsia"/>
          <w:szCs w:val="21"/>
        </w:rPr>
      </w:pPr>
    </w:p>
    <w:p w14:paraId="442EC358">
      <w:pPr>
        <w:spacing w:line="360" w:lineRule="auto"/>
        <w:rPr>
          <w:rFonts w:cs="仿宋_GB2312" w:asciiTheme="minorEastAsia" w:hAnsiTheme="minorEastAsia" w:eastAsiaTheme="minorEastAsia"/>
          <w:szCs w:val="21"/>
        </w:rPr>
      </w:pPr>
    </w:p>
    <w:p w14:paraId="299568C6">
      <w:pPr>
        <w:spacing w:line="360" w:lineRule="auto"/>
        <w:rPr>
          <w:rFonts w:cs="仿宋_GB2312" w:asciiTheme="minorEastAsia" w:hAnsiTheme="minorEastAsia" w:eastAsiaTheme="minorEastAsia"/>
          <w:szCs w:val="21"/>
        </w:rPr>
      </w:pPr>
    </w:p>
    <w:p w14:paraId="732C12CF">
      <w:pPr>
        <w:spacing w:line="360" w:lineRule="auto"/>
        <w:rPr>
          <w:rFonts w:cs="仿宋_GB2312" w:asciiTheme="minorEastAsia" w:hAnsiTheme="minorEastAsia" w:eastAsiaTheme="minorEastAsia"/>
          <w:szCs w:val="21"/>
        </w:rPr>
      </w:pPr>
    </w:p>
    <w:p w14:paraId="3976D00D">
      <w:pPr>
        <w:spacing w:line="360" w:lineRule="auto"/>
        <w:ind w:right="105"/>
        <w:jc w:val="left"/>
        <w:rPr>
          <w:rFonts w:cs="仿宋_GB2312" w:asciiTheme="minorEastAsia" w:hAnsiTheme="minorEastAsia" w:eastAsiaTheme="minorEastAsia"/>
          <w:szCs w:val="21"/>
        </w:rPr>
      </w:pPr>
    </w:p>
    <w:p w14:paraId="23FF4497">
      <w:pPr>
        <w:spacing w:line="360" w:lineRule="auto"/>
        <w:ind w:right="105"/>
        <w:jc w:val="left"/>
        <w:rPr>
          <w:rFonts w:cs="仿宋_GB2312" w:asciiTheme="minorEastAsia" w:hAnsiTheme="minorEastAsia" w:eastAsiaTheme="minorEastAsia"/>
          <w:szCs w:val="21"/>
        </w:rPr>
      </w:pPr>
    </w:p>
    <w:p w14:paraId="353F5359">
      <w:pPr>
        <w:spacing w:line="360" w:lineRule="auto"/>
        <w:ind w:right="105"/>
        <w:jc w:val="left"/>
        <w:rPr>
          <w:rFonts w:cs="仿宋_GB2312" w:asciiTheme="minorEastAsia" w:hAnsiTheme="minorEastAsia" w:eastAsiaTheme="minorEastAsia"/>
          <w:szCs w:val="21"/>
        </w:rPr>
      </w:pPr>
    </w:p>
    <w:p w14:paraId="7F5DD6C3">
      <w:pPr>
        <w:spacing w:line="360" w:lineRule="auto"/>
        <w:ind w:right="169" w:firstLine="4252" w:firstLineChars="2025"/>
        <w:jc w:val="left"/>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投标人：</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u w:val="single"/>
        </w:rPr>
        <w:t>（</w:t>
      </w:r>
      <w:r>
        <w:rPr>
          <w:rFonts w:hint="eastAsia" w:asciiTheme="minorEastAsia" w:hAnsiTheme="minorEastAsia" w:eastAsiaTheme="minorEastAsia"/>
          <w:szCs w:val="21"/>
          <w:u w:val="single"/>
        </w:rPr>
        <w:t>电子签章</w:t>
      </w:r>
      <w:r>
        <w:rPr>
          <w:rFonts w:hint="eastAsia" w:cs="仿宋_GB2312" w:asciiTheme="minorEastAsia" w:hAnsiTheme="minorEastAsia" w:eastAsiaTheme="minorEastAsia"/>
          <w:szCs w:val="21"/>
          <w:u w:val="single"/>
        </w:rPr>
        <w:t>）</w:t>
      </w:r>
    </w:p>
    <w:p w14:paraId="748FBC75">
      <w:pPr>
        <w:spacing w:before="60" w:after="60" w:line="360" w:lineRule="auto"/>
        <w:ind w:right="420" w:firstLine="4252" w:firstLineChars="2025"/>
        <w:rPr>
          <w:rFonts w:asciiTheme="minorEastAsia" w:hAnsiTheme="minorEastAsia" w:eastAsiaTheme="minorEastAsia"/>
          <w:szCs w:val="21"/>
        </w:rPr>
      </w:pPr>
      <w:r>
        <w:rPr>
          <w:rFonts w:hint="eastAsia" w:asciiTheme="minorEastAsia" w:hAnsiTheme="minorEastAsia" w:eastAsiaTheme="minorEastAsia"/>
          <w:szCs w:val="21"/>
        </w:rPr>
        <w:t>日 期：</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3C8557AC">
      <w:pPr>
        <w:widowControl/>
        <w:spacing w:line="360" w:lineRule="auto"/>
        <w:jc w:val="left"/>
        <w:rPr>
          <w:rFonts w:cs="仿宋_GB2312" w:asciiTheme="minorEastAsia" w:hAnsiTheme="minorEastAsia" w:eastAsiaTheme="minorEastAsia"/>
          <w:szCs w:val="21"/>
        </w:rPr>
      </w:pPr>
    </w:p>
    <w:p w14:paraId="4F685572">
      <w:pPr>
        <w:spacing w:line="360" w:lineRule="auto"/>
        <w:ind w:firstLine="562"/>
        <w:jc w:val="center"/>
        <w:outlineLvl w:val="2"/>
        <w:rPr>
          <w:rFonts w:asciiTheme="minorEastAsia" w:hAnsiTheme="minorEastAsia" w:eastAsiaTheme="minorEastAsia"/>
          <w:b/>
          <w:sz w:val="28"/>
          <w:szCs w:val="28"/>
        </w:rPr>
        <w:sectPr>
          <w:headerReference r:id="rId9" w:type="first"/>
          <w:footerReference r:id="rId10" w:type="first"/>
          <w:pgSz w:w="11906" w:h="16838"/>
          <w:pgMar w:top="1440" w:right="1474" w:bottom="1440" w:left="1474" w:header="851" w:footer="851" w:gutter="0"/>
          <w:cols w:space="720" w:num="1"/>
          <w:docGrid w:linePitch="312" w:charSpace="0"/>
        </w:sectPr>
      </w:pPr>
    </w:p>
    <w:p w14:paraId="4BBE40D7">
      <w:pPr>
        <w:spacing w:line="360" w:lineRule="auto"/>
        <w:ind w:firstLine="562"/>
        <w:jc w:val="center"/>
        <w:outlineLvl w:val="3"/>
        <w:rPr>
          <w:rFonts w:asciiTheme="minorEastAsia" w:hAnsiTheme="minorEastAsia" w:eastAsiaTheme="minorEastAsia"/>
          <w:b/>
          <w:sz w:val="28"/>
          <w:szCs w:val="28"/>
        </w:rPr>
      </w:pPr>
      <w:bookmarkStart w:id="1258" w:name="_Toc116584075"/>
      <w:r>
        <w:rPr>
          <w:rFonts w:hint="eastAsia" w:asciiTheme="minorEastAsia" w:hAnsiTheme="minorEastAsia" w:eastAsiaTheme="minorEastAsia"/>
          <w:b/>
          <w:sz w:val="28"/>
          <w:szCs w:val="28"/>
        </w:rPr>
        <w:t>2、</w:t>
      </w:r>
      <w:r>
        <w:rPr>
          <w:rFonts w:asciiTheme="minorEastAsia" w:hAnsiTheme="minorEastAsia" w:eastAsiaTheme="minorEastAsia"/>
          <w:b/>
          <w:sz w:val="28"/>
          <w:szCs w:val="28"/>
        </w:rPr>
        <w:t>授权委托书</w:t>
      </w:r>
      <w:bookmarkEnd w:id="1258"/>
    </w:p>
    <w:p w14:paraId="6FC035CE">
      <w:pPr>
        <w:spacing w:line="360" w:lineRule="auto"/>
        <w:rPr>
          <w:rFonts w:asciiTheme="minorEastAsia" w:hAnsiTheme="minorEastAsia" w:eastAsiaTheme="minorEastAsia"/>
        </w:rPr>
      </w:pPr>
    </w:p>
    <w:p w14:paraId="0F413AD9">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本人</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（姓名）系</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（投标人名称）的法定代表人，现委托</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（姓名）为我方代理人。代理人根据授权，以我方名义签署、澄清、说明、补正、</w:t>
      </w:r>
      <w:r>
        <w:rPr>
          <w:rFonts w:hint="eastAsia" w:asciiTheme="minorEastAsia" w:hAnsiTheme="minorEastAsia" w:eastAsiaTheme="minorEastAsia"/>
          <w:szCs w:val="28"/>
        </w:rPr>
        <w:t>递交</w:t>
      </w:r>
      <w:r>
        <w:rPr>
          <w:rFonts w:hint="eastAsia" w:cs="仿宋_GB2312" w:asciiTheme="minorEastAsia" w:hAnsiTheme="minorEastAsia" w:eastAsiaTheme="minorEastAsia"/>
          <w:szCs w:val="21"/>
        </w:rPr>
        <w:t>、撤回、修改</w:t>
      </w:r>
      <w:r>
        <w:rPr>
          <w:rFonts w:hint="eastAsia" w:cs="仿宋_GB2312" w:asciiTheme="minorEastAsia" w:hAnsiTheme="minorEastAsia" w:eastAsiaTheme="minorEastAsia"/>
          <w:szCs w:val="21"/>
          <w:u w:val="single"/>
        </w:rPr>
        <w:t xml:space="preserve">（项目名称） </w:t>
      </w:r>
      <w:r>
        <w:rPr>
          <w:rFonts w:hint="eastAsia" w:cs="仿宋_GB2312" w:asciiTheme="minorEastAsia" w:hAnsiTheme="minorEastAsia" w:eastAsiaTheme="minorEastAsia"/>
          <w:szCs w:val="21"/>
        </w:rPr>
        <w:t>的投标文件，其法律后果由我方承担。</w:t>
      </w:r>
    </w:p>
    <w:p w14:paraId="5042458A">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委托期限：</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w:t>
      </w:r>
    </w:p>
    <w:p w14:paraId="53F00BED">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代理人无转委托权。</w:t>
      </w:r>
    </w:p>
    <w:p w14:paraId="11F8AB99">
      <w:pPr>
        <w:autoSpaceDE w:val="0"/>
        <w:autoSpaceDN w:val="0"/>
        <w:adjustRightInd w:val="0"/>
        <w:spacing w:line="360" w:lineRule="auto"/>
        <w:rPr>
          <w:rFonts w:asciiTheme="minorEastAsia" w:hAnsiTheme="minorEastAsia" w:eastAsiaTheme="minorEastAsia"/>
          <w:szCs w:val="21"/>
        </w:rPr>
      </w:pPr>
      <w:r>
        <w:rPr>
          <w:rFonts w:hint="eastAsia" w:cs="仿宋_GB2312" w:asciiTheme="minorEastAsia" w:hAnsiTheme="minorEastAsia" w:eastAsiaTheme="minorEastAsia"/>
          <w:szCs w:val="21"/>
        </w:rPr>
        <w:t xml:space="preserve">        </w:t>
      </w:r>
    </w:p>
    <w:p w14:paraId="0EDCE8F6">
      <w:pPr>
        <w:autoSpaceDE w:val="0"/>
        <w:autoSpaceDN w:val="0"/>
        <w:adjustRightInd w:val="0"/>
        <w:spacing w:line="360" w:lineRule="auto"/>
        <w:ind w:firstLine="422"/>
        <w:jc w:val="center"/>
        <w:rPr>
          <w:rFonts w:asciiTheme="minorEastAsia" w:hAnsiTheme="minorEastAsia" w:eastAsiaTheme="minorEastAsia"/>
          <w:b/>
          <w:bCs/>
          <w:szCs w:val="21"/>
        </w:rPr>
      </w:pPr>
      <w:r>
        <w:rPr>
          <w:rFonts w:hint="eastAsia" w:asciiTheme="minorEastAsia" w:hAnsiTheme="minorEastAsia" w:eastAsiaTheme="minorEastAsia"/>
          <w:b/>
          <w:bCs/>
          <w:szCs w:val="21"/>
        </w:rPr>
        <w:t>附：委托代理人身份证的原件扫描件</w:t>
      </w:r>
    </w:p>
    <w:p w14:paraId="2A994F23">
      <w:pPr>
        <w:spacing w:line="360" w:lineRule="auto"/>
        <w:ind w:firstLine="420" w:firstLineChars="200"/>
        <w:rPr>
          <w:rFonts w:cs="仿宋_GB2312" w:asciiTheme="minorEastAsia" w:hAnsiTheme="minorEastAsia" w:eastAsiaTheme="minorEastAsia"/>
          <w:szCs w:val="21"/>
        </w:rPr>
      </w:pPr>
    </w:p>
    <w:p w14:paraId="045FFC0B">
      <w:pPr>
        <w:spacing w:line="360" w:lineRule="auto"/>
        <w:ind w:firstLine="420" w:firstLineChars="200"/>
        <w:rPr>
          <w:rFonts w:cs="仿宋_GB2312" w:asciiTheme="minorEastAsia" w:hAnsiTheme="minorEastAsia" w:eastAsiaTheme="minorEastAsia"/>
          <w:szCs w:val="21"/>
        </w:rPr>
      </w:pPr>
    </w:p>
    <w:p w14:paraId="31AD528D">
      <w:pPr>
        <w:spacing w:line="360" w:lineRule="auto"/>
        <w:ind w:firstLine="420" w:firstLineChars="200"/>
        <w:rPr>
          <w:rFonts w:cs="仿宋_GB2312" w:asciiTheme="minorEastAsia" w:hAnsiTheme="minorEastAsia" w:eastAsiaTheme="minorEastAsia"/>
          <w:szCs w:val="21"/>
        </w:rPr>
      </w:pPr>
    </w:p>
    <w:p w14:paraId="4148ADB3">
      <w:pPr>
        <w:spacing w:line="360" w:lineRule="auto"/>
        <w:rPr>
          <w:rFonts w:cs="仿宋_GB2312" w:asciiTheme="minorEastAsia" w:hAnsiTheme="minorEastAsia" w:eastAsiaTheme="minorEastAsia"/>
          <w:szCs w:val="21"/>
        </w:rPr>
      </w:pPr>
    </w:p>
    <w:p w14:paraId="4CF78117">
      <w:pPr>
        <w:spacing w:line="360" w:lineRule="auto"/>
        <w:ind w:firstLine="420" w:firstLineChars="200"/>
        <w:rPr>
          <w:rFonts w:cs="仿宋_GB2312" w:asciiTheme="minorEastAsia" w:hAnsiTheme="minorEastAsia" w:eastAsiaTheme="minorEastAsia"/>
          <w:szCs w:val="21"/>
        </w:rPr>
      </w:pPr>
    </w:p>
    <w:p w14:paraId="54E1A1C7">
      <w:pPr>
        <w:spacing w:line="360" w:lineRule="auto"/>
        <w:ind w:firstLine="539" w:firstLineChars="257"/>
        <w:rPr>
          <w:rFonts w:cs="仿宋_GB2312" w:asciiTheme="minorEastAsia" w:hAnsiTheme="minorEastAsia" w:eastAsiaTheme="minorEastAsia"/>
          <w:szCs w:val="21"/>
        </w:rPr>
      </w:pPr>
    </w:p>
    <w:p w14:paraId="69757122">
      <w:pPr>
        <w:spacing w:line="360" w:lineRule="auto"/>
        <w:ind w:firstLine="539" w:firstLineChars="257"/>
        <w:rPr>
          <w:rFonts w:cs="仿宋_GB2312" w:asciiTheme="minorEastAsia" w:hAnsiTheme="minorEastAsia" w:eastAsiaTheme="minorEastAsia"/>
          <w:szCs w:val="21"/>
        </w:rPr>
      </w:pPr>
    </w:p>
    <w:p w14:paraId="1D781AA0">
      <w:pPr>
        <w:spacing w:line="360" w:lineRule="auto"/>
        <w:ind w:firstLine="539" w:firstLineChars="257"/>
        <w:rPr>
          <w:rFonts w:cs="仿宋_GB2312" w:asciiTheme="minorEastAsia" w:hAnsiTheme="minorEastAsia" w:eastAsiaTheme="minorEastAsia"/>
          <w:szCs w:val="21"/>
        </w:rPr>
      </w:pPr>
    </w:p>
    <w:p w14:paraId="411FEF25">
      <w:pPr>
        <w:spacing w:line="360" w:lineRule="auto"/>
        <w:ind w:firstLine="539" w:firstLineChars="257"/>
        <w:rPr>
          <w:rFonts w:cs="仿宋_GB2312" w:asciiTheme="minorEastAsia" w:hAnsiTheme="minorEastAsia" w:eastAsiaTheme="minorEastAsia"/>
          <w:szCs w:val="21"/>
        </w:rPr>
      </w:pPr>
    </w:p>
    <w:p w14:paraId="46223550">
      <w:pPr>
        <w:spacing w:line="360" w:lineRule="auto"/>
        <w:ind w:right="420" w:firstLine="4095" w:firstLineChars="195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投标人：</w:t>
      </w:r>
      <w:r>
        <w:rPr>
          <w:rFonts w:hint="eastAsia" w:cs="仿宋_GB2312" w:asciiTheme="minorEastAsia" w:hAnsiTheme="minorEastAsia" w:eastAsiaTheme="minorEastAsia"/>
          <w:szCs w:val="21"/>
          <w:u w:val="single"/>
        </w:rPr>
        <w:t xml:space="preserve">                 （</w:t>
      </w:r>
      <w:r>
        <w:rPr>
          <w:rFonts w:hint="eastAsia" w:asciiTheme="minorEastAsia" w:hAnsiTheme="minorEastAsia" w:eastAsiaTheme="minorEastAsia"/>
          <w:szCs w:val="21"/>
          <w:u w:val="single"/>
        </w:rPr>
        <w:t>电子签章</w:t>
      </w:r>
      <w:r>
        <w:rPr>
          <w:rFonts w:hint="eastAsia" w:cs="仿宋_GB2312" w:asciiTheme="minorEastAsia" w:hAnsiTheme="minorEastAsia" w:eastAsiaTheme="minorEastAsia"/>
          <w:szCs w:val="21"/>
          <w:u w:val="single"/>
        </w:rPr>
        <w:t>）</w:t>
      </w:r>
    </w:p>
    <w:p w14:paraId="6EEA0A83">
      <w:pPr>
        <w:wordWrap w:val="0"/>
        <w:spacing w:line="360" w:lineRule="auto"/>
        <w:ind w:right="420" w:firstLine="4095" w:firstLineChars="1950"/>
        <w:jc w:val="left"/>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法定代表人：</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u w:val="single"/>
        </w:rPr>
        <w:t>（</w:t>
      </w:r>
      <w:r>
        <w:rPr>
          <w:rFonts w:hint="eastAsia" w:asciiTheme="minorEastAsia" w:hAnsiTheme="minorEastAsia" w:eastAsiaTheme="minorEastAsia"/>
          <w:szCs w:val="21"/>
          <w:u w:val="single"/>
        </w:rPr>
        <w:t>电子签章</w:t>
      </w:r>
      <w:r>
        <w:rPr>
          <w:rFonts w:hint="eastAsia" w:cs="仿宋_GB2312" w:asciiTheme="minorEastAsia" w:hAnsiTheme="minorEastAsia" w:eastAsiaTheme="minorEastAsia"/>
          <w:szCs w:val="21"/>
          <w:u w:val="single"/>
        </w:rPr>
        <w:t>）</w:t>
      </w:r>
    </w:p>
    <w:p w14:paraId="1445A00C">
      <w:pPr>
        <w:wordWrap w:val="0"/>
        <w:spacing w:line="360" w:lineRule="auto"/>
        <w:ind w:right="464" w:firstLine="4095" w:firstLineChars="195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身份证号码：</w:t>
      </w:r>
      <w:r>
        <w:rPr>
          <w:rFonts w:hint="eastAsia" w:cs="仿宋_GB2312" w:asciiTheme="minorEastAsia" w:hAnsiTheme="minorEastAsia" w:eastAsiaTheme="minorEastAsia"/>
          <w:szCs w:val="21"/>
          <w:u w:val="single"/>
        </w:rPr>
        <w:t xml:space="preserve">                         </w:t>
      </w:r>
    </w:p>
    <w:p w14:paraId="649D75D0">
      <w:pPr>
        <w:wordWrap w:val="0"/>
        <w:spacing w:line="360" w:lineRule="auto"/>
        <w:ind w:right="420" w:firstLine="4095" w:firstLineChars="195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授权委托人：</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 xml:space="preserve">        </w:t>
      </w:r>
    </w:p>
    <w:p w14:paraId="7DA1BC35">
      <w:pPr>
        <w:wordWrap w:val="0"/>
        <w:spacing w:line="360" w:lineRule="auto"/>
        <w:ind w:right="464" w:firstLine="4095" w:firstLineChars="1950"/>
        <w:jc w:val="left"/>
        <w:rPr>
          <w:rFonts w:cs="仿宋_GB2312" w:asciiTheme="minorEastAsia" w:hAnsiTheme="minorEastAsia" w:eastAsiaTheme="minorEastAsia"/>
          <w:szCs w:val="21"/>
          <w:u w:val="single"/>
        </w:rPr>
      </w:pPr>
      <w:r>
        <w:rPr>
          <w:rFonts w:hint="eastAsia" w:cs="仿宋_GB2312" w:asciiTheme="minorEastAsia" w:hAnsiTheme="minorEastAsia" w:eastAsiaTheme="minorEastAsia"/>
          <w:szCs w:val="21"/>
        </w:rPr>
        <w:t>身份证号码：</w:t>
      </w:r>
      <w:r>
        <w:rPr>
          <w:rFonts w:hint="eastAsia" w:cs="仿宋_GB2312" w:asciiTheme="minorEastAsia" w:hAnsiTheme="minorEastAsia" w:eastAsiaTheme="minorEastAsia"/>
          <w:szCs w:val="21"/>
          <w:u w:val="single"/>
        </w:rPr>
        <w:t xml:space="preserve">                         </w:t>
      </w:r>
    </w:p>
    <w:p w14:paraId="69F8F4AE">
      <w:pPr>
        <w:wordWrap w:val="0"/>
        <w:spacing w:line="360" w:lineRule="auto"/>
        <w:ind w:right="464" w:firstLine="4095" w:firstLineChars="1950"/>
        <w:jc w:val="left"/>
        <w:rPr>
          <w:rFonts w:cs="仿宋_GB2312" w:asciiTheme="minorEastAsia" w:hAnsiTheme="minorEastAsia" w:eastAsiaTheme="minorEastAsia"/>
          <w:szCs w:val="21"/>
        </w:rPr>
      </w:pPr>
      <w:r>
        <w:rPr>
          <w:rFonts w:hint="eastAsia" w:asciiTheme="minorEastAsia" w:hAnsiTheme="minorEastAsia" w:eastAsiaTheme="minorEastAsia"/>
          <w:szCs w:val="21"/>
        </w:rPr>
        <w:t>日 期：</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3240707A">
      <w:pPr>
        <w:spacing w:before="60" w:after="60" w:line="360" w:lineRule="auto"/>
        <w:ind w:right="840"/>
        <w:jc w:val="center"/>
        <w:rPr>
          <w:rFonts w:asciiTheme="minorEastAsia" w:hAnsiTheme="minorEastAsia" w:eastAsiaTheme="minorEastAsia"/>
          <w:szCs w:val="21"/>
        </w:rPr>
      </w:pPr>
    </w:p>
    <w:p w14:paraId="0D39C4F7">
      <w:pPr>
        <w:spacing w:line="360" w:lineRule="auto"/>
        <w:ind w:right="420" w:firstLine="422"/>
        <w:rPr>
          <w:rFonts w:cs="仿宋_GB2312" w:asciiTheme="minorEastAsia" w:hAnsiTheme="minorEastAsia" w:eastAsiaTheme="minorEastAsia"/>
          <w:b/>
          <w:szCs w:val="21"/>
        </w:rPr>
      </w:pPr>
    </w:p>
    <w:p w14:paraId="3E95AA11">
      <w:pPr>
        <w:spacing w:line="360" w:lineRule="auto"/>
        <w:ind w:right="420"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注：1.如投标人由法定代表人亲自签署投标文件并参与相关活动，则不需要办理授权；如有被授权的代理人签署上述文件，则必须按本格式规定填报并递交授权书，否则被授权的代理人将不被认可。</w:t>
      </w:r>
    </w:p>
    <w:p w14:paraId="6DC53420">
      <w:pPr>
        <w:spacing w:line="360" w:lineRule="auto"/>
        <w:ind w:right="420" w:firstLine="738" w:firstLineChars="35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2.本授权委托书配合法定代表人身份证明使用方可生效。</w:t>
      </w:r>
    </w:p>
    <w:p w14:paraId="2016D1BB">
      <w:pPr>
        <w:spacing w:line="360" w:lineRule="auto"/>
        <w:ind w:right="420" w:firstLine="738" w:firstLineChars="350"/>
        <w:rPr>
          <w:rFonts w:cs="仿宋_GB2312" w:asciiTheme="minorEastAsia" w:hAnsiTheme="minorEastAsia" w:eastAsiaTheme="minorEastAsia"/>
          <w:b/>
          <w:bCs/>
          <w:szCs w:val="21"/>
        </w:rPr>
      </w:pPr>
    </w:p>
    <w:p w14:paraId="505ECB29">
      <w:pPr>
        <w:pStyle w:val="6"/>
        <w:spacing w:line="360" w:lineRule="auto"/>
        <w:rPr>
          <w:rFonts w:asciiTheme="minorEastAsia" w:hAnsiTheme="minorEastAsia" w:eastAsiaTheme="minorEastAsia"/>
        </w:rPr>
        <w:sectPr>
          <w:pgSz w:w="11906" w:h="16838"/>
          <w:pgMar w:top="1440" w:right="1474" w:bottom="1440" w:left="1474" w:header="851" w:footer="851" w:gutter="0"/>
          <w:cols w:space="720" w:num="1"/>
          <w:docGrid w:linePitch="312" w:charSpace="0"/>
        </w:sectPr>
      </w:pPr>
    </w:p>
    <w:p w14:paraId="5029FD13">
      <w:pPr>
        <w:spacing w:line="360" w:lineRule="auto"/>
        <w:ind w:firstLine="562"/>
        <w:jc w:val="center"/>
        <w:outlineLvl w:val="2"/>
        <w:rPr>
          <w:rFonts w:asciiTheme="minorEastAsia" w:hAnsiTheme="minorEastAsia" w:eastAsiaTheme="minorEastAsia"/>
          <w:b/>
          <w:sz w:val="28"/>
          <w:szCs w:val="28"/>
        </w:rPr>
      </w:pPr>
      <w:bookmarkStart w:id="1259" w:name="_Toc116584077"/>
      <w:r>
        <w:rPr>
          <w:rFonts w:hint="eastAsia" w:asciiTheme="minorEastAsia" w:hAnsiTheme="minorEastAsia" w:eastAsiaTheme="minorEastAsia"/>
          <w:b/>
          <w:sz w:val="28"/>
          <w:szCs w:val="28"/>
        </w:rPr>
        <w:t>（三）投标人承诺</w:t>
      </w:r>
      <w:r>
        <w:rPr>
          <w:rFonts w:asciiTheme="minorEastAsia" w:hAnsiTheme="minorEastAsia" w:eastAsiaTheme="minorEastAsia"/>
          <w:b/>
          <w:sz w:val="28"/>
          <w:szCs w:val="28"/>
        </w:rPr>
        <w:t>书</w:t>
      </w:r>
      <w:bookmarkEnd w:id="1259"/>
    </w:p>
    <w:p w14:paraId="24F1CBF9">
      <w:pPr>
        <w:pStyle w:val="139"/>
        <w:spacing w:line="360" w:lineRule="auto"/>
        <w:ind w:firstLine="420" w:firstLineChars="200"/>
        <w:rPr>
          <w:rFonts w:asciiTheme="minorEastAsia" w:hAnsiTheme="minorEastAsia" w:eastAsiaTheme="minorEastAsia"/>
          <w:lang w:val="zh-CN"/>
        </w:rPr>
      </w:pPr>
    </w:p>
    <w:p w14:paraId="309EE704">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我方</w:t>
      </w:r>
      <w:r>
        <w:rPr>
          <w:rFonts w:hint="eastAsia" w:cs="宋体" w:asciiTheme="minorEastAsia" w:hAnsiTheme="minorEastAsia" w:eastAsiaTheme="minorEastAsia"/>
          <w:szCs w:val="21"/>
          <w:u w:val="single"/>
        </w:rPr>
        <w:t xml:space="preserve">   （投标人名称）   </w:t>
      </w:r>
      <w:r>
        <w:rPr>
          <w:rFonts w:hint="eastAsia" w:asciiTheme="minorEastAsia" w:hAnsiTheme="minorEastAsia" w:eastAsiaTheme="minorEastAsia"/>
          <w:lang w:val="zh-CN"/>
        </w:rPr>
        <w:t>参与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u w:val="single"/>
        </w:rPr>
        <w:t>项目</w:t>
      </w:r>
      <w:r>
        <w:rPr>
          <w:rFonts w:hint="eastAsia" w:asciiTheme="minorEastAsia" w:hAnsiTheme="minorEastAsia" w:eastAsiaTheme="minorEastAsia"/>
          <w:u w:val="single"/>
          <w:lang w:val="zh-CN"/>
        </w:rPr>
        <w:t xml:space="preserve">名称） </w:t>
      </w:r>
      <w:r>
        <w:rPr>
          <w:rFonts w:asciiTheme="minorEastAsia" w:hAnsiTheme="minorEastAsia" w:eastAsiaTheme="minorEastAsia"/>
          <w:u w:val="single"/>
          <w:lang w:val="zh-CN"/>
        </w:rPr>
        <w:t xml:space="preserve">  </w:t>
      </w:r>
      <w:r>
        <w:rPr>
          <w:rFonts w:hint="eastAsia" w:asciiTheme="minorEastAsia" w:hAnsiTheme="minorEastAsia" w:eastAsiaTheme="minorEastAsia"/>
          <w:lang w:val="zh-CN"/>
        </w:rPr>
        <w:t>的投标，现作如下承诺：</w:t>
      </w:r>
    </w:p>
    <w:p w14:paraId="75F0091D">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1、我方参与此次投标活动所递交的所有资料都是合法、真实、有效的。</w:t>
      </w:r>
    </w:p>
    <w:p w14:paraId="47AE9912">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2、不与其他</w:t>
      </w:r>
      <w:r>
        <w:rPr>
          <w:rFonts w:hint="eastAsia" w:asciiTheme="minorEastAsia" w:hAnsiTheme="minorEastAsia" w:eastAsiaTheme="minorEastAsia"/>
          <w:bCs/>
          <w:szCs w:val="21"/>
        </w:rPr>
        <w:t>投标人</w:t>
      </w:r>
      <w:r>
        <w:rPr>
          <w:rFonts w:hint="eastAsia" w:asciiTheme="minorEastAsia" w:hAnsiTheme="minorEastAsia" w:eastAsiaTheme="minorEastAsia"/>
          <w:lang w:val="zh-CN"/>
        </w:rPr>
        <w:t>串通投标、围标，依法、依规公平竞争，不损害采购人或其他投标人的合法权益。</w:t>
      </w:r>
    </w:p>
    <w:p w14:paraId="7B70C976">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3、不转让、出租、出借资质证书、人员岗位证书，不以法律、法规禁止的方式投标。</w:t>
      </w:r>
    </w:p>
    <w:p w14:paraId="234DF928">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4、不与采购人或采购代理机构串通投标，不损害国家利益、社会公共利益或其他当事人的合法权益。</w:t>
      </w:r>
    </w:p>
    <w:p w14:paraId="35CD0A60">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5、不向采购人、评标委员会成员、监督人员行贿。</w:t>
      </w:r>
    </w:p>
    <w:p w14:paraId="1D2452F8">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6、不扰乱交易活动正常秩序。</w:t>
      </w:r>
    </w:p>
    <w:p w14:paraId="66D37596">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7、不进行虚假恶意投诉。</w:t>
      </w:r>
    </w:p>
    <w:p w14:paraId="466EF2D0">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8、因违反法律、法规或相关规定被查处的，不干预案件查处。</w:t>
      </w:r>
    </w:p>
    <w:p w14:paraId="73F64225">
      <w:pPr>
        <w:pStyle w:val="139"/>
        <w:spacing w:line="360" w:lineRule="auto"/>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如出现违法、违规或不良行为，甘愿接受监督管理部门、纪检监察机关或司法机关调查处理。违法、违规或不良行为事实成立的，我方承担相关责任。给采购人造成损失的，依法承担赔偿责任。</w:t>
      </w:r>
    </w:p>
    <w:p w14:paraId="422317EE">
      <w:pPr>
        <w:pStyle w:val="139"/>
        <w:spacing w:line="360" w:lineRule="auto"/>
        <w:rPr>
          <w:rFonts w:asciiTheme="minorEastAsia" w:hAnsiTheme="minorEastAsia" w:eastAsiaTheme="minorEastAsia"/>
          <w:lang w:val="zh-CN"/>
        </w:rPr>
      </w:pPr>
    </w:p>
    <w:p w14:paraId="288A312E">
      <w:pPr>
        <w:pStyle w:val="139"/>
        <w:spacing w:line="360" w:lineRule="auto"/>
        <w:rPr>
          <w:rFonts w:asciiTheme="minorEastAsia" w:hAnsiTheme="minorEastAsia" w:eastAsiaTheme="minorEastAsia"/>
          <w:lang w:val="zh-CN"/>
        </w:rPr>
      </w:pPr>
    </w:p>
    <w:p w14:paraId="7076C5DA">
      <w:pPr>
        <w:pStyle w:val="139"/>
        <w:spacing w:line="360" w:lineRule="auto"/>
        <w:rPr>
          <w:rFonts w:asciiTheme="minorEastAsia" w:hAnsiTheme="minorEastAsia" w:eastAsiaTheme="minorEastAsia"/>
          <w:lang w:val="zh-CN"/>
        </w:rPr>
      </w:pPr>
    </w:p>
    <w:p w14:paraId="1C4B28B4">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投标人：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4DDBD379">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(电子签章)</w:t>
      </w:r>
      <w:r>
        <w:rPr>
          <w:rFonts w:asciiTheme="minorEastAsia" w:hAnsiTheme="minorEastAsia" w:eastAsiaTheme="minorEastAsia"/>
          <w:bCs/>
          <w:szCs w:val="21"/>
          <w:u w:val="single"/>
        </w:rPr>
        <w:t xml:space="preserve"> </w:t>
      </w:r>
    </w:p>
    <w:p w14:paraId="2636B496">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14:paraId="468BB098">
      <w:pPr>
        <w:autoSpaceDE w:val="0"/>
        <w:autoSpaceDN w:val="0"/>
        <w:adjustRightInd w:val="0"/>
        <w:spacing w:line="480" w:lineRule="auto"/>
        <w:jc w:val="left"/>
        <w:rPr>
          <w:rFonts w:asciiTheme="minorEastAsia" w:hAnsiTheme="minorEastAsia" w:eastAsiaTheme="minorEastAsia"/>
          <w:bCs/>
          <w:szCs w:val="21"/>
        </w:rPr>
      </w:pPr>
    </w:p>
    <w:p w14:paraId="46FC847E">
      <w:pPr>
        <w:pStyle w:val="6"/>
        <w:spacing w:line="360" w:lineRule="auto"/>
        <w:ind w:firstLine="0"/>
        <w:rPr>
          <w:rFonts w:asciiTheme="minorEastAsia" w:hAnsiTheme="minorEastAsia" w:eastAsiaTheme="minorEastAsia"/>
        </w:rPr>
        <w:sectPr>
          <w:pgSz w:w="11906" w:h="16838"/>
          <w:pgMar w:top="1440" w:right="1474" w:bottom="1440" w:left="1474" w:header="851" w:footer="851" w:gutter="0"/>
          <w:cols w:space="720" w:num="1"/>
          <w:docGrid w:linePitch="312" w:charSpace="0"/>
        </w:sectPr>
      </w:pPr>
    </w:p>
    <w:bookmarkEnd w:id="1244"/>
    <w:bookmarkEnd w:id="1245"/>
    <w:p w14:paraId="56A4F8AD">
      <w:pPr>
        <w:spacing w:line="360" w:lineRule="auto"/>
        <w:ind w:firstLine="562"/>
        <w:jc w:val="center"/>
        <w:outlineLvl w:val="2"/>
        <w:rPr>
          <w:rFonts w:asciiTheme="minorEastAsia" w:hAnsiTheme="minorEastAsia" w:eastAsiaTheme="minorEastAsia"/>
          <w:b/>
          <w:sz w:val="28"/>
          <w:szCs w:val="28"/>
        </w:rPr>
      </w:pPr>
      <w:bookmarkStart w:id="1260" w:name="_Toc516246160"/>
      <w:bookmarkStart w:id="1261" w:name="_Toc20609"/>
      <w:bookmarkStart w:id="1262" w:name="_Toc513923170"/>
      <w:bookmarkStart w:id="1263" w:name="_Toc116584080"/>
      <w:bookmarkStart w:id="1264" w:name="_Toc419473139"/>
      <w:bookmarkStart w:id="1265" w:name="_Toc364244845"/>
      <w:bookmarkStart w:id="1266" w:name="_Toc330828144"/>
      <w:bookmarkStart w:id="1267" w:name="_Toc109809397"/>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四</w:t>
      </w:r>
      <w:r>
        <w:rPr>
          <w:rFonts w:hint="eastAsia" w:asciiTheme="minorEastAsia" w:hAnsiTheme="minorEastAsia" w:eastAsiaTheme="minorEastAsia"/>
          <w:b/>
          <w:sz w:val="28"/>
          <w:szCs w:val="28"/>
        </w:rPr>
        <w:t>）其他</w:t>
      </w:r>
    </w:p>
    <w:tbl>
      <w:tblPr>
        <w:tblStyle w:val="5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58"/>
        <w:gridCol w:w="4498"/>
        <w:gridCol w:w="1276"/>
        <w:gridCol w:w="850"/>
      </w:tblGrid>
      <w:tr w14:paraId="544C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75" w:type="dxa"/>
            <w:tcBorders>
              <w:top w:val="single" w:color="auto" w:sz="12" w:space="0"/>
              <w:left w:val="single" w:color="auto" w:sz="12" w:space="0"/>
            </w:tcBorders>
            <w:vAlign w:val="center"/>
          </w:tcPr>
          <w:p w14:paraId="50822815">
            <w:pPr>
              <w:spacing w:before="60" w:beforeLines="25" w:after="60" w:afterLines="25"/>
              <w:rPr>
                <w:rFonts w:ascii="宋体" w:hAnsi="宋体" w:cs="宋体"/>
                <w:b/>
                <w:szCs w:val="21"/>
              </w:rPr>
            </w:pPr>
            <w:r>
              <w:rPr>
                <w:rFonts w:hint="eastAsia" w:ascii="宋体" w:hAnsi="宋体" w:cs="宋体"/>
                <w:b/>
                <w:szCs w:val="21"/>
              </w:rPr>
              <w:t>序号</w:t>
            </w:r>
          </w:p>
        </w:tc>
        <w:tc>
          <w:tcPr>
            <w:tcW w:w="1758" w:type="dxa"/>
            <w:tcBorders>
              <w:top w:val="single" w:color="auto" w:sz="12" w:space="0"/>
            </w:tcBorders>
            <w:vAlign w:val="center"/>
          </w:tcPr>
          <w:p w14:paraId="631FCF41">
            <w:pPr>
              <w:widowControl/>
              <w:spacing w:before="60" w:beforeLines="25" w:after="60" w:afterLines="25"/>
              <w:rPr>
                <w:rFonts w:ascii="宋体" w:hAnsi="宋体" w:cs="宋体"/>
                <w:b/>
                <w:szCs w:val="21"/>
              </w:rPr>
            </w:pPr>
            <w:r>
              <w:rPr>
                <w:rFonts w:hint="eastAsia" w:ascii="宋体" w:hAnsi="宋体" w:cs="宋体"/>
                <w:b/>
                <w:szCs w:val="21"/>
              </w:rPr>
              <w:t>符合性审查内容</w:t>
            </w:r>
          </w:p>
        </w:tc>
        <w:tc>
          <w:tcPr>
            <w:tcW w:w="4498" w:type="dxa"/>
            <w:tcBorders>
              <w:top w:val="single" w:color="auto" w:sz="12" w:space="0"/>
            </w:tcBorders>
            <w:vAlign w:val="center"/>
          </w:tcPr>
          <w:p w14:paraId="7195DE0E">
            <w:pPr>
              <w:widowControl/>
              <w:spacing w:before="60" w:beforeLines="25" w:after="60" w:afterLines="25"/>
              <w:ind w:firstLine="422"/>
              <w:jc w:val="center"/>
              <w:rPr>
                <w:rFonts w:ascii="宋体" w:hAnsi="宋体" w:cs="宋体"/>
                <w:b/>
                <w:szCs w:val="21"/>
              </w:rPr>
            </w:pPr>
            <w:r>
              <w:rPr>
                <w:rFonts w:hint="eastAsia" w:ascii="宋体" w:hAnsi="宋体" w:cs="宋体"/>
                <w:b/>
                <w:szCs w:val="21"/>
              </w:rPr>
              <w:t>招标文件要求</w:t>
            </w:r>
          </w:p>
        </w:tc>
        <w:tc>
          <w:tcPr>
            <w:tcW w:w="1276" w:type="dxa"/>
            <w:tcBorders>
              <w:top w:val="single" w:color="auto" w:sz="12" w:space="0"/>
            </w:tcBorders>
            <w:vAlign w:val="center"/>
          </w:tcPr>
          <w:p w14:paraId="108692A5">
            <w:pPr>
              <w:spacing w:before="60" w:beforeLines="25" w:after="60" w:afterLines="25"/>
              <w:rPr>
                <w:rFonts w:ascii="宋体" w:hAnsi="宋体" w:cs="宋体"/>
                <w:b/>
                <w:szCs w:val="21"/>
              </w:rPr>
            </w:pPr>
            <w:r>
              <w:rPr>
                <w:rFonts w:hint="eastAsia" w:ascii="宋体" w:hAnsi="宋体" w:cs="宋体"/>
                <w:b/>
                <w:szCs w:val="21"/>
              </w:rPr>
              <w:t>投标文件</w:t>
            </w:r>
          </w:p>
          <w:p w14:paraId="515784D9">
            <w:pPr>
              <w:spacing w:before="60" w:beforeLines="25" w:after="60" w:afterLines="25"/>
              <w:rPr>
                <w:rFonts w:ascii="宋体" w:hAnsi="宋体" w:cs="宋体"/>
                <w:b/>
                <w:szCs w:val="21"/>
              </w:rPr>
            </w:pPr>
            <w:r>
              <w:rPr>
                <w:rFonts w:hint="eastAsia" w:ascii="宋体" w:hAnsi="宋体" w:cs="宋体"/>
                <w:b/>
                <w:szCs w:val="21"/>
              </w:rPr>
              <w:t>响应情况</w:t>
            </w:r>
          </w:p>
        </w:tc>
        <w:tc>
          <w:tcPr>
            <w:tcW w:w="850" w:type="dxa"/>
            <w:tcBorders>
              <w:top w:val="single" w:color="auto" w:sz="12" w:space="0"/>
              <w:right w:val="single" w:color="auto" w:sz="12" w:space="0"/>
            </w:tcBorders>
            <w:vAlign w:val="center"/>
          </w:tcPr>
          <w:p w14:paraId="3709AE14">
            <w:pPr>
              <w:spacing w:before="60" w:beforeLines="25" w:after="60" w:afterLines="25"/>
              <w:jc w:val="center"/>
              <w:rPr>
                <w:rFonts w:ascii="宋体" w:hAnsi="宋体" w:cs="宋体"/>
                <w:b/>
                <w:szCs w:val="21"/>
              </w:rPr>
            </w:pPr>
            <w:r>
              <w:rPr>
                <w:rFonts w:hint="eastAsia" w:ascii="宋体" w:hAnsi="宋体" w:cs="宋体"/>
                <w:b/>
                <w:szCs w:val="21"/>
              </w:rPr>
              <w:t>备注</w:t>
            </w:r>
          </w:p>
        </w:tc>
      </w:tr>
      <w:tr w14:paraId="2F29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2104B575">
            <w:pPr>
              <w:spacing w:before="60" w:beforeLines="25" w:after="60" w:afterLines="25"/>
              <w:jc w:val="center"/>
              <w:rPr>
                <w:rFonts w:ascii="宋体" w:hAnsi="宋体" w:cs="宋体"/>
                <w:szCs w:val="24"/>
              </w:rPr>
            </w:pPr>
            <w:r>
              <w:rPr>
                <w:rFonts w:hint="eastAsia" w:ascii="宋体" w:hAnsi="宋体" w:cs="宋体"/>
                <w:szCs w:val="24"/>
              </w:rPr>
              <w:t>1</w:t>
            </w:r>
          </w:p>
        </w:tc>
        <w:tc>
          <w:tcPr>
            <w:tcW w:w="1758" w:type="dxa"/>
            <w:vAlign w:val="center"/>
          </w:tcPr>
          <w:p w14:paraId="5F0A056C">
            <w:pPr>
              <w:spacing w:before="60" w:beforeLines="25" w:after="60" w:afterLines="25"/>
              <w:jc w:val="center"/>
              <w:rPr>
                <w:rFonts w:ascii="宋体" w:hAnsi="宋体" w:cs="宋体"/>
                <w:szCs w:val="24"/>
              </w:rPr>
            </w:pPr>
            <w:r>
              <w:rPr>
                <w:rFonts w:asciiTheme="minorEastAsia" w:hAnsiTheme="minorEastAsia" w:eastAsiaTheme="minorEastAsia"/>
              </w:rPr>
              <w:t>分包</w:t>
            </w:r>
          </w:p>
        </w:tc>
        <w:tc>
          <w:tcPr>
            <w:tcW w:w="4498" w:type="dxa"/>
            <w:vAlign w:val="center"/>
          </w:tcPr>
          <w:p w14:paraId="4AD0316E">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符合第二章“投标人须知前附表”第1.</w:t>
            </w:r>
            <w:r>
              <w:rPr>
                <w:rFonts w:ascii="宋体" w:hAnsi="宋体" w:cs="宋体"/>
                <w:szCs w:val="24"/>
              </w:rPr>
              <w:t>11</w:t>
            </w:r>
            <w:r>
              <w:rPr>
                <w:rFonts w:hint="eastAsia" w:ascii="宋体" w:hAnsi="宋体" w:cs="宋体"/>
                <w:szCs w:val="24"/>
              </w:rPr>
              <w:t>项</w:t>
            </w:r>
          </w:p>
        </w:tc>
        <w:tc>
          <w:tcPr>
            <w:tcW w:w="1276" w:type="dxa"/>
            <w:vAlign w:val="center"/>
          </w:tcPr>
          <w:p w14:paraId="45E6346F">
            <w:pPr>
              <w:spacing w:line="340" w:lineRule="exact"/>
              <w:jc w:val="left"/>
              <w:rPr>
                <w:rFonts w:ascii="宋体" w:hAnsi="宋体" w:cs="宋体"/>
                <w:szCs w:val="24"/>
              </w:rPr>
            </w:pPr>
          </w:p>
        </w:tc>
        <w:tc>
          <w:tcPr>
            <w:tcW w:w="850" w:type="dxa"/>
            <w:tcBorders>
              <w:right w:val="single" w:color="auto" w:sz="12" w:space="0"/>
            </w:tcBorders>
            <w:vAlign w:val="center"/>
          </w:tcPr>
          <w:p w14:paraId="1685CF62">
            <w:pPr>
              <w:spacing w:line="340" w:lineRule="exact"/>
              <w:jc w:val="left"/>
              <w:rPr>
                <w:rFonts w:ascii="宋体" w:hAnsi="宋体" w:cs="宋体"/>
                <w:szCs w:val="24"/>
              </w:rPr>
            </w:pPr>
          </w:p>
        </w:tc>
      </w:tr>
      <w:tr w14:paraId="7D7F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6F9E5138">
            <w:pPr>
              <w:spacing w:before="60" w:beforeLines="25" w:after="60" w:afterLines="25"/>
              <w:jc w:val="center"/>
              <w:rPr>
                <w:rFonts w:ascii="宋体" w:hAnsi="宋体" w:cs="宋体"/>
                <w:szCs w:val="24"/>
              </w:rPr>
            </w:pPr>
            <w:r>
              <w:rPr>
                <w:rFonts w:hint="eastAsia" w:ascii="宋体" w:hAnsi="宋体" w:cs="宋体"/>
                <w:szCs w:val="24"/>
              </w:rPr>
              <w:t>2</w:t>
            </w:r>
          </w:p>
        </w:tc>
        <w:tc>
          <w:tcPr>
            <w:tcW w:w="1758" w:type="dxa"/>
            <w:vAlign w:val="center"/>
          </w:tcPr>
          <w:p w14:paraId="1528F26A">
            <w:pPr>
              <w:spacing w:before="60" w:beforeLines="25" w:after="60" w:afterLines="25"/>
              <w:jc w:val="center"/>
              <w:rPr>
                <w:rFonts w:ascii="宋体" w:hAnsi="宋体" w:cs="宋体"/>
                <w:szCs w:val="24"/>
              </w:rPr>
            </w:pPr>
            <w:r>
              <w:rPr>
                <w:rFonts w:asciiTheme="minorEastAsia" w:hAnsiTheme="minorEastAsia" w:eastAsiaTheme="minorEastAsia"/>
              </w:rPr>
              <w:t>偏离</w:t>
            </w:r>
          </w:p>
        </w:tc>
        <w:tc>
          <w:tcPr>
            <w:tcW w:w="4498" w:type="dxa"/>
            <w:vAlign w:val="center"/>
          </w:tcPr>
          <w:p w14:paraId="1A2CDCD3">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符合第二章“投标人须知前附表”第1.</w:t>
            </w:r>
            <w:r>
              <w:rPr>
                <w:rFonts w:ascii="宋体" w:hAnsi="宋体" w:cs="宋体"/>
                <w:szCs w:val="24"/>
              </w:rPr>
              <w:t>12</w:t>
            </w:r>
            <w:r>
              <w:rPr>
                <w:rFonts w:hint="eastAsia" w:ascii="宋体" w:hAnsi="宋体" w:cs="宋体"/>
                <w:szCs w:val="24"/>
              </w:rPr>
              <w:t>项</w:t>
            </w:r>
          </w:p>
        </w:tc>
        <w:tc>
          <w:tcPr>
            <w:tcW w:w="1276" w:type="dxa"/>
            <w:vAlign w:val="center"/>
          </w:tcPr>
          <w:p w14:paraId="6157750F">
            <w:pPr>
              <w:spacing w:line="340" w:lineRule="exact"/>
              <w:jc w:val="left"/>
              <w:rPr>
                <w:rFonts w:ascii="宋体" w:hAnsi="宋体" w:cs="宋体"/>
                <w:szCs w:val="24"/>
              </w:rPr>
            </w:pPr>
          </w:p>
        </w:tc>
        <w:tc>
          <w:tcPr>
            <w:tcW w:w="850" w:type="dxa"/>
            <w:tcBorders>
              <w:right w:val="single" w:color="auto" w:sz="12" w:space="0"/>
            </w:tcBorders>
            <w:vAlign w:val="center"/>
          </w:tcPr>
          <w:p w14:paraId="0731C8A9">
            <w:pPr>
              <w:spacing w:line="340" w:lineRule="exact"/>
              <w:jc w:val="left"/>
              <w:rPr>
                <w:rFonts w:ascii="宋体" w:hAnsi="宋体" w:cs="宋体"/>
                <w:szCs w:val="24"/>
              </w:rPr>
            </w:pPr>
          </w:p>
        </w:tc>
      </w:tr>
      <w:tr w14:paraId="43C6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69800E80">
            <w:pPr>
              <w:spacing w:before="60" w:beforeLines="25" w:after="60" w:afterLines="25"/>
              <w:jc w:val="center"/>
              <w:rPr>
                <w:rFonts w:ascii="宋体" w:hAnsi="宋体" w:cs="宋体"/>
                <w:szCs w:val="24"/>
              </w:rPr>
            </w:pPr>
            <w:r>
              <w:rPr>
                <w:rFonts w:hint="eastAsia" w:ascii="宋体" w:hAnsi="宋体" w:cs="宋体"/>
                <w:szCs w:val="24"/>
              </w:rPr>
              <w:t>3</w:t>
            </w:r>
          </w:p>
        </w:tc>
        <w:tc>
          <w:tcPr>
            <w:tcW w:w="1758" w:type="dxa"/>
            <w:vAlign w:val="center"/>
          </w:tcPr>
          <w:p w14:paraId="026CB860">
            <w:pPr>
              <w:spacing w:before="60" w:beforeLines="25" w:after="60" w:afterLines="25"/>
              <w:jc w:val="center"/>
              <w:rPr>
                <w:rFonts w:ascii="宋体" w:hAnsi="宋体" w:cs="宋体"/>
                <w:szCs w:val="24"/>
              </w:rPr>
            </w:pPr>
            <w:r>
              <w:rPr>
                <w:rFonts w:hint="eastAsia" w:ascii="宋体" w:hAnsi="宋体" w:cs="宋体"/>
                <w:szCs w:val="24"/>
              </w:rPr>
              <w:t>采购内容</w:t>
            </w:r>
          </w:p>
        </w:tc>
        <w:tc>
          <w:tcPr>
            <w:tcW w:w="4498" w:type="dxa"/>
            <w:vAlign w:val="center"/>
          </w:tcPr>
          <w:p w14:paraId="2B2F66C6">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符合第二章“投标人须知前附表”第1.3.1项</w:t>
            </w:r>
          </w:p>
        </w:tc>
        <w:tc>
          <w:tcPr>
            <w:tcW w:w="1276" w:type="dxa"/>
            <w:vAlign w:val="center"/>
          </w:tcPr>
          <w:p w14:paraId="65F9EA0A">
            <w:pPr>
              <w:spacing w:line="340" w:lineRule="exact"/>
              <w:jc w:val="left"/>
              <w:rPr>
                <w:rFonts w:ascii="宋体" w:hAnsi="宋体" w:cs="宋体"/>
                <w:szCs w:val="24"/>
              </w:rPr>
            </w:pPr>
          </w:p>
        </w:tc>
        <w:tc>
          <w:tcPr>
            <w:tcW w:w="850" w:type="dxa"/>
            <w:tcBorders>
              <w:right w:val="single" w:color="auto" w:sz="12" w:space="0"/>
            </w:tcBorders>
            <w:vAlign w:val="center"/>
          </w:tcPr>
          <w:p w14:paraId="2CCD6C56">
            <w:pPr>
              <w:spacing w:line="340" w:lineRule="exact"/>
              <w:jc w:val="left"/>
              <w:rPr>
                <w:rFonts w:ascii="宋体" w:hAnsi="宋体" w:cs="宋体"/>
                <w:szCs w:val="24"/>
              </w:rPr>
            </w:pPr>
          </w:p>
        </w:tc>
      </w:tr>
      <w:tr w14:paraId="3928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0DB06F14">
            <w:pPr>
              <w:spacing w:before="60" w:beforeLines="25" w:after="60" w:afterLines="25"/>
              <w:jc w:val="center"/>
              <w:rPr>
                <w:rFonts w:ascii="宋体" w:hAnsi="宋体" w:cs="宋体"/>
                <w:szCs w:val="24"/>
              </w:rPr>
            </w:pPr>
            <w:r>
              <w:rPr>
                <w:rFonts w:hint="eastAsia" w:ascii="宋体" w:hAnsi="宋体" w:cs="宋体"/>
                <w:szCs w:val="24"/>
              </w:rPr>
              <w:t>4</w:t>
            </w:r>
          </w:p>
        </w:tc>
        <w:tc>
          <w:tcPr>
            <w:tcW w:w="1758" w:type="dxa"/>
            <w:vAlign w:val="center"/>
          </w:tcPr>
          <w:p w14:paraId="28DC6034">
            <w:pPr>
              <w:spacing w:before="60" w:beforeLines="25" w:after="60" w:afterLines="25"/>
              <w:jc w:val="center"/>
              <w:rPr>
                <w:rFonts w:ascii="宋体" w:hAnsi="宋体" w:cs="宋体"/>
                <w:szCs w:val="24"/>
              </w:rPr>
            </w:pPr>
            <w:r>
              <w:rPr>
                <w:rFonts w:hint="eastAsia" w:asciiTheme="minorEastAsia" w:hAnsiTheme="minorEastAsia" w:eastAsiaTheme="minorEastAsia"/>
              </w:rPr>
              <w:t>合同履行期限（交货期）</w:t>
            </w:r>
          </w:p>
        </w:tc>
        <w:tc>
          <w:tcPr>
            <w:tcW w:w="4498" w:type="dxa"/>
            <w:vAlign w:val="center"/>
          </w:tcPr>
          <w:p w14:paraId="5805834F">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符合第二章“投标人须知前附表”第1.3.2项</w:t>
            </w:r>
          </w:p>
        </w:tc>
        <w:tc>
          <w:tcPr>
            <w:tcW w:w="1276" w:type="dxa"/>
            <w:vAlign w:val="center"/>
          </w:tcPr>
          <w:p w14:paraId="59F3453F">
            <w:pPr>
              <w:spacing w:line="340" w:lineRule="exact"/>
              <w:jc w:val="left"/>
              <w:rPr>
                <w:rFonts w:ascii="宋体" w:hAnsi="宋体" w:cs="宋体"/>
                <w:szCs w:val="24"/>
              </w:rPr>
            </w:pPr>
          </w:p>
        </w:tc>
        <w:tc>
          <w:tcPr>
            <w:tcW w:w="850" w:type="dxa"/>
            <w:tcBorders>
              <w:right w:val="single" w:color="auto" w:sz="12" w:space="0"/>
            </w:tcBorders>
            <w:vAlign w:val="center"/>
          </w:tcPr>
          <w:p w14:paraId="66147CC3">
            <w:pPr>
              <w:spacing w:line="340" w:lineRule="exact"/>
              <w:jc w:val="left"/>
              <w:rPr>
                <w:rFonts w:ascii="宋体" w:hAnsi="宋体" w:cs="宋体"/>
                <w:szCs w:val="24"/>
              </w:rPr>
            </w:pPr>
          </w:p>
        </w:tc>
      </w:tr>
      <w:tr w14:paraId="2F6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6F1D4B96">
            <w:pPr>
              <w:spacing w:before="60" w:beforeLines="25" w:after="60" w:afterLines="25"/>
              <w:jc w:val="center"/>
              <w:rPr>
                <w:rFonts w:ascii="宋体" w:hAnsi="宋体" w:cs="宋体"/>
                <w:szCs w:val="24"/>
              </w:rPr>
            </w:pPr>
            <w:r>
              <w:rPr>
                <w:rFonts w:ascii="宋体" w:hAnsi="宋体" w:cs="宋体"/>
                <w:szCs w:val="24"/>
              </w:rPr>
              <w:t>5</w:t>
            </w:r>
          </w:p>
        </w:tc>
        <w:tc>
          <w:tcPr>
            <w:tcW w:w="1758" w:type="dxa"/>
            <w:vAlign w:val="center"/>
          </w:tcPr>
          <w:p w14:paraId="34A472A9">
            <w:pPr>
              <w:spacing w:before="60" w:beforeLines="25" w:after="60" w:afterLines="25"/>
              <w:jc w:val="center"/>
              <w:rPr>
                <w:rFonts w:ascii="宋体" w:hAnsi="宋体" w:cs="宋体"/>
                <w:szCs w:val="24"/>
              </w:rPr>
            </w:pPr>
            <w:r>
              <w:rPr>
                <w:rFonts w:hint="eastAsia" w:asciiTheme="minorEastAsia" w:hAnsiTheme="minorEastAsia" w:eastAsiaTheme="minorEastAsia"/>
              </w:rPr>
              <w:t>质量标准</w:t>
            </w:r>
          </w:p>
        </w:tc>
        <w:tc>
          <w:tcPr>
            <w:tcW w:w="4498" w:type="dxa"/>
            <w:vAlign w:val="center"/>
          </w:tcPr>
          <w:p w14:paraId="42A33644">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符合第二章“投标人须知前附表”第1.3.3项</w:t>
            </w:r>
          </w:p>
        </w:tc>
        <w:tc>
          <w:tcPr>
            <w:tcW w:w="1276" w:type="dxa"/>
            <w:vAlign w:val="center"/>
          </w:tcPr>
          <w:p w14:paraId="5C2B37F7">
            <w:pPr>
              <w:spacing w:line="340" w:lineRule="exact"/>
              <w:jc w:val="left"/>
              <w:rPr>
                <w:rFonts w:ascii="宋体" w:hAnsi="宋体" w:cs="宋体"/>
                <w:szCs w:val="24"/>
              </w:rPr>
            </w:pPr>
          </w:p>
        </w:tc>
        <w:tc>
          <w:tcPr>
            <w:tcW w:w="850" w:type="dxa"/>
            <w:tcBorders>
              <w:right w:val="single" w:color="auto" w:sz="12" w:space="0"/>
            </w:tcBorders>
            <w:vAlign w:val="center"/>
          </w:tcPr>
          <w:p w14:paraId="21F2C2BD">
            <w:pPr>
              <w:spacing w:line="340" w:lineRule="exact"/>
              <w:jc w:val="left"/>
              <w:rPr>
                <w:rFonts w:ascii="宋体" w:hAnsi="宋体" w:cs="宋体"/>
                <w:szCs w:val="24"/>
              </w:rPr>
            </w:pPr>
          </w:p>
        </w:tc>
      </w:tr>
      <w:tr w14:paraId="0757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6D0B6FDD">
            <w:pPr>
              <w:spacing w:before="60" w:beforeLines="25" w:after="60" w:afterLines="25"/>
              <w:jc w:val="center"/>
              <w:rPr>
                <w:rFonts w:ascii="宋体" w:hAnsi="宋体" w:cs="宋体"/>
                <w:szCs w:val="24"/>
              </w:rPr>
            </w:pPr>
            <w:r>
              <w:rPr>
                <w:rFonts w:hint="eastAsia" w:ascii="宋体" w:hAnsi="宋体" w:cs="宋体"/>
                <w:szCs w:val="24"/>
              </w:rPr>
              <w:t>6</w:t>
            </w:r>
          </w:p>
        </w:tc>
        <w:tc>
          <w:tcPr>
            <w:tcW w:w="1758" w:type="dxa"/>
            <w:vAlign w:val="center"/>
          </w:tcPr>
          <w:p w14:paraId="39E1BF4B">
            <w:pPr>
              <w:spacing w:before="60" w:beforeLines="25" w:after="60" w:afterLines="25"/>
              <w:jc w:val="center"/>
              <w:rPr>
                <w:rFonts w:asciiTheme="minorEastAsia" w:hAnsiTheme="minorEastAsia" w:eastAsiaTheme="minorEastAsia"/>
              </w:rPr>
            </w:pPr>
            <w:r>
              <w:rPr>
                <w:rFonts w:hint="eastAsia" w:ascii="宋体" w:hAnsi="宋体"/>
              </w:rPr>
              <w:t>是否接受进口产品</w:t>
            </w:r>
          </w:p>
        </w:tc>
        <w:tc>
          <w:tcPr>
            <w:tcW w:w="4498" w:type="dxa"/>
            <w:vAlign w:val="center"/>
          </w:tcPr>
          <w:p w14:paraId="33BCCE47">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符合第二章“投标人须知前附表”第1.3.4项</w:t>
            </w:r>
          </w:p>
        </w:tc>
        <w:tc>
          <w:tcPr>
            <w:tcW w:w="1276" w:type="dxa"/>
            <w:vAlign w:val="center"/>
          </w:tcPr>
          <w:p w14:paraId="7B279BAF">
            <w:pPr>
              <w:spacing w:line="340" w:lineRule="exact"/>
              <w:jc w:val="left"/>
              <w:rPr>
                <w:rFonts w:ascii="宋体" w:hAnsi="宋体" w:cs="宋体"/>
                <w:szCs w:val="24"/>
              </w:rPr>
            </w:pPr>
          </w:p>
        </w:tc>
        <w:tc>
          <w:tcPr>
            <w:tcW w:w="850" w:type="dxa"/>
            <w:tcBorders>
              <w:right w:val="single" w:color="auto" w:sz="12" w:space="0"/>
            </w:tcBorders>
            <w:vAlign w:val="center"/>
          </w:tcPr>
          <w:p w14:paraId="538ACE58">
            <w:pPr>
              <w:spacing w:line="340" w:lineRule="exact"/>
              <w:jc w:val="left"/>
              <w:rPr>
                <w:rFonts w:ascii="宋体" w:hAnsi="宋体" w:cs="宋体"/>
                <w:szCs w:val="24"/>
              </w:rPr>
            </w:pPr>
          </w:p>
        </w:tc>
      </w:tr>
      <w:tr w14:paraId="7E01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1FF6C957">
            <w:pPr>
              <w:spacing w:before="60" w:beforeLines="25" w:after="60" w:afterLines="25"/>
              <w:jc w:val="center"/>
              <w:rPr>
                <w:rFonts w:hint="eastAsia" w:ascii="宋体" w:hAnsi="宋体" w:eastAsia="宋体" w:cs="宋体"/>
                <w:szCs w:val="24"/>
                <w:lang w:eastAsia="zh-CN"/>
              </w:rPr>
            </w:pPr>
            <w:r>
              <w:rPr>
                <w:rFonts w:hint="eastAsia" w:ascii="宋体" w:hAnsi="宋体" w:cs="宋体"/>
                <w:szCs w:val="24"/>
                <w:lang w:val="en-US" w:eastAsia="zh-CN"/>
              </w:rPr>
              <w:t>7</w:t>
            </w:r>
          </w:p>
        </w:tc>
        <w:tc>
          <w:tcPr>
            <w:tcW w:w="1758" w:type="dxa"/>
            <w:vAlign w:val="center"/>
          </w:tcPr>
          <w:p w14:paraId="71236610">
            <w:pPr>
              <w:wordWrap w:val="0"/>
              <w:autoSpaceDE w:val="0"/>
              <w:autoSpaceDN w:val="0"/>
              <w:spacing w:after="100" w:afterAutospacing="1"/>
              <w:contextualSpacing/>
              <w:jc w:val="center"/>
              <w:rPr>
                <w:rFonts w:asciiTheme="minorEastAsia" w:hAnsiTheme="minorEastAsia" w:eastAsiaTheme="minorEastAsia"/>
              </w:rPr>
            </w:pPr>
            <w:r>
              <w:rPr>
                <w:rFonts w:hint="eastAsia" w:asciiTheme="minorEastAsia" w:hAnsiTheme="minorEastAsia" w:eastAsiaTheme="minorEastAsia"/>
              </w:rPr>
              <w:t>联合体投标</w:t>
            </w:r>
          </w:p>
        </w:tc>
        <w:tc>
          <w:tcPr>
            <w:tcW w:w="4498" w:type="dxa"/>
            <w:vAlign w:val="center"/>
          </w:tcPr>
          <w:p w14:paraId="274371F8">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符合第二章“投标人须知前附表”第1.4.</w:t>
            </w:r>
            <w:r>
              <w:rPr>
                <w:rFonts w:ascii="宋体" w:hAnsi="宋体" w:cs="宋体"/>
                <w:szCs w:val="24"/>
              </w:rPr>
              <w:t>2</w:t>
            </w:r>
            <w:r>
              <w:rPr>
                <w:rFonts w:hint="eastAsia" w:ascii="宋体" w:hAnsi="宋体" w:cs="宋体"/>
                <w:szCs w:val="24"/>
              </w:rPr>
              <w:t>项</w:t>
            </w:r>
          </w:p>
        </w:tc>
        <w:tc>
          <w:tcPr>
            <w:tcW w:w="1276" w:type="dxa"/>
            <w:vAlign w:val="center"/>
          </w:tcPr>
          <w:p w14:paraId="1D3371A2">
            <w:pPr>
              <w:spacing w:line="340" w:lineRule="exact"/>
              <w:jc w:val="left"/>
              <w:rPr>
                <w:rFonts w:ascii="宋体" w:hAnsi="宋体" w:cs="宋体"/>
                <w:szCs w:val="24"/>
              </w:rPr>
            </w:pPr>
          </w:p>
        </w:tc>
        <w:tc>
          <w:tcPr>
            <w:tcW w:w="850" w:type="dxa"/>
            <w:tcBorders>
              <w:right w:val="single" w:color="auto" w:sz="12" w:space="0"/>
            </w:tcBorders>
            <w:vAlign w:val="center"/>
          </w:tcPr>
          <w:p w14:paraId="74531EC9">
            <w:pPr>
              <w:spacing w:line="340" w:lineRule="exact"/>
              <w:jc w:val="left"/>
              <w:rPr>
                <w:rFonts w:ascii="宋体" w:hAnsi="宋体" w:cs="宋体"/>
                <w:szCs w:val="24"/>
              </w:rPr>
            </w:pPr>
          </w:p>
        </w:tc>
      </w:tr>
      <w:tr w14:paraId="698E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417F2FD9">
            <w:pPr>
              <w:spacing w:before="60" w:beforeLines="25" w:after="60" w:afterLines="25"/>
              <w:jc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1758" w:type="dxa"/>
            <w:vAlign w:val="center"/>
          </w:tcPr>
          <w:p w14:paraId="74C032C7">
            <w:pPr>
              <w:spacing w:before="60" w:beforeLines="25" w:after="60" w:afterLines="25"/>
              <w:jc w:val="center"/>
              <w:rPr>
                <w:rFonts w:ascii="宋体" w:hAnsi="宋体"/>
                <w:szCs w:val="21"/>
              </w:rPr>
            </w:pPr>
            <w:r>
              <w:rPr>
                <w:rFonts w:hint="eastAsia" w:asciiTheme="minorEastAsia" w:hAnsiTheme="minorEastAsia" w:eastAsiaTheme="minorEastAsia"/>
              </w:rPr>
              <w:t>投标有效期</w:t>
            </w:r>
          </w:p>
        </w:tc>
        <w:tc>
          <w:tcPr>
            <w:tcW w:w="4498" w:type="dxa"/>
            <w:vAlign w:val="center"/>
          </w:tcPr>
          <w:p w14:paraId="53D00F99">
            <w:pPr>
              <w:spacing w:before="120" w:beforeLines="50" w:after="60" w:afterLines="25" w:line="360" w:lineRule="auto"/>
              <w:jc w:val="left"/>
              <w:rPr>
                <w:rFonts w:ascii="宋体" w:hAnsi="宋体" w:cs="宋体"/>
                <w:szCs w:val="24"/>
              </w:rPr>
            </w:pPr>
            <w:r>
              <w:rPr>
                <w:rFonts w:hint="eastAsia" w:ascii="宋体" w:hAnsi="宋体" w:cs="宋体"/>
                <w:szCs w:val="24"/>
              </w:rPr>
              <w:t>符合第二章“投标人须知前附表”第</w:t>
            </w:r>
            <w:r>
              <w:rPr>
                <w:rFonts w:ascii="宋体" w:hAnsi="宋体" w:cs="宋体"/>
                <w:szCs w:val="24"/>
              </w:rPr>
              <w:t>3.3.1</w:t>
            </w:r>
            <w:r>
              <w:rPr>
                <w:rFonts w:hint="eastAsia" w:ascii="宋体" w:hAnsi="宋体" w:cs="宋体"/>
                <w:szCs w:val="24"/>
              </w:rPr>
              <w:t>项</w:t>
            </w:r>
          </w:p>
        </w:tc>
        <w:tc>
          <w:tcPr>
            <w:tcW w:w="1276" w:type="dxa"/>
            <w:vAlign w:val="center"/>
          </w:tcPr>
          <w:p w14:paraId="43F90ADF">
            <w:pPr>
              <w:spacing w:line="340" w:lineRule="exact"/>
              <w:jc w:val="left"/>
              <w:rPr>
                <w:rFonts w:ascii="宋体" w:hAnsi="宋体" w:cs="宋体"/>
                <w:szCs w:val="24"/>
              </w:rPr>
            </w:pPr>
          </w:p>
        </w:tc>
        <w:tc>
          <w:tcPr>
            <w:tcW w:w="850" w:type="dxa"/>
            <w:tcBorders>
              <w:right w:val="single" w:color="auto" w:sz="12" w:space="0"/>
            </w:tcBorders>
            <w:vAlign w:val="center"/>
          </w:tcPr>
          <w:p w14:paraId="42A97CD3">
            <w:pPr>
              <w:spacing w:line="340" w:lineRule="exact"/>
              <w:jc w:val="left"/>
              <w:rPr>
                <w:rFonts w:ascii="宋体" w:hAnsi="宋体" w:cs="宋体"/>
                <w:szCs w:val="24"/>
              </w:rPr>
            </w:pPr>
          </w:p>
        </w:tc>
      </w:tr>
      <w:tr w14:paraId="6173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5C46AE7C">
            <w:pPr>
              <w:spacing w:before="60" w:beforeLines="25" w:after="60" w:afterLines="25"/>
              <w:jc w:val="center"/>
              <w:rPr>
                <w:rFonts w:hint="eastAsia" w:ascii="宋体" w:hAnsi="宋体" w:eastAsia="宋体" w:cs="宋体"/>
                <w:szCs w:val="24"/>
                <w:lang w:eastAsia="zh-CN"/>
              </w:rPr>
            </w:pPr>
            <w:r>
              <w:rPr>
                <w:rFonts w:hint="eastAsia" w:ascii="宋体" w:hAnsi="宋体" w:cs="宋体"/>
                <w:szCs w:val="24"/>
                <w:lang w:val="en-US" w:eastAsia="zh-CN"/>
              </w:rPr>
              <w:t>9</w:t>
            </w:r>
          </w:p>
        </w:tc>
        <w:tc>
          <w:tcPr>
            <w:tcW w:w="1758" w:type="dxa"/>
            <w:vAlign w:val="center"/>
          </w:tcPr>
          <w:p w14:paraId="132051E6">
            <w:pPr>
              <w:spacing w:before="60" w:beforeLines="25" w:after="60" w:afterLines="25"/>
              <w:jc w:val="center"/>
              <w:rPr>
                <w:rFonts w:asciiTheme="minorEastAsia" w:hAnsiTheme="minorEastAsia" w:eastAsiaTheme="minorEastAsia"/>
              </w:rPr>
            </w:pPr>
            <w:r>
              <w:rPr>
                <w:rFonts w:hint="eastAsia" w:ascii="宋体" w:hAnsi="宋体"/>
                <w:szCs w:val="21"/>
              </w:rPr>
              <w:t>投标文件的签署</w:t>
            </w:r>
          </w:p>
        </w:tc>
        <w:tc>
          <w:tcPr>
            <w:tcW w:w="4498" w:type="dxa"/>
            <w:vAlign w:val="center"/>
          </w:tcPr>
          <w:p w14:paraId="12E5C7F9">
            <w:pPr>
              <w:spacing w:before="120" w:beforeLines="50" w:after="60" w:afterLines="25" w:line="360" w:lineRule="auto"/>
              <w:jc w:val="left"/>
              <w:rPr>
                <w:rFonts w:ascii="宋体" w:hAnsi="宋体" w:cs="宋体"/>
                <w:szCs w:val="24"/>
              </w:rPr>
            </w:pPr>
            <w:r>
              <w:rPr>
                <w:rFonts w:hint="eastAsia" w:ascii="宋体" w:hAnsi="宋体" w:cs="宋体"/>
                <w:szCs w:val="24"/>
              </w:rPr>
              <w:t>符合</w:t>
            </w:r>
            <w:r>
              <w:rPr>
                <w:rFonts w:hint="eastAsia" w:asciiTheme="minorEastAsia" w:hAnsiTheme="minorEastAsia" w:eastAsiaTheme="minorEastAsia"/>
                <w:szCs w:val="21"/>
              </w:rPr>
              <w:t>第二章</w:t>
            </w:r>
            <w:r>
              <w:rPr>
                <w:rFonts w:hint="eastAsia" w:ascii="宋体" w:hAnsi="宋体" w:cs="宋体"/>
                <w:szCs w:val="24"/>
              </w:rPr>
              <w:t>“投标人须知前附表”第3.7.3项</w:t>
            </w:r>
          </w:p>
        </w:tc>
        <w:tc>
          <w:tcPr>
            <w:tcW w:w="1276" w:type="dxa"/>
            <w:vAlign w:val="center"/>
          </w:tcPr>
          <w:p w14:paraId="3869CC98">
            <w:pPr>
              <w:spacing w:line="340" w:lineRule="exact"/>
              <w:jc w:val="left"/>
              <w:rPr>
                <w:rFonts w:ascii="宋体" w:hAnsi="宋体" w:cs="宋体"/>
                <w:szCs w:val="24"/>
              </w:rPr>
            </w:pPr>
          </w:p>
        </w:tc>
        <w:tc>
          <w:tcPr>
            <w:tcW w:w="850" w:type="dxa"/>
            <w:tcBorders>
              <w:right w:val="single" w:color="auto" w:sz="12" w:space="0"/>
            </w:tcBorders>
            <w:vAlign w:val="center"/>
          </w:tcPr>
          <w:p w14:paraId="2E329F34">
            <w:pPr>
              <w:spacing w:line="340" w:lineRule="exact"/>
              <w:jc w:val="left"/>
              <w:rPr>
                <w:rFonts w:ascii="宋体" w:hAnsi="宋体" w:cs="宋体"/>
                <w:szCs w:val="24"/>
              </w:rPr>
            </w:pPr>
          </w:p>
        </w:tc>
      </w:tr>
      <w:tr w14:paraId="4D70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tcBorders>
              <w:left w:val="single" w:color="auto" w:sz="12" w:space="0"/>
            </w:tcBorders>
            <w:vAlign w:val="center"/>
          </w:tcPr>
          <w:p w14:paraId="42A8422D">
            <w:pPr>
              <w:spacing w:before="60" w:beforeLines="25" w:after="60" w:afterLines="25"/>
              <w:jc w:val="center"/>
              <w:rPr>
                <w:rFonts w:hint="default" w:ascii="宋体" w:hAnsi="宋体" w:eastAsia="宋体" w:cs="宋体"/>
                <w:szCs w:val="24"/>
                <w:lang w:val="en-US" w:eastAsia="zh-CN"/>
              </w:rPr>
            </w:pPr>
            <w:r>
              <w:rPr>
                <w:rFonts w:hint="eastAsia" w:ascii="宋体" w:hAnsi="宋体" w:cs="宋体"/>
                <w:szCs w:val="24"/>
                <w:lang w:val="en-US" w:eastAsia="zh-CN"/>
              </w:rPr>
              <w:t>...</w:t>
            </w:r>
          </w:p>
        </w:tc>
        <w:tc>
          <w:tcPr>
            <w:tcW w:w="1758" w:type="dxa"/>
            <w:vAlign w:val="center"/>
          </w:tcPr>
          <w:p w14:paraId="319941C3">
            <w:pPr>
              <w:spacing w:before="60" w:beforeLines="25" w:after="60" w:afterLines="25"/>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w:t>
            </w:r>
          </w:p>
        </w:tc>
        <w:tc>
          <w:tcPr>
            <w:tcW w:w="4498" w:type="dxa"/>
            <w:vAlign w:val="center"/>
          </w:tcPr>
          <w:p w14:paraId="560EA77D">
            <w:pPr>
              <w:spacing w:before="120" w:beforeLines="50" w:after="60" w:afterLines="25" w:line="360" w:lineRule="auto"/>
              <w:jc w:val="left"/>
              <w:rPr>
                <w:rFonts w:hint="default" w:ascii="宋体" w:hAnsi="宋体" w:eastAsia="宋体" w:cs="宋体"/>
                <w:szCs w:val="24"/>
                <w:lang w:val="en-US" w:eastAsia="zh-CN"/>
              </w:rPr>
            </w:pPr>
            <w:r>
              <w:rPr>
                <w:rFonts w:hint="eastAsia" w:ascii="宋体" w:hAnsi="宋体" w:cs="宋体"/>
                <w:szCs w:val="24"/>
                <w:lang w:val="en-US" w:eastAsia="zh-CN"/>
              </w:rPr>
              <w:t>.....</w:t>
            </w:r>
          </w:p>
        </w:tc>
        <w:tc>
          <w:tcPr>
            <w:tcW w:w="1276" w:type="dxa"/>
            <w:vAlign w:val="center"/>
          </w:tcPr>
          <w:p w14:paraId="2350A26C">
            <w:pPr>
              <w:spacing w:line="340" w:lineRule="exact"/>
              <w:jc w:val="left"/>
              <w:rPr>
                <w:rFonts w:ascii="宋体" w:hAnsi="宋体" w:cs="宋体"/>
                <w:szCs w:val="24"/>
              </w:rPr>
            </w:pPr>
          </w:p>
        </w:tc>
        <w:tc>
          <w:tcPr>
            <w:tcW w:w="850" w:type="dxa"/>
            <w:tcBorders>
              <w:right w:val="single" w:color="auto" w:sz="12" w:space="0"/>
            </w:tcBorders>
            <w:vAlign w:val="center"/>
          </w:tcPr>
          <w:p w14:paraId="38D8CA19">
            <w:pPr>
              <w:spacing w:line="340" w:lineRule="exact"/>
              <w:jc w:val="left"/>
              <w:rPr>
                <w:rFonts w:ascii="宋体" w:hAnsi="宋体" w:cs="宋体"/>
                <w:szCs w:val="24"/>
              </w:rPr>
            </w:pPr>
          </w:p>
        </w:tc>
      </w:tr>
    </w:tbl>
    <w:p w14:paraId="37840EF7">
      <w:pPr>
        <w:autoSpaceDE w:val="0"/>
        <w:autoSpaceDN w:val="0"/>
        <w:adjustRightInd w:val="0"/>
        <w:spacing w:before="120"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注：投标人在编制投标文件时，须根据招标文件的要求，在以上表格的“投标人响应情况”一栏中填写响应情况或做出说明。若投标人所填写的响应情况不符合招标文件的相关要求或存在负偏离的，其投标文件作否决处理。</w:t>
      </w:r>
    </w:p>
    <w:p w14:paraId="6DC7AD06">
      <w:pPr>
        <w:autoSpaceDE w:val="0"/>
        <w:autoSpaceDN w:val="0"/>
        <w:adjustRightInd w:val="0"/>
        <w:spacing w:line="480" w:lineRule="auto"/>
        <w:jc w:val="left"/>
        <w:rPr>
          <w:rFonts w:asciiTheme="minorEastAsia" w:hAnsiTheme="minorEastAsia" w:eastAsiaTheme="minorEastAsia"/>
          <w:bCs/>
          <w:szCs w:val="21"/>
        </w:rPr>
      </w:pPr>
    </w:p>
    <w:p w14:paraId="5A9EEA04">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投标人：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2EEBE619">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(电子签章)</w:t>
      </w:r>
      <w:r>
        <w:rPr>
          <w:rFonts w:asciiTheme="minorEastAsia" w:hAnsiTheme="minorEastAsia" w:eastAsiaTheme="minorEastAsia"/>
          <w:bCs/>
          <w:szCs w:val="21"/>
          <w:u w:val="single"/>
        </w:rPr>
        <w:t xml:space="preserve"> </w:t>
      </w:r>
    </w:p>
    <w:p w14:paraId="77C3D1F1">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14:paraId="3BE654D1">
      <w:pPr>
        <w:rPr>
          <w:rFonts w:hint="eastAsia" w:asciiTheme="minorEastAsia" w:hAnsiTheme="minorEastAsia" w:eastAsiaTheme="minorEastAsia"/>
          <w:b/>
          <w:sz w:val="30"/>
          <w:szCs w:val="30"/>
        </w:rPr>
      </w:pPr>
    </w:p>
    <w:p w14:paraId="2DA9E7A9">
      <w:pP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2F5244FD">
      <w:pPr>
        <w:spacing w:line="360" w:lineRule="auto"/>
        <w:ind w:firstLine="602"/>
        <w:jc w:val="center"/>
        <w:outlineLvl w:val="1"/>
        <w:rPr>
          <w:rFonts w:asciiTheme="minorEastAsia" w:hAnsiTheme="minorEastAsia" w:eastAsiaTheme="minorEastAsia"/>
          <w:b/>
          <w:sz w:val="30"/>
          <w:szCs w:val="30"/>
        </w:rPr>
      </w:pPr>
      <w:bookmarkStart w:id="1268" w:name="_Toc495"/>
      <w:r>
        <w:rPr>
          <w:rFonts w:hint="eastAsia" w:asciiTheme="minorEastAsia" w:hAnsiTheme="minorEastAsia" w:eastAsiaTheme="minorEastAsia"/>
          <w:b/>
          <w:sz w:val="30"/>
          <w:szCs w:val="30"/>
        </w:rPr>
        <w:t>三、投标报价</w:t>
      </w:r>
      <w:bookmarkEnd w:id="1260"/>
      <w:bookmarkEnd w:id="1261"/>
      <w:bookmarkEnd w:id="1262"/>
      <w:bookmarkEnd w:id="1263"/>
      <w:bookmarkEnd w:id="1268"/>
    </w:p>
    <w:p w14:paraId="5F04ABDE">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（一）报价一览表</w:t>
      </w:r>
    </w:p>
    <w:bookmarkEnd w:id="1264"/>
    <w:bookmarkEnd w:id="1265"/>
    <w:bookmarkEnd w:id="1266"/>
    <w:tbl>
      <w:tblPr>
        <w:tblStyle w:val="56"/>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7427"/>
      </w:tblGrid>
      <w:tr w14:paraId="33A6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90" w:type="dxa"/>
            <w:vAlign w:val="center"/>
          </w:tcPr>
          <w:p w14:paraId="2D00731E">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投标总报价</w:t>
            </w:r>
          </w:p>
        </w:tc>
        <w:tc>
          <w:tcPr>
            <w:tcW w:w="7427" w:type="dxa"/>
            <w:vAlign w:val="center"/>
          </w:tcPr>
          <w:p w14:paraId="5C6320EA">
            <w:pPr>
              <w:spacing w:line="360" w:lineRule="auto"/>
              <w:jc w:val="center"/>
              <w:rPr>
                <w:rFonts w:asciiTheme="minorEastAsia" w:hAnsiTheme="minorEastAsia"/>
                <w:szCs w:val="21"/>
              </w:rPr>
            </w:pP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元（大写：   ）</w:t>
            </w:r>
          </w:p>
        </w:tc>
      </w:tr>
      <w:tr w14:paraId="11A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2C1CD903">
            <w:pPr>
              <w:jc w:val="center"/>
              <w:rPr>
                <w:rFonts w:asciiTheme="minorEastAsia" w:hAnsiTheme="minorEastAsia" w:eastAsiaTheme="minorEastAsia"/>
                <w:szCs w:val="21"/>
              </w:rPr>
            </w:pPr>
            <w:r>
              <w:rPr>
                <w:rFonts w:hint="eastAsia" w:asciiTheme="minorEastAsia" w:hAnsiTheme="minorEastAsia" w:eastAsiaTheme="minorEastAsia"/>
                <w:szCs w:val="21"/>
              </w:rPr>
              <w:t>合同履行期限（交货期）</w:t>
            </w:r>
          </w:p>
        </w:tc>
        <w:tc>
          <w:tcPr>
            <w:tcW w:w="7427" w:type="dxa"/>
            <w:vAlign w:val="center"/>
          </w:tcPr>
          <w:p w14:paraId="664CDB73">
            <w:pPr>
              <w:spacing w:line="360" w:lineRule="auto"/>
              <w:jc w:val="left"/>
              <w:rPr>
                <w:rFonts w:asciiTheme="minorEastAsia" w:hAnsiTheme="minorEastAsia" w:eastAsiaTheme="minorEastAsia"/>
                <w:szCs w:val="21"/>
              </w:rPr>
            </w:pPr>
          </w:p>
        </w:tc>
      </w:tr>
      <w:tr w14:paraId="6EB7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34A4EDB2">
            <w:pPr>
              <w:jc w:val="center"/>
              <w:rPr>
                <w:rFonts w:hint="eastAsia" w:asciiTheme="minorEastAsia" w:hAnsiTheme="minorEastAsia" w:eastAsiaTheme="minorEastAsia"/>
                <w:szCs w:val="21"/>
              </w:rPr>
            </w:pPr>
            <w:r>
              <w:rPr>
                <w:rFonts w:hint="eastAsia" w:ascii="宋体" w:hAnsi="宋体" w:cs="宋体"/>
                <w:b w:val="0"/>
                <w:bCs w:val="0"/>
                <w:color w:val="auto"/>
                <w:szCs w:val="21"/>
                <w:lang w:eastAsia="zh-CN"/>
              </w:rPr>
              <w:t>交付（或实施）地点</w:t>
            </w:r>
          </w:p>
        </w:tc>
        <w:tc>
          <w:tcPr>
            <w:tcW w:w="7427" w:type="dxa"/>
            <w:vAlign w:val="center"/>
          </w:tcPr>
          <w:p w14:paraId="07ABEF82">
            <w:pPr>
              <w:spacing w:line="360" w:lineRule="auto"/>
              <w:jc w:val="left"/>
              <w:rPr>
                <w:rFonts w:asciiTheme="minorEastAsia" w:hAnsiTheme="minorEastAsia" w:eastAsiaTheme="minorEastAsia"/>
                <w:szCs w:val="21"/>
              </w:rPr>
            </w:pPr>
          </w:p>
        </w:tc>
      </w:tr>
      <w:tr w14:paraId="526B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00C7DE71">
            <w:pPr>
              <w:spacing w:before="120"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说明</w:t>
            </w:r>
          </w:p>
        </w:tc>
        <w:tc>
          <w:tcPr>
            <w:tcW w:w="7427" w:type="dxa"/>
            <w:vAlign w:val="center"/>
          </w:tcPr>
          <w:p w14:paraId="79A1AEEB">
            <w:pPr>
              <w:spacing w:before="120" w:beforeLines="50" w:line="360" w:lineRule="auto"/>
              <w:jc w:val="left"/>
              <w:rPr>
                <w:rFonts w:asciiTheme="minorEastAsia" w:hAnsiTheme="minorEastAsia" w:eastAsiaTheme="minorEastAsia"/>
                <w:szCs w:val="21"/>
              </w:rPr>
            </w:pPr>
          </w:p>
        </w:tc>
      </w:tr>
      <w:tr w14:paraId="7DA9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017" w:type="dxa"/>
            <w:gridSpan w:val="2"/>
            <w:vAlign w:val="center"/>
          </w:tcPr>
          <w:p w14:paraId="2C26BBAF">
            <w:pPr>
              <w:spacing w:before="120" w:after="120"/>
              <w:rPr>
                <w:rFonts w:asciiTheme="minorEastAsia" w:hAnsiTheme="minorEastAsia" w:eastAsiaTheme="minorEastAsia"/>
                <w:szCs w:val="21"/>
              </w:rPr>
            </w:pPr>
            <w:r>
              <w:rPr>
                <w:rFonts w:hint="eastAsia" w:asciiTheme="minorEastAsia" w:hAnsiTheme="minorEastAsia" w:eastAsiaTheme="minorEastAsia"/>
                <w:szCs w:val="21"/>
              </w:rPr>
              <w:t>投标人（电子签章）：</w:t>
            </w:r>
          </w:p>
        </w:tc>
      </w:tr>
      <w:tr w14:paraId="3CDF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017" w:type="dxa"/>
            <w:gridSpan w:val="2"/>
            <w:vAlign w:val="bottom"/>
          </w:tcPr>
          <w:p w14:paraId="096AB231">
            <w:pPr>
              <w:spacing w:before="120" w:after="120"/>
              <w:ind w:right="480"/>
              <w:rPr>
                <w:rFonts w:asciiTheme="minorEastAsia" w:hAnsiTheme="minorEastAsia" w:eastAsiaTheme="minorEastAsia"/>
                <w:szCs w:val="21"/>
              </w:rPr>
            </w:pPr>
            <w:r>
              <w:rPr>
                <w:rFonts w:hint="eastAsia" w:asciiTheme="minorEastAsia" w:hAnsiTheme="minorEastAsia" w:eastAsiaTheme="minorEastAsia"/>
                <w:szCs w:val="21"/>
              </w:rPr>
              <w:t>法定代表人（电子签章）：</w:t>
            </w:r>
          </w:p>
          <w:p w14:paraId="781DB19D">
            <w:pPr>
              <w:spacing w:before="120" w:after="120"/>
              <w:jc w:val="right"/>
              <w:rPr>
                <w:rFonts w:asciiTheme="minorEastAsia" w:hAnsiTheme="minorEastAsia" w:eastAsiaTheme="minorEastAsia"/>
                <w:szCs w:val="21"/>
              </w:rPr>
            </w:pPr>
          </w:p>
          <w:p w14:paraId="1EC6A7BE">
            <w:pPr>
              <w:spacing w:before="120" w:after="120"/>
              <w:jc w:val="right"/>
              <w:rPr>
                <w:rFonts w:asciiTheme="minorEastAsia" w:hAnsiTheme="minorEastAsia" w:eastAsiaTheme="minorEastAsia"/>
                <w:szCs w:val="21"/>
              </w:rPr>
            </w:pPr>
            <w:r>
              <w:rPr>
                <w:rFonts w:hint="eastAsia" w:asciiTheme="minorEastAsia" w:hAnsiTheme="minorEastAsia" w:eastAsiaTheme="minorEastAsia"/>
                <w:szCs w:val="21"/>
              </w:rPr>
              <w:t>日 期：    年    月    日</w:t>
            </w:r>
          </w:p>
        </w:tc>
      </w:tr>
    </w:tbl>
    <w:p w14:paraId="7876C5C8">
      <w:pPr>
        <w:pStyle w:val="20"/>
        <w:bidi w:val="0"/>
        <w:rPr>
          <w:rFonts w:hint="eastAsia"/>
          <w:sz w:val="21"/>
          <w:szCs w:val="21"/>
        </w:rPr>
      </w:pPr>
    </w:p>
    <w:p w14:paraId="324D897D">
      <w:pPr>
        <w:pStyle w:val="20"/>
        <w:bidi w:val="0"/>
        <w:spacing w:line="360" w:lineRule="auto"/>
        <w:rPr>
          <w:rFonts w:hint="eastAsia"/>
          <w:sz w:val="21"/>
          <w:szCs w:val="21"/>
          <w:lang w:val="en-US" w:eastAsia="zh-CN"/>
        </w:rPr>
      </w:pPr>
      <w:r>
        <w:rPr>
          <w:rFonts w:hint="eastAsia"/>
          <w:sz w:val="21"/>
          <w:szCs w:val="21"/>
        </w:rPr>
        <w:t>注：</w:t>
      </w:r>
      <w:r>
        <w:rPr>
          <w:rFonts w:hint="eastAsia"/>
          <w:sz w:val="21"/>
          <w:szCs w:val="21"/>
          <w:lang w:val="en-US" w:eastAsia="zh-CN"/>
        </w:rPr>
        <w:t>因本项目为电子招投标项目，上述开标一览表中投标人填写的内容应与电子交易系统中开标一览表填写内容一致，如出现不一致的情况以电子交易系统中开标一览表填写内容为准。</w:t>
      </w:r>
    </w:p>
    <w:p w14:paraId="79B5C1F9">
      <w:pPr>
        <w:pStyle w:val="20"/>
        <w:bidi w:val="0"/>
        <w:rPr>
          <w:sz w:val="21"/>
          <w:szCs w:val="21"/>
        </w:rPr>
      </w:pPr>
      <w:bookmarkStart w:id="1269" w:name="_Toc25238"/>
    </w:p>
    <w:p w14:paraId="5ED670E6">
      <w:pPr>
        <w:rPr>
          <w:rFonts w:hint="eastAsia" w:asciiTheme="minorEastAsia" w:hAnsiTheme="minorEastAsia" w:eastAsiaTheme="minorEastAsia"/>
        </w:rPr>
      </w:pPr>
      <w:r>
        <w:rPr>
          <w:rFonts w:hint="eastAsia" w:asciiTheme="minorEastAsia" w:hAnsiTheme="minorEastAsia" w:eastAsiaTheme="minorEastAsia"/>
        </w:rPr>
        <w:br w:type="page"/>
      </w:r>
    </w:p>
    <w:bookmarkEnd w:id="1267"/>
    <w:bookmarkEnd w:id="1269"/>
    <w:p w14:paraId="1544C692">
      <w:pPr>
        <w:spacing w:line="360" w:lineRule="auto"/>
        <w:ind w:firstLine="562"/>
        <w:jc w:val="center"/>
        <w:outlineLvl w:val="2"/>
        <w:rPr>
          <w:rFonts w:hint="eastAsia" w:cs="Times New Roman" w:asciiTheme="minorEastAsia" w:hAnsiTheme="minorEastAsia" w:eastAsiaTheme="minorEastAsia"/>
          <w:b/>
          <w:sz w:val="28"/>
          <w:szCs w:val="28"/>
        </w:rPr>
      </w:pPr>
      <w:bookmarkStart w:id="1270" w:name="_Toc8736138"/>
      <w:bookmarkStart w:id="1271" w:name="_Toc29512"/>
      <w:bookmarkStart w:id="1272" w:name="_Toc109809390"/>
      <w:bookmarkStart w:id="1273" w:name="_Toc98865076"/>
      <w:bookmarkStart w:id="1274" w:name="_Toc45976971"/>
      <w:bookmarkStart w:id="1275" w:name="_Toc42205063"/>
      <w:bookmarkStart w:id="1276" w:name="_Toc69678492"/>
      <w:bookmarkStart w:id="1277" w:name="_Toc116584081"/>
      <w:bookmarkStart w:id="1278" w:name="_Toc110405210"/>
      <w:bookmarkStart w:id="1279" w:name="_Toc75783595"/>
      <w:bookmarkStart w:id="1280" w:name="_Toc53412279"/>
      <w:bookmarkStart w:id="1281" w:name="_Toc81331010"/>
      <w:bookmarkStart w:id="1282" w:name="_Toc3268"/>
      <w:bookmarkStart w:id="1283" w:name="_Toc53412280"/>
      <w:bookmarkStart w:id="1284" w:name="_Toc81331011"/>
      <w:bookmarkStart w:id="1285" w:name="_Toc98865077"/>
      <w:bookmarkStart w:id="1286" w:name="_Toc42205064"/>
      <w:bookmarkStart w:id="1287" w:name="_Toc75783596"/>
      <w:bookmarkStart w:id="1288" w:name="_Toc69678493"/>
      <w:bookmarkStart w:id="1289" w:name="_Toc109809391"/>
      <w:bookmarkStart w:id="1290" w:name="_Toc116584082"/>
      <w:bookmarkStart w:id="1291" w:name="_Toc110405211"/>
      <w:bookmarkStart w:id="1292" w:name="_Toc45976972"/>
      <w:bookmarkStart w:id="1293" w:name="_Toc31603098"/>
      <w:bookmarkStart w:id="1294" w:name="_Toc38173197"/>
      <w:r>
        <w:rPr>
          <w:rFonts w:hint="eastAsia" w:cs="Times New Roman" w:asciiTheme="minorEastAsia" w:hAnsiTheme="minorEastAsia" w:eastAsiaTheme="minorEastAsia"/>
          <w:b/>
          <w:sz w:val="28"/>
          <w:szCs w:val="28"/>
        </w:rPr>
        <w:t>（</w:t>
      </w:r>
      <w:r>
        <w:rPr>
          <w:rFonts w:hint="eastAsia" w:cs="Times New Roman" w:asciiTheme="minorEastAsia" w:hAnsiTheme="minorEastAsia" w:eastAsiaTheme="minorEastAsia"/>
          <w:b/>
          <w:sz w:val="28"/>
          <w:szCs w:val="28"/>
          <w:lang w:val="en-US" w:eastAsia="zh-CN"/>
        </w:rPr>
        <w:t>二</w:t>
      </w:r>
      <w:r>
        <w:rPr>
          <w:rFonts w:hint="eastAsia" w:cs="Times New Roman" w:asciiTheme="minorEastAsia" w:hAnsiTheme="minorEastAsia" w:eastAsiaTheme="minorEastAsia"/>
          <w:b/>
          <w:sz w:val="28"/>
          <w:szCs w:val="28"/>
        </w:rPr>
        <w:t>）投标产品技术参数</w:t>
      </w:r>
    </w:p>
    <w:tbl>
      <w:tblPr>
        <w:tblStyle w:val="56"/>
        <w:tblW w:w="9388" w:type="dxa"/>
        <w:jc w:val="center"/>
        <w:tblLayout w:type="fixed"/>
        <w:tblCellMar>
          <w:top w:w="0" w:type="dxa"/>
          <w:left w:w="108" w:type="dxa"/>
          <w:bottom w:w="0" w:type="dxa"/>
          <w:right w:w="108" w:type="dxa"/>
        </w:tblCellMar>
      </w:tblPr>
      <w:tblGrid>
        <w:gridCol w:w="1860"/>
        <w:gridCol w:w="2968"/>
        <w:gridCol w:w="1244"/>
        <w:gridCol w:w="1658"/>
        <w:gridCol w:w="1658"/>
      </w:tblGrid>
      <w:tr w14:paraId="28A2055C">
        <w:tblPrEx>
          <w:tblCellMar>
            <w:top w:w="0" w:type="dxa"/>
            <w:left w:w="108" w:type="dxa"/>
            <w:bottom w:w="0" w:type="dxa"/>
            <w:right w:w="108" w:type="dxa"/>
          </w:tblCellMar>
        </w:tblPrEx>
        <w:trPr>
          <w:trHeight w:val="983" w:hRule="atLeast"/>
          <w:jc w:val="center"/>
        </w:trPr>
        <w:tc>
          <w:tcPr>
            <w:tcW w:w="1860" w:type="dxa"/>
            <w:tcBorders>
              <w:top w:val="single" w:color="auto" w:sz="4" w:space="0"/>
              <w:left w:val="single" w:color="auto" w:sz="4" w:space="0"/>
              <w:bottom w:val="single" w:color="000000" w:sz="4" w:space="0"/>
              <w:right w:val="single" w:color="000000" w:sz="4" w:space="0"/>
            </w:tcBorders>
            <w:shd w:val="clear" w:color="auto" w:fill="FFFFFF"/>
            <w:vAlign w:val="center"/>
          </w:tcPr>
          <w:p w14:paraId="0F861B67">
            <w:pPr>
              <w:jc w:val="center"/>
              <w:textAlignment w:val="center"/>
              <w:rPr>
                <w:rFonts w:ascii="宋体" w:hAnsi="宋体" w:cs="宋体"/>
                <w:color w:val="000000"/>
                <w:szCs w:val="21"/>
              </w:rPr>
            </w:pPr>
            <w:r>
              <w:rPr>
                <w:rFonts w:hint="eastAsia" w:ascii="宋体" w:hAnsi="宋体" w:cs="宋体"/>
                <w:color w:val="000000"/>
                <w:szCs w:val="21"/>
              </w:rPr>
              <w:t>产品（项目）名称</w:t>
            </w:r>
          </w:p>
        </w:tc>
        <w:tc>
          <w:tcPr>
            <w:tcW w:w="296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F74D12A">
            <w:pPr>
              <w:ind w:firstLine="360"/>
              <w:jc w:val="center"/>
              <w:textAlignment w:val="center"/>
              <w:rPr>
                <w:rFonts w:ascii="宋体" w:hAnsi="宋体" w:cs="宋体"/>
                <w:color w:val="000000"/>
                <w:szCs w:val="21"/>
              </w:rPr>
            </w:pPr>
            <w:r>
              <w:rPr>
                <w:rFonts w:hint="eastAsia" w:ascii="宋体" w:hAnsi="宋体" w:cs="宋体"/>
                <w:color w:val="000000"/>
                <w:szCs w:val="21"/>
              </w:rPr>
              <w:t>技术参数</w:t>
            </w:r>
          </w:p>
        </w:tc>
        <w:tc>
          <w:tcPr>
            <w:tcW w:w="124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BF612F2">
            <w:pPr>
              <w:jc w:val="center"/>
              <w:textAlignment w:val="center"/>
              <w:rPr>
                <w:rFonts w:ascii="宋体" w:hAnsi="宋体" w:cs="宋体"/>
                <w:color w:val="000000"/>
                <w:szCs w:val="21"/>
              </w:rPr>
            </w:pPr>
            <w:r>
              <w:rPr>
                <w:rFonts w:hint="eastAsia" w:ascii="宋体" w:hAnsi="宋体" w:cs="宋体"/>
                <w:color w:val="000000"/>
                <w:szCs w:val="21"/>
              </w:rPr>
              <w:t>品牌</w:t>
            </w:r>
          </w:p>
        </w:tc>
        <w:tc>
          <w:tcPr>
            <w:tcW w:w="1658" w:type="dxa"/>
            <w:tcBorders>
              <w:top w:val="single" w:color="auto" w:sz="4" w:space="0"/>
              <w:left w:val="single" w:color="000000" w:sz="4" w:space="0"/>
              <w:bottom w:val="single" w:color="000000" w:sz="4" w:space="0"/>
              <w:right w:val="single" w:color="auto" w:sz="4" w:space="0"/>
            </w:tcBorders>
            <w:shd w:val="clear" w:color="auto" w:fill="FFFFFF"/>
            <w:vAlign w:val="center"/>
          </w:tcPr>
          <w:p w14:paraId="3D7F47A3">
            <w:pPr>
              <w:jc w:val="center"/>
              <w:textAlignment w:val="center"/>
              <w:rPr>
                <w:rFonts w:ascii="宋体" w:hAnsi="宋体" w:cs="宋体"/>
                <w:color w:val="000000"/>
                <w:szCs w:val="21"/>
              </w:rPr>
            </w:pPr>
            <w:r>
              <w:rPr>
                <w:rFonts w:hint="eastAsia" w:ascii="宋体" w:hAnsi="宋体" w:cs="宋体"/>
                <w:color w:val="000000"/>
                <w:szCs w:val="21"/>
              </w:rPr>
              <w:t>规格型号</w:t>
            </w:r>
          </w:p>
        </w:tc>
        <w:tc>
          <w:tcPr>
            <w:tcW w:w="1658" w:type="dxa"/>
            <w:tcBorders>
              <w:top w:val="single" w:color="auto" w:sz="4" w:space="0"/>
              <w:left w:val="single" w:color="000000" w:sz="4" w:space="0"/>
              <w:bottom w:val="single" w:color="000000" w:sz="4" w:space="0"/>
              <w:right w:val="single" w:color="auto" w:sz="4" w:space="0"/>
            </w:tcBorders>
            <w:shd w:val="clear" w:color="auto" w:fill="FFFFFF"/>
            <w:vAlign w:val="center"/>
          </w:tcPr>
          <w:p w14:paraId="2B10C6D6">
            <w:pPr>
              <w:jc w:val="center"/>
              <w:textAlignment w:val="center"/>
              <w:rPr>
                <w:rFonts w:ascii="宋体" w:hAnsi="宋体" w:cs="宋体"/>
                <w:color w:val="000000"/>
                <w:szCs w:val="21"/>
              </w:rPr>
            </w:pPr>
            <w:r>
              <w:rPr>
                <w:rFonts w:hint="eastAsia" w:ascii="宋体" w:hAnsi="宋体" w:cs="宋体"/>
                <w:color w:val="000000"/>
                <w:szCs w:val="21"/>
              </w:rPr>
              <w:t>数量</w:t>
            </w:r>
          </w:p>
        </w:tc>
      </w:tr>
      <w:tr w14:paraId="575F1121">
        <w:tblPrEx>
          <w:tblCellMar>
            <w:top w:w="0" w:type="dxa"/>
            <w:left w:w="108" w:type="dxa"/>
            <w:bottom w:w="0" w:type="dxa"/>
            <w:right w:w="108" w:type="dxa"/>
          </w:tblCellMar>
        </w:tblPrEx>
        <w:trPr>
          <w:trHeight w:val="1025" w:hRule="atLeast"/>
          <w:jc w:val="center"/>
        </w:trPr>
        <w:tc>
          <w:tcPr>
            <w:tcW w:w="1860" w:type="dxa"/>
            <w:tcBorders>
              <w:top w:val="single" w:color="000000" w:sz="4" w:space="0"/>
              <w:left w:val="single" w:color="auto" w:sz="4" w:space="0"/>
              <w:bottom w:val="single" w:color="auto" w:sz="4" w:space="0"/>
              <w:right w:val="single" w:color="000000" w:sz="4" w:space="0"/>
            </w:tcBorders>
            <w:shd w:val="clear" w:color="auto" w:fill="FFFFFF"/>
            <w:vAlign w:val="center"/>
          </w:tcPr>
          <w:p w14:paraId="684299DB">
            <w:pPr>
              <w:jc w:val="center"/>
              <w:textAlignment w:val="center"/>
              <w:rPr>
                <w:rFonts w:ascii="宋体" w:hAnsi="宋体" w:cs="宋体"/>
                <w:color w:val="000000"/>
                <w:szCs w:val="21"/>
              </w:rPr>
            </w:pPr>
          </w:p>
        </w:tc>
        <w:tc>
          <w:tcPr>
            <w:tcW w:w="296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0DAB877">
            <w:pPr>
              <w:jc w:val="center"/>
              <w:textAlignment w:val="center"/>
              <w:rPr>
                <w:rFonts w:ascii="宋体" w:hAnsi="宋体" w:cs="宋体"/>
                <w:color w:val="000000"/>
                <w:szCs w:val="21"/>
              </w:rPr>
            </w:pPr>
          </w:p>
        </w:tc>
        <w:tc>
          <w:tcPr>
            <w:tcW w:w="124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5BF9111">
            <w:pPr>
              <w:ind w:firstLine="360"/>
              <w:jc w:val="center"/>
              <w:rPr>
                <w:rFonts w:ascii="宋体" w:hAnsi="宋体" w:cs="宋体"/>
                <w:color w:val="000000"/>
                <w:szCs w:val="21"/>
              </w:rPr>
            </w:pPr>
          </w:p>
        </w:tc>
        <w:tc>
          <w:tcPr>
            <w:tcW w:w="1658" w:type="dxa"/>
            <w:tcBorders>
              <w:top w:val="single" w:color="000000" w:sz="4" w:space="0"/>
              <w:left w:val="single" w:color="000000" w:sz="4" w:space="0"/>
              <w:bottom w:val="single" w:color="auto" w:sz="4" w:space="0"/>
              <w:right w:val="single" w:color="auto" w:sz="4" w:space="0"/>
            </w:tcBorders>
            <w:shd w:val="clear" w:color="auto" w:fill="FFFFFF"/>
            <w:noWrap/>
            <w:vAlign w:val="center"/>
          </w:tcPr>
          <w:p w14:paraId="29EFF37D">
            <w:pPr>
              <w:ind w:firstLine="360"/>
              <w:jc w:val="center"/>
              <w:rPr>
                <w:rFonts w:ascii="宋体" w:hAnsi="宋体" w:cs="宋体"/>
                <w:color w:val="000000"/>
                <w:szCs w:val="21"/>
              </w:rPr>
            </w:pPr>
          </w:p>
        </w:tc>
        <w:tc>
          <w:tcPr>
            <w:tcW w:w="1658" w:type="dxa"/>
            <w:tcBorders>
              <w:top w:val="single" w:color="000000" w:sz="4" w:space="0"/>
              <w:left w:val="single" w:color="000000" w:sz="4" w:space="0"/>
              <w:bottom w:val="single" w:color="auto" w:sz="4" w:space="0"/>
              <w:right w:val="single" w:color="auto" w:sz="4" w:space="0"/>
            </w:tcBorders>
            <w:shd w:val="clear" w:color="auto" w:fill="FFFFFF"/>
            <w:noWrap/>
            <w:vAlign w:val="center"/>
          </w:tcPr>
          <w:p w14:paraId="091CE5C0">
            <w:pPr>
              <w:ind w:firstLine="360"/>
              <w:jc w:val="center"/>
              <w:rPr>
                <w:rFonts w:ascii="宋体" w:hAnsi="宋体" w:cs="宋体"/>
                <w:color w:val="000000"/>
                <w:szCs w:val="21"/>
              </w:rPr>
            </w:pPr>
          </w:p>
        </w:tc>
      </w:tr>
    </w:tbl>
    <w:p w14:paraId="35D40794">
      <w:pPr>
        <w:pStyle w:val="28"/>
        <w:spacing w:before="120" w:beforeLines="50" w:line="360" w:lineRule="auto"/>
        <w:ind w:firstLine="420" w:firstLineChars="200"/>
        <w:rPr>
          <w:rFonts w:hAnsi="宋体"/>
          <w:bCs/>
        </w:rPr>
      </w:pPr>
      <w:r>
        <w:rPr>
          <w:rFonts w:hint="eastAsia" w:hAnsi="宋体"/>
          <w:bCs/>
        </w:rPr>
        <w:t>表格填写说明：</w:t>
      </w:r>
    </w:p>
    <w:p w14:paraId="72984FA6">
      <w:pPr>
        <w:pStyle w:val="28"/>
        <w:spacing w:line="360" w:lineRule="auto"/>
        <w:ind w:firstLine="420" w:firstLineChars="200"/>
        <w:rPr>
          <w:rFonts w:hAnsi="宋体"/>
          <w:bCs/>
        </w:rPr>
      </w:pPr>
      <w:r>
        <w:rPr>
          <w:rFonts w:hint="eastAsia" w:hAnsi="宋体"/>
          <w:bCs/>
        </w:rPr>
        <w:t>（1）如果不提供投标产品技术参数将视为没有实质性响应招标文件的要求。</w:t>
      </w:r>
    </w:p>
    <w:p w14:paraId="6A168140">
      <w:pPr>
        <w:pStyle w:val="28"/>
        <w:spacing w:line="360" w:lineRule="auto"/>
        <w:ind w:firstLine="420" w:firstLineChars="200"/>
        <w:rPr>
          <w:rFonts w:hAnsi="宋体"/>
          <w:bCs/>
        </w:rPr>
      </w:pPr>
      <w:r>
        <w:rPr>
          <w:rFonts w:hint="eastAsia" w:hAnsi="宋体"/>
          <w:bCs/>
        </w:rPr>
        <w:t>（2）投标人应对照招标文件技术参数，逐条说明所提供货物已对招标文件的技术参数做出了响应。特别对有具体参数要求的指标，投标人必须提供所投产品的具体参数值。</w:t>
      </w:r>
    </w:p>
    <w:p w14:paraId="2534014A">
      <w:pPr>
        <w:pStyle w:val="28"/>
        <w:spacing w:line="360" w:lineRule="auto"/>
        <w:ind w:firstLine="420" w:firstLineChars="200"/>
        <w:rPr>
          <w:rFonts w:hAnsi="宋体"/>
          <w:bCs/>
        </w:rPr>
      </w:pPr>
      <w:r>
        <w:rPr>
          <w:rFonts w:hint="eastAsia" w:hAnsi="宋体"/>
          <w:bCs/>
        </w:rPr>
        <w:t>（3）请投标人对招标文件第五章采购需求中的产品技术参数要求作出全面、真实的反映。</w:t>
      </w:r>
    </w:p>
    <w:p w14:paraId="03F04998">
      <w:pPr>
        <w:pStyle w:val="28"/>
        <w:spacing w:line="360" w:lineRule="auto"/>
        <w:ind w:firstLine="420" w:firstLineChars="200"/>
        <w:rPr>
          <w:rFonts w:hAnsi="宋体" w:cs="宋体"/>
        </w:rPr>
      </w:pPr>
      <w:r>
        <w:rPr>
          <w:rFonts w:hint="eastAsia" w:hAnsi="宋体"/>
          <w:bCs/>
          <w:szCs w:val="21"/>
        </w:rPr>
        <w:t>（4）</w:t>
      </w:r>
      <w:r>
        <w:rPr>
          <w:rFonts w:hint="eastAsia" w:hAnsi="宋体"/>
          <w:szCs w:val="21"/>
        </w:rPr>
        <w:t>技术参数”表格中带“★”参数为关键性技术参数；</w:t>
      </w:r>
      <w:r>
        <w:rPr>
          <w:rFonts w:hint="eastAsia" w:hAnsi="宋体" w:cs="宋体"/>
        </w:rPr>
        <w:t>投标产品的关键性技术参数，须满足或优于招标文件第五章“采购需求”中“参数要求”，否则，按否决投标处理。</w:t>
      </w:r>
    </w:p>
    <w:p w14:paraId="38F0C4DB">
      <w:pPr>
        <w:pStyle w:val="28"/>
        <w:spacing w:line="360" w:lineRule="auto"/>
        <w:ind w:firstLine="420" w:firstLineChars="200"/>
        <w:rPr>
          <w:rFonts w:hAnsi="宋体" w:cs="宋体"/>
        </w:rPr>
      </w:pPr>
      <w:r>
        <w:rPr>
          <w:rFonts w:hint="eastAsia" w:hAnsi="宋体" w:cs="宋体"/>
        </w:rPr>
        <w:t>（5）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41C6BD5C">
      <w:pPr>
        <w:pStyle w:val="28"/>
        <w:spacing w:line="360" w:lineRule="auto"/>
        <w:ind w:firstLine="420" w:firstLineChars="200"/>
        <w:rPr>
          <w:rFonts w:hAnsi="宋体"/>
          <w:bCs/>
        </w:rPr>
      </w:pPr>
    </w:p>
    <w:p w14:paraId="5C1D2ADE">
      <w:pPr>
        <w:pStyle w:val="28"/>
        <w:spacing w:line="360" w:lineRule="auto"/>
        <w:ind w:firstLine="420" w:firstLineChars="200"/>
        <w:rPr>
          <w:rFonts w:hAnsi="宋体"/>
        </w:rPr>
      </w:pPr>
    </w:p>
    <w:p w14:paraId="30695F23">
      <w:pPr>
        <w:pStyle w:val="28"/>
        <w:spacing w:line="360" w:lineRule="auto"/>
        <w:ind w:firstLine="420" w:firstLineChars="200"/>
        <w:rPr>
          <w:rFonts w:hAnsi="宋体"/>
        </w:rPr>
      </w:pPr>
    </w:p>
    <w:p w14:paraId="1EE77AE0">
      <w:pPr>
        <w:pStyle w:val="28"/>
        <w:spacing w:line="360" w:lineRule="auto"/>
        <w:ind w:left="5250"/>
        <w:rPr>
          <w:rFonts w:hAnsi="宋体" w:cs="宋体"/>
        </w:rPr>
      </w:pPr>
    </w:p>
    <w:p w14:paraId="372ED96F">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投标人：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454D6010">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(电子签章)</w:t>
      </w:r>
      <w:r>
        <w:rPr>
          <w:rFonts w:asciiTheme="minorEastAsia" w:hAnsiTheme="minorEastAsia" w:eastAsiaTheme="minorEastAsia"/>
          <w:bCs/>
          <w:szCs w:val="21"/>
          <w:u w:val="single"/>
        </w:rPr>
        <w:t xml:space="preserve"> </w:t>
      </w:r>
    </w:p>
    <w:p w14:paraId="04B74EB3">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14:paraId="09AC82DE">
      <w:pPr>
        <w:autoSpaceDE w:val="0"/>
        <w:autoSpaceDN w:val="0"/>
        <w:adjustRightInd w:val="0"/>
        <w:spacing w:line="480" w:lineRule="auto"/>
        <w:jc w:val="left"/>
        <w:rPr>
          <w:rFonts w:asciiTheme="minorEastAsia" w:hAnsiTheme="minorEastAsia" w:eastAsiaTheme="minorEastAsia"/>
          <w:bCs/>
          <w:szCs w:val="21"/>
        </w:rPr>
      </w:pPr>
    </w:p>
    <w:p w14:paraId="317FF628">
      <w:pPr>
        <w:spacing w:line="480" w:lineRule="auto"/>
        <w:ind w:firstLine="4200" w:firstLineChars="2000"/>
        <w:rPr>
          <w:rFonts w:ascii="宋体" w:hAnsi="宋体" w:cs="宋体"/>
          <w:szCs w:val="21"/>
        </w:rPr>
      </w:pPr>
    </w:p>
    <w:p w14:paraId="514F6ABF">
      <w:pPr>
        <w:spacing w:line="480" w:lineRule="auto"/>
        <w:ind w:firstLine="4200" w:firstLineChars="2000"/>
        <w:rPr>
          <w:rFonts w:ascii="宋体" w:hAnsi="宋体" w:cs="宋体"/>
          <w:szCs w:val="21"/>
        </w:rPr>
      </w:pPr>
    </w:p>
    <w:p w14:paraId="2B8DDDEF">
      <w:pPr>
        <w:spacing w:line="480" w:lineRule="auto"/>
        <w:ind w:firstLine="4200" w:firstLineChars="2000"/>
        <w:rPr>
          <w:rFonts w:ascii="宋体" w:hAnsi="宋体" w:cs="宋体"/>
          <w:szCs w:val="21"/>
        </w:rPr>
      </w:pPr>
    </w:p>
    <w:p w14:paraId="7B1C0DC1">
      <w:pPr>
        <w:spacing w:line="480" w:lineRule="auto"/>
        <w:ind w:firstLine="4200" w:firstLineChars="2000"/>
        <w:rPr>
          <w:rFonts w:ascii="宋体" w:hAnsi="宋体" w:cs="宋体"/>
          <w:szCs w:val="21"/>
        </w:rPr>
      </w:pPr>
    </w:p>
    <w:p w14:paraId="58B21A1E">
      <w:pPr>
        <w:spacing w:line="480" w:lineRule="auto"/>
        <w:ind w:firstLine="4200" w:firstLineChars="2000"/>
        <w:rPr>
          <w:rFonts w:ascii="宋体" w:hAnsi="宋体" w:cs="宋体"/>
          <w:szCs w:val="21"/>
        </w:rPr>
      </w:pPr>
    </w:p>
    <w:p w14:paraId="6BCF310F">
      <w:pPr>
        <w:spacing w:line="480" w:lineRule="auto"/>
        <w:ind w:firstLine="4200" w:firstLineChars="2000"/>
        <w:rPr>
          <w:rFonts w:ascii="宋体" w:hAnsi="宋体" w:cs="宋体"/>
          <w:szCs w:val="21"/>
        </w:rPr>
      </w:pPr>
    </w:p>
    <w:p w14:paraId="3E5800CC">
      <w:pPr>
        <w:rPr>
          <w:rFonts w:hint="eastAsia"/>
          <w:b/>
          <w:bCs/>
          <w:sz w:val="28"/>
          <w:szCs w:val="24"/>
        </w:rPr>
      </w:pPr>
      <w:bookmarkStart w:id="1295" w:name="_Toc26003487"/>
      <w:bookmarkStart w:id="1296" w:name="_Toc31882"/>
      <w:r>
        <w:rPr>
          <w:rFonts w:hint="eastAsia"/>
          <w:b/>
          <w:bCs/>
          <w:sz w:val="28"/>
          <w:szCs w:val="24"/>
        </w:rPr>
        <w:br w:type="page"/>
      </w:r>
    </w:p>
    <w:p w14:paraId="2378F934">
      <w:pPr>
        <w:spacing w:line="360" w:lineRule="auto"/>
        <w:ind w:firstLine="562"/>
        <w:jc w:val="center"/>
        <w:outlineLvl w:val="2"/>
        <w:rPr>
          <w:rFonts w:hint="eastAsia"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lang w:eastAsia="zh-CN"/>
        </w:rPr>
        <w:t>（</w:t>
      </w:r>
      <w:r>
        <w:rPr>
          <w:rFonts w:hint="eastAsia" w:cs="Times New Roman" w:asciiTheme="minorEastAsia" w:hAnsiTheme="minorEastAsia" w:eastAsiaTheme="minorEastAsia"/>
          <w:b/>
          <w:sz w:val="28"/>
          <w:szCs w:val="28"/>
          <w:lang w:val="en-US" w:eastAsia="zh-CN"/>
        </w:rPr>
        <w:t>三</w:t>
      </w:r>
      <w:r>
        <w:rPr>
          <w:rFonts w:hint="eastAsia" w:cs="Times New Roman" w:asciiTheme="minorEastAsia" w:hAnsiTheme="minorEastAsia" w:eastAsiaTheme="minorEastAsia"/>
          <w:b/>
          <w:sz w:val="28"/>
          <w:szCs w:val="28"/>
          <w:lang w:eastAsia="zh-CN"/>
        </w:rPr>
        <w:t>）</w:t>
      </w:r>
      <w:r>
        <w:rPr>
          <w:rFonts w:hint="eastAsia" w:cs="Times New Roman" w:asciiTheme="minorEastAsia" w:hAnsiTheme="minorEastAsia" w:eastAsiaTheme="minorEastAsia"/>
          <w:b/>
          <w:sz w:val="28"/>
          <w:szCs w:val="28"/>
        </w:rPr>
        <w:t>技术参数偏离表</w:t>
      </w:r>
      <w:bookmarkEnd w:id="1295"/>
      <w:bookmarkEnd w:id="1296"/>
    </w:p>
    <w:tbl>
      <w:tblPr>
        <w:tblStyle w:val="5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82"/>
        <w:gridCol w:w="2587"/>
        <w:gridCol w:w="2387"/>
        <w:gridCol w:w="1157"/>
        <w:gridCol w:w="992"/>
      </w:tblGrid>
      <w:tr w14:paraId="5404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4" w:type="dxa"/>
            <w:vAlign w:val="center"/>
          </w:tcPr>
          <w:p w14:paraId="13238F68">
            <w:pPr>
              <w:spacing w:line="360" w:lineRule="auto"/>
              <w:jc w:val="center"/>
              <w:rPr>
                <w:rFonts w:ascii="宋体" w:hAnsi="宋体"/>
                <w:b w:val="0"/>
                <w:bCs/>
              </w:rPr>
            </w:pPr>
            <w:r>
              <w:rPr>
                <w:rFonts w:hint="eastAsia" w:ascii="宋体" w:hAnsi="宋体"/>
                <w:b w:val="0"/>
                <w:bCs/>
              </w:rPr>
              <w:t>序号</w:t>
            </w:r>
          </w:p>
        </w:tc>
        <w:tc>
          <w:tcPr>
            <w:tcW w:w="1382" w:type="dxa"/>
            <w:vAlign w:val="center"/>
          </w:tcPr>
          <w:p w14:paraId="2A4EFFF0">
            <w:pPr>
              <w:spacing w:line="360" w:lineRule="auto"/>
              <w:jc w:val="center"/>
              <w:rPr>
                <w:rFonts w:ascii="宋体" w:hAnsi="宋体"/>
                <w:b w:val="0"/>
                <w:bCs/>
                <w:szCs w:val="21"/>
              </w:rPr>
            </w:pPr>
            <w:r>
              <w:rPr>
                <w:rFonts w:hint="eastAsia" w:ascii="宋体" w:hAnsi="宋体"/>
                <w:b w:val="0"/>
                <w:bCs/>
                <w:szCs w:val="21"/>
              </w:rPr>
              <w:t>产品名称</w:t>
            </w:r>
          </w:p>
        </w:tc>
        <w:tc>
          <w:tcPr>
            <w:tcW w:w="2587" w:type="dxa"/>
            <w:vAlign w:val="center"/>
          </w:tcPr>
          <w:p w14:paraId="2137146D">
            <w:pPr>
              <w:spacing w:line="360" w:lineRule="auto"/>
              <w:jc w:val="center"/>
              <w:rPr>
                <w:rFonts w:ascii="宋体" w:hAnsi="宋体"/>
                <w:b w:val="0"/>
                <w:bCs/>
              </w:rPr>
            </w:pPr>
            <w:r>
              <w:rPr>
                <w:rFonts w:hint="eastAsia" w:ascii="宋体" w:hAnsi="宋体"/>
                <w:b w:val="0"/>
                <w:bCs/>
              </w:rPr>
              <w:t>招标文件的技术参数要求</w:t>
            </w:r>
          </w:p>
        </w:tc>
        <w:tc>
          <w:tcPr>
            <w:tcW w:w="2387" w:type="dxa"/>
            <w:vAlign w:val="center"/>
          </w:tcPr>
          <w:p w14:paraId="2C6DB550">
            <w:pPr>
              <w:spacing w:line="360" w:lineRule="auto"/>
              <w:jc w:val="center"/>
              <w:rPr>
                <w:rFonts w:ascii="宋体" w:hAnsi="宋体"/>
                <w:b w:val="0"/>
                <w:bCs/>
                <w:szCs w:val="21"/>
              </w:rPr>
            </w:pPr>
            <w:r>
              <w:rPr>
                <w:rFonts w:hint="eastAsia" w:ascii="宋体" w:hAnsi="宋体"/>
                <w:b w:val="0"/>
                <w:bCs/>
              </w:rPr>
              <w:t>投标产品</w:t>
            </w:r>
            <w:r>
              <w:rPr>
                <w:rFonts w:hint="eastAsia" w:ascii="宋体" w:hAnsi="宋体"/>
                <w:b w:val="0"/>
                <w:bCs/>
                <w:szCs w:val="21"/>
              </w:rPr>
              <w:t>技术参数</w:t>
            </w:r>
          </w:p>
        </w:tc>
        <w:tc>
          <w:tcPr>
            <w:tcW w:w="1157" w:type="dxa"/>
            <w:vAlign w:val="center"/>
          </w:tcPr>
          <w:p w14:paraId="2E1DDDA0">
            <w:pPr>
              <w:spacing w:line="360" w:lineRule="auto"/>
              <w:jc w:val="center"/>
              <w:rPr>
                <w:rFonts w:ascii="宋体" w:hAnsi="宋体"/>
                <w:b w:val="0"/>
                <w:bCs/>
              </w:rPr>
            </w:pPr>
            <w:r>
              <w:rPr>
                <w:rFonts w:hint="eastAsia" w:ascii="宋体" w:hAnsi="宋体"/>
                <w:b w:val="0"/>
                <w:bCs/>
              </w:rPr>
              <w:t>偏离情况</w:t>
            </w:r>
          </w:p>
        </w:tc>
        <w:tc>
          <w:tcPr>
            <w:tcW w:w="992" w:type="dxa"/>
            <w:vAlign w:val="center"/>
          </w:tcPr>
          <w:p w14:paraId="62B2C3D8">
            <w:pPr>
              <w:spacing w:line="360" w:lineRule="auto"/>
              <w:jc w:val="center"/>
              <w:rPr>
                <w:rFonts w:ascii="宋体" w:hAnsi="宋体"/>
                <w:b w:val="0"/>
                <w:bCs/>
              </w:rPr>
            </w:pPr>
            <w:r>
              <w:rPr>
                <w:rFonts w:hint="eastAsia" w:ascii="宋体" w:hAnsi="宋体"/>
                <w:b w:val="0"/>
                <w:bCs/>
              </w:rPr>
              <w:t>说明</w:t>
            </w:r>
          </w:p>
        </w:tc>
      </w:tr>
      <w:tr w14:paraId="06E6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704" w:type="dxa"/>
            <w:vAlign w:val="center"/>
          </w:tcPr>
          <w:p w14:paraId="5656BC6E">
            <w:pPr>
              <w:spacing w:line="360" w:lineRule="auto"/>
              <w:jc w:val="center"/>
              <w:rPr>
                <w:rFonts w:ascii="宋体" w:hAnsi="宋体"/>
              </w:rPr>
            </w:pPr>
            <w:r>
              <w:rPr>
                <w:rFonts w:hint="eastAsia" w:ascii="宋体" w:hAnsi="宋体"/>
              </w:rPr>
              <w:t>1</w:t>
            </w:r>
          </w:p>
        </w:tc>
        <w:tc>
          <w:tcPr>
            <w:tcW w:w="1382" w:type="dxa"/>
            <w:vAlign w:val="center"/>
          </w:tcPr>
          <w:p w14:paraId="08A97A31">
            <w:pPr>
              <w:spacing w:line="360" w:lineRule="auto"/>
              <w:jc w:val="left"/>
              <w:rPr>
                <w:rFonts w:ascii="宋体" w:hAnsi="宋体"/>
              </w:rPr>
            </w:pPr>
          </w:p>
        </w:tc>
        <w:tc>
          <w:tcPr>
            <w:tcW w:w="2587" w:type="dxa"/>
            <w:vAlign w:val="center"/>
          </w:tcPr>
          <w:p w14:paraId="1D3A8F9C">
            <w:pPr>
              <w:spacing w:line="360" w:lineRule="auto"/>
              <w:jc w:val="left"/>
              <w:rPr>
                <w:rFonts w:ascii="宋体" w:hAnsi="宋体"/>
              </w:rPr>
            </w:pPr>
          </w:p>
        </w:tc>
        <w:tc>
          <w:tcPr>
            <w:tcW w:w="2387" w:type="dxa"/>
            <w:vAlign w:val="center"/>
          </w:tcPr>
          <w:p w14:paraId="693D0412">
            <w:pPr>
              <w:spacing w:line="360" w:lineRule="auto"/>
              <w:jc w:val="left"/>
              <w:rPr>
                <w:rFonts w:ascii="宋体" w:hAnsi="宋体"/>
              </w:rPr>
            </w:pPr>
          </w:p>
        </w:tc>
        <w:tc>
          <w:tcPr>
            <w:tcW w:w="1157" w:type="dxa"/>
          </w:tcPr>
          <w:p w14:paraId="70B2D309">
            <w:pPr>
              <w:spacing w:line="360" w:lineRule="auto"/>
              <w:jc w:val="left"/>
              <w:rPr>
                <w:rFonts w:ascii="宋体" w:hAnsi="宋体"/>
              </w:rPr>
            </w:pPr>
          </w:p>
        </w:tc>
        <w:tc>
          <w:tcPr>
            <w:tcW w:w="992" w:type="dxa"/>
            <w:vAlign w:val="center"/>
          </w:tcPr>
          <w:p w14:paraId="54DEB4B4">
            <w:pPr>
              <w:spacing w:line="360" w:lineRule="auto"/>
              <w:jc w:val="left"/>
              <w:rPr>
                <w:rFonts w:ascii="宋体" w:hAnsi="宋体"/>
              </w:rPr>
            </w:pPr>
          </w:p>
        </w:tc>
      </w:tr>
      <w:tr w14:paraId="51E2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04" w:type="dxa"/>
            <w:vAlign w:val="center"/>
          </w:tcPr>
          <w:p w14:paraId="25A61351">
            <w:pPr>
              <w:spacing w:line="360" w:lineRule="auto"/>
              <w:jc w:val="center"/>
              <w:rPr>
                <w:rFonts w:ascii="宋体" w:hAnsi="宋体"/>
              </w:rPr>
            </w:pPr>
            <w:r>
              <w:rPr>
                <w:rFonts w:hint="eastAsia" w:ascii="宋体" w:hAnsi="宋体"/>
              </w:rPr>
              <w:t>2</w:t>
            </w:r>
          </w:p>
        </w:tc>
        <w:tc>
          <w:tcPr>
            <w:tcW w:w="1382" w:type="dxa"/>
            <w:vAlign w:val="center"/>
          </w:tcPr>
          <w:p w14:paraId="29C913B3">
            <w:pPr>
              <w:spacing w:line="360" w:lineRule="auto"/>
              <w:jc w:val="left"/>
              <w:rPr>
                <w:rFonts w:ascii="宋体" w:hAnsi="宋体"/>
              </w:rPr>
            </w:pPr>
          </w:p>
        </w:tc>
        <w:tc>
          <w:tcPr>
            <w:tcW w:w="2587" w:type="dxa"/>
            <w:vAlign w:val="center"/>
          </w:tcPr>
          <w:p w14:paraId="54E9C4C0">
            <w:pPr>
              <w:spacing w:line="360" w:lineRule="auto"/>
              <w:jc w:val="left"/>
              <w:rPr>
                <w:rFonts w:ascii="宋体" w:hAnsi="宋体"/>
              </w:rPr>
            </w:pPr>
          </w:p>
        </w:tc>
        <w:tc>
          <w:tcPr>
            <w:tcW w:w="2387" w:type="dxa"/>
            <w:vAlign w:val="center"/>
          </w:tcPr>
          <w:p w14:paraId="6ECC3F04">
            <w:pPr>
              <w:spacing w:line="360" w:lineRule="auto"/>
              <w:jc w:val="left"/>
              <w:rPr>
                <w:rFonts w:ascii="宋体" w:hAnsi="宋体"/>
              </w:rPr>
            </w:pPr>
          </w:p>
        </w:tc>
        <w:tc>
          <w:tcPr>
            <w:tcW w:w="1157" w:type="dxa"/>
          </w:tcPr>
          <w:p w14:paraId="6B954E47">
            <w:pPr>
              <w:spacing w:line="360" w:lineRule="auto"/>
              <w:jc w:val="left"/>
              <w:rPr>
                <w:rFonts w:ascii="宋体" w:hAnsi="宋体"/>
              </w:rPr>
            </w:pPr>
          </w:p>
        </w:tc>
        <w:tc>
          <w:tcPr>
            <w:tcW w:w="992" w:type="dxa"/>
            <w:vAlign w:val="center"/>
          </w:tcPr>
          <w:p w14:paraId="2D8A5E4A">
            <w:pPr>
              <w:spacing w:line="360" w:lineRule="auto"/>
              <w:jc w:val="left"/>
              <w:rPr>
                <w:rFonts w:ascii="宋体" w:hAnsi="宋体"/>
              </w:rPr>
            </w:pPr>
          </w:p>
        </w:tc>
      </w:tr>
      <w:tr w14:paraId="213C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704" w:type="dxa"/>
            <w:vAlign w:val="center"/>
          </w:tcPr>
          <w:p w14:paraId="29747AD7">
            <w:pPr>
              <w:spacing w:line="360" w:lineRule="auto"/>
              <w:jc w:val="center"/>
              <w:rPr>
                <w:rFonts w:ascii="宋体" w:hAnsi="宋体"/>
              </w:rPr>
            </w:pPr>
            <w:r>
              <w:rPr>
                <w:rFonts w:hint="eastAsia" w:ascii="宋体" w:hAnsi="宋体"/>
              </w:rPr>
              <w:t>3</w:t>
            </w:r>
          </w:p>
        </w:tc>
        <w:tc>
          <w:tcPr>
            <w:tcW w:w="1382" w:type="dxa"/>
            <w:vAlign w:val="center"/>
          </w:tcPr>
          <w:p w14:paraId="24BF3574">
            <w:pPr>
              <w:spacing w:line="360" w:lineRule="auto"/>
              <w:jc w:val="left"/>
              <w:rPr>
                <w:rFonts w:ascii="宋体" w:hAnsi="宋体"/>
              </w:rPr>
            </w:pPr>
          </w:p>
        </w:tc>
        <w:tc>
          <w:tcPr>
            <w:tcW w:w="2587" w:type="dxa"/>
            <w:vAlign w:val="center"/>
          </w:tcPr>
          <w:p w14:paraId="69A08287">
            <w:pPr>
              <w:spacing w:line="360" w:lineRule="auto"/>
              <w:jc w:val="left"/>
              <w:rPr>
                <w:rFonts w:ascii="宋体" w:hAnsi="宋体"/>
              </w:rPr>
            </w:pPr>
          </w:p>
        </w:tc>
        <w:tc>
          <w:tcPr>
            <w:tcW w:w="2387" w:type="dxa"/>
            <w:vAlign w:val="center"/>
          </w:tcPr>
          <w:p w14:paraId="7AABE28A">
            <w:pPr>
              <w:spacing w:line="360" w:lineRule="auto"/>
              <w:jc w:val="left"/>
              <w:rPr>
                <w:rFonts w:ascii="宋体" w:hAnsi="宋体"/>
              </w:rPr>
            </w:pPr>
          </w:p>
        </w:tc>
        <w:tc>
          <w:tcPr>
            <w:tcW w:w="1157" w:type="dxa"/>
          </w:tcPr>
          <w:p w14:paraId="6D55D256">
            <w:pPr>
              <w:spacing w:line="360" w:lineRule="auto"/>
              <w:jc w:val="left"/>
              <w:rPr>
                <w:rFonts w:ascii="宋体" w:hAnsi="宋体"/>
              </w:rPr>
            </w:pPr>
          </w:p>
        </w:tc>
        <w:tc>
          <w:tcPr>
            <w:tcW w:w="992" w:type="dxa"/>
            <w:vAlign w:val="center"/>
          </w:tcPr>
          <w:p w14:paraId="7C7A5811">
            <w:pPr>
              <w:spacing w:line="360" w:lineRule="auto"/>
              <w:jc w:val="left"/>
              <w:rPr>
                <w:rFonts w:ascii="宋体" w:hAnsi="宋体"/>
              </w:rPr>
            </w:pPr>
          </w:p>
        </w:tc>
      </w:tr>
      <w:tr w14:paraId="0A97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704" w:type="dxa"/>
            <w:vAlign w:val="center"/>
          </w:tcPr>
          <w:p w14:paraId="77DD9B24">
            <w:pPr>
              <w:spacing w:line="360" w:lineRule="auto"/>
              <w:jc w:val="center"/>
              <w:rPr>
                <w:rFonts w:ascii="宋体" w:hAnsi="宋体"/>
              </w:rPr>
            </w:pPr>
            <w:r>
              <w:rPr>
                <w:rFonts w:ascii="宋体" w:hAnsi="宋体"/>
              </w:rPr>
              <w:t>…</w:t>
            </w:r>
          </w:p>
        </w:tc>
        <w:tc>
          <w:tcPr>
            <w:tcW w:w="1382" w:type="dxa"/>
            <w:vAlign w:val="center"/>
          </w:tcPr>
          <w:p w14:paraId="26D7383B">
            <w:pPr>
              <w:spacing w:line="360" w:lineRule="auto"/>
              <w:jc w:val="left"/>
              <w:rPr>
                <w:rFonts w:ascii="宋体" w:hAnsi="宋体"/>
              </w:rPr>
            </w:pPr>
          </w:p>
        </w:tc>
        <w:tc>
          <w:tcPr>
            <w:tcW w:w="2587" w:type="dxa"/>
            <w:vAlign w:val="center"/>
          </w:tcPr>
          <w:p w14:paraId="60448A75">
            <w:pPr>
              <w:spacing w:line="360" w:lineRule="auto"/>
              <w:jc w:val="left"/>
              <w:rPr>
                <w:rFonts w:ascii="宋体" w:hAnsi="宋体"/>
              </w:rPr>
            </w:pPr>
          </w:p>
        </w:tc>
        <w:tc>
          <w:tcPr>
            <w:tcW w:w="2387" w:type="dxa"/>
            <w:vAlign w:val="center"/>
          </w:tcPr>
          <w:p w14:paraId="57093E62">
            <w:pPr>
              <w:spacing w:line="360" w:lineRule="auto"/>
              <w:jc w:val="left"/>
              <w:rPr>
                <w:rFonts w:ascii="宋体" w:hAnsi="宋体"/>
              </w:rPr>
            </w:pPr>
          </w:p>
        </w:tc>
        <w:tc>
          <w:tcPr>
            <w:tcW w:w="1157" w:type="dxa"/>
          </w:tcPr>
          <w:p w14:paraId="1E18EF8C">
            <w:pPr>
              <w:spacing w:line="360" w:lineRule="auto"/>
              <w:jc w:val="left"/>
              <w:rPr>
                <w:rFonts w:ascii="宋体" w:hAnsi="宋体"/>
              </w:rPr>
            </w:pPr>
          </w:p>
        </w:tc>
        <w:tc>
          <w:tcPr>
            <w:tcW w:w="992" w:type="dxa"/>
            <w:vAlign w:val="center"/>
          </w:tcPr>
          <w:p w14:paraId="6B013331">
            <w:pPr>
              <w:spacing w:line="360" w:lineRule="auto"/>
              <w:jc w:val="left"/>
              <w:rPr>
                <w:rFonts w:ascii="宋体" w:hAnsi="宋体"/>
              </w:rPr>
            </w:pPr>
          </w:p>
        </w:tc>
      </w:tr>
    </w:tbl>
    <w:p w14:paraId="7B98F812">
      <w:pPr>
        <w:pStyle w:val="28"/>
        <w:spacing w:before="120" w:beforeLines="50" w:line="360" w:lineRule="auto"/>
        <w:ind w:firstLine="422" w:firstLineChars="200"/>
        <w:rPr>
          <w:rFonts w:hAnsi="宋体"/>
          <w:b/>
        </w:rPr>
      </w:pPr>
      <w:r>
        <w:rPr>
          <w:rFonts w:hint="eastAsia" w:hAnsi="宋体"/>
          <w:b/>
        </w:rPr>
        <w:t>表格填写说明：</w:t>
      </w:r>
    </w:p>
    <w:p w14:paraId="127794BC">
      <w:pPr>
        <w:pStyle w:val="28"/>
        <w:spacing w:before="120" w:beforeLines="50" w:line="360" w:lineRule="auto"/>
        <w:ind w:firstLine="420" w:firstLineChars="200"/>
        <w:rPr>
          <w:rFonts w:hAnsi="宋体"/>
        </w:rPr>
      </w:pPr>
      <w:r>
        <w:rPr>
          <w:rFonts w:hint="eastAsia" w:hAnsi="宋体"/>
          <w:bCs/>
        </w:rPr>
        <w:t>（1）</w:t>
      </w:r>
      <w:r>
        <w:rPr>
          <w:rFonts w:hint="eastAsia" w:hAnsi="宋体"/>
        </w:rPr>
        <w:t>投标人应如实填写以上表格，凡投标产品的技术参数与招标文件要求的技术参数存在偏离的，需在“说明”栏中逐条写明标的参数，并逐条应答偏离情况。</w:t>
      </w:r>
    </w:p>
    <w:p w14:paraId="3156842F">
      <w:pPr>
        <w:pStyle w:val="28"/>
        <w:spacing w:before="120" w:beforeLines="50" w:line="360" w:lineRule="auto"/>
        <w:ind w:firstLine="420" w:firstLineChars="200"/>
        <w:rPr>
          <w:rFonts w:hAnsi="宋体"/>
        </w:rPr>
      </w:pPr>
      <w:r>
        <w:rPr>
          <w:rFonts w:hint="eastAsia" w:hAnsi="宋体"/>
        </w:rPr>
        <w:t>（2）需提供投标产品的技术指标参数及配置与所供货物的技术指标参数及配置一致的</w:t>
      </w:r>
      <w:r>
        <w:rPr>
          <w:rFonts w:hint="eastAsia" w:hAnsi="宋体"/>
          <w:b/>
          <w:bCs/>
        </w:rPr>
        <w:t>书面承诺</w:t>
      </w:r>
      <w:r>
        <w:rPr>
          <w:rFonts w:hint="eastAsia" w:hAnsi="宋体"/>
        </w:rPr>
        <w:t>。</w:t>
      </w:r>
    </w:p>
    <w:p w14:paraId="16EEECB7">
      <w:pPr>
        <w:pStyle w:val="28"/>
        <w:spacing w:before="120" w:beforeLines="50" w:line="360" w:lineRule="auto"/>
        <w:ind w:firstLine="420" w:firstLineChars="200"/>
        <w:rPr>
          <w:rFonts w:hAnsi="宋体"/>
        </w:rPr>
      </w:pPr>
    </w:p>
    <w:p w14:paraId="56638900">
      <w:pPr>
        <w:pStyle w:val="28"/>
        <w:spacing w:before="120" w:beforeLines="50" w:line="360" w:lineRule="auto"/>
        <w:ind w:firstLine="420" w:firstLineChars="200"/>
        <w:rPr>
          <w:rFonts w:hAnsi="宋体"/>
        </w:rPr>
      </w:pPr>
    </w:p>
    <w:p w14:paraId="2317D845">
      <w:pPr>
        <w:pStyle w:val="28"/>
        <w:spacing w:line="360" w:lineRule="auto"/>
        <w:ind w:firstLine="420" w:firstLineChars="200"/>
        <w:rPr>
          <w:rFonts w:hAnsi="宋体"/>
        </w:rPr>
      </w:pPr>
    </w:p>
    <w:p w14:paraId="5DDC361E">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投标人：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0FE2F1C1">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(电子签章)</w:t>
      </w:r>
      <w:r>
        <w:rPr>
          <w:rFonts w:asciiTheme="minorEastAsia" w:hAnsiTheme="minorEastAsia" w:eastAsiaTheme="minorEastAsia"/>
          <w:bCs/>
          <w:szCs w:val="21"/>
          <w:u w:val="single"/>
        </w:rPr>
        <w:t xml:space="preserve"> </w:t>
      </w:r>
    </w:p>
    <w:p w14:paraId="5FEAABA2">
      <w:pPr>
        <w:autoSpaceDE w:val="0"/>
        <w:autoSpaceDN w:val="0"/>
        <w:adjustRightInd w:val="0"/>
        <w:spacing w:line="360" w:lineRule="auto"/>
        <w:ind w:firstLine="4252" w:firstLineChars="2025"/>
        <w:jc w:val="left"/>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14:paraId="5E3DD5E0">
      <w:pPr>
        <w:rPr>
          <w:rFonts w:hint="eastAsia" w:asciiTheme="minorEastAsia" w:hAnsiTheme="minorEastAsia" w:eastAsiaTheme="minorEastAsia"/>
          <w:b/>
          <w:sz w:val="28"/>
          <w:szCs w:val="28"/>
        </w:rPr>
      </w:pPr>
    </w:p>
    <w:p w14:paraId="73C16B92">
      <w:pP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14:paraId="66E1E743">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四</w:t>
      </w:r>
      <w:r>
        <w:rPr>
          <w:rFonts w:hint="eastAsia" w:asciiTheme="minorEastAsia" w:hAnsiTheme="minorEastAsia" w:eastAsiaTheme="minorEastAsia"/>
          <w:b/>
          <w:sz w:val="28"/>
          <w:szCs w:val="28"/>
        </w:rPr>
        <w:t>）中小企业声明函</w:t>
      </w:r>
      <w:bookmarkEnd w:id="1270"/>
      <w:bookmarkEnd w:id="1271"/>
      <w:bookmarkEnd w:id="1272"/>
      <w:bookmarkEnd w:id="1273"/>
      <w:bookmarkEnd w:id="1274"/>
      <w:bookmarkEnd w:id="1275"/>
      <w:bookmarkEnd w:id="1276"/>
      <w:bookmarkEnd w:id="1277"/>
      <w:bookmarkEnd w:id="1278"/>
      <w:bookmarkEnd w:id="1279"/>
      <w:bookmarkEnd w:id="1280"/>
      <w:bookmarkEnd w:id="1281"/>
    </w:p>
    <w:p w14:paraId="28E4F2FA">
      <w:pPr>
        <w:spacing w:line="360" w:lineRule="auto"/>
        <w:ind w:firstLine="420" w:firstLineChars="200"/>
        <w:rPr>
          <w:rFonts w:ascii="宋体" w:hAnsi="宋体"/>
          <w:szCs w:val="21"/>
        </w:rPr>
      </w:pPr>
      <w:r>
        <w:rPr>
          <w:rFonts w:hint="eastAsia" w:ascii="宋体" w:hAnsi="宋体"/>
          <w:szCs w:val="21"/>
        </w:rPr>
        <w:t>本公司郑重声明，根据《政府采购促进中小企业发展管理办法》（财库﹝2020﹞46 号）的规定，本公司参加</w:t>
      </w:r>
      <w:r>
        <w:rPr>
          <w:rFonts w:hint="eastAsia" w:ascii="宋体" w:hAnsi="宋体"/>
          <w:szCs w:val="21"/>
          <w:u w:val="single"/>
        </w:rPr>
        <w:t xml:space="preserve"> （单位名称） </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采购活动，提供的货物全部由符合政策要求的中小企业制造。企业的具体情况如下：</w:t>
      </w:r>
    </w:p>
    <w:p w14:paraId="0A902195">
      <w:pPr>
        <w:spacing w:line="360" w:lineRule="auto"/>
        <w:ind w:firstLine="420" w:firstLineChars="200"/>
        <w:rPr>
          <w:rFonts w:ascii="宋体" w:hAnsi="宋体"/>
          <w:szCs w:val="21"/>
        </w:rPr>
      </w:pPr>
      <w:r>
        <w:rPr>
          <w:rFonts w:hint="eastAsia" w:ascii="宋体" w:hAnsi="宋体"/>
          <w:szCs w:val="21"/>
          <w:u w:val="single"/>
        </w:rPr>
        <w:t>（项目名称）</w:t>
      </w:r>
      <w:r>
        <w:rPr>
          <w:rFonts w:hint="eastAsia" w:ascii="宋体" w:hAnsi="宋体"/>
          <w:szCs w:val="21"/>
        </w:rPr>
        <w:t>，属于</w:t>
      </w:r>
      <w:r>
        <w:rPr>
          <w:rFonts w:hint="eastAsia" w:ascii="宋体" w:hAnsi="宋体"/>
          <w:szCs w:val="21"/>
          <w:u w:val="single"/>
        </w:rPr>
        <w:t>（招标文件中明确的所属行业）行业</w:t>
      </w:r>
      <w:r>
        <w:rPr>
          <w:rFonts w:hint="eastAsia" w:ascii="宋体" w:hAnsi="宋体"/>
          <w:szCs w:val="21"/>
        </w:rPr>
        <w:t>；制造商为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w:t>
      </w:r>
      <w:r>
        <w:rPr>
          <w:rFonts w:hint="eastAsia" w:ascii="宋体" w:hAnsi="宋体"/>
          <w:szCs w:val="21"/>
        </w:rPr>
        <w:t>万元，资产总额为</w:t>
      </w:r>
      <w:r>
        <w:rPr>
          <w:rFonts w:hint="eastAsia" w:ascii="宋体" w:hAnsi="宋体"/>
          <w:szCs w:val="21"/>
          <w:u w:val="single"/>
        </w:rPr>
        <w:t>   </w:t>
      </w:r>
      <w:r>
        <w:rPr>
          <w:rFonts w:hint="eastAsia" w:ascii="宋体" w:hAnsi="宋体"/>
          <w:szCs w:val="21"/>
        </w:rPr>
        <w:t>万元，属于</w:t>
      </w:r>
      <w:r>
        <w:rPr>
          <w:rFonts w:ascii="宋体" w:hAnsi="宋体"/>
          <w:szCs w:val="21"/>
          <w:u w:val="single"/>
        </w:rPr>
        <w:t xml:space="preserve">     </w:t>
      </w:r>
      <w:r>
        <w:rPr>
          <w:rFonts w:hint="eastAsia" w:ascii="宋体" w:hAnsi="宋体"/>
          <w:szCs w:val="21"/>
          <w:u w:val="single"/>
        </w:rPr>
        <w:t>（中型企业、小型企业、微型企业）</w:t>
      </w:r>
      <w:r>
        <w:rPr>
          <w:rFonts w:hint="eastAsia" w:ascii="宋体" w:hAnsi="宋体"/>
          <w:szCs w:val="21"/>
        </w:rPr>
        <w:t>。</w:t>
      </w:r>
    </w:p>
    <w:p w14:paraId="4710A121">
      <w:pPr>
        <w:spacing w:line="360" w:lineRule="auto"/>
        <w:ind w:firstLine="42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71F63B79">
      <w:pPr>
        <w:widowControl/>
        <w:spacing w:line="360" w:lineRule="auto"/>
        <w:ind w:firstLine="420" w:firstLineChars="200"/>
        <w:jc w:val="left"/>
        <w:rPr>
          <w:rFonts w:ascii="宋体" w:hAnsi="宋体"/>
          <w:szCs w:val="21"/>
        </w:rPr>
      </w:pPr>
      <w:r>
        <w:rPr>
          <w:rFonts w:hint="eastAsia" w:ascii="宋体" w:hAnsi="宋体"/>
          <w:szCs w:val="21"/>
        </w:rPr>
        <w:t>本企业对上述声明内容的真实性负责。如有虚假，将依法承担相应责任。</w:t>
      </w:r>
    </w:p>
    <w:p w14:paraId="3F41C687">
      <w:pPr>
        <w:widowControl/>
        <w:spacing w:line="360" w:lineRule="auto"/>
        <w:ind w:firstLine="444"/>
        <w:jc w:val="left"/>
        <w:rPr>
          <w:rFonts w:asciiTheme="minorEastAsia" w:hAnsiTheme="minorEastAsia" w:eastAsiaTheme="minorEastAsia"/>
          <w:spacing w:val="6"/>
          <w:szCs w:val="21"/>
        </w:rPr>
      </w:pPr>
    </w:p>
    <w:p w14:paraId="3D288A3F">
      <w:pPr>
        <w:widowControl/>
        <w:spacing w:line="360" w:lineRule="auto"/>
        <w:ind w:firstLine="444"/>
        <w:jc w:val="left"/>
        <w:rPr>
          <w:rFonts w:asciiTheme="minorEastAsia" w:hAnsiTheme="minorEastAsia" w:eastAsiaTheme="minorEastAsia"/>
          <w:spacing w:val="6"/>
          <w:szCs w:val="21"/>
        </w:rPr>
      </w:pPr>
    </w:p>
    <w:p w14:paraId="486F86F4">
      <w:pPr>
        <w:widowControl/>
        <w:spacing w:line="360" w:lineRule="auto"/>
        <w:ind w:firstLine="444"/>
        <w:jc w:val="left"/>
        <w:rPr>
          <w:rFonts w:asciiTheme="minorEastAsia" w:hAnsiTheme="minorEastAsia" w:eastAsiaTheme="minorEastAsia"/>
          <w:spacing w:val="6"/>
          <w:szCs w:val="21"/>
        </w:rPr>
      </w:pPr>
    </w:p>
    <w:p w14:paraId="0B430B41">
      <w:pPr>
        <w:widowControl/>
        <w:spacing w:line="360" w:lineRule="auto"/>
        <w:ind w:firstLine="444"/>
        <w:jc w:val="left"/>
        <w:rPr>
          <w:rFonts w:asciiTheme="minorEastAsia" w:hAnsiTheme="minorEastAsia" w:eastAsiaTheme="minorEastAsia"/>
          <w:spacing w:val="6"/>
          <w:szCs w:val="21"/>
        </w:rPr>
      </w:pPr>
    </w:p>
    <w:p w14:paraId="169A7C3D">
      <w:pPr>
        <w:spacing w:line="480" w:lineRule="auto"/>
        <w:ind w:right="252" w:rightChars="120" w:firstLine="6090" w:firstLineChars="2900"/>
        <w:rPr>
          <w:rFonts w:cs="宋体" w:asciiTheme="minorEastAsia" w:hAnsiTheme="minorEastAsia" w:eastAsiaTheme="minorEastAsia"/>
          <w:szCs w:val="21"/>
        </w:rPr>
      </w:pPr>
      <w:r>
        <w:rPr>
          <w:rFonts w:hint="eastAsia" w:cs="宋体" w:asciiTheme="minorEastAsia" w:hAnsiTheme="minorEastAsia" w:eastAsiaTheme="minorEastAsia"/>
          <w:szCs w:val="21"/>
        </w:rPr>
        <w:t>企业名称（电子签章）：</w:t>
      </w:r>
    </w:p>
    <w:p w14:paraId="7FFD9C6E">
      <w:pPr>
        <w:spacing w:line="480" w:lineRule="auto"/>
        <w:ind w:right="252" w:rightChars="120" w:firstLine="6090" w:firstLineChars="2900"/>
        <w:rPr>
          <w:rFonts w:cs="仿宋_GB2312" w:asciiTheme="minorEastAsia" w:hAnsiTheme="minorEastAsia" w:eastAsiaTheme="minorEastAsia"/>
          <w:szCs w:val="21"/>
        </w:rPr>
      </w:pPr>
      <w:r>
        <w:rPr>
          <w:rFonts w:hint="eastAsia" w:cs="宋体" w:asciiTheme="minorEastAsia" w:hAnsiTheme="minorEastAsia" w:eastAsiaTheme="minorEastAsia"/>
          <w:szCs w:val="21"/>
        </w:rPr>
        <w:t>日 期：</w:t>
      </w:r>
    </w:p>
    <w:p w14:paraId="0E668D05">
      <w:pPr>
        <w:spacing w:line="360" w:lineRule="auto"/>
        <w:ind w:right="252" w:rightChars="120" w:firstLine="6510" w:firstLineChars="3100"/>
        <w:rPr>
          <w:rFonts w:cs="仿宋_GB2312" w:asciiTheme="minorEastAsia" w:hAnsiTheme="minorEastAsia" w:eastAsiaTheme="minorEastAsia"/>
          <w:szCs w:val="21"/>
        </w:rPr>
      </w:pPr>
    </w:p>
    <w:p w14:paraId="30D00693">
      <w:pPr>
        <w:spacing w:line="360" w:lineRule="auto"/>
        <w:ind w:right="252" w:rightChars="120" w:firstLine="6510" w:firstLineChars="3100"/>
        <w:rPr>
          <w:rFonts w:cs="仿宋_GB2312" w:asciiTheme="minorEastAsia" w:hAnsiTheme="minorEastAsia" w:eastAsiaTheme="minorEastAsia"/>
          <w:szCs w:val="21"/>
        </w:rPr>
      </w:pPr>
    </w:p>
    <w:p w14:paraId="2BF331D0">
      <w:pPr>
        <w:spacing w:line="360" w:lineRule="auto"/>
        <w:ind w:right="252" w:rightChars="120" w:firstLine="6510" w:firstLineChars="3100"/>
        <w:rPr>
          <w:rFonts w:cs="仿宋_GB2312" w:asciiTheme="minorEastAsia" w:hAnsiTheme="minorEastAsia" w:eastAsiaTheme="minorEastAsia"/>
          <w:szCs w:val="21"/>
        </w:rPr>
      </w:pPr>
    </w:p>
    <w:p w14:paraId="1B8C1ADA">
      <w:pPr>
        <w:spacing w:line="360" w:lineRule="auto"/>
        <w:ind w:right="252" w:rightChars="120" w:firstLine="422"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注：1.从业人员、营业收入、资产总额填报上一年度数据，无上一年度数据的新成立企业可不填报；</w:t>
      </w:r>
    </w:p>
    <w:p w14:paraId="692EBDE0">
      <w:pPr>
        <w:spacing w:line="360" w:lineRule="auto"/>
        <w:ind w:right="252" w:rightChars="120" w:firstLine="891" w:firstLineChars="400"/>
        <w:rPr>
          <w:rFonts w:cs="仿宋_GB2312" w:asciiTheme="minorEastAsia" w:hAnsiTheme="minorEastAsia" w:eastAsiaTheme="minorEastAsia"/>
          <w:b/>
          <w:bCs/>
          <w:szCs w:val="21"/>
        </w:rPr>
      </w:pPr>
      <w:r>
        <w:rPr>
          <w:rFonts w:asciiTheme="minorEastAsia" w:hAnsiTheme="minorEastAsia" w:eastAsiaTheme="minorEastAsia"/>
          <w:b/>
          <w:bCs/>
          <w:spacing w:val="6"/>
          <w:szCs w:val="21"/>
        </w:rPr>
        <w:t>2</w:t>
      </w:r>
      <w:r>
        <w:rPr>
          <w:rFonts w:hint="eastAsia" w:asciiTheme="minorEastAsia" w:hAnsiTheme="minorEastAsia" w:eastAsiaTheme="minorEastAsia"/>
          <w:b/>
          <w:bCs/>
          <w:spacing w:val="6"/>
          <w:szCs w:val="21"/>
        </w:rPr>
        <w:t>.投标人若为中小企业，须按以上要求完整的填写《中小企业声明函》；如不完整或有空缺，则投标报价不予扣除；</w:t>
      </w:r>
    </w:p>
    <w:p w14:paraId="3FC95B60">
      <w:pPr>
        <w:spacing w:line="360" w:lineRule="auto"/>
        <w:ind w:firstLine="843" w:firstLineChars="400"/>
        <w:rPr>
          <w:rFonts w:asciiTheme="minorEastAsia" w:hAnsiTheme="minorEastAsia" w:eastAsiaTheme="minorEastAsia"/>
          <w:b/>
          <w:bCs/>
          <w:spacing w:val="6"/>
          <w:szCs w:val="21"/>
        </w:rPr>
      </w:pPr>
      <w:r>
        <w:rPr>
          <w:rFonts w:cs="仿宋_GB2312" w:asciiTheme="minorEastAsia" w:hAnsiTheme="minorEastAsia" w:eastAsiaTheme="minorEastAsia"/>
          <w:b/>
          <w:bCs/>
          <w:szCs w:val="21"/>
        </w:rPr>
        <w:t>3</w:t>
      </w:r>
      <w:r>
        <w:rPr>
          <w:rFonts w:hint="eastAsia" w:cs="仿宋_GB2312" w:asciiTheme="minorEastAsia" w:hAnsiTheme="minorEastAsia" w:eastAsiaTheme="minorEastAsia"/>
          <w:b/>
          <w:bCs/>
          <w:szCs w:val="21"/>
        </w:rPr>
        <w:t>.若承接企业为</w:t>
      </w:r>
      <w:r>
        <w:rPr>
          <w:rFonts w:hint="eastAsia" w:asciiTheme="minorEastAsia" w:hAnsiTheme="minorEastAsia" w:eastAsiaTheme="minorEastAsia"/>
          <w:b/>
          <w:bCs/>
          <w:spacing w:val="6"/>
          <w:szCs w:val="21"/>
        </w:rPr>
        <w:t>符合政策要求的中小企业，即可填报声明；否则，可不填报及签章。</w:t>
      </w:r>
      <w:r>
        <w:rPr>
          <w:rFonts w:cs="仿宋_GB2312" w:asciiTheme="minorEastAsia" w:hAnsiTheme="minorEastAsia" w:eastAsiaTheme="minorEastAsia"/>
          <w:szCs w:val="21"/>
        </w:rPr>
        <w:br w:type="page"/>
      </w:r>
    </w:p>
    <w:p w14:paraId="7BCC2489">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五</w:t>
      </w:r>
      <w:r>
        <w:rPr>
          <w:rFonts w:hint="eastAsia" w:asciiTheme="minorEastAsia" w:hAnsiTheme="minorEastAsia" w:eastAsiaTheme="minorEastAsia"/>
          <w:b/>
          <w:sz w:val="28"/>
          <w:szCs w:val="28"/>
        </w:rPr>
        <w:t>）残疾人福利性单位声明函</w:t>
      </w:r>
      <w:bookmarkEnd w:id="1282"/>
      <w:bookmarkEnd w:id="1283"/>
      <w:bookmarkEnd w:id="1284"/>
      <w:bookmarkEnd w:id="1285"/>
      <w:bookmarkEnd w:id="1286"/>
      <w:bookmarkEnd w:id="1287"/>
      <w:bookmarkEnd w:id="1288"/>
      <w:bookmarkEnd w:id="1289"/>
      <w:bookmarkEnd w:id="1290"/>
      <w:bookmarkEnd w:id="1291"/>
      <w:bookmarkEnd w:id="1292"/>
    </w:p>
    <w:p w14:paraId="418352E9">
      <w:pPr>
        <w:spacing w:line="360" w:lineRule="auto"/>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asciiTheme="minorEastAsia" w:hAnsiTheme="minorEastAsia" w:eastAsiaTheme="minorEastAsia"/>
          <w:szCs w:val="21"/>
        </w:rPr>
        <w:t>〔2017〕 141</w:t>
      </w:r>
      <w:r>
        <w:rPr>
          <w:rFonts w:hint="eastAsia" w:asciiTheme="minorEastAsia" w:hAnsiTheme="minorEastAsia" w:eastAsiaTheme="minorEastAsia"/>
          <w:spacing w:val="6"/>
          <w:szCs w:val="21"/>
        </w:rPr>
        <w:t>号）的规定，本单位为符合条件的残疾人福利性单位，且本单位参加</w:t>
      </w:r>
      <w:r>
        <w:rPr>
          <w:rFonts w:hint="eastAsia" w:asciiTheme="minorEastAsia" w:hAnsiTheme="minorEastAsia" w:eastAsiaTheme="minorEastAsia"/>
          <w:spacing w:val="6"/>
          <w:szCs w:val="21"/>
          <w:u w:val="single"/>
        </w:rPr>
        <w:t xml:space="preserve">               </w:t>
      </w:r>
      <w:r>
        <w:rPr>
          <w:rFonts w:hint="eastAsia" w:asciiTheme="minorEastAsia" w:hAnsiTheme="minorEastAsia" w:eastAsiaTheme="minorEastAsia"/>
          <w:spacing w:val="6"/>
          <w:szCs w:val="21"/>
        </w:rPr>
        <w:t>单位的</w:t>
      </w:r>
      <w:r>
        <w:rPr>
          <w:rFonts w:hint="eastAsia" w:asciiTheme="minorEastAsia" w:hAnsiTheme="minorEastAsia" w:eastAsiaTheme="minorEastAsia"/>
          <w:spacing w:val="6"/>
          <w:szCs w:val="21"/>
          <w:u w:val="single"/>
        </w:rPr>
        <w:t xml:space="preserve">                      </w:t>
      </w:r>
      <w:r>
        <w:rPr>
          <w:rFonts w:hint="eastAsia" w:asciiTheme="minorEastAsia" w:hAnsiTheme="minorEastAsia" w:eastAsiaTheme="minorEastAsia"/>
          <w:spacing w:val="6"/>
          <w:szCs w:val="21"/>
        </w:rPr>
        <w:t>项目采购活动提供服务。</w:t>
      </w:r>
    </w:p>
    <w:p w14:paraId="66922C01">
      <w:pPr>
        <w:spacing w:line="360" w:lineRule="auto"/>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本单位对上述声明的真实性负责。如有虚假，将依法承担相应责任。</w:t>
      </w:r>
    </w:p>
    <w:p w14:paraId="34790B87">
      <w:pPr>
        <w:spacing w:line="360" w:lineRule="auto"/>
        <w:ind w:firstLine="444" w:firstLineChars="200"/>
        <w:rPr>
          <w:rFonts w:asciiTheme="minorEastAsia" w:hAnsiTheme="minorEastAsia" w:eastAsiaTheme="minorEastAsia"/>
          <w:spacing w:val="6"/>
          <w:szCs w:val="21"/>
        </w:rPr>
      </w:pPr>
    </w:p>
    <w:p w14:paraId="05DD08E0">
      <w:pPr>
        <w:spacing w:line="360" w:lineRule="auto"/>
        <w:ind w:firstLine="444"/>
        <w:jc w:val="left"/>
        <w:rPr>
          <w:rFonts w:asciiTheme="minorEastAsia" w:hAnsiTheme="minorEastAsia" w:eastAsiaTheme="minorEastAsia"/>
          <w:spacing w:val="6"/>
          <w:szCs w:val="21"/>
        </w:rPr>
      </w:pPr>
    </w:p>
    <w:p w14:paraId="3FD5514F">
      <w:pPr>
        <w:spacing w:line="360" w:lineRule="auto"/>
        <w:ind w:firstLine="444"/>
        <w:jc w:val="left"/>
        <w:rPr>
          <w:rFonts w:asciiTheme="minorEastAsia" w:hAnsiTheme="minorEastAsia" w:eastAsiaTheme="minorEastAsia"/>
          <w:spacing w:val="6"/>
          <w:szCs w:val="21"/>
        </w:rPr>
      </w:pPr>
    </w:p>
    <w:p w14:paraId="4D385F61">
      <w:pPr>
        <w:spacing w:line="360" w:lineRule="auto"/>
        <w:ind w:firstLine="444"/>
        <w:jc w:val="left"/>
        <w:rPr>
          <w:rFonts w:asciiTheme="minorEastAsia" w:hAnsiTheme="minorEastAsia" w:eastAsiaTheme="minorEastAsia"/>
          <w:spacing w:val="6"/>
          <w:szCs w:val="21"/>
        </w:rPr>
      </w:pPr>
    </w:p>
    <w:p w14:paraId="38B0CC1C">
      <w:pPr>
        <w:autoSpaceDE w:val="0"/>
        <w:autoSpaceDN w:val="0"/>
        <w:adjustRightInd w:val="0"/>
        <w:spacing w:line="480" w:lineRule="auto"/>
        <w:ind w:firstLine="6405" w:firstLineChars="3050"/>
        <w:jc w:val="left"/>
        <w:rPr>
          <w:rFonts w:asciiTheme="minorEastAsia" w:hAnsiTheme="minorEastAsia" w:eastAsiaTheme="minorEastAsia"/>
          <w:szCs w:val="21"/>
        </w:rPr>
      </w:pPr>
      <w:r>
        <w:rPr>
          <w:rFonts w:hint="eastAsia" w:asciiTheme="minorEastAsia" w:hAnsiTheme="minorEastAsia" w:eastAsiaTheme="minorEastAsia"/>
          <w:szCs w:val="21"/>
        </w:rPr>
        <w:t>企业名称（电子签章）：</w:t>
      </w:r>
    </w:p>
    <w:p w14:paraId="30159D61">
      <w:pPr>
        <w:autoSpaceDE w:val="0"/>
        <w:autoSpaceDN w:val="0"/>
        <w:adjustRightInd w:val="0"/>
        <w:spacing w:line="480" w:lineRule="auto"/>
        <w:ind w:firstLine="6405" w:firstLineChars="3050"/>
        <w:jc w:val="left"/>
        <w:rPr>
          <w:rFonts w:asciiTheme="minorEastAsia" w:hAnsiTheme="minorEastAsia" w:eastAsiaTheme="minorEastAsia"/>
          <w:szCs w:val="21"/>
        </w:rPr>
      </w:pPr>
      <w:r>
        <w:rPr>
          <w:rFonts w:hint="eastAsia" w:asciiTheme="minorEastAsia" w:hAnsiTheme="minorEastAsia" w:eastAsiaTheme="minorEastAsia"/>
          <w:szCs w:val="21"/>
        </w:rPr>
        <w:t>日 期：</w:t>
      </w:r>
    </w:p>
    <w:p w14:paraId="6882FB30">
      <w:pPr>
        <w:spacing w:line="360" w:lineRule="auto"/>
        <w:ind w:right="252" w:rightChars="120" w:firstLine="6510" w:firstLineChars="3100"/>
        <w:jc w:val="left"/>
        <w:rPr>
          <w:rFonts w:cs="仿宋_GB2312" w:asciiTheme="minorEastAsia" w:hAnsiTheme="minorEastAsia" w:eastAsiaTheme="minorEastAsia"/>
          <w:szCs w:val="21"/>
        </w:rPr>
      </w:pPr>
    </w:p>
    <w:p w14:paraId="49888519">
      <w:pPr>
        <w:spacing w:line="360" w:lineRule="auto"/>
        <w:ind w:right="252" w:rightChars="120" w:firstLine="6510" w:firstLineChars="3100"/>
        <w:jc w:val="left"/>
        <w:rPr>
          <w:rFonts w:cs="仿宋_GB2312" w:asciiTheme="minorEastAsia" w:hAnsiTheme="minorEastAsia" w:eastAsiaTheme="minorEastAsia"/>
          <w:szCs w:val="21"/>
        </w:rPr>
      </w:pPr>
    </w:p>
    <w:p w14:paraId="35459374">
      <w:pPr>
        <w:spacing w:line="360" w:lineRule="auto"/>
        <w:ind w:firstLine="422" w:firstLineChars="200"/>
        <w:jc w:val="left"/>
        <w:rPr>
          <w:rFonts w:asciiTheme="minorEastAsia" w:hAnsiTheme="minorEastAsia" w:eastAsiaTheme="minorEastAsia"/>
          <w:b/>
          <w:bCs/>
          <w:spacing w:val="6"/>
          <w:szCs w:val="21"/>
        </w:rPr>
      </w:pPr>
      <w:r>
        <w:rPr>
          <w:rFonts w:hint="eastAsia" w:cs="仿宋_GB2312" w:asciiTheme="minorEastAsia" w:hAnsiTheme="minorEastAsia" w:eastAsiaTheme="minorEastAsia"/>
          <w:b/>
          <w:bCs/>
          <w:szCs w:val="21"/>
        </w:rPr>
        <w:t>注：若企业为</w:t>
      </w:r>
      <w:r>
        <w:rPr>
          <w:rFonts w:hint="eastAsia" w:asciiTheme="minorEastAsia" w:hAnsiTheme="minorEastAsia" w:eastAsiaTheme="minorEastAsia"/>
          <w:b/>
          <w:bCs/>
          <w:spacing w:val="6"/>
          <w:szCs w:val="21"/>
        </w:rPr>
        <w:t>符合政策要求的残疾人福利性单位，即可填报声明；否则，可不填报及签章。</w:t>
      </w:r>
    </w:p>
    <w:p w14:paraId="6E1A43C6">
      <w:pPr>
        <w:spacing w:line="360" w:lineRule="auto"/>
        <w:ind w:right="252" w:rightChars="120" w:firstLine="6510" w:firstLineChars="3100"/>
        <w:jc w:val="left"/>
        <w:rPr>
          <w:rFonts w:cs="仿宋_GB2312" w:asciiTheme="minorEastAsia" w:hAnsiTheme="minorEastAsia" w:eastAsiaTheme="minorEastAsia"/>
          <w:szCs w:val="21"/>
        </w:rPr>
      </w:pPr>
    </w:p>
    <w:p w14:paraId="201FC5F5">
      <w:pPr>
        <w:spacing w:line="360" w:lineRule="auto"/>
        <w:ind w:right="252" w:rightChars="120" w:firstLine="6510" w:firstLineChars="3100"/>
        <w:jc w:val="left"/>
        <w:rPr>
          <w:rFonts w:cs="仿宋_GB2312" w:asciiTheme="minorEastAsia" w:hAnsiTheme="minorEastAsia" w:eastAsiaTheme="minorEastAsia"/>
          <w:szCs w:val="21"/>
        </w:rPr>
      </w:pPr>
    </w:p>
    <w:p w14:paraId="3DE9E647">
      <w:pPr>
        <w:spacing w:line="360" w:lineRule="auto"/>
        <w:ind w:right="252" w:rightChars="120" w:firstLine="6510" w:firstLineChars="3100"/>
        <w:jc w:val="left"/>
        <w:rPr>
          <w:rFonts w:cs="仿宋_GB2312" w:asciiTheme="minorEastAsia" w:hAnsiTheme="minorEastAsia" w:eastAsiaTheme="minorEastAsia"/>
          <w:szCs w:val="21"/>
        </w:rPr>
      </w:pPr>
    </w:p>
    <w:p w14:paraId="0DAF0349">
      <w:pPr>
        <w:spacing w:line="360" w:lineRule="auto"/>
        <w:ind w:right="252" w:rightChars="120" w:firstLine="6510" w:firstLineChars="3100"/>
        <w:jc w:val="left"/>
        <w:rPr>
          <w:rFonts w:cs="仿宋_GB2312" w:asciiTheme="minorEastAsia" w:hAnsiTheme="minorEastAsia" w:eastAsiaTheme="minorEastAsia"/>
          <w:szCs w:val="21"/>
        </w:rPr>
      </w:pPr>
    </w:p>
    <w:p w14:paraId="019699A9">
      <w:pPr>
        <w:spacing w:line="360" w:lineRule="auto"/>
        <w:ind w:right="252" w:rightChars="120" w:firstLine="6510" w:firstLineChars="3100"/>
        <w:jc w:val="left"/>
        <w:rPr>
          <w:rFonts w:cs="仿宋_GB2312" w:asciiTheme="minorEastAsia" w:hAnsiTheme="minorEastAsia" w:eastAsiaTheme="minorEastAsia"/>
          <w:szCs w:val="21"/>
        </w:rPr>
      </w:pPr>
    </w:p>
    <w:p w14:paraId="48AC11D0">
      <w:pPr>
        <w:spacing w:line="360" w:lineRule="auto"/>
        <w:ind w:right="252" w:rightChars="120" w:firstLine="6510" w:firstLineChars="3100"/>
        <w:jc w:val="left"/>
        <w:rPr>
          <w:rFonts w:cs="仿宋_GB2312" w:asciiTheme="minorEastAsia" w:hAnsiTheme="minorEastAsia" w:eastAsiaTheme="minorEastAsia"/>
          <w:szCs w:val="21"/>
        </w:rPr>
      </w:pPr>
    </w:p>
    <w:p w14:paraId="1788CCD3">
      <w:pPr>
        <w:spacing w:line="360" w:lineRule="auto"/>
        <w:ind w:right="252" w:rightChars="120" w:firstLine="6510" w:firstLineChars="3100"/>
        <w:jc w:val="left"/>
        <w:rPr>
          <w:rFonts w:cs="仿宋_GB2312" w:asciiTheme="minorEastAsia" w:hAnsiTheme="minorEastAsia" w:eastAsiaTheme="minorEastAsia"/>
          <w:szCs w:val="21"/>
        </w:rPr>
      </w:pPr>
    </w:p>
    <w:p w14:paraId="1669A18F">
      <w:pPr>
        <w:spacing w:line="360" w:lineRule="auto"/>
        <w:ind w:right="252" w:rightChars="120" w:firstLine="6510" w:firstLineChars="3100"/>
        <w:jc w:val="left"/>
        <w:rPr>
          <w:rFonts w:cs="仿宋_GB2312" w:asciiTheme="minorEastAsia" w:hAnsiTheme="minorEastAsia" w:eastAsiaTheme="minorEastAsia"/>
          <w:szCs w:val="21"/>
        </w:rPr>
      </w:pPr>
    </w:p>
    <w:p w14:paraId="201A6460">
      <w:pPr>
        <w:spacing w:line="360" w:lineRule="auto"/>
        <w:ind w:right="252" w:rightChars="120" w:firstLine="6510" w:firstLineChars="3100"/>
        <w:jc w:val="left"/>
        <w:rPr>
          <w:rFonts w:cs="仿宋_GB2312" w:asciiTheme="minorEastAsia" w:hAnsiTheme="minorEastAsia" w:eastAsiaTheme="minorEastAsia"/>
          <w:szCs w:val="21"/>
        </w:rPr>
      </w:pPr>
    </w:p>
    <w:p w14:paraId="458FC853">
      <w:pPr>
        <w:spacing w:line="360" w:lineRule="auto"/>
        <w:ind w:right="252" w:rightChars="120" w:firstLine="6510" w:firstLineChars="3100"/>
        <w:jc w:val="left"/>
        <w:rPr>
          <w:rFonts w:cs="仿宋_GB2312" w:asciiTheme="minorEastAsia" w:hAnsiTheme="minorEastAsia" w:eastAsiaTheme="minorEastAsia"/>
          <w:szCs w:val="21"/>
        </w:rPr>
      </w:pPr>
    </w:p>
    <w:p w14:paraId="40C20A0F">
      <w:pPr>
        <w:spacing w:line="360" w:lineRule="auto"/>
        <w:ind w:right="252" w:rightChars="120" w:firstLine="6510" w:firstLineChars="3100"/>
        <w:jc w:val="left"/>
        <w:rPr>
          <w:rFonts w:cs="仿宋_GB2312" w:asciiTheme="minorEastAsia" w:hAnsiTheme="minorEastAsia" w:eastAsiaTheme="minorEastAsia"/>
          <w:szCs w:val="21"/>
        </w:rPr>
      </w:pPr>
    </w:p>
    <w:p w14:paraId="3412F61D">
      <w:pPr>
        <w:spacing w:line="360" w:lineRule="auto"/>
        <w:ind w:right="252" w:rightChars="120" w:firstLine="6510" w:firstLineChars="3100"/>
        <w:jc w:val="left"/>
        <w:rPr>
          <w:rFonts w:cs="仿宋_GB2312" w:asciiTheme="minorEastAsia" w:hAnsiTheme="minorEastAsia" w:eastAsiaTheme="minorEastAsia"/>
          <w:szCs w:val="21"/>
        </w:rPr>
      </w:pPr>
    </w:p>
    <w:p w14:paraId="6F24109F">
      <w:pPr>
        <w:spacing w:line="360" w:lineRule="auto"/>
        <w:ind w:right="252" w:rightChars="120" w:firstLine="6510" w:firstLineChars="3100"/>
        <w:jc w:val="left"/>
        <w:rPr>
          <w:rFonts w:cs="仿宋_GB2312" w:asciiTheme="minorEastAsia" w:hAnsiTheme="minorEastAsia" w:eastAsiaTheme="minorEastAsia"/>
          <w:szCs w:val="21"/>
        </w:rPr>
      </w:pPr>
    </w:p>
    <w:p w14:paraId="452ED0FB">
      <w:pPr>
        <w:spacing w:line="360" w:lineRule="auto"/>
        <w:ind w:right="252" w:rightChars="120" w:firstLine="6510" w:firstLineChars="3100"/>
        <w:jc w:val="left"/>
        <w:rPr>
          <w:rFonts w:cs="仿宋_GB2312" w:asciiTheme="minorEastAsia" w:hAnsiTheme="minorEastAsia" w:eastAsiaTheme="minorEastAsia"/>
          <w:szCs w:val="21"/>
        </w:rPr>
      </w:pPr>
    </w:p>
    <w:p w14:paraId="5A835DC9">
      <w:pPr>
        <w:spacing w:line="360" w:lineRule="auto"/>
        <w:ind w:right="252" w:rightChars="120" w:firstLine="6510" w:firstLineChars="3100"/>
        <w:jc w:val="left"/>
        <w:rPr>
          <w:rFonts w:cs="仿宋_GB2312" w:asciiTheme="minorEastAsia" w:hAnsiTheme="minorEastAsia" w:eastAsiaTheme="minorEastAsia"/>
          <w:szCs w:val="21"/>
        </w:rPr>
      </w:pPr>
    </w:p>
    <w:p w14:paraId="3B9ED078">
      <w:pPr>
        <w:spacing w:line="360" w:lineRule="auto"/>
        <w:ind w:right="252" w:rightChars="120" w:firstLine="6510" w:firstLineChars="3100"/>
        <w:jc w:val="left"/>
        <w:rPr>
          <w:rFonts w:cs="仿宋_GB2312" w:asciiTheme="minorEastAsia" w:hAnsiTheme="minorEastAsia" w:eastAsiaTheme="minorEastAsia"/>
          <w:szCs w:val="21"/>
        </w:rPr>
      </w:pPr>
    </w:p>
    <w:p w14:paraId="4E973337">
      <w:pPr>
        <w:spacing w:line="360" w:lineRule="auto"/>
        <w:ind w:right="252" w:rightChars="120" w:firstLine="6510" w:firstLineChars="3100"/>
        <w:jc w:val="left"/>
        <w:rPr>
          <w:rFonts w:cs="仿宋_GB2312" w:asciiTheme="minorEastAsia" w:hAnsiTheme="minorEastAsia" w:eastAsiaTheme="minorEastAsia"/>
          <w:szCs w:val="21"/>
        </w:rPr>
      </w:pPr>
    </w:p>
    <w:p w14:paraId="456107EE">
      <w:pPr>
        <w:spacing w:line="360" w:lineRule="auto"/>
        <w:ind w:right="252" w:rightChars="120" w:firstLine="6510" w:firstLineChars="3100"/>
        <w:jc w:val="left"/>
        <w:rPr>
          <w:rFonts w:cs="仿宋_GB2312" w:asciiTheme="minorEastAsia" w:hAnsiTheme="minorEastAsia" w:eastAsiaTheme="minorEastAsia"/>
          <w:szCs w:val="21"/>
        </w:rPr>
      </w:pPr>
    </w:p>
    <w:p w14:paraId="03655208">
      <w:pPr>
        <w:rPr>
          <w:rFonts w:asciiTheme="minorEastAsia" w:hAnsiTheme="minorEastAsia" w:eastAsiaTheme="minorEastAsia"/>
          <w:b/>
          <w:sz w:val="28"/>
          <w:szCs w:val="28"/>
        </w:rPr>
      </w:pPr>
      <w:bookmarkStart w:id="1297" w:name="_Toc109809392"/>
      <w:bookmarkStart w:id="1298" w:name="_Toc45976973"/>
      <w:bookmarkStart w:id="1299" w:name="_Toc116584083"/>
      <w:bookmarkStart w:id="1300" w:name="_Toc98865078"/>
      <w:bookmarkStart w:id="1301" w:name="_Toc53412281"/>
      <w:bookmarkStart w:id="1302" w:name="_Toc81331012"/>
      <w:bookmarkStart w:id="1303" w:name="_Toc3402"/>
      <w:bookmarkStart w:id="1304" w:name="_Toc75783597"/>
      <w:bookmarkStart w:id="1305" w:name="_Toc42205065"/>
      <w:bookmarkStart w:id="1306" w:name="_Toc69678494"/>
      <w:bookmarkStart w:id="1307" w:name="_Toc110405212"/>
      <w:r>
        <w:rPr>
          <w:rFonts w:hint="eastAsia" w:asciiTheme="minorEastAsia" w:hAnsiTheme="minorEastAsia" w:eastAsiaTheme="minorEastAsia"/>
          <w:b/>
          <w:sz w:val="28"/>
          <w:szCs w:val="28"/>
        </w:rPr>
        <w:br w:type="page"/>
      </w:r>
    </w:p>
    <w:p w14:paraId="1A65774A">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六</w:t>
      </w:r>
      <w:r>
        <w:rPr>
          <w:rFonts w:hint="eastAsia" w:asciiTheme="minorEastAsia" w:hAnsiTheme="minorEastAsia" w:eastAsiaTheme="minorEastAsia"/>
          <w:b/>
          <w:sz w:val="28"/>
          <w:szCs w:val="28"/>
        </w:rPr>
        <w:t>）监狱企业证明</w:t>
      </w:r>
      <w:bookmarkEnd w:id="1297"/>
      <w:bookmarkEnd w:id="1298"/>
      <w:bookmarkEnd w:id="1299"/>
      <w:bookmarkEnd w:id="1300"/>
      <w:bookmarkEnd w:id="1301"/>
      <w:bookmarkEnd w:id="1302"/>
      <w:bookmarkEnd w:id="1303"/>
      <w:bookmarkEnd w:id="1304"/>
      <w:bookmarkEnd w:id="1305"/>
      <w:bookmarkEnd w:id="1306"/>
      <w:bookmarkEnd w:id="1307"/>
    </w:p>
    <w:p w14:paraId="3217B696">
      <w:pPr>
        <w:spacing w:line="360" w:lineRule="auto"/>
        <w:jc w:val="center"/>
        <w:rPr>
          <w:rFonts w:asciiTheme="minorEastAsia" w:hAnsiTheme="minorEastAsia" w:eastAsiaTheme="minorEastAsia"/>
        </w:rPr>
      </w:pPr>
      <w:r>
        <w:rPr>
          <w:rFonts w:hint="eastAsia" w:asciiTheme="minorEastAsia" w:hAnsiTheme="minorEastAsia" w:eastAsiaTheme="minorEastAsia"/>
        </w:rPr>
        <w:t>注：若投标人为监狱企业，须附监狱企业证明材料的原件扫描件。</w:t>
      </w:r>
    </w:p>
    <w:p w14:paraId="24842E23">
      <w:pPr>
        <w:rPr>
          <w:rFonts w:hint="eastAsia" w:asciiTheme="minorEastAsia" w:hAnsiTheme="minorEastAsia" w:eastAsiaTheme="minorEastAsia"/>
        </w:rPr>
      </w:pPr>
      <w:r>
        <w:rPr>
          <w:rFonts w:hint="eastAsia" w:asciiTheme="minorEastAsia" w:hAnsiTheme="minorEastAsia" w:eastAsiaTheme="minorEastAsia"/>
        </w:rPr>
        <w:br w:type="page"/>
      </w:r>
    </w:p>
    <w:p w14:paraId="50055954">
      <w:pPr>
        <w:spacing w:line="360" w:lineRule="auto"/>
        <w:ind w:firstLine="562"/>
        <w:jc w:val="center"/>
        <w:outlineLvl w:val="2"/>
        <w:rPr>
          <w:rFonts w:hint="eastAsia"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lang w:eastAsia="zh-CN"/>
        </w:rPr>
        <w:t>（</w:t>
      </w:r>
      <w:r>
        <w:rPr>
          <w:rFonts w:hint="eastAsia" w:cs="Times New Roman" w:asciiTheme="minorEastAsia" w:hAnsiTheme="minorEastAsia" w:eastAsiaTheme="minorEastAsia"/>
          <w:b/>
          <w:sz w:val="28"/>
          <w:szCs w:val="28"/>
          <w:lang w:val="en-US" w:eastAsia="zh-CN"/>
        </w:rPr>
        <w:t>七</w:t>
      </w:r>
      <w:r>
        <w:rPr>
          <w:rFonts w:hint="eastAsia" w:cs="Times New Roman" w:asciiTheme="minorEastAsia" w:hAnsiTheme="minorEastAsia" w:eastAsiaTheme="minorEastAsia"/>
          <w:b/>
          <w:sz w:val="28"/>
          <w:szCs w:val="28"/>
          <w:lang w:eastAsia="zh-CN"/>
        </w:rPr>
        <w:t>）</w:t>
      </w:r>
      <w:r>
        <w:rPr>
          <w:rFonts w:hint="eastAsia" w:cs="Times New Roman" w:asciiTheme="minorEastAsia" w:hAnsiTheme="minorEastAsia" w:eastAsiaTheme="minorEastAsia"/>
          <w:b/>
          <w:sz w:val="28"/>
          <w:szCs w:val="28"/>
        </w:rPr>
        <w:t>关于符合本国产品标准的声明函</w:t>
      </w:r>
    </w:p>
    <w:p w14:paraId="1C0F2D40">
      <w:pPr>
        <w:pStyle w:val="51"/>
        <w:spacing w:before="30" w:beforeAutospacing="0" w:after="30" w:afterAutospacing="0" w:line="560" w:lineRule="atLeast"/>
        <w:ind w:firstLine="444" w:firstLineChars="200"/>
        <w:jc w:val="both"/>
        <w:textAlignment w:val="baseline"/>
        <w:rPr>
          <w:rFonts w:hint="eastAsia" w:cs="Times New Roman" w:asciiTheme="minorEastAsia" w:hAnsiTheme="minorEastAsia" w:eastAsiaTheme="minorEastAsia"/>
          <w:spacing w:val="6"/>
          <w:kern w:val="2"/>
          <w:sz w:val="21"/>
          <w:szCs w:val="21"/>
          <w:lang w:val="en-US" w:eastAsia="zh-CN" w:bidi="ar-SA"/>
        </w:rPr>
      </w:pPr>
      <w:r>
        <w:rPr>
          <w:rFonts w:hint="eastAsia" w:cs="Times New Roman" w:asciiTheme="minorEastAsia" w:hAnsiTheme="minorEastAsia" w:eastAsiaTheme="minorEastAsia"/>
          <w:spacing w:val="6"/>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F71F820">
      <w:pPr>
        <w:pStyle w:val="51"/>
        <w:spacing w:before="30" w:beforeAutospacing="0" w:after="30" w:afterAutospacing="0" w:line="560" w:lineRule="atLeast"/>
        <w:ind w:left="279" w:leftChars="133" w:firstLine="222" w:firstLineChars="100"/>
        <w:jc w:val="both"/>
        <w:textAlignment w:val="baseline"/>
        <w:rPr>
          <w:rFonts w:hint="eastAsia" w:cs="Times New Roman" w:asciiTheme="minorEastAsia" w:hAnsiTheme="minorEastAsia" w:eastAsiaTheme="minorEastAsia"/>
          <w:spacing w:val="6"/>
          <w:kern w:val="2"/>
          <w:sz w:val="21"/>
          <w:szCs w:val="21"/>
          <w:lang w:val="en-US" w:eastAsia="zh-CN" w:bidi="ar-SA"/>
        </w:rPr>
      </w:pPr>
      <w:r>
        <w:rPr>
          <w:rFonts w:hint="eastAsia" w:cs="Times New Roman" w:asciiTheme="minorEastAsia" w:hAnsiTheme="minorEastAsia" w:eastAsiaTheme="minorEastAsia"/>
          <w:spacing w:val="6"/>
          <w:kern w:val="2"/>
          <w:sz w:val="21"/>
          <w:szCs w:val="21"/>
          <w:lang w:val="en-US" w:eastAsia="zh-CN" w:bidi="ar-SA"/>
        </w:rPr>
        <w:t>1.</w:t>
      </w:r>
      <w:r>
        <w:rPr>
          <w:rFonts w:hint="eastAsia" w:cs="Times New Roman" w:asciiTheme="minorEastAsia" w:hAnsiTheme="minorEastAsia" w:eastAsiaTheme="minorEastAsia"/>
          <w:spacing w:val="6"/>
          <w:kern w:val="2"/>
          <w:sz w:val="21"/>
          <w:szCs w:val="21"/>
          <w:u w:val="single"/>
          <w:lang w:val="en-US" w:eastAsia="zh-CN" w:bidi="ar-SA"/>
        </w:rPr>
        <w:t>（产品名称1）</w:t>
      </w:r>
      <w:r>
        <w:rPr>
          <w:rFonts w:hint="eastAsia" w:cs="Times New Roman" w:asciiTheme="minorEastAsia" w:hAnsiTheme="minorEastAsia" w:eastAsiaTheme="minorEastAsia"/>
          <w:spacing w:val="6"/>
          <w:kern w:val="2"/>
          <w:sz w:val="21"/>
          <w:szCs w:val="21"/>
          <w:lang w:val="en-US" w:eastAsia="zh-CN" w:bidi="ar-SA"/>
        </w:rPr>
        <w:t>1，生产厂为</w:t>
      </w:r>
      <w:r>
        <w:rPr>
          <w:rFonts w:hint="eastAsia" w:cs="Times New Roman" w:asciiTheme="minorEastAsia" w:hAnsiTheme="minorEastAsia" w:eastAsiaTheme="minorEastAsia"/>
          <w:spacing w:val="6"/>
          <w:kern w:val="2"/>
          <w:sz w:val="21"/>
          <w:szCs w:val="21"/>
          <w:u w:val="single"/>
          <w:lang w:val="en-US" w:eastAsia="zh-CN" w:bidi="ar-SA"/>
        </w:rPr>
        <w:t>（厂名）</w:t>
      </w:r>
      <w:r>
        <w:rPr>
          <w:rFonts w:hint="eastAsia" w:cs="Times New Roman" w:asciiTheme="minorEastAsia" w:hAnsiTheme="minorEastAsia" w:eastAsiaTheme="minorEastAsia"/>
          <w:spacing w:val="6"/>
          <w:kern w:val="2"/>
          <w:sz w:val="21"/>
          <w:szCs w:val="21"/>
          <w:lang w:val="en-US" w:eastAsia="zh-CN" w:bidi="ar-SA"/>
        </w:rPr>
        <w:t>2，厂址为</w:t>
      </w:r>
      <w:r>
        <w:rPr>
          <w:rFonts w:hint="eastAsia" w:cs="Times New Roman" w:asciiTheme="minorEastAsia" w:hAnsiTheme="minorEastAsia" w:eastAsiaTheme="minorEastAsia"/>
          <w:spacing w:val="6"/>
          <w:kern w:val="2"/>
          <w:sz w:val="21"/>
          <w:szCs w:val="21"/>
          <w:u w:val="single"/>
          <w:lang w:val="en-US" w:eastAsia="zh-CN" w:bidi="ar-SA"/>
        </w:rPr>
        <w:t>（生产厂址）</w:t>
      </w:r>
      <w:r>
        <w:rPr>
          <w:rFonts w:hint="eastAsia" w:cs="Times New Roman" w:asciiTheme="minorEastAsia" w:hAnsiTheme="minorEastAsia" w:eastAsiaTheme="minorEastAsia"/>
          <w:spacing w:val="6"/>
          <w:kern w:val="2"/>
          <w:sz w:val="21"/>
          <w:szCs w:val="21"/>
          <w:lang w:val="en-US" w:eastAsia="zh-CN" w:bidi="ar-SA"/>
        </w:rPr>
        <w:t>。</w:t>
      </w:r>
      <w:r>
        <w:rPr>
          <w:rFonts w:hint="eastAsia" w:cs="Times New Roman" w:asciiTheme="minorEastAsia" w:hAnsiTheme="minorEastAsia" w:eastAsiaTheme="minorEastAsia"/>
          <w:spacing w:val="6"/>
          <w:kern w:val="2"/>
          <w:sz w:val="21"/>
          <w:szCs w:val="21"/>
          <w:u w:val="single"/>
          <w:lang w:val="en-US" w:eastAsia="zh-CN" w:bidi="ar-SA"/>
        </w:rPr>
        <w:t>（产品名称1）</w:t>
      </w:r>
      <w:r>
        <w:rPr>
          <w:rFonts w:hint="eastAsia" w:cs="Times New Roman" w:asciiTheme="minorEastAsia" w:hAnsiTheme="minorEastAsia" w:eastAsiaTheme="minorEastAsia"/>
          <w:spacing w:val="6"/>
          <w:kern w:val="2"/>
          <w:sz w:val="21"/>
          <w:szCs w:val="21"/>
          <w:lang w:val="en-US" w:eastAsia="zh-CN" w:bidi="ar-SA"/>
        </w:rPr>
        <w:t>的中国境内生产的组件成本占比≥（规定比例）3。</w:t>
      </w:r>
      <w:r>
        <w:rPr>
          <w:rFonts w:hint="eastAsia" w:cs="Times New Roman" w:asciiTheme="minorEastAsia" w:hAnsiTheme="minorEastAsia" w:eastAsiaTheme="minorEastAsia"/>
          <w:spacing w:val="6"/>
          <w:kern w:val="2"/>
          <w:sz w:val="21"/>
          <w:szCs w:val="21"/>
          <w:u w:val="single"/>
          <w:lang w:val="en-US" w:eastAsia="zh-CN" w:bidi="ar-SA"/>
        </w:rPr>
        <w:t>（产品名称1）</w:t>
      </w:r>
      <w:r>
        <w:rPr>
          <w:rFonts w:hint="eastAsia" w:cs="Times New Roman" w:asciiTheme="minorEastAsia" w:hAnsiTheme="minorEastAsia" w:eastAsiaTheme="minorEastAsia"/>
          <w:spacing w:val="6"/>
          <w:kern w:val="2"/>
          <w:sz w:val="21"/>
          <w:szCs w:val="21"/>
          <w:lang w:val="en-US" w:eastAsia="zh-CN" w:bidi="ar-SA"/>
        </w:rPr>
        <w:t>的</w:t>
      </w:r>
      <w:r>
        <w:rPr>
          <w:rFonts w:hint="eastAsia" w:cs="Times New Roman" w:asciiTheme="minorEastAsia" w:hAnsiTheme="minorEastAsia" w:eastAsiaTheme="minorEastAsia"/>
          <w:spacing w:val="6"/>
          <w:kern w:val="2"/>
          <w:sz w:val="21"/>
          <w:szCs w:val="21"/>
          <w:u w:val="single"/>
          <w:lang w:val="en-US" w:eastAsia="zh-CN" w:bidi="ar-SA"/>
        </w:rPr>
        <w:t>（关键组件）</w:t>
      </w:r>
      <w:r>
        <w:rPr>
          <w:rFonts w:hint="eastAsia" w:cs="Times New Roman" w:asciiTheme="minorEastAsia" w:hAnsiTheme="minorEastAsia" w:eastAsiaTheme="minorEastAsia"/>
          <w:spacing w:val="6"/>
          <w:kern w:val="2"/>
          <w:sz w:val="21"/>
          <w:szCs w:val="21"/>
          <w:lang w:val="en-US" w:eastAsia="zh-CN" w:bidi="ar-SA"/>
        </w:rPr>
        <w:t>4在中国境内生产。</w:t>
      </w:r>
      <w:r>
        <w:rPr>
          <w:rFonts w:hint="eastAsia" w:cs="Times New Roman" w:asciiTheme="minorEastAsia" w:hAnsiTheme="minorEastAsia" w:eastAsiaTheme="minorEastAsia"/>
          <w:spacing w:val="6"/>
          <w:kern w:val="2"/>
          <w:sz w:val="21"/>
          <w:szCs w:val="21"/>
          <w:u w:val="single"/>
          <w:lang w:val="en-US" w:eastAsia="zh-CN" w:bidi="ar-SA"/>
        </w:rPr>
        <w:t>（产品名称1）</w:t>
      </w:r>
      <w:r>
        <w:rPr>
          <w:rFonts w:hint="eastAsia" w:cs="Times New Roman" w:asciiTheme="minorEastAsia" w:hAnsiTheme="minorEastAsia" w:eastAsiaTheme="minorEastAsia"/>
          <w:spacing w:val="6"/>
          <w:kern w:val="2"/>
          <w:sz w:val="21"/>
          <w:szCs w:val="21"/>
          <w:lang w:val="en-US" w:eastAsia="zh-CN" w:bidi="ar-SA"/>
        </w:rPr>
        <w:t>的</w:t>
      </w:r>
      <w:r>
        <w:rPr>
          <w:rFonts w:hint="eastAsia" w:cs="Times New Roman" w:asciiTheme="minorEastAsia" w:hAnsiTheme="minorEastAsia" w:eastAsiaTheme="minorEastAsia"/>
          <w:spacing w:val="6"/>
          <w:kern w:val="2"/>
          <w:sz w:val="21"/>
          <w:szCs w:val="21"/>
          <w:u w:val="single"/>
          <w:lang w:val="en-US" w:eastAsia="zh-CN" w:bidi="ar-SA"/>
        </w:rPr>
        <w:t>（关键工序）</w:t>
      </w:r>
      <w:r>
        <w:rPr>
          <w:rFonts w:hint="eastAsia" w:cs="Times New Roman" w:asciiTheme="minorEastAsia" w:hAnsiTheme="minorEastAsia" w:eastAsiaTheme="minorEastAsia"/>
          <w:spacing w:val="6"/>
          <w:kern w:val="2"/>
          <w:sz w:val="21"/>
          <w:szCs w:val="21"/>
          <w:lang w:val="en-US" w:eastAsia="zh-CN" w:bidi="ar-SA"/>
        </w:rPr>
        <w:t>5在中国境内完成。</w:t>
      </w:r>
    </w:p>
    <w:p w14:paraId="38CD1EE7">
      <w:pPr>
        <w:pStyle w:val="51"/>
        <w:spacing w:before="30" w:beforeAutospacing="0" w:after="30" w:afterAutospacing="0" w:line="560" w:lineRule="atLeast"/>
        <w:ind w:firstLine="444" w:firstLineChars="200"/>
        <w:jc w:val="both"/>
        <w:textAlignment w:val="baseline"/>
        <w:rPr>
          <w:rFonts w:hint="eastAsia" w:cs="Times New Roman" w:asciiTheme="minorEastAsia" w:hAnsiTheme="minorEastAsia" w:eastAsiaTheme="minorEastAsia"/>
          <w:spacing w:val="6"/>
          <w:kern w:val="2"/>
          <w:sz w:val="21"/>
          <w:szCs w:val="21"/>
          <w:lang w:val="en-US" w:eastAsia="zh-CN" w:bidi="ar-SA"/>
        </w:rPr>
      </w:pPr>
      <w:r>
        <w:rPr>
          <w:rFonts w:hint="eastAsia" w:cs="Times New Roman" w:asciiTheme="minorEastAsia" w:hAnsiTheme="minorEastAsia" w:eastAsiaTheme="minorEastAsia"/>
          <w:spacing w:val="6"/>
          <w:kern w:val="2"/>
          <w:sz w:val="21"/>
          <w:szCs w:val="21"/>
          <w:lang w:val="en-US" w:eastAsia="zh-CN" w:bidi="ar-SA"/>
        </w:rPr>
        <w:t>2.</w:t>
      </w:r>
      <w:r>
        <w:rPr>
          <w:rFonts w:hint="eastAsia" w:cs="Times New Roman" w:asciiTheme="minorEastAsia" w:hAnsiTheme="minorEastAsia" w:eastAsiaTheme="minorEastAsia"/>
          <w:spacing w:val="6"/>
          <w:kern w:val="2"/>
          <w:sz w:val="21"/>
          <w:szCs w:val="21"/>
          <w:u w:val="single"/>
          <w:lang w:val="en-US" w:eastAsia="zh-CN" w:bidi="ar-SA"/>
        </w:rPr>
        <w:t>（产品名称2）</w:t>
      </w:r>
      <w:r>
        <w:rPr>
          <w:rFonts w:hint="eastAsia" w:cs="Times New Roman" w:asciiTheme="minorEastAsia" w:hAnsiTheme="minorEastAsia" w:eastAsiaTheme="minorEastAsia"/>
          <w:spacing w:val="6"/>
          <w:kern w:val="2"/>
          <w:sz w:val="21"/>
          <w:szCs w:val="21"/>
          <w:lang w:val="en-US" w:eastAsia="zh-CN" w:bidi="ar-SA"/>
        </w:rPr>
        <w:t>，</w:t>
      </w:r>
      <w:r>
        <w:rPr>
          <w:rFonts w:hint="eastAsia" w:cs="Times New Roman" w:asciiTheme="minorEastAsia" w:hAnsiTheme="minorEastAsia" w:eastAsiaTheme="minorEastAsia"/>
          <w:spacing w:val="6"/>
          <w:kern w:val="2"/>
          <w:sz w:val="21"/>
          <w:szCs w:val="21"/>
          <w:u w:val="single"/>
          <w:lang w:val="en-US" w:eastAsia="zh-CN" w:bidi="ar-SA"/>
        </w:rPr>
        <w:t>生产厂为（厂名）</w:t>
      </w:r>
      <w:r>
        <w:rPr>
          <w:rFonts w:hint="eastAsia" w:cs="Times New Roman" w:asciiTheme="minorEastAsia" w:hAnsiTheme="minorEastAsia" w:eastAsiaTheme="minorEastAsia"/>
          <w:spacing w:val="6"/>
          <w:kern w:val="2"/>
          <w:sz w:val="21"/>
          <w:szCs w:val="21"/>
          <w:lang w:val="en-US" w:eastAsia="zh-CN" w:bidi="ar-SA"/>
        </w:rPr>
        <w:t>，厂址为</w:t>
      </w:r>
      <w:r>
        <w:rPr>
          <w:rFonts w:hint="eastAsia" w:cs="Times New Roman" w:asciiTheme="minorEastAsia" w:hAnsiTheme="minorEastAsia" w:eastAsiaTheme="minorEastAsia"/>
          <w:spacing w:val="6"/>
          <w:kern w:val="2"/>
          <w:sz w:val="21"/>
          <w:szCs w:val="21"/>
          <w:u w:val="single"/>
          <w:lang w:val="en-US" w:eastAsia="zh-CN" w:bidi="ar-SA"/>
        </w:rPr>
        <w:t>（生产厂址）</w:t>
      </w:r>
      <w:r>
        <w:rPr>
          <w:rFonts w:hint="eastAsia" w:cs="Times New Roman" w:asciiTheme="minorEastAsia" w:hAnsiTheme="minorEastAsia" w:eastAsiaTheme="minorEastAsia"/>
          <w:spacing w:val="6"/>
          <w:kern w:val="2"/>
          <w:sz w:val="21"/>
          <w:szCs w:val="21"/>
          <w:lang w:val="en-US" w:eastAsia="zh-CN" w:bidi="ar-SA"/>
        </w:rPr>
        <w:t>。</w:t>
      </w:r>
      <w:r>
        <w:rPr>
          <w:rFonts w:hint="eastAsia" w:cs="Times New Roman" w:asciiTheme="minorEastAsia" w:hAnsiTheme="minorEastAsia" w:eastAsiaTheme="minorEastAsia"/>
          <w:spacing w:val="6"/>
          <w:kern w:val="2"/>
          <w:sz w:val="21"/>
          <w:szCs w:val="21"/>
          <w:u w:val="single"/>
          <w:lang w:val="en-US" w:eastAsia="zh-CN" w:bidi="ar-SA"/>
        </w:rPr>
        <w:t>（产品名称2）</w:t>
      </w:r>
      <w:r>
        <w:rPr>
          <w:rFonts w:hint="eastAsia" w:cs="Times New Roman" w:asciiTheme="minorEastAsia" w:hAnsiTheme="minorEastAsia" w:eastAsiaTheme="minorEastAsia"/>
          <w:spacing w:val="6"/>
          <w:kern w:val="2"/>
          <w:sz w:val="21"/>
          <w:szCs w:val="21"/>
          <w:lang w:val="en-US" w:eastAsia="zh-CN" w:bidi="ar-SA"/>
        </w:rPr>
        <w:t>的中国境内生产的组件成本占比≥（规定比例）。</w:t>
      </w:r>
      <w:r>
        <w:rPr>
          <w:rFonts w:hint="eastAsia" w:cs="Times New Roman" w:asciiTheme="minorEastAsia" w:hAnsiTheme="minorEastAsia" w:eastAsiaTheme="minorEastAsia"/>
          <w:spacing w:val="6"/>
          <w:kern w:val="2"/>
          <w:sz w:val="21"/>
          <w:szCs w:val="21"/>
          <w:u w:val="single"/>
          <w:lang w:val="en-US" w:eastAsia="zh-CN" w:bidi="ar-SA"/>
        </w:rPr>
        <w:t>（产品名称2）</w:t>
      </w:r>
      <w:r>
        <w:rPr>
          <w:rFonts w:hint="eastAsia" w:cs="Times New Roman" w:asciiTheme="minorEastAsia" w:hAnsiTheme="minorEastAsia" w:eastAsiaTheme="minorEastAsia"/>
          <w:spacing w:val="6"/>
          <w:kern w:val="2"/>
          <w:sz w:val="21"/>
          <w:szCs w:val="21"/>
          <w:lang w:val="en-US" w:eastAsia="zh-CN" w:bidi="ar-SA"/>
        </w:rPr>
        <w:t>的（关键组件）在中国境内生产。（产</w:t>
      </w:r>
      <w:r>
        <w:rPr>
          <w:rFonts w:hint="eastAsia" w:cs="Times New Roman" w:asciiTheme="minorEastAsia" w:hAnsiTheme="minorEastAsia" w:eastAsiaTheme="minorEastAsia"/>
          <w:spacing w:val="6"/>
          <w:kern w:val="2"/>
          <w:sz w:val="21"/>
          <w:szCs w:val="21"/>
          <w:u w:val="single"/>
          <w:lang w:val="en-US" w:eastAsia="zh-CN" w:bidi="ar-SA"/>
        </w:rPr>
        <w:t>品名称2）</w:t>
      </w:r>
      <w:r>
        <w:rPr>
          <w:rFonts w:hint="eastAsia" w:cs="Times New Roman" w:asciiTheme="minorEastAsia" w:hAnsiTheme="minorEastAsia" w:eastAsiaTheme="minorEastAsia"/>
          <w:spacing w:val="6"/>
          <w:kern w:val="2"/>
          <w:sz w:val="21"/>
          <w:szCs w:val="21"/>
          <w:lang w:val="en-US" w:eastAsia="zh-CN" w:bidi="ar-SA"/>
        </w:rPr>
        <w:t>的</w:t>
      </w:r>
      <w:r>
        <w:rPr>
          <w:rFonts w:hint="eastAsia" w:cs="Times New Roman" w:asciiTheme="minorEastAsia" w:hAnsiTheme="minorEastAsia" w:eastAsiaTheme="minorEastAsia"/>
          <w:spacing w:val="6"/>
          <w:kern w:val="2"/>
          <w:sz w:val="21"/>
          <w:szCs w:val="21"/>
          <w:u w:val="single"/>
          <w:lang w:val="en-US" w:eastAsia="zh-CN" w:bidi="ar-SA"/>
        </w:rPr>
        <w:t>（关键工序）</w:t>
      </w:r>
      <w:r>
        <w:rPr>
          <w:rFonts w:hint="eastAsia" w:cs="Times New Roman" w:asciiTheme="minorEastAsia" w:hAnsiTheme="minorEastAsia" w:eastAsiaTheme="minorEastAsia"/>
          <w:spacing w:val="6"/>
          <w:kern w:val="2"/>
          <w:sz w:val="21"/>
          <w:szCs w:val="21"/>
          <w:lang w:val="en-US" w:eastAsia="zh-CN" w:bidi="ar-SA"/>
        </w:rPr>
        <w:t>在中国境内完成。</w:t>
      </w:r>
    </w:p>
    <w:p w14:paraId="47A8089B">
      <w:pPr>
        <w:pStyle w:val="51"/>
        <w:spacing w:before="30" w:beforeAutospacing="0" w:after="30" w:afterAutospacing="0" w:line="560" w:lineRule="atLeast"/>
        <w:ind w:firstLine="444" w:firstLineChars="200"/>
        <w:jc w:val="both"/>
        <w:textAlignment w:val="baseline"/>
        <w:rPr>
          <w:rFonts w:hint="eastAsia" w:cs="Times New Roman" w:asciiTheme="minorEastAsia" w:hAnsiTheme="minorEastAsia" w:eastAsiaTheme="minorEastAsia"/>
          <w:spacing w:val="6"/>
          <w:kern w:val="2"/>
          <w:sz w:val="21"/>
          <w:szCs w:val="21"/>
          <w:lang w:val="en-US" w:eastAsia="zh-CN" w:bidi="ar-SA"/>
        </w:rPr>
      </w:pPr>
      <w:r>
        <w:rPr>
          <w:rFonts w:hint="eastAsia" w:cs="Times New Roman" w:asciiTheme="minorEastAsia" w:hAnsiTheme="minorEastAsia" w:eastAsiaTheme="minorEastAsia"/>
          <w:spacing w:val="6"/>
          <w:kern w:val="2"/>
          <w:sz w:val="21"/>
          <w:szCs w:val="21"/>
          <w:lang w:val="en-US" w:eastAsia="zh-CN" w:bidi="ar-SA"/>
        </w:rPr>
        <w:t>……</w:t>
      </w:r>
    </w:p>
    <w:p w14:paraId="30967BB4">
      <w:pPr>
        <w:pStyle w:val="51"/>
        <w:spacing w:before="30" w:beforeAutospacing="0" w:after="30" w:afterAutospacing="0" w:line="560" w:lineRule="atLeast"/>
        <w:ind w:firstLine="444" w:firstLineChars="200"/>
        <w:jc w:val="both"/>
        <w:textAlignment w:val="baseline"/>
        <w:rPr>
          <w:rFonts w:hint="eastAsia" w:cs="Times New Roman" w:asciiTheme="minorEastAsia" w:hAnsiTheme="minorEastAsia" w:eastAsiaTheme="minorEastAsia"/>
          <w:spacing w:val="6"/>
          <w:kern w:val="2"/>
          <w:sz w:val="21"/>
          <w:szCs w:val="21"/>
          <w:lang w:val="en-US" w:eastAsia="zh-CN" w:bidi="ar-SA"/>
        </w:rPr>
      </w:pPr>
      <w:r>
        <w:rPr>
          <w:rFonts w:hint="eastAsia" w:cs="Times New Roman" w:asciiTheme="minorEastAsia" w:hAnsiTheme="minorEastAsia" w:eastAsiaTheme="minorEastAsia"/>
          <w:spacing w:val="6"/>
          <w:kern w:val="2"/>
          <w:sz w:val="21"/>
          <w:szCs w:val="21"/>
          <w:lang w:val="en-US" w:eastAsia="zh-CN" w:bidi="ar-SA"/>
        </w:rPr>
        <w:t>本公司（单位）对上述声明内容的真实性负责。如有虚假，愿承担相应法律责任。</w:t>
      </w:r>
    </w:p>
    <w:p w14:paraId="6E505421">
      <w:pPr>
        <w:pStyle w:val="51"/>
        <w:spacing w:before="30" w:beforeAutospacing="0" w:after="30" w:afterAutospacing="0" w:line="560" w:lineRule="atLeast"/>
        <w:textAlignment w:val="baseline"/>
        <w:rPr>
          <w:rFonts w:hint="eastAsia" w:cs="Times New Roman" w:asciiTheme="minorEastAsia" w:hAnsiTheme="minorEastAsia" w:eastAsiaTheme="minorEastAsia"/>
          <w:spacing w:val="6"/>
          <w:kern w:val="2"/>
          <w:sz w:val="21"/>
          <w:szCs w:val="21"/>
          <w:lang w:val="en-US" w:eastAsia="zh-CN" w:bidi="ar-SA"/>
        </w:rPr>
      </w:pPr>
    </w:p>
    <w:p w14:paraId="692ED592">
      <w:pPr>
        <w:pStyle w:val="51"/>
        <w:spacing w:before="30" w:beforeAutospacing="0" w:after="30" w:afterAutospacing="0" w:line="560" w:lineRule="atLeast"/>
        <w:textAlignment w:val="baseline"/>
        <w:rPr>
          <w:rFonts w:hint="eastAsia" w:cs="Times New Roman" w:asciiTheme="minorEastAsia" w:hAnsiTheme="minorEastAsia" w:eastAsiaTheme="minorEastAsia"/>
          <w:spacing w:val="6"/>
          <w:kern w:val="2"/>
          <w:sz w:val="21"/>
          <w:szCs w:val="21"/>
          <w:lang w:val="en-US" w:eastAsia="zh-CN" w:bidi="ar-SA"/>
        </w:rPr>
      </w:pPr>
    </w:p>
    <w:p w14:paraId="4811DC24">
      <w:pPr>
        <w:pStyle w:val="51"/>
        <w:spacing w:before="30" w:beforeAutospacing="0" w:after="30" w:afterAutospacing="0" w:line="560" w:lineRule="atLeast"/>
        <w:jc w:val="center"/>
        <w:textAlignment w:val="baseline"/>
        <w:rPr>
          <w:rFonts w:hint="eastAsia" w:cs="Times New Roman" w:asciiTheme="minorEastAsia" w:hAnsiTheme="minorEastAsia" w:eastAsiaTheme="minorEastAsia"/>
          <w:spacing w:val="6"/>
          <w:kern w:val="2"/>
          <w:sz w:val="21"/>
          <w:szCs w:val="21"/>
          <w:lang w:val="en-US" w:eastAsia="zh-CN" w:bidi="ar-SA"/>
        </w:rPr>
      </w:pPr>
      <w:r>
        <w:rPr>
          <w:rFonts w:hint="eastAsia" w:cs="Times New Roman" w:asciiTheme="minorEastAsia" w:hAnsiTheme="minorEastAsia" w:eastAsiaTheme="minorEastAsia"/>
          <w:spacing w:val="6"/>
          <w:kern w:val="2"/>
          <w:sz w:val="21"/>
          <w:szCs w:val="21"/>
          <w:lang w:val="en-US" w:eastAsia="zh-CN" w:bidi="ar-SA"/>
        </w:rPr>
        <w:t>公司（单位）名称（盖章）：</w:t>
      </w:r>
    </w:p>
    <w:p w14:paraId="66BDF342">
      <w:pPr>
        <w:pStyle w:val="51"/>
        <w:spacing w:before="30" w:beforeAutospacing="0" w:after="30" w:afterAutospacing="0" w:line="560" w:lineRule="atLeast"/>
        <w:jc w:val="center"/>
        <w:textAlignment w:val="baseline"/>
        <w:rPr>
          <w:rFonts w:hint="eastAsia" w:cs="Times New Roman" w:asciiTheme="minorEastAsia" w:hAnsiTheme="minorEastAsia" w:eastAsiaTheme="minorEastAsia"/>
          <w:spacing w:val="6"/>
          <w:kern w:val="2"/>
          <w:sz w:val="21"/>
          <w:szCs w:val="21"/>
          <w:lang w:val="en-US" w:eastAsia="zh-CN" w:bidi="ar-SA"/>
        </w:rPr>
      </w:pPr>
      <w:r>
        <w:rPr>
          <w:rFonts w:hint="eastAsia" w:cs="Times New Roman" w:asciiTheme="minorEastAsia" w:hAnsiTheme="minorEastAsia" w:eastAsiaTheme="minorEastAsia"/>
          <w:spacing w:val="6"/>
          <w:kern w:val="2"/>
          <w:sz w:val="21"/>
          <w:szCs w:val="21"/>
          <w:lang w:val="en-US" w:eastAsia="zh-CN" w:bidi="ar-SA"/>
        </w:rPr>
        <w:t>日期：    年    月   日</w:t>
      </w:r>
    </w:p>
    <w:p w14:paraId="40A4DF5C">
      <w:pPr>
        <w:pStyle w:val="51"/>
        <w:spacing w:before="30" w:beforeAutospacing="0" w:after="30" w:afterAutospacing="0" w:line="560" w:lineRule="atLeast"/>
        <w:textAlignment w:val="baseline"/>
        <w:rPr>
          <w:rFonts w:hint="eastAsia" w:ascii="宋体" w:hAnsi="宋体" w:cs="宋体"/>
          <w:sz w:val="28"/>
          <w:szCs w:val="28"/>
          <w:highlight w:val="none"/>
        </w:rPr>
      </w:pPr>
      <w:r>
        <w:rPr>
          <w:rFonts w:hint="eastAsia" w:ascii="宋体" w:hAnsi="宋体" w:cs="宋体"/>
          <w:color w:val="000000"/>
          <w:sz w:val="28"/>
          <w:szCs w:val="28"/>
          <w:highlight w:val="none"/>
          <w:shd w:val="clear" w:color="auto" w:fill="FFFFFF"/>
        </w:rPr>
        <w:t>__________________</w:t>
      </w:r>
    </w:p>
    <w:p w14:paraId="10E849A9">
      <w:pPr>
        <w:pStyle w:val="51"/>
        <w:spacing w:before="0" w:beforeAutospacing="0" w:after="0" w:afterAutospacing="0" w:line="360" w:lineRule="auto"/>
        <w:ind w:firstLine="420" w:firstLineChars="200"/>
        <w:jc w:val="both"/>
        <w:textAlignment w:val="baseline"/>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1.产品如有型号，请在“产品名称”栏一并填写。</w:t>
      </w:r>
    </w:p>
    <w:p w14:paraId="1993A758">
      <w:pPr>
        <w:pStyle w:val="51"/>
        <w:spacing w:before="0" w:beforeAutospacing="0" w:after="0" w:afterAutospacing="0" w:line="360" w:lineRule="auto"/>
        <w:ind w:firstLine="420" w:firstLineChars="200"/>
        <w:jc w:val="both"/>
        <w:textAlignment w:val="baseline"/>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2.生产厂名与厂址应与生产厂营业执照载明的相关信息保持一致。</w:t>
      </w:r>
    </w:p>
    <w:p w14:paraId="4B42BA6A">
      <w:pPr>
        <w:pStyle w:val="51"/>
        <w:spacing w:before="0" w:beforeAutospacing="0" w:after="0" w:afterAutospacing="0" w:line="360" w:lineRule="auto"/>
        <w:ind w:firstLine="420" w:firstLineChars="200"/>
        <w:jc w:val="both"/>
        <w:textAlignment w:val="baseline"/>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3.该产品的中国境内生产的组件成本占比相关要求实施前，“规定比例”栏可不填，下同。</w:t>
      </w:r>
      <w:r>
        <w:rPr>
          <w:rFonts w:hint="eastAsia" w:ascii="宋体" w:hAnsi="宋体" w:cs="宋体"/>
          <w:b/>
          <w:bCs/>
          <w:color w:val="000000" w:themeColor="text1"/>
          <w:sz w:val="21"/>
          <w:szCs w:val="21"/>
          <w:highlight w:val="none"/>
          <w:shd w:val="clear" w:color="auto" w:fill="FFFFFF"/>
          <w14:textFill>
            <w14:solidFill>
              <w14:schemeClr w14:val="tx1"/>
            </w14:solidFill>
          </w14:textFill>
        </w:rPr>
        <w:t>（本项目“规定比例”栏可不填）</w:t>
      </w:r>
    </w:p>
    <w:p w14:paraId="064C4C3B">
      <w:pPr>
        <w:pStyle w:val="51"/>
        <w:spacing w:before="0" w:beforeAutospacing="0" w:after="0" w:afterAutospacing="0" w:line="360" w:lineRule="auto"/>
        <w:ind w:firstLine="420" w:firstLineChars="200"/>
        <w:jc w:val="both"/>
        <w:textAlignment w:val="baseline"/>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4.该产品的关键组件要求实施前，“关键组件”栏可不填，下同。</w:t>
      </w:r>
      <w:r>
        <w:rPr>
          <w:rFonts w:hint="eastAsia" w:ascii="宋体" w:hAnsi="宋体" w:cs="宋体"/>
          <w:b/>
          <w:bCs/>
          <w:color w:val="000000" w:themeColor="text1"/>
          <w:sz w:val="21"/>
          <w:szCs w:val="21"/>
          <w:highlight w:val="none"/>
          <w:shd w:val="clear" w:color="auto" w:fill="FFFFFF"/>
          <w14:textFill>
            <w14:solidFill>
              <w14:schemeClr w14:val="tx1"/>
            </w14:solidFill>
          </w14:textFill>
        </w:rPr>
        <w:t>（本项目“关键组件”栏可不填）</w:t>
      </w:r>
    </w:p>
    <w:p w14:paraId="0FD69839">
      <w:pPr>
        <w:pStyle w:val="51"/>
        <w:spacing w:before="0" w:beforeAutospacing="0" w:after="0" w:afterAutospacing="0" w:line="360" w:lineRule="auto"/>
        <w:ind w:firstLine="420" w:firstLineChars="200"/>
        <w:jc w:val="both"/>
        <w:textAlignment w:val="baseline"/>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5.该产品的关键工序要求实施前，“关键工序”栏可不填，下同。</w:t>
      </w:r>
      <w:r>
        <w:rPr>
          <w:rFonts w:hint="eastAsia" w:ascii="宋体" w:hAnsi="宋体" w:cs="宋体"/>
          <w:b/>
          <w:bCs/>
          <w:color w:val="000000" w:themeColor="text1"/>
          <w:sz w:val="21"/>
          <w:szCs w:val="21"/>
          <w:highlight w:val="none"/>
          <w:shd w:val="clear" w:color="auto" w:fill="FFFFFF"/>
          <w14:textFill>
            <w14:solidFill>
              <w14:schemeClr w14:val="tx1"/>
            </w14:solidFill>
          </w14:textFill>
        </w:rPr>
        <w:t>（本项目“关键工序”栏可不填）</w:t>
      </w:r>
    </w:p>
    <w:p w14:paraId="4944533C">
      <w:pPr>
        <w:spacing w:line="360" w:lineRule="auto"/>
        <w:rPr>
          <w:rFonts w:hint="eastAsia" w:asciiTheme="minorEastAsia" w:hAnsiTheme="minorEastAsia" w:eastAsiaTheme="minorEastAsia"/>
        </w:rPr>
      </w:pPr>
    </w:p>
    <w:p w14:paraId="5AC96A3F">
      <w:pPr>
        <w:rPr>
          <w:rFonts w:asciiTheme="minorEastAsia" w:hAnsiTheme="minorEastAsia" w:eastAsiaTheme="minorEastAsia"/>
          <w:b/>
          <w:bCs/>
          <w:sz w:val="32"/>
          <w:szCs w:val="32"/>
        </w:rPr>
      </w:pPr>
      <w:r>
        <w:rPr>
          <w:rFonts w:hint="eastAsia" w:asciiTheme="minorEastAsia" w:hAnsiTheme="minorEastAsia" w:eastAsiaTheme="minorEastAsia"/>
        </w:rPr>
        <w:br w:type="page"/>
      </w:r>
    </w:p>
    <w:bookmarkEnd w:id="1293"/>
    <w:bookmarkEnd w:id="1294"/>
    <w:p w14:paraId="47F57AA6">
      <w:pPr>
        <w:spacing w:line="360" w:lineRule="auto"/>
        <w:ind w:firstLine="602"/>
        <w:jc w:val="center"/>
        <w:outlineLvl w:val="1"/>
        <w:rPr>
          <w:rFonts w:asciiTheme="minorEastAsia" w:hAnsiTheme="minorEastAsia" w:eastAsiaTheme="minorEastAsia"/>
          <w:b/>
          <w:sz w:val="30"/>
          <w:szCs w:val="30"/>
        </w:rPr>
      </w:pPr>
      <w:bookmarkStart w:id="1308" w:name="_Toc128658857"/>
      <w:bookmarkStart w:id="1309" w:name="_Toc28025"/>
      <w:bookmarkStart w:id="1310" w:name="_Toc13772"/>
      <w:r>
        <w:rPr>
          <w:rFonts w:hint="eastAsia" w:asciiTheme="minorEastAsia" w:hAnsiTheme="minorEastAsia" w:eastAsiaTheme="minorEastAsia"/>
          <w:b/>
          <w:sz w:val="30"/>
          <w:szCs w:val="30"/>
        </w:rPr>
        <w:t>四、</w:t>
      </w:r>
      <w:bookmarkEnd w:id="1246"/>
      <w:bookmarkEnd w:id="1247"/>
      <w:bookmarkEnd w:id="1308"/>
      <w:bookmarkEnd w:id="1309"/>
      <w:r>
        <w:rPr>
          <w:rFonts w:hint="eastAsia" w:asciiTheme="minorEastAsia" w:hAnsiTheme="minorEastAsia" w:eastAsiaTheme="minorEastAsia"/>
          <w:b/>
          <w:sz w:val="30"/>
          <w:szCs w:val="30"/>
        </w:rPr>
        <w:t>技术文件</w:t>
      </w:r>
      <w:bookmarkEnd w:id="1310"/>
    </w:p>
    <w:p w14:paraId="7809527A">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一</w:t>
      </w:r>
      <w:r>
        <w:rPr>
          <w:rFonts w:hint="eastAsia" w:asciiTheme="minorEastAsia" w:hAnsiTheme="minorEastAsia" w:eastAsiaTheme="minorEastAsia"/>
          <w:b/>
          <w:sz w:val="28"/>
          <w:szCs w:val="28"/>
        </w:rPr>
        <w:t>）项目实施方案</w:t>
      </w:r>
    </w:p>
    <w:p w14:paraId="32BC018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 xml:space="preserve">          由投标人根据评标办法编制，格式自拟。</w:t>
      </w:r>
    </w:p>
    <w:p w14:paraId="72DF42FE">
      <w:pPr>
        <w:rPr>
          <w:szCs w:val="21"/>
        </w:rPr>
      </w:pPr>
    </w:p>
    <w:p w14:paraId="23AF6897">
      <w:pPr>
        <w:rPr>
          <w:szCs w:val="21"/>
        </w:rPr>
      </w:pPr>
    </w:p>
    <w:p w14:paraId="2B0D48A7">
      <w:pPr>
        <w:rPr>
          <w:szCs w:val="21"/>
        </w:rPr>
      </w:pPr>
    </w:p>
    <w:p w14:paraId="6BCF04B0">
      <w:pPr>
        <w:rPr>
          <w:szCs w:val="21"/>
        </w:rPr>
      </w:pPr>
    </w:p>
    <w:p w14:paraId="0F801844">
      <w:pPr>
        <w:rPr>
          <w:szCs w:val="21"/>
        </w:rPr>
      </w:pPr>
    </w:p>
    <w:p w14:paraId="60778567"/>
    <w:p w14:paraId="1F5AD2B0">
      <w:pPr>
        <w:rPr>
          <w:rFonts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14:paraId="6A7BBC6F">
      <w:pPr>
        <w:spacing w:line="360" w:lineRule="auto"/>
        <w:ind w:firstLine="562"/>
        <w:jc w:val="center"/>
        <w:outlineLvl w:val="2"/>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（二）供货响应性保障措施及承诺</w:t>
      </w:r>
    </w:p>
    <w:p w14:paraId="1E906D2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 xml:space="preserve">          由投标人根据评标办法编制，格式自拟。</w:t>
      </w:r>
    </w:p>
    <w:p w14:paraId="24CF5B84">
      <w:pPr>
        <w:widowControl/>
        <w:jc w:val="left"/>
        <w:rPr>
          <w:rFonts w:ascii="宋体" w:hAnsi="宋体"/>
        </w:rPr>
      </w:pPr>
    </w:p>
    <w:p w14:paraId="554D70B2">
      <w:pPr>
        <w:widowControl/>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14:paraId="32ADA15C">
      <w:pPr>
        <w:spacing w:line="360" w:lineRule="auto"/>
        <w:ind w:firstLine="562"/>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（三）质量保证措施及承诺</w:t>
      </w:r>
    </w:p>
    <w:p w14:paraId="40377E0E">
      <w:pPr>
        <w:spacing w:line="360" w:lineRule="auto"/>
        <w:jc w:val="center"/>
        <w:rPr>
          <w:rFonts w:asciiTheme="minorEastAsia" w:hAnsiTheme="minorEastAsia" w:eastAsiaTheme="minorEastAsia"/>
        </w:rPr>
      </w:pPr>
      <w:r>
        <w:rPr>
          <w:rFonts w:hint="eastAsia" w:asciiTheme="minorEastAsia" w:hAnsiTheme="minorEastAsia" w:eastAsiaTheme="minorEastAsia"/>
        </w:rPr>
        <w:t xml:space="preserve">             由投标人根据评标办法编制，格式自拟。</w:t>
      </w:r>
    </w:p>
    <w:p w14:paraId="15112CD3">
      <w:pPr>
        <w:rPr>
          <w:rFonts w:asciiTheme="minorEastAsia" w:hAnsiTheme="minorEastAsia" w:eastAsiaTheme="minorEastAsia"/>
          <w:b/>
          <w:sz w:val="28"/>
          <w:szCs w:val="28"/>
        </w:rPr>
      </w:pPr>
      <w:r>
        <w:rPr>
          <w:rFonts w:cs="HiddenHorzOCR"/>
          <w:szCs w:val="21"/>
        </w:rPr>
        <w:br w:type="page"/>
      </w:r>
    </w:p>
    <w:p w14:paraId="1F19BEE8">
      <w:pPr>
        <w:pStyle w:val="51"/>
        <w:spacing w:before="0" w:beforeAutospacing="0" w:after="0" w:afterAutospacing="0" w:line="360" w:lineRule="auto"/>
        <w:ind w:firstLine="360"/>
        <w:jc w:val="center"/>
        <w:outlineLvl w:val="2"/>
        <w:rPr>
          <w:rFonts w:hint="eastAsia" w:cs="Times New Roman" w:asciiTheme="minorEastAsia" w:hAnsiTheme="minorEastAsia" w:eastAsiaTheme="minorEastAsia"/>
          <w:b/>
          <w:kern w:val="2"/>
          <w:sz w:val="28"/>
          <w:szCs w:val="28"/>
        </w:rPr>
      </w:pPr>
      <w:r>
        <w:rPr>
          <w:rFonts w:hint="eastAsia" w:cs="Times New Roman" w:asciiTheme="minorEastAsia" w:hAnsiTheme="minorEastAsia" w:eastAsiaTheme="minorEastAsia"/>
          <w:b/>
          <w:kern w:val="2"/>
          <w:sz w:val="28"/>
          <w:szCs w:val="28"/>
        </w:rPr>
        <w:t>（四）售后服务方案</w:t>
      </w:r>
    </w:p>
    <w:p w14:paraId="26E10A52">
      <w:pPr>
        <w:spacing w:line="360" w:lineRule="auto"/>
        <w:jc w:val="center"/>
        <w:rPr>
          <w:rFonts w:asciiTheme="minorEastAsia" w:hAnsiTheme="minorEastAsia" w:eastAsiaTheme="minorEastAsia"/>
        </w:rPr>
      </w:pPr>
      <w:r>
        <w:rPr>
          <w:rFonts w:hint="eastAsia" w:asciiTheme="minorEastAsia" w:hAnsiTheme="minorEastAsia" w:eastAsiaTheme="minorEastAsia"/>
        </w:rPr>
        <w:t xml:space="preserve">        由投标人根据评标办法编制，格式自拟。</w:t>
      </w:r>
    </w:p>
    <w:p w14:paraId="23AD6B2F">
      <w:pPr>
        <w:spacing w:line="360" w:lineRule="auto"/>
        <w:jc w:val="center"/>
        <w:rPr>
          <w:rFonts w:asciiTheme="minorEastAsia" w:hAnsiTheme="minorEastAsia" w:eastAsiaTheme="minorEastAsia"/>
        </w:rPr>
      </w:pPr>
    </w:p>
    <w:p w14:paraId="0229D2F2">
      <w:pPr>
        <w:spacing w:line="360" w:lineRule="auto"/>
        <w:jc w:val="center"/>
        <w:rPr>
          <w:rFonts w:asciiTheme="minorEastAsia" w:hAnsiTheme="minorEastAsia" w:eastAsiaTheme="minorEastAsia"/>
        </w:rPr>
      </w:pPr>
    </w:p>
    <w:p w14:paraId="488498E5">
      <w:pPr>
        <w:rPr>
          <w:rFonts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14:paraId="2296E070">
      <w:pPr>
        <w:numPr>
          <w:ilvl w:val="0"/>
          <w:numId w:val="0"/>
        </w:numPr>
        <w:spacing w:line="360" w:lineRule="auto"/>
        <w:ind w:firstLine="602" w:firstLineChars="0"/>
        <w:jc w:val="center"/>
        <w:outlineLvl w:val="1"/>
        <w:rPr>
          <w:rFonts w:hint="eastAsia" w:asciiTheme="minorEastAsia" w:hAnsiTheme="minorEastAsia" w:eastAsiaTheme="minorEastAsia"/>
          <w:b/>
          <w:sz w:val="30"/>
          <w:szCs w:val="30"/>
        </w:rPr>
      </w:pPr>
      <w:bookmarkStart w:id="1311" w:name="_Toc19606"/>
      <w:r>
        <w:rPr>
          <w:rFonts w:hint="eastAsia" w:cs="Times New Roman" w:asciiTheme="minorEastAsia" w:hAnsiTheme="minorEastAsia" w:eastAsiaTheme="minorEastAsia"/>
          <w:b/>
          <w:kern w:val="2"/>
          <w:sz w:val="30"/>
          <w:szCs w:val="30"/>
          <w:lang w:val="en-US" w:eastAsia="zh-CN" w:bidi="ar-SA"/>
        </w:rPr>
        <w:t>五、</w:t>
      </w:r>
      <w:r>
        <w:rPr>
          <w:rFonts w:hint="eastAsia" w:asciiTheme="minorEastAsia" w:hAnsiTheme="minorEastAsia" w:eastAsiaTheme="minorEastAsia"/>
          <w:b/>
          <w:sz w:val="30"/>
          <w:szCs w:val="30"/>
        </w:rPr>
        <w:t>商务文件</w:t>
      </w:r>
      <w:bookmarkEnd w:id="1311"/>
    </w:p>
    <w:p w14:paraId="73EA5F02">
      <w:pPr>
        <w:bidi w:val="0"/>
        <w:spacing w:line="360" w:lineRule="auto"/>
        <w:jc w:val="center"/>
        <w:rPr>
          <w:rFonts w:hint="default"/>
          <w:b/>
          <w:bCs/>
          <w:sz w:val="32"/>
          <w:szCs w:val="28"/>
          <w:lang w:val="en-US"/>
        </w:rPr>
      </w:pPr>
      <w:bookmarkStart w:id="1312" w:name="_Toc21577"/>
      <w:r>
        <w:rPr>
          <w:rFonts w:hint="eastAsia"/>
          <w:b/>
          <w:bCs/>
          <w:sz w:val="32"/>
          <w:szCs w:val="28"/>
          <w:lang w:val="en-US" w:eastAsia="zh-CN"/>
        </w:rPr>
        <w:t>类似业绩情况表</w:t>
      </w:r>
      <w:bookmarkEnd w:id="1312"/>
    </w:p>
    <w:bookmarkEnd w:id="1051"/>
    <w:bookmarkEnd w:id="1052"/>
    <w:bookmarkEnd w:id="1053"/>
    <w:bookmarkEnd w:id="1054"/>
    <w:bookmarkEnd w:id="1169"/>
    <w:bookmarkEnd w:id="1170"/>
    <w:bookmarkEnd w:id="1171"/>
    <w:bookmarkEnd w:id="1172"/>
    <w:bookmarkEnd w:id="1173"/>
    <w:bookmarkEnd w:id="1174"/>
    <w:bookmarkEnd w:id="1175"/>
    <w:bookmarkEnd w:id="1176"/>
    <w:tbl>
      <w:tblPr>
        <w:tblStyle w:val="5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14:paraId="4E86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05603653">
            <w:pPr>
              <w:spacing w:line="360" w:lineRule="auto"/>
              <w:jc w:val="center"/>
              <w:outlineLvl w:val="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1914" w:type="dxa"/>
          </w:tcPr>
          <w:p w14:paraId="1F260E03">
            <w:pPr>
              <w:spacing w:line="360" w:lineRule="auto"/>
              <w:jc w:val="center"/>
              <w:outlineLvl w:val="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委托人</w:t>
            </w:r>
          </w:p>
        </w:tc>
        <w:tc>
          <w:tcPr>
            <w:tcW w:w="1914" w:type="dxa"/>
          </w:tcPr>
          <w:p w14:paraId="37D1D1E4">
            <w:pPr>
              <w:spacing w:line="360" w:lineRule="auto"/>
              <w:jc w:val="center"/>
              <w:outlineLvl w:val="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合同签订时间</w:t>
            </w:r>
          </w:p>
        </w:tc>
        <w:tc>
          <w:tcPr>
            <w:tcW w:w="1914" w:type="dxa"/>
          </w:tcPr>
          <w:p w14:paraId="58CC30D1">
            <w:pPr>
              <w:spacing w:line="360" w:lineRule="auto"/>
              <w:jc w:val="center"/>
              <w:outlineLvl w:val="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金额</w:t>
            </w:r>
          </w:p>
        </w:tc>
        <w:tc>
          <w:tcPr>
            <w:tcW w:w="1914" w:type="dxa"/>
          </w:tcPr>
          <w:p w14:paraId="6E0DB725">
            <w:pPr>
              <w:spacing w:line="360" w:lineRule="auto"/>
              <w:jc w:val="center"/>
              <w:outlineLvl w:val="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委托人评价</w:t>
            </w:r>
          </w:p>
        </w:tc>
      </w:tr>
      <w:tr w14:paraId="2C76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076FE486">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1A4DE624">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29D24C5D">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06913788">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73C2DDEE">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r>
      <w:tr w14:paraId="3436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43467B33">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157DFFDD">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6A47FB5E">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58B359A5">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4F30F563">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r>
      <w:tr w14:paraId="0C3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1B119A71">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557868EE">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24F3D5C4">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2BB44B0D">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22959CBE">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r>
      <w:tr w14:paraId="6717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84E400E">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329CBF63">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4B4470ED">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2F5C438B">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12286A02">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r>
      <w:tr w14:paraId="2DD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3C9EE8DF">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485AFBA1">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66141E37">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654EF5F4">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c>
          <w:tcPr>
            <w:tcW w:w="1914" w:type="dxa"/>
          </w:tcPr>
          <w:p w14:paraId="7EF84C92">
            <w:pPr>
              <w:spacing w:line="360" w:lineRule="auto"/>
              <w:jc w:val="center"/>
              <w:outlineLvl w:val="2"/>
              <w:rPr>
                <w:rFonts w:hint="eastAsia" w:asciiTheme="minorEastAsia" w:hAnsiTheme="minorEastAsia" w:eastAsiaTheme="minorEastAsia" w:cstheme="minorEastAsia"/>
                <w:b/>
                <w:color w:val="auto"/>
                <w:sz w:val="21"/>
                <w:szCs w:val="21"/>
                <w:highlight w:val="none"/>
              </w:rPr>
            </w:pPr>
          </w:p>
        </w:tc>
      </w:tr>
    </w:tbl>
    <w:p w14:paraId="4F369616">
      <w:pPr>
        <w:spacing w:line="360" w:lineRule="auto"/>
        <w:rPr>
          <w:rFonts w:hint="eastAsia" w:asciiTheme="minorEastAsia" w:hAnsiTheme="minorEastAsia" w:eastAsiaTheme="minorEastAsia" w:cstheme="minorEastAsia"/>
          <w:color w:val="auto"/>
          <w:kern w:val="28"/>
          <w:sz w:val="21"/>
          <w:szCs w:val="16"/>
          <w:highlight w:val="none"/>
          <w:lang w:val="zh-CN"/>
        </w:rPr>
      </w:pPr>
      <w:r>
        <w:rPr>
          <w:rFonts w:hint="eastAsia" w:asciiTheme="minorEastAsia" w:hAnsiTheme="minorEastAsia" w:eastAsiaTheme="minorEastAsia" w:cstheme="minorEastAsia"/>
          <w:color w:val="auto"/>
          <w:kern w:val="28"/>
          <w:sz w:val="21"/>
          <w:szCs w:val="16"/>
          <w:highlight w:val="none"/>
        </w:rPr>
        <w:t>注：此表可扩展，在表后须附业绩证明材料。业绩证明材料包括中标(成交)通知书或合同协议书或业主出具的证明材料</w:t>
      </w:r>
      <w:r>
        <w:rPr>
          <w:rFonts w:hint="eastAsia" w:asciiTheme="minorEastAsia" w:hAnsiTheme="minorEastAsia" w:eastAsiaTheme="minorEastAsia" w:cstheme="minorEastAsia"/>
          <w:color w:val="auto"/>
          <w:kern w:val="28"/>
          <w:sz w:val="21"/>
          <w:szCs w:val="16"/>
          <w:highlight w:val="none"/>
          <w:lang w:val="zh-CN"/>
        </w:rPr>
        <w:t>。</w:t>
      </w:r>
    </w:p>
    <w:p w14:paraId="7ADC2BE8">
      <w:pPr>
        <w:rPr>
          <w:rFonts w:ascii="宋体"/>
          <w:color w:val="auto"/>
          <w:kern w:val="28"/>
          <w:sz w:val="24"/>
          <w:highlight w:val="none"/>
          <w:lang w:val="zh-CN"/>
        </w:rPr>
      </w:pPr>
    </w:p>
    <w:p w14:paraId="01B62FE4">
      <w:pPr>
        <w:rPr>
          <w:rFonts w:ascii="宋体"/>
          <w:color w:val="auto"/>
          <w:kern w:val="28"/>
          <w:sz w:val="24"/>
          <w:highlight w:val="none"/>
          <w:lang w:val="zh-CN"/>
        </w:rPr>
      </w:pPr>
    </w:p>
    <w:p w14:paraId="731D5C82">
      <w:pPr>
        <w:rPr>
          <w:rFonts w:ascii="宋体"/>
          <w:color w:val="auto"/>
          <w:kern w:val="28"/>
          <w:sz w:val="24"/>
          <w:highlight w:val="none"/>
          <w:lang w:val="zh-CN"/>
        </w:rPr>
      </w:pPr>
    </w:p>
    <w:p w14:paraId="27B72E3F">
      <w:pPr>
        <w:rPr>
          <w:rFonts w:ascii="宋体"/>
          <w:color w:val="auto"/>
          <w:kern w:val="28"/>
          <w:sz w:val="24"/>
          <w:highlight w:val="none"/>
          <w:lang w:val="zh-CN"/>
        </w:rPr>
      </w:pPr>
    </w:p>
    <w:p w14:paraId="128A6F0C">
      <w:pPr>
        <w:rPr>
          <w:rFonts w:ascii="宋体"/>
          <w:color w:val="auto"/>
          <w:kern w:val="28"/>
          <w:sz w:val="24"/>
          <w:highlight w:val="none"/>
          <w:lang w:val="zh-CN"/>
        </w:rPr>
      </w:pPr>
    </w:p>
    <w:p w14:paraId="7E928ECA">
      <w:pPr>
        <w:rPr>
          <w:rFonts w:ascii="宋体"/>
          <w:color w:val="auto"/>
          <w:kern w:val="28"/>
          <w:sz w:val="24"/>
          <w:highlight w:val="none"/>
          <w:lang w:val="zh-CN"/>
        </w:rPr>
      </w:pPr>
    </w:p>
    <w:p w14:paraId="36FB1D6E">
      <w:pPr>
        <w:spacing w:line="360" w:lineRule="auto"/>
        <w:ind w:firstLine="2" w:firstLineChars="1"/>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投标人：</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电子签章</w:t>
      </w:r>
      <w:r>
        <w:rPr>
          <w:rFonts w:hint="eastAsia" w:ascii="宋体" w:hAnsi="宋体" w:cs="宋体"/>
          <w:b w:val="0"/>
          <w:bCs/>
          <w:color w:val="auto"/>
          <w:sz w:val="21"/>
          <w:szCs w:val="21"/>
          <w:highlight w:val="none"/>
        </w:rPr>
        <w:t>）</w:t>
      </w:r>
    </w:p>
    <w:p w14:paraId="6D1E2B85">
      <w:pPr>
        <w:spacing w:line="360" w:lineRule="auto"/>
        <w:ind w:firstLine="2" w:firstLineChars="1"/>
        <w:rPr>
          <w:rFonts w:hint="eastAsia" w:ascii="宋体" w:hAnsi="宋体" w:cs="宋体"/>
          <w:b w:val="0"/>
          <w:bCs/>
          <w:color w:val="auto"/>
          <w:sz w:val="21"/>
          <w:szCs w:val="21"/>
          <w:highlight w:val="none"/>
          <w:u w:val="none"/>
        </w:rPr>
      </w:pPr>
      <w:r>
        <w:rPr>
          <w:rFonts w:hint="eastAsia" w:ascii="宋体" w:hAnsi="宋体" w:cs="宋体"/>
          <w:b w:val="0"/>
          <w:bCs/>
          <w:color w:val="auto"/>
          <w:sz w:val="21"/>
          <w:szCs w:val="21"/>
          <w:highlight w:val="none"/>
          <w:u w:val="none"/>
        </w:rPr>
        <w:t>法定代表人或其委托代理人：</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u w:val="none"/>
        </w:rPr>
        <w:t>（电子签章）</w:t>
      </w:r>
    </w:p>
    <w:p w14:paraId="0E03CBBF">
      <w:pPr>
        <w:pStyle w:val="28"/>
        <w:jc w:val="both"/>
        <w:rPr>
          <w:rFonts w:asciiTheme="minorEastAsia" w:hAnsiTheme="minorEastAsia" w:eastAsiaTheme="minorEastAsia"/>
          <w:b w:val="0"/>
          <w:bCs/>
          <w:szCs w:val="21"/>
        </w:rPr>
      </w:pP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年</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月</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日</w:t>
      </w:r>
    </w:p>
    <w:sectPr>
      <w:headerReference r:id="rId11" w:type="first"/>
      <w:footerReference r:id="rId12" w:type="first"/>
      <w:pgSz w:w="11906" w:h="16838"/>
      <w:pgMar w:top="1440" w:right="1474" w:bottom="1440"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UPNQIO+ËÎÌå">
    <w:altName w:val="Arial Unicode MS"/>
    <w:panose1 w:val="00000000000000000000"/>
    <w:charset w:val="01"/>
    <w:family w:val="auto"/>
    <w:pitch w:val="default"/>
    <w:sig w:usb0="00000000" w:usb1="0000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2284">
    <w:pPr>
      <w:pStyle w:val="33"/>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AC0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6EB46">
                          <w:pPr>
                            <w:pStyle w:val="3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96EB46">
                    <w:pPr>
                      <w:pStyle w:val="3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939829"/>
    </w:sdtPr>
    <w:sdtContent>
      <w:p w14:paraId="2C3476C0">
        <w:pPr>
          <w:pStyle w:val="33"/>
          <w:jc w:val="center"/>
        </w:pPr>
        <w:r>
          <w:fldChar w:fldCharType="begin"/>
        </w:r>
        <w:r>
          <w:instrText xml:space="preserve">PAGE   \* MERGEFORMAT</w:instrText>
        </w:r>
        <w:r>
          <w:fldChar w:fldCharType="separate"/>
        </w:r>
        <w:r>
          <w:rPr>
            <w:lang w:val="zh-CN"/>
          </w:rPr>
          <w:t>1</w:t>
        </w:r>
        <w:r>
          <w:fldChar w:fldCharType="end"/>
        </w:r>
      </w:p>
    </w:sdtContent>
  </w:sdt>
  <w:p w14:paraId="6E9A9EC5">
    <w:pPr>
      <w:pStyle w:val="33"/>
    </w:pPr>
  </w:p>
  <w:p w14:paraId="6C9B5F23"/>
  <w:p w14:paraId="531D2B11"/>
  <w:p w14:paraId="0F8422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341592"/>
    </w:sdtPr>
    <w:sdtContent>
      <w:p w14:paraId="5C518717">
        <w:pPr>
          <w:pStyle w:val="33"/>
          <w:jc w:val="center"/>
        </w:pPr>
        <w:r>
          <w:fldChar w:fldCharType="begin"/>
        </w:r>
        <w:r>
          <w:instrText xml:space="preserve">PAGE   \* MERGEFORMAT</w:instrText>
        </w:r>
        <w:r>
          <w:fldChar w:fldCharType="separate"/>
        </w:r>
        <w:r>
          <w:rPr>
            <w:lang w:val="zh-CN"/>
          </w:rPr>
          <w:t>1</w:t>
        </w:r>
        <w:r>
          <w:fldChar w:fldCharType="end"/>
        </w:r>
      </w:p>
    </w:sdtContent>
  </w:sdt>
  <w:p w14:paraId="7E213D20">
    <w:pPr>
      <w:pStyle w:val="33"/>
    </w:pPr>
  </w:p>
  <w:p w14:paraId="64253C76"/>
  <w:p w14:paraId="7729D44C"/>
  <w:p w14:paraId="4708557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3439997"/>
    </w:sdtPr>
    <w:sdtContent>
      <w:p w14:paraId="3F25E81D">
        <w:pPr>
          <w:pStyle w:val="33"/>
          <w:ind w:firstLine="360"/>
          <w:jc w:val="center"/>
        </w:pPr>
        <w:r>
          <w:fldChar w:fldCharType="begin"/>
        </w:r>
        <w:r>
          <w:instrText xml:space="preserve">PAGE   \* MERGEFORMAT</w:instrText>
        </w:r>
        <w:r>
          <w:fldChar w:fldCharType="separate"/>
        </w:r>
        <w:r>
          <w:rPr>
            <w:lang w:val="zh-CN"/>
          </w:rPr>
          <w:t>1</w:t>
        </w:r>
        <w:r>
          <w:fldChar w:fldCharType="end"/>
        </w:r>
      </w:p>
    </w:sdtContent>
  </w:sdt>
  <w:p w14:paraId="47C0E614">
    <w:pPr>
      <w:pStyle w:val="33"/>
      <w:ind w:firstLine="360"/>
    </w:pPr>
  </w:p>
  <w:p w14:paraId="3F8EC6C7"/>
  <w:p w14:paraId="6EEAA724"/>
  <w:p w14:paraId="3DCAD5F8"/>
  <w:p w14:paraId="592634E1"/>
  <w:p w14:paraId="05431ED1"/>
  <w:p w14:paraId="6D60562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7853">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144E">
    <w:pPr>
      <w:pStyle w:val="35"/>
      <w:pBdr>
        <w:bottom w:val="single" w:color="auto" w:sz="4" w:space="1"/>
      </w:pBdr>
      <w:jc w:val="both"/>
      <w:rPr>
        <w:rFonts w:ascii="宋体" w:hAnsi="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D834F">
    <w:pPr>
      <w:pStyle w:val="35"/>
      <w:tabs>
        <w:tab w:val="right" w:pos="9638"/>
      </w:tabs>
      <w:jc w:val="left"/>
    </w:pPr>
    <w:r>
      <w:rPr>
        <w:rFonts w:hint="eastAsia"/>
      </w:rPr>
      <w:t xml:space="preserve">                    </w:t>
    </w:r>
    <w:r>
      <w:t xml:space="preserve">          </w:t>
    </w:r>
    <w:r>
      <w:rPr>
        <w:rFonts w:hint="eastAsia"/>
      </w:rPr>
      <w:t>竞争性磋商文</w:t>
    </w:r>
  </w:p>
  <w:p w14:paraId="742257D5"/>
  <w:p w14:paraId="68C68646"/>
  <w:p w14:paraId="3C14FCC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F39B">
    <w:pPr>
      <w:pStyle w:val="35"/>
      <w:tabs>
        <w:tab w:val="right" w:pos="9638"/>
      </w:tabs>
      <w:jc w:val="left"/>
    </w:pPr>
    <w:r>
      <w:rPr>
        <w:rFonts w:hint="eastAsia"/>
      </w:rPr>
      <w:t xml:space="preserve">                    </w:t>
    </w:r>
    <w:r>
      <w:t xml:space="preserve">          </w:t>
    </w:r>
    <w:r>
      <w:rPr>
        <w:rFonts w:hint="eastAsia"/>
      </w:rPr>
      <w:t>竞争性磋商文</w:t>
    </w:r>
  </w:p>
  <w:p w14:paraId="2E47BFCD"/>
  <w:p w14:paraId="38AF912A"/>
  <w:p w14:paraId="4D48A0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3A75">
    <w:pPr>
      <w:pStyle w:val="35"/>
      <w:tabs>
        <w:tab w:val="right" w:pos="9638"/>
      </w:tabs>
      <w:ind w:firstLine="360"/>
      <w:jc w:val="left"/>
    </w:pPr>
    <w:r>
      <w:rPr>
        <w:rFonts w:hint="eastAsia"/>
      </w:rPr>
      <w:t xml:space="preserve">                    </w:t>
    </w:r>
    <w:r>
      <w:t xml:space="preserve">          </w:t>
    </w:r>
    <w:r>
      <w:rPr>
        <w:rFonts w:hint="eastAsia"/>
      </w:rPr>
      <w:t>竞争性磋商文</w:t>
    </w:r>
  </w:p>
  <w:p w14:paraId="50FC3587"/>
  <w:p w14:paraId="22B6CB9A"/>
  <w:p w14:paraId="4B463D13"/>
  <w:p w14:paraId="23BD8565"/>
  <w:p w14:paraId="7F1C96C4"/>
  <w:p w14:paraId="044928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0EDB"/>
    <w:multiLevelType w:val="singleLevel"/>
    <w:tmpl w:val="97050EDB"/>
    <w:lvl w:ilvl="0" w:tentative="0">
      <w:start w:val="5"/>
      <w:numFmt w:val="chineseCounting"/>
      <w:suff w:val="space"/>
      <w:lvlText w:val="第%1章"/>
      <w:lvlJc w:val="left"/>
      <w:rPr>
        <w:rFonts w:hint="eastAsia"/>
      </w:rPr>
    </w:lvl>
  </w:abstractNum>
  <w:abstractNum w:abstractNumId="1">
    <w:nsid w:val="E05E351A"/>
    <w:multiLevelType w:val="singleLevel"/>
    <w:tmpl w:val="E05E351A"/>
    <w:lvl w:ilvl="0" w:tentative="0">
      <w:start w:val="1"/>
      <w:numFmt w:val="decimal"/>
      <w:suff w:val="nothing"/>
      <w:lvlText w:val="（%1）"/>
      <w:lvlJc w:val="left"/>
      <w:rPr>
        <w:b w:val="0"/>
        <w:bCs w:val="0"/>
      </w:rPr>
    </w:lvl>
  </w:abstractNum>
  <w:abstractNum w:abstractNumId="2">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9"/>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172A27"/>
    <w:rsid w:val="00000131"/>
    <w:rsid w:val="000009E3"/>
    <w:rsid w:val="00000F1F"/>
    <w:rsid w:val="00001097"/>
    <w:rsid w:val="000013C9"/>
    <w:rsid w:val="00001776"/>
    <w:rsid w:val="00001C52"/>
    <w:rsid w:val="00001E10"/>
    <w:rsid w:val="000024C2"/>
    <w:rsid w:val="00002712"/>
    <w:rsid w:val="00002DA2"/>
    <w:rsid w:val="0000372C"/>
    <w:rsid w:val="00003B16"/>
    <w:rsid w:val="00004137"/>
    <w:rsid w:val="00004FB7"/>
    <w:rsid w:val="000050D0"/>
    <w:rsid w:val="00005A47"/>
    <w:rsid w:val="00005CE3"/>
    <w:rsid w:val="00006216"/>
    <w:rsid w:val="000068DF"/>
    <w:rsid w:val="0000722C"/>
    <w:rsid w:val="000073DE"/>
    <w:rsid w:val="00010B6D"/>
    <w:rsid w:val="0001125C"/>
    <w:rsid w:val="0001182D"/>
    <w:rsid w:val="00011A49"/>
    <w:rsid w:val="00012432"/>
    <w:rsid w:val="00012F7D"/>
    <w:rsid w:val="00013B08"/>
    <w:rsid w:val="00014134"/>
    <w:rsid w:val="00014325"/>
    <w:rsid w:val="0001480F"/>
    <w:rsid w:val="000148B8"/>
    <w:rsid w:val="00015754"/>
    <w:rsid w:val="00015952"/>
    <w:rsid w:val="00016217"/>
    <w:rsid w:val="000162C1"/>
    <w:rsid w:val="000163C5"/>
    <w:rsid w:val="0001668B"/>
    <w:rsid w:val="00017D8E"/>
    <w:rsid w:val="00017E32"/>
    <w:rsid w:val="00020F93"/>
    <w:rsid w:val="00021A04"/>
    <w:rsid w:val="00021C8F"/>
    <w:rsid w:val="00021EB3"/>
    <w:rsid w:val="00022267"/>
    <w:rsid w:val="00023396"/>
    <w:rsid w:val="00024596"/>
    <w:rsid w:val="00024AF0"/>
    <w:rsid w:val="000255E2"/>
    <w:rsid w:val="0002743D"/>
    <w:rsid w:val="00027888"/>
    <w:rsid w:val="000312D6"/>
    <w:rsid w:val="000315CC"/>
    <w:rsid w:val="0003181B"/>
    <w:rsid w:val="0003195A"/>
    <w:rsid w:val="00031B31"/>
    <w:rsid w:val="00031E69"/>
    <w:rsid w:val="000324BE"/>
    <w:rsid w:val="00032551"/>
    <w:rsid w:val="000326C5"/>
    <w:rsid w:val="000327A4"/>
    <w:rsid w:val="00032F1F"/>
    <w:rsid w:val="00032F48"/>
    <w:rsid w:val="00032FD7"/>
    <w:rsid w:val="000335F8"/>
    <w:rsid w:val="00033778"/>
    <w:rsid w:val="00033DB0"/>
    <w:rsid w:val="00034193"/>
    <w:rsid w:val="000342EC"/>
    <w:rsid w:val="00034993"/>
    <w:rsid w:val="00035B03"/>
    <w:rsid w:val="000366AD"/>
    <w:rsid w:val="00037B5F"/>
    <w:rsid w:val="00037E86"/>
    <w:rsid w:val="00037F01"/>
    <w:rsid w:val="00040029"/>
    <w:rsid w:val="000410EC"/>
    <w:rsid w:val="00041BD7"/>
    <w:rsid w:val="00042033"/>
    <w:rsid w:val="000422EA"/>
    <w:rsid w:val="00042BFA"/>
    <w:rsid w:val="00042FE7"/>
    <w:rsid w:val="00043192"/>
    <w:rsid w:val="000439E0"/>
    <w:rsid w:val="00043A98"/>
    <w:rsid w:val="00043DF0"/>
    <w:rsid w:val="000443FF"/>
    <w:rsid w:val="00044454"/>
    <w:rsid w:val="0004451E"/>
    <w:rsid w:val="00044D5E"/>
    <w:rsid w:val="00044D95"/>
    <w:rsid w:val="00044E14"/>
    <w:rsid w:val="000456E2"/>
    <w:rsid w:val="000458BE"/>
    <w:rsid w:val="000459E1"/>
    <w:rsid w:val="00046183"/>
    <w:rsid w:val="000465D0"/>
    <w:rsid w:val="00046ACA"/>
    <w:rsid w:val="00046B9F"/>
    <w:rsid w:val="00046CF8"/>
    <w:rsid w:val="00047050"/>
    <w:rsid w:val="00047662"/>
    <w:rsid w:val="00047A01"/>
    <w:rsid w:val="00047CE9"/>
    <w:rsid w:val="00047CF2"/>
    <w:rsid w:val="00047D63"/>
    <w:rsid w:val="00047EC1"/>
    <w:rsid w:val="00047F10"/>
    <w:rsid w:val="00050075"/>
    <w:rsid w:val="000500A5"/>
    <w:rsid w:val="000506E6"/>
    <w:rsid w:val="0005105C"/>
    <w:rsid w:val="00051632"/>
    <w:rsid w:val="0005165C"/>
    <w:rsid w:val="00052174"/>
    <w:rsid w:val="00052D5C"/>
    <w:rsid w:val="00052E97"/>
    <w:rsid w:val="00053E3A"/>
    <w:rsid w:val="0005465A"/>
    <w:rsid w:val="00054C85"/>
    <w:rsid w:val="00054ED6"/>
    <w:rsid w:val="00054FB6"/>
    <w:rsid w:val="00055611"/>
    <w:rsid w:val="00056142"/>
    <w:rsid w:val="000561C5"/>
    <w:rsid w:val="0005620E"/>
    <w:rsid w:val="000569A3"/>
    <w:rsid w:val="00057159"/>
    <w:rsid w:val="00057452"/>
    <w:rsid w:val="0005771E"/>
    <w:rsid w:val="00057E67"/>
    <w:rsid w:val="00060030"/>
    <w:rsid w:val="000608EC"/>
    <w:rsid w:val="00060998"/>
    <w:rsid w:val="00060ACE"/>
    <w:rsid w:val="000612E0"/>
    <w:rsid w:val="0006205D"/>
    <w:rsid w:val="000626F2"/>
    <w:rsid w:val="00062D92"/>
    <w:rsid w:val="00063227"/>
    <w:rsid w:val="0006369D"/>
    <w:rsid w:val="00063B01"/>
    <w:rsid w:val="0006569F"/>
    <w:rsid w:val="00065D68"/>
    <w:rsid w:val="000666D2"/>
    <w:rsid w:val="00066878"/>
    <w:rsid w:val="00066C5B"/>
    <w:rsid w:val="000674A0"/>
    <w:rsid w:val="00067E06"/>
    <w:rsid w:val="00067F32"/>
    <w:rsid w:val="000702D3"/>
    <w:rsid w:val="00070804"/>
    <w:rsid w:val="00071389"/>
    <w:rsid w:val="000724D8"/>
    <w:rsid w:val="0007259C"/>
    <w:rsid w:val="000726A0"/>
    <w:rsid w:val="000727D3"/>
    <w:rsid w:val="00072B79"/>
    <w:rsid w:val="00073AA7"/>
    <w:rsid w:val="00073C2B"/>
    <w:rsid w:val="00074E4C"/>
    <w:rsid w:val="0007531B"/>
    <w:rsid w:val="0007566E"/>
    <w:rsid w:val="000760BA"/>
    <w:rsid w:val="000760D3"/>
    <w:rsid w:val="00076BD2"/>
    <w:rsid w:val="00076BF5"/>
    <w:rsid w:val="00077313"/>
    <w:rsid w:val="00077394"/>
    <w:rsid w:val="00077C48"/>
    <w:rsid w:val="000807E9"/>
    <w:rsid w:val="00080BF3"/>
    <w:rsid w:val="00080E0A"/>
    <w:rsid w:val="000815F3"/>
    <w:rsid w:val="00081C95"/>
    <w:rsid w:val="00081EEA"/>
    <w:rsid w:val="00082D88"/>
    <w:rsid w:val="00082E2A"/>
    <w:rsid w:val="00083562"/>
    <w:rsid w:val="00084C9E"/>
    <w:rsid w:val="00085403"/>
    <w:rsid w:val="00085585"/>
    <w:rsid w:val="00085E29"/>
    <w:rsid w:val="00085E52"/>
    <w:rsid w:val="00086121"/>
    <w:rsid w:val="00086177"/>
    <w:rsid w:val="000864A7"/>
    <w:rsid w:val="000869DE"/>
    <w:rsid w:val="00086F31"/>
    <w:rsid w:val="00090E22"/>
    <w:rsid w:val="0009101D"/>
    <w:rsid w:val="00091FD9"/>
    <w:rsid w:val="0009215D"/>
    <w:rsid w:val="0009219A"/>
    <w:rsid w:val="00092DF3"/>
    <w:rsid w:val="00093BA7"/>
    <w:rsid w:val="0009438B"/>
    <w:rsid w:val="0009494B"/>
    <w:rsid w:val="00094AEF"/>
    <w:rsid w:val="00095230"/>
    <w:rsid w:val="00095447"/>
    <w:rsid w:val="00095459"/>
    <w:rsid w:val="00095626"/>
    <w:rsid w:val="00095E46"/>
    <w:rsid w:val="0009611A"/>
    <w:rsid w:val="00097166"/>
    <w:rsid w:val="000975E8"/>
    <w:rsid w:val="00097DAE"/>
    <w:rsid w:val="000A01EE"/>
    <w:rsid w:val="000A084D"/>
    <w:rsid w:val="000A0EA6"/>
    <w:rsid w:val="000A1448"/>
    <w:rsid w:val="000A17C3"/>
    <w:rsid w:val="000A2DC3"/>
    <w:rsid w:val="000A2F7D"/>
    <w:rsid w:val="000A32FE"/>
    <w:rsid w:val="000A3518"/>
    <w:rsid w:val="000A392D"/>
    <w:rsid w:val="000A3A89"/>
    <w:rsid w:val="000A50B6"/>
    <w:rsid w:val="000A5BE6"/>
    <w:rsid w:val="000A6185"/>
    <w:rsid w:val="000A624A"/>
    <w:rsid w:val="000A646A"/>
    <w:rsid w:val="000A64B6"/>
    <w:rsid w:val="000A6836"/>
    <w:rsid w:val="000A68AF"/>
    <w:rsid w:val="000A6AFB"/>
    <w:rsid w:val="000A6D4F"/>
    <w:rsid w:val="000A728F"/>
    <w:rsid w:val="000A76A0"/>
    <w:rsid w:val="000A7729"/>
    <w:rsid w:val="000B0842"/>
    <w:rsid w:val="000B17F0"/>
    <w:rsid w:val="000B1A84"/>
    <w:rsid w:val="000B1BD6"/>
    <w:rsid w:val="000B1C20"/>
    <w:rsid w:val="000B1EC9"/>
    <w:rsid w:val="000B1FBB"/>
    <w:rsid w:val="000B2176"/>
    <w:rsid w:val="000B2DBB"/>
    <w:rsid w:val="000B3019"/>
    <w:rsid w:val="000B3547"/>
    <w:rsid w:val="000B3917"/>
    <w:rsid w:val="000B3C52"/>
    <w:rsid w:val="000B49F7"/>
    <w:rsid w:val="000B57B3"/>
    <w:rsid w:val="000B5D85"/>
    <w:rsid w:val="000B6466"/>
    <w:rsid w:val="000B65C8"/>
    <w:rsid w:val="000B6BFA"/>
    <w:rsid w:val="000B6FAA"/>
    <w:rsid w:val="000B709E"/>
    <w:rsid w:val="000B7313"/>
    <w:rsid w:val="000B7385"/>
    <w:rsid w:val="000B7995"/>
    <w:rsid w:val="000C0638"/>
    <w:rsid w:val="000C08A8"/>
    <w:rsid w:val="000C1251"/>
    <w:rsid w:val="000C1446"/>
    <w:rsid w:val="000C1544"/>
    <w:rsid w:val="000C2495"/>
    <w:rsid w:val="000C24B5"/>
    <w:rsid w:val="000C2913"/>
    <w:rsid w:val="000C36BE"/>
    <w:rsid w:val="000C3CD6"/>
    <w:rsid w:val="000C435B"/>
    <w:rsid w:val="000C47EF"/>
    <w:rsid w:val="000C489A"/>
    <w:rsid w:val="000C4B8A"/>
    <w:rsid w:val="000C588C"/>
    <w:rsid w:val="000C5FFD"/>
    <w:rsid w:val="000C78EB"/>
    <w:rsid w:val="000C799E"/>
    <w:rsid w:val="000D0732"/>
    <w:rsid w:val="000D0CCC"/>
    <w:rsid w:val="000D12D1"/>
    <w:rsid w:val="000D135A"/>
    <w:rsid w:val="000D157A"/>
    <w:rsid w:val="000D22A0"/>
    <w:rsid w:val="000D27EE"/>
    <w:rsid w:val="000D2BA8"/>
    <w:rsid w:val="000D2EA7"/>
    <w:rsid w:val="000D2FDE"/>
    <w:rsid w:val="000D33FE"/>
    <w:rsid w:val="000D3F97"/>
    <w:rsid w:val="000D4ACA"/>
    <w:rsid w:val="000D4EA7"/>
    <w:rsid w:val="000D5068"/>
    <w:rsid w:val="000D53C3"/>
    <w:rsid w:val="000D5463"/>
    <w:rsid w:val="000D5B01"/>
    <w:rsid w:val="000D74C9"/>
    <w:rsid w:val="000D75CE"/>
    <w:rsid w:val="000D792B"/>
    <w:rsid w:val="000E11E6"/>
    <w:rsid w:val="000E126F"/>
    <w:rsid w:val="000E1F83"/>
    <w:rsid w:val="000E2F47"/>
    <w:rsid w:val="000E2FE8"/>
    <w:rsid w:val="000E2FEB"/>
    <w:rsid w:val="000E37FC"/>
    <w:rsid w:val="000E3DD8"/>
    <w:rsid w:val="000E3E2F"/>
    <w:rsid w:val="000E42D6"/>
    <w:rsid w:val="000E5159"/>
    <w:rsid w:val="000E54AA"/>
    <w:rsid w:val="000E54FC"/>
    <w:rsid w:val="000E5532"/>
    <w:rsid w:val="000E6C86"/>
    <w:rsid w:val="000E6E6A"/>
    <w:rsid w:val="000E70E4"/>
    <w:rsid w:val="000E7374"/>
    <w:rsid w:val="000E7FCD"/>
    <w:rsid w:val="000F0A04"/>
    <w:rsid w:val="000F0E21"/>
    <w:rsid w:val="000F1049"/>
    <w:rsid w:val="000F1475"/>
    <w:rsid w:val="000F15AA"/>
    <w:rsid w:val="000F1B66"/>
    <w:rsid w:val="000F217B"/>
    <w:rsid w:val="000F2280"/>
    <w:rsid w:val="000F2510"/>
    <w:rsid w:val="000F2922"/>
    <w:rsid w:val="000F343B"/>
    <w:rsid w:val="000F3CBC"/>
    <w:rsid w:val="000F3E46"/>
    <w:rsid w:val="000F3F3A"/>
    <w:rsid w:val="000F436D"/>
    <w:rsid w:val="000F4F9F"/>
    <w:rsid w:val="000F566E"/>
    <w:rsid w:val="000F63BE"/>
    <w:rsid w:val="000F6AE9"/>
    <w:rsid w:val="000F6E26"/>
    <w:rsid w:val="000F6F86"/>
    <w:rsid w:val="000F70B2"/>
    <w:rsid w:val="001005B6"/>
    <w:rsid w:val="0010087D"/>
    <w:rsid w:val="001018AA"/>
    <w:rsid w:val="00102F86"/>
    <w:rsid w:val="00103272"/>
    <w:rsid w:val="00103829"/>
    <w:rsid w:val="00103EB7"/>
    <w:rsid w:val="00103FCF"/>
    <w:rsid w:val="001049F7"/>
    <w:rsid w:val="00105359"/>
    <w:rsid w:val="001054B3"/>
    <w:rsid w:val="0010595A"/>
    <w:rsid w:val="00105C73"/>
    <w:rsid w:val="00106039"/>
    <w:rsid w:val="0010658F"/>
    <w:rsid w:val="0010678B"/>
    <w:rsid w:val="00106C7B"/>
    <w:rsid w:val="00106E22"/>
    <w:rsid w:val="00107356"/>
    <w:rsid w:val="001105C9"/>
    <w:rsid w:val="001109FD"/>
    <w:rsid w:val="00110CD6"/>
    <w:rsid w:val="0011131F"/>
    <w:rsid w:val="00111686"/>
    <w:rsid w:val="001116CF"/>
    <w:rsid w:val="00111AF1"/>
    <w:rsid w:val="00111D22"/>
    <w:rsid w:val="00111F7F"/>
    <w:rsid w:val="001121FB"/>
    <w:rsid w:val="001125C5"/>
    <w:rsid w:val="00112AEC"/>
    <w:rsid w:val="00112C2F"/>
    <w:rsid w:val="00113982"/>
    <w:rsid w:val="00113BB4"/>
    <w:rsid w:val="00113FDE"/>
    <w:rsid w:val="00114504"/>
    <w:rsid w:val="00114DBF"/>
    <w:rsid w:val="001159CA"/>
    <w:rsid w:val="00115EDF"/>
    <w:rsid w:val="00115FD2"/>
    <w:rsid w:val="00116383"/>
    <w:rsid w:val="00116D2C"/>
    <w:rsid w:val="00120340"/>
    <w:rsid w:val="00120C35"/>
    <w:rsid w:val="00120D18"/>
    <w:rsid w:val="00120EA0"/>
    <w:rsid w:val="001219A8"/>
    <w:rsid w:val="00121BEE"/>
    <w:rsid w:val="00122113"/>
    <w:rsid w:val="00122A66"/>
    <w:rsid w:val="00122FBE"/>
    <w:rsid w:val="0012377F"/>
    <w:rsid w:val="00124B81"/>
    <w:rsid w:val="001251C6"/>
    <w:rsid w:val="00125B5F"/>
    <w:rsid w:val="001264FA"/>
    <w:rsid w:val="00130179"/>
    <w:rsid w:val="00130B02"/>
    <w:rsid w:val="001316C3"/>
    <w:rsid w:val="00131966"/>
    <w:rsid w:val="00131D73"/>
    <w:rsid w:val="00131DF0"/>
    <w:rsid w:val="001321C9"/>
    <w:rsid w:val="001326ED"/>
    <w:rsid w:val="00133361"/>
    <w:rsid w:val="0013362C"/>
    <w:rsid w:val="00133D93"/>
    <w:rsid w:val="00134E96"/>
    <w:rsid w:val="00135AB5"/>
    <w:rsid w:val="00135E28"/>
    <w:rsid w:val="00136775"/>
    <w:rsid w:val="00136E3E"/>
    <w:rsid w:val="00136EB4"/>
    <w:rsid w:val="0013741B"/>
    <w:rsid w:val="00137CC8"/>
    <w:rsid w:val="00137CFF"/>
    <w:rsid w:val="00137ED7"/>
    <w:rsid w:val="00137F20"/>
    <w:rsid w:val="0014190E"/>
    <w:rsid w:val="00142421"/>
    <w:rsid w:val="001426DC"/>
    <w:rsid w:val="001426F0"/>
    <w:rsid w:val="001428A7"/>
    <w:rsid w:val="00142B4E"/>
    <w:rsid w:val="00142E0D"/>
    <w:rsid w:val="0014359C"/>
    <w:rsid w:val="00143CBE"/>
    <w:rsid w:val="0014400B"/>
    <w:rsid w:val="00144529"/>
    <w:rsid w:val="00144719"/>
    <w:rsid w:val="0014500B"/>
    <w:rsid w:val="00145157"/>
    <w:rsid w:val="00145269"/>
    <w:rsid w:val="001453C7"/>
    <w:rsid w:val="00146463"/>
    <w:rsid w:val="001464A1"/>
    <w:rsid w:val="00146A03"/>
    <w:rsid w:val="001471E8"/>
    <w:rsid w:val="001474CB"/>
    <w:rsid w:val="00147571"/>
    <w:rsid w:val="00147772"/>
    <w:rsid w:val="001478F5"/>
    <w:rsid w:val="00147976"/>
    <w:rsid w:val="00147CE8"/>
    <w:rsid w:val="00147F7C"/>
    <w:rsid w:val="00150A48"/>
    <w:rsid w:val="0015186B"/>
    <w:rsid w:val="0015224C"/>
    <w:rsid w:val="00153BA9"/>
    <w:rsid w:val="001542B6"/>
    <w:rsid w:val="00154565"/>
    <w:rsid w:val="001547F2"/>
    <w:rsid w:val="001555F2"/>
    <w:rsid w:val="001557F0"/>
    <w:rsid w:val="00155896"/>
    <w:rsid w:val="001559F6"/>
    <w:rsid w:val="00155C09"/>
    <w:rsid w:val="00156418"/>
    <w:rsid w:val="001567AE"/>
    <w:rsid w:val="00156C36"/>
    <w:rsid w:val="00156CAE"/>
    <w:rsid w:val="00157D8C"/>
    <w:rsid w:val="00160100"/>
    <w:rsid w:val="001603E9"/>
    <w:rsid w:val="0016121F"/>
    <w:rsid w:val="0016136B"/>
    <w:rsid w:val="00161DD5"/>
    <w:rsid w:val="00161E5E"/>
    <w:rsid w:val="001620E2"/>
    <w:rsid w:val="00162EEF"/>
    <w:rsid w:val="00163C86"/>
    <w:rsid w:val="00164605"/>
    <w:rsid w:val="00164A80"/>
    <w:rsid w:val="00165AA1"/>
    <w:rsid w:val="001661F2"/>
    <w:rsid w:val="00166496"/>
    <w:rsid w:val="001665D3"/>
    <w:rsid w:val="001665F0"/>
    <w:rsid w:val="00166E96"/>
    <w:rsid w:val="00166F64"/>
    <w:rsid w:val="0017051E"/>
    <w:rsid w:val="00170999"/>
    <w:rsid w:val="00171275"/>
    <w:rsid w:val="0017206B"/>
    <w:rsid w:val="00172104"/>
    <w:rsid w:val="00172176"/>
    <w:rsid w:val="001721B7"/>
    <w:rsid w:val="001723C8"/>
    <w:rsid w:val="00172A27"/>
    <w:rsid w:val="00172E1D"/>
    <w:rsid w:val="001730EA"/>
    <w:rsid w:val="001736A9"/>
    <w:rsid w:val="00173F7C"/>
    <w:rsid w:val="00173FFB"/>
    <w:rsid w:val="0017427D"/>
    <w:rsid w:val="0017491B"/>
    <w:rsid w:val="00174A55"/>
    <w:rsid w:val="00174AAA"/>
    <w:rsid w:val="001754D0"/>
    <w:rsid w:val="00175785"/>
    <w:rsid w:val="001758C9"/>
    <w:rsid w:val="00175AF3"/>
    <w:rsid w:val="00176154"/>
    <w:rsid w:val="00177242"/>
    <w:rsid w:val="00180F3D"/>
    <w:rsid w:val="001812B2"/>
    <w:rsid w:val="00181943"/>
    <w:rsid w:val="00181E60"/>
    <w:rsid w:val="001820FF"/>
    <w:rsid w:val="00182C11"/>
    <w:rsid w:val="00182C2B"/>
    <w:rsid w:val="00183093"/>
    <w:rsid w:val="001830E3"/>
    <w:rsid w:val="0018358C"/>
    <w:rsid w:val="0018361D"/>
    <w:rsid w:val="00183760"/>
    <w:rsid w:val="001842F1"/>
    <w:rsid w:val="00184581"/>
    <w:rsid w:val="001846D0"/>
    <w:rsid w:val="00184C4A"/>
    <w:rsid w:val="00184E04"/>
    <w:rsid w:val="00184F30"/>
    <w:rsid w:val="00185648"/>
    <w:rsid w:val="001861C3"/>
    <w:rsid w:val="0018627C"/>
    <w:rsid w:val="00186A9C"/>
    <w:rsid w:val="00186C2C"/>
    <w:rsid w:val="00186C65"/>
    <w:rsid w:val="0018770F"/>
    <w:rsid w:val="001877DF"/>
    <w:rsid w:val="00187884"/>
    <w:rsid w:val="00187E86"/>
    <w:rsid w:val="00187E95"/>
    <w:rsid w:val="00190144"/>
    <w:rsid w:val="00190427"/>
    <w:rsid w:val="00190789"/>
    <w:rsid w:val="00190C30"/>
    <w:rsid w:val="00190DED"/>
    <w:rsid w:val="00192A9B"/>
    <w:rsid w:val="00192C4D"/>
    <w:rsid w:val="00192E12"/>
    <w:rsid w:val="00192EE4"/>
    <w:rsid w:val="00193179"/>
    <w:rsid w:val="001932D2"/>
    <w:rsid w:val="00193675"/>
    <w:rsid w:val="0019410C"/>
    <w:rsid w:val="001941D5"/>
    <w:rsid w:val="001942A6"/>
    <w:rsid w:val="001952BB"/>
    <w:rsid w:val="00195827"/>
    <w:rsid w:val="00195A38"/>
    <w:rsid w:val="0019610C"/>
    <w:rsid w:val="00196673"/>
    <w:rsid w:val="00197182"/>
    <w:rsid w:val="001971B3"/>
    <w:rsid w:val="001A0149"/>
    <w:rsid w:val="001A0B22"/>
    <w:rsid w:val="001A0F28"/>
    <w:rsid w:val="001A1197"/>
    <w:rsid w:val="001A1547"/>
    <w:rsid w:val="001A1840"/>
    <w:rsid w:val="001A2258"/>
    <w:rsid w:val="001A3AB0"/>
    <w:rsid w:val="001A4620"/>
    <w:rsid w:val="001A4712"/>
    <w:rsid w:val="001A5DCA"/>
    <w:rsid w:val="001A6BB6"/>
    <w:rsid w:val="001A6C8A"/>
    <w:rsid w:val="001A736A"/>
    <w:rsid w:val="001A7761"/>
    <w:rsid w:val="001A7FE7"/>
    <w:rsid w:val="001B11A0"/>
    <w:rsid w:val="001B1BFD"/>
    <w:rsid w:val="001B1C2E"/>
    <w:rsid w:val="001B1CF2"/>
    <w:rsid w:val="001B1ECA"/>
    <w:rsid w:val="001B2333"/>
    <w:rsid w:val="001B28AD"/>
    <w:rsid w:val="001B297F"/>
    <w:rsid w:val="001B2D60"/>
    <w:rsid w:val="001B2EA4"/>
    <w:rsid w:val="001B313F"/>
    <w:rsid w:val="001B31B9"/>
    <w:rsid w:val="001B31D2"/>
    <w:rsid w:val="001B47C1"/>
    <w:rsid w:val="001B4982"/>
    <w:rsid w:val="001B4DE7"/>
    <w:rsid w:val="001B4E5D"/>
    <w:rsid w:val="001B4F8B"/>
    <w:rsid w:val="001B5AB2"/>
    <w:rsid w:val="001B602B"/>
    <w:rsid w:val="001B66DF"/>
    <w:rsid w:val="001B6C3A"/>
    <w:rsid w:val="001B6E6A"/>
    <w:rsid w:val="001B777E"/>
    <w:rsid w:val="001C0E77"/>
    <w:rsid w:val="001C0EE8"/>
    <w:rsid w:val="001C156A"/>
    <w:rsid w:val="001C1868"/>
    <w:rsid w:val="001C18E8"/>
    <w:rsid w:val="001C202E"/>
    <w:rsid w:val="001C2E16"/>
    <w:rsid w:val="001C2F68"/>
    <w:rsid w:val="001C3126"/>
    <w:rsid w:val="001C3273"/>
    <w:rsid w:val="001C4921"/>
    <w:rsid w:val="001C535C"/>
    <w:rsid w:val="001C5763"/>
    <w:rsid w:val="001C5954"/>
    <w:rsid w:val="001C5A3E"/>
    <w:rsid w:val="001C5D4E"/>
    <w:rsid w:val="001C678A"/>
    <w:rsid w:val="001C69C4"/>
    <w:rsid w:val="001C7459"/>
    <w:rsid w:val="001C769F"/>
    <w:rsid w:val="001C7DBD"/>
    <w:rsid w:val="001D0410"/>
    <w:rsid w:val="001D04A9"/>
    <w:rsid w:val="001D0AAE"/>
    <w:rsid w:val="001D0B56"/>
    <w:rsid w:val="001D0D09"/>
    <w:rsid w:val="001D0F67"/>
    <w:rsid w:val="001D137C"/>
    <w:rsid w:val="001D1978"/>
    <w:rsid w:val="001D1D13"/>
    <w:rsid w:val="001D20E1"/>
    <w:rsid w:val="001D213C"/>
    <w:rsid w:val="001D27B2"/>
    <w:rsid w:val="001D3591"/>
    <w:rsid w:val="001D4844"/>
    <w:rsid w:val="001D519E"/>
    <w:rsid w:val="001D5FBE"/>
    <w:rsid w:val="001D60F7"/>
    <w:rsid w:val="001D627D"/>
    <w:rsid w:val="001D6581"/>
    <w:rsid w:val="001D7093"/>
    <w:rsid w:val="001D7A79"/>
    <w:rsid w:val="001D7D57"/>
    <w:rsid w:val="001E0353"/>
    <w:rsid w:val="001E0377"/>
    <w:rsid w:val="001E07AF"/>
    <w:rsid w:val="001E0D98"/>
    <w:rsid w:val="001E0F8A"/>
    <w:rsid w:val="001E1F36"/>
    <w:rsid w:val="001E2157"/>
    <w:rsid w:val="001E2631"/>
    <w:rsid w:val="001E292F"/>
    <w:rsid w:val="001E316B"/>
    <w:rsid w:val="001E36F1"/>
    <w:rsid w:val="001E39C5"/>
    <w:rsid w:val="001E4602"/>
    <w:rsid w:val="001E49E0"/>
    <w:rsid w:val="001E5836"/>
    <w:rsid w:val="001E5D25"/>
    <w:rsid w:val="001E5EAA"/>
    <w:rsid w:val="001E6120"/>
    <w:rsid w:val="001E683A"/>
    <w:rsid w:val="001E6FF9"/>
    <w:rsid w:val="001E7524"/>
    <w:rsid w:val="001E7BF9"/>
    <w:rsid w:val="001E7CE9"/>
    <w:rsid w:val="001F0893"/>
    <w:rsid w:val="001F0DF4"/>
    <w:rsid w:val="001F14E6"/>
    <w:rsid w:val="001F174B"/>
    <w:rsid w:val="001F1BAC"/>
    <w:rsid w:val="001F1CE6"/>
    <w:rsid w:val="001F2A6E"/>
    <w:rsid w:val="001F2B03"/>
    <w:rsid w:val="001F2CE7"/>
    <w:rsid w:val="001F2D1E"/>
    <w:rsid w:val="001F3D4A"/>
    <w:rsid w:val="001F4398"/>
    <w:rsid w:val="001F55C1"/>
    <w:rsid w:val="001F5891"/>
    <w:rsid w:val="001F6C35"/>
    <w:rsid w:val="001F6EC8"/>
    <w:rsid w:val="001F6ECD"/>
    <w:rsid w:val="001F743B"/>
    <w:rsid w:val="001F769E"/>
    <w:rsid w:val="002002C0"/>
    <w:rsid w:val="00200EC7"/>
    <w:rsid w:val="002012BB"/>
    <w:rsid w:val="00201757"/>
    <w:rsid w:val="00201DD5"/>
    <w:rsid w:val="0020386B"/>
    <w:rsid w:val="00204366"/>
    <w:rsid w:val="00204912"/>
    <w:rsid w:val="00205070"/>
    <w:rsid w:val="00205BAD"/>
    <w:rsid w:val="00205C13"/>
    <w:rsid w:val="00205CD2"/>
    <w:rsid w:val="00206D0A"/>
    <w:rsid w:val="002073FE"/>
    <w:rsid w:val="002078DF"/>
    <w:rsid w:val="00210C0D"/>
    <w:rsid w:val="00210FF3"/>
    <w:rsid w:val="002110A2"/>
    <w:rsid w:val="0021173A"/>
    <w:rsid w:val="00211D59"/>
    <w:rsid w:val="0021207B"/>
    <w:rsid w:val="002121A4"/>
    <w:rsid w:val="00212800"/>
    <w:rsid w:val="002130AF"/>
    <w:rsid w:val="00213151"/>
    <w:rsid w:val="002134C9"/>
    <w:rsid w:val="00213570"/>
    <w:rsid w:val="00213784"/>
    <w:rsid w:val="00213FF4"/>
    <w:rsid w:val="0021452B"/>
    <w:rsid w:val="0021457F"/>
    <w:rsid w:val="002156F3"/>
    <w:rsid w:val="002157AA"/>
    <w:rsid w:val="002157D0"/>
    <w:rsid w:val="002158C8"/>
    <w:rsid w:val="00215AD2"/>
    <w:rsid w:val="0021627A"/>
    <w:rsid w:val="00217DDD"/>
    <w:rsid w:val="002200B1"/>
    <w:rsid w:val="00221EDB"/>
    <w:rsid w:val="00222F9F"/>
    <w:rsid w:val="00223B13"/>
    <w:rsid w:val="002242D6"/>
    <w:rsid w:val="00224699"/>
    <w:rsid w:val="00224E3A"/>
    <w:rsid w:val="00225604"/>
    <w:rsid w:val="002256CF"/>
    <w:rsid w:val="0022570A"/>
    <w:rsid w:val="00225804"/>
    <w:rsid w:val="00225BF8"/>
    <w:rsid w:val="0022638A"/>
    <w:rsid w:val="00226831"/>
    <w:rsid w:val="00226E27"/>
    <w:rsid w:val="00226F5C"/>
    <w:rsid w:val="002273DA"/>
    <w:rsid w:val="0022763B"/>
    <w:rsid w:val="00227C39"/>
    <w:rsid w:val="00227F76"/>
    <w:rsid w:val="002305D4"/>
    <w:rsid w:val="002308D4"/>
    <w:rsid w:val="0023132E"/>
    <w:rsid w:val="0023165D"/>
    <w:rsid w:val="00231C49"/>
    <w:rsid w:val="00231DD8"/>
    <w:rsid w:val="00232097"/>
    <w:rsid w:val="00232886"/>
    <w:rsid w:val="00232901"/>
    <w:rsid w:val="002330BE"/>
    <w:rsid w:val="002338D5"/>
    <w:rsid w:val="00233B93"/>
    <w:rsid w:val="00233E12"/>
    <w:rsid w:val="002345DE"/>
    <w:rsid w:val="002347F5"/>
    <w:rsid w:val="00234859"/>
    <w:rsid w:val="00234C81"/>
    <w:rsid w:val="0023507D"/>
    <w:rsid w:val="0023533C"/>
    <w:rsid w:val="002359C6"/>
    <w:rsid w:val="002367D2"/>
    <w:rsid w:val="00236C56"/>
    <w:rsid w:val="0023715A"/>
    <w:rsid w:val="00237CAE"/>
    <w:rsid w:val="00237E0E"/>
    <w:rsid w:val="00237E50"/>
    <w:rsid w:val="00240A2C"/>
    <w:rsid w:val="002410BD"/>
    <w:rsid w:val="002411F6"/>
    <w:rsid w:val="0024121F"/>
    <w:rsid w:val="0024184A"/>
    <w:rsid w:val="00241854"/>
    <w:rsid w:val="0024282D"/>
    <w:rsid w:val="00242D3D"/>
    <w:rsid w:val="00242EBE"/>
    <w:rsid w:val="00244446"/>
    <w:rsid w:val="00244C9D"/>
    <w:rsid w:val="00245779"/>
    <w:rsid w:val="002458A9"/>
    <w:rsid w:val="00246471"/>
    <w:rsid w:val="002465E9"/>
    <w:rsid w:val="002465F8"/>
    <w:rsid w:val="002466BD"/>
    <w:rsid w:val="00246704"/>
    <w:rsid w:val="002469B5"/>
    <w:rsid w:val="002469F5"/>
    <w:rsid w:val="00246FC9"/>
    <w:rsid w:val="0024728B"/>
    <w:rsid w:val="002476FD"/>
    <w:rsid w:val="00247C34"/>
    <w:rsid w:val="002504CA"/>
    <w:rsid w:val="002505EF"/>
    <w:rsid w:val="002512F3"/>
    <w:rsid w:val="00251EBF"/>
    <w:rsid w:val="002528C9"/>
    <w:rsid w:val="00252E2A"/>
    <w:rsid w:val="00253C71"/>
    <w:rsid w:val="00253E5B"/>
    <w:rsid w:val="0025432A"/>
    <w:rsid w:val="00254A2A"/>
    <w:rsid w:val="00254B3F"/>
    <w:rsid w:val="002553F2"/>
    <w:rsid w:val="00255510"/>
    <w:rsid w:val="002558AB"/>
    <w:rsid w:val="002560D1"/>
    <w:rsid w:val="002567BC"/>
    <w:rsid w:val="0025759F"/>
    <w:rsid w:val="00257672"/>
    <w:rsid w:val="00257816"/>
    <w:rsid w:val="002600EB"/>
    <w:rsid w:val="00260CD8"/>
    <w:rsid w:val="0026105B"/>
    <w:rsid w:val="00261A97"/>
    <w:rsid w:val="002632D9"/>
    <w:rsid w:val="002638E7"/>
    <w:rsid w:val="0026397C"/>
    <w:rsid w:val="00263AEF"/>
    <w:rsid w:val="002642AF"/>
    <w:rsid w:val="00264932"/>
    <w:rsid w:val="00264EF5"/>
    <w:rsid w:val="0026642F"/>
    <w:rsid w:val="00266431"/>
    <w:rsid w:val="00266E6E"/>
    <w:rsid w:val="00267072"/>
    <w:rsid w:val="00270585"/>
    <w:rsid w:val="00270778"/>
    <w:rsid w:val="00270A40"/>
    <w:rsid w:val="00271151"/>
    <w:rsid w:val="0027248C"/>
    <w:rsid w:val="002727FF"/>
    <w:rsid w:val="00273005"/>
    <w:rsid w:val="002733B5"/>
    <w:rsid w:val="00273633"/>
    <w:rsid w:val="00273EFE"/>
    <w:rsid w:val="00274582"/>
    <w:rsid w:val="0027472C"/>
    <w:rsid w:val="00275686"/>
    <w:rsid w:val="00276160"/>
    <w:rsid w:val="00276A23"/>
    <w:rsid w:val="00276A35"/>
    <w:rsid w:val="002770B3"/>
    <w:rsid w:val="00277165"/>
    <w:rsid w:val="002771C1"/>
    <w:rsid w:val="00277431"/>
    <w:rsid w:val="0027773F"/>
    <w:rsid w:val="002777F4"/>
    <w:rsid w:val="00277D66"/>
    <w:rsid w:val="00280017"/>
    <w:rsid w:val="00280422"/>
    <w:rsid w:val="002806F3"/>
    <w:rsid w:val="002807D1"/>
    <w:rsid w:val="002808E9"/>
    <w:rsid w:val="00280A7B"/>
    <w:rsid w:val="00280B99"/>
    <w:rsid w:val="00280EC0"/>
    <w:rsid w:val="002810A0"/>
    <w:rsid w:val="00281515"/>
    <w:rsid w:val="00281F7E"/>
    <w:rsid w:val="002822C2"/>
    <w:rsid w:val="00282366"/>
    <w:rsid w:val="00282392"/>
    <w:rsid w:val="0028246D"/>
    <w:rsid w:val="002827D0"/>
    <w:rsid w:val="0028294B"/>
    <w:rsid w:val="00282D86"/>
    <w:rsid w:val="002833CD"/>
    <w:rsid w:val="00283499"/>
    <w:rsid w:val="00283ACC"/>
    <w:rsid w:val="0028482A"/>
    <w:rsid w:val="002872CD"/>
    <w:rsid w:val="0028742E"/>
    <w:rsid w:val="00287563"/>
    <w:rsid w:val="002878C0"/>
    <w:rsid w:val="002909E4"/>
    <w:rsid w:val="00291F8D"/>
    <w:rsid w:val="0029244E"/>
    <w:rsid w:val="00292AB7"/>
    <w:rsid w:val="00294473"/>
    <w:rsid w:val="002963BE"/>
    <w:rsid w:val="00296535"/>
    <w:rsid w:val="0029691B"/>
    <w:rsid w:val="002973EE"/>
    <w:rsid w:val="00297414"/>
    <w:rsid w:val="002974B2"/>
    <w:rsid w:val="002A00E0"/>
    <w:rsid w:val="002A00E4"/>
    <w:rsid w:val="002A132B"/>
    <w:rsid w:val="002A1714"/>
    <w:rsid w:val="002A1FCC"/>
    <w:rsid w:val="002A2021"/>
    <w:rsid w:val="002A20A2"/>
    <w:rsid w:val="002A2113"/>
    <w:rsid w:val="002A21B9"/>
    <w:rsid w:val="002A2228"/>
    <w:rsid w:val="002A2D46"/>
    <w:rsid w:val="002A2FB8"/>
    <w:rsid w:val="002A3227"/>
    <w:rsid w:val="002A322C"/>
    <w:rsid w:val="002A3A34"/>
    <w:rsid w:val="002A3AB1"/>
    <w:rsid w:val="002A3D1A"/>
    <w:rsid w:val="002A4195"/>
    <w:rsid w:val="002A448F"/>
    <w:rsid w:val="002A4FB2"/>
    <w:rsid w:val="002A5932"/>
    <w:rsid w:val="002A5B83"/>
    <w:rsid w:val="002A5E22"/>
    <w:rsid w:val="002A7057"/>
    <w:rsid w:val="002A72D6"/>
    <w:rsid w:val="002A7361"/>
    <w:rsid w:val="002A76AC"/>
    <w:rsid w:val="002B00AA"/>
    <w:rsid w:val="002B0737"/>
    <w:rsid w:val="002B119F"/>
    <w:rsid w:val="002B1653"/>
    <w:rsid w:val="002B1B82"/>
    <w:rsid w:val="002B1BE9"/>
    <w:rsid w:val="002B2034"/>
    <w:rsid w:val="002B2094"/>
    <w:rsid w:val="002B24F2"/>
    <w:rsid w:val="002B2A09"/>
    <w:rsid w:val="002B2F40"/>
    <w:rsid w:val="002B39F9"/>
    <w:rsid w:val="002B4529"/>
    <w:rsid w:val="002B45B8"/>
    <w:rsid w:val="002B4B07"/>
    <w:rsid w:val="002B530F"/>
    <w:rsid w:val="002B5463"/>
    <w:rsid w:val="002B5BB6"/>
    <w:rsid w:val="002B640A"/>
    <w:rsid w:val="002B670C"/>
    <w:rsid w:val="002B691F"/>
    <w:rsid w:val="002B7AC0"/>
    <w:rsid w:val="002B7D11"/>
    <w:rsid w:val="002C0033"/>
    <w:rsid w:val="002C055D"/>
    <w:rsid w:val="002C0590"/>
    <w:rsid w:val="002C0AED"/>
    <w:rsid w:val="002C1683"/>
    <w:rsid w:val="002C16C8"/>
    <w:rsid w:val="002C1EEE"/>
    <w:rsid w:val="002C2116"/>
    <w:rsid w:val="002C27EC"/>
    <w:rsid w:val="002C2A6E"/>
    <w:rsid w:val="002C2EA8"/>
    <w:rsid w:val="002C3359"/>
    <w:rsid w:val="002C34EE"/>
    <w:rsid w:val="002C3639"/>
    <w:rsid w:val="002C3911"/>
    <w:rsid w:val="002C395E"/>
    <w:rsid w:val="002C39CA"/>
    <w:rsid w:val="002C44DD"/>
    <w:rsid w:val="002C4536"/>
    <w:rsid w:val="002C4F96"/>
    <w:rsid w:val="002C507C"/>
    <w:rsid w:val="002C5441"/>
    <w:rsid w:val="002C5DA0"/>
    <w:rsid w:val="002C5E58"/>
    <w:rsid w:val="002C6ACA"/>
    <w:rsid w:val="002C6EE9"/>
    <w:rsid w:val="002D0129"/>
    <w:rsid w:val="002D01A2"/>
    <w:rsid w:val="002D041A"/>
    <w:rsid w:val="002D0534"/>
    <w:rsid w:val="002D0947"/>
    <w:rsid w:val="002D2AD4"/>
    <w:rsid w:val="002D2B36"/>
    <w:rsid w:val="002D2D57"/>
    <w:rsid w:val="002D30ED"/>
    <w:rsid w:val="002D3164"/>
    <w:rsid w:val="002D3924"/>
    <w:rsid w:val="002D4115"/>
    <w:rsid w:val="002D4B17"/>
    <w:rsid w:val="002D4C82"/>
    <w:rsid w:val="002D4FD1"/>
    <w:rsid w:val="002D5E45"/>
    <w:rsid w:val="002D60C3"/>
    <w:rsid w:val="002D613F"/>
    <w:rsid w:val="002D6B89"/>
    <w:rsid w:val="002D74F2"/>
    <w:rsid w:val="002D771E"/>
    <w:rsid w:val="002D773E"/>
    <w:rsid w:val="002E025F"/>
    <w:rsid w:val="002E0C34"/>
    <w:rsid w:val="002E1196"/>
    <w:rsid w:val="002E12D3"/>
    <w:rsid w:val="002E13E8"/>
    <w:rsid w:val="002E1894"/>
    <w:rsid w:val="002E1960"/>
    <w:rsid w:val="002E1C26"/>
    <w:rsid w:val="002E269A"/>
    <w:rsid w:val="002E2D90"/>
    <w:rsid w:val="002E2DEC"/>
    <w:rsid w:val="002E3B20"/>
    <w:rsid w:val="002E3B6D"/>
    <w:rsid w:val="002E63A1"/>
    <w:rsid w:val="002E6B87"/>
    <w:rsid w:val="002E7061"/>
    <w:rsid w:val="002E7245"/>
    <w:rsid w:val="002E79EB"/>
    <w:rsid w:val="002F0930"/>
    <w:rsid w:val="002F0C66"/>
    <w:rsid w:val="002F0D90"/>
    <w:rsid w:val="002F1289"/>
    <w:rsid w:val="002F1492"/>
    <w:rsid w:val="002F1775"/>
    <w:rsid w:val="002F1D7B"/>
    <w:rsid w:val="002F375B"/>
    <w:rsid w:val="002F420E"/>
    <w:rsid w:val="002F429A"/>
    <w:rsid w:val="002F4DF2"/>
    <w:rsid w:val="002F5BC6"/>
    <w:rsid w:val="002F5D2A"/>
    <w:rsid w:val="002F6465"/>
    <w:rsid w:val="002F75A0"/>
    <w:rsid w:val="002F767F"/>
    <w:rsid w:val="0030009E"/>
    <w:rsid w:val="003000AE"/>
    <w:rsid w:val="00300646"/>
    <w:rsid w:val="00300649"/>
    <w:rsid w:val="00301472"/>
    <w:rsid w:val="0030182A"/>
    <w:rsid w:val="00301E2F"/>
    <w:rsid w:val="00302297"/>
    <w:rsid w:val="00302AF2"/>
    <w:rsid w:val="00302CF5"/>
    <w:rsid w:val="00302D68"/>
    <w:rsid w:val="003032CB"/>
    <w:rsid w:val="003033AB"/>
    <w:rsid w:val="00304204"/>
    <w:rsid w:val="00304883"/>
    <w:rsid w:val="00304C9C"/>
    <w:rsid w:val="0030594A"/>
    <w:rsid w:val="0030715D"/>
    <w:rsid w:val="0030750C"/>
    <w:rsid w:val="00307D6C"/>
    <w:rsid w:val="0031031C"/>
    <w:rsid w:val="00310556"/>
    <w:rsid w:val="00310FD6"/>
    <w:rsid w:val="003110EF"/>
    <w:rsid w:val="0031127F"/>
    <w:rsid w:val="00311625"/>
    <w:rsid w:val="00312001"/>
    <w:rsid w:val="00312781"/>
    <w:rsid w:val="00313CDA"/>
    <w:rsid w:val="0031406D"/>
    <w:rsid w:val="003145DD"/>
    <w:rsid w:val="003147DD"/>
    <w:rsid w:val="00315998"/>
    <w:rsid w:val="00315A3A"/>
    <w:rsid w:val="00316728"/>
    <w:rsid w:val="00316A6A"/>
    <w:rsid w:val="00316DC2"/>
    <w:rsid w:val="00317595"/>
    <w:rsid w:val="003177A4"/>
    <w:rsid w:val="0031798A"/>
    <w:rsid w:val="00317B9D"/>
    <w:rsid w:val="00320C94"/>
    <w:rsid w:val="00320EC6"/>
    <w:rsid w:val="00321D76"/>
    <w:rsid w:val="00321E75"/>
    <w:rsid w:val="00322144"/>
    <w:rsid w:val="0032216D"/>
    <w:rsid w:val="00322432"/>
    <w:rsid w:val="00322639"/>
    <w:rsid w:val="00322976"/>
    <w:rsid w:val="00322A3E"/>
    <w:rsid w:val="00323C3F"/>
    <w:rsid w:val="0032425D"/>
    <w:rsid w:val="00324371"/>
    <w:rsid w:val="00324549"/>
    <w:rsid w:val="003249E6"/>
    <w:rsid w:val="00325CEA"/>
    <w:rsid w:val="0032600E"/>
    <w:rsid w:val="003261B2"/>
    <w:rsid w:val="00326586"/>
    <w:rsid w:val="0032693A"/>
    <w:rsid w:val="00326B81"/>
    <w:rsid w:val="00326FB7"/>
    <w:rsid w:val="003275E5"/>
    <w:rsid w:val="0032795A"/>
    <w:rsid w:val="00327A6D"/>
    <w:rsid w:val="00331086"/>
    <w:rsid w:val="0033130E"/>
    <w:rsid w:val="00331794"/>
    <w:rsid w:val="003317B4"/>
    <w:rsid w:val="00331899"/>
    <w:rsid w:val="00331BD0"/>
    <w:rsid w:val="00331DBD"/>
    <w:rsid w:val="00332462"/>
    <w:rsid w:val="003325BB"/>
    <w:rsid w:val="00332B9C"/>
    <w:rsid w:val="003330DD"/>
    <w:rsid w:val="00333216"/>
    <w:rsid w:val="003341C2"/>
    <w:rsid w:val="00335040"/>
    <w:rsid w:val="003352BF"/>
    <w:rsid w:val="003356A7"/>
    <w:rsid w:val="0033571B"/>
    <w:rsid w:val="003363FF"/>
    <w:rsid w:val="0033658B"/>
    <w:rsid w:val="00336946"/>
    <w:rsid w:val="00336C7F"/>
    <w:rsid w:val="00336D7F"/>
    <w:rsid w:val="00336F9C"/>
    <w:rsid w:val="0033712F"/>
    <w:rsid w:val="00337749"/>
    <w:rsid w:val="003378C1"/>
    <w:rsid w:val="00337CF3"/>
    <w:rsid w:val="00337F6E"/>
    <w:rsid w:val="003400F9"/>
    <w:rsid w:val="003406A6"/>
    <w:rsid w:val="00340813"/>
    <w:rsid w:val="00340CE2"/>
    <w:rsid w:val="003412A1"/>
    <w:rsid w:val="00341828"/>
    <w:rsid w:val="00342B15"/>
    <w:rsid w:val="0034300F"/>
    <w:rsid w:val="00343832"/>
    <w:rsid w:val="00343E31"/>
    <w:rsid w:val="00343FB7"/>
    <w:rsid w:val="003445B2"/>
    <w:rsid w:val="00344C71"/>
    <w:rsid w:val="00345942"/>
    <w:rsid w:val="00345EC8"/>
    <w:rsid w:val="00346125"/>
    <w:rsid w:val="00346257"/>
    <w:rsid w:val="00346377"/>
    <w:rsid w:val="003467A7"/>
    <w:rsid w:val="003471A5"/>
    <w:rsid w:val="0034727B"/>
    <w:rsid w:val="00347702"/>
    <w:rsid w:val="003478B7"/>
    <w:rsid w:val="00350478"/>
    <w:rsid w:val="00350F0F"/>
    <w:rsid w:val="003515AF"/>
    <w:rsid w:val="00351DB8"/>
    <w:rsid w:val="00351DBE"/>
    <w:rsid w:val="00351F88"/>
    <w:rsid w:val="00352104"/>
    <w:rsid w:val="00352C6D"/>
    <w:rsid w:val="00352CF3"/>
    <w:rsid w:val="00353132"/>
    <w:rsid w:val="003539D8"/>
    <w:rsid w:val="00353A52"/>
    <w:rsid w:val="00353B2C"/>
    <w:rsid w:val="00353CDA"/>
    <w:rsid w:val="00353D4F"/>
    <w:rsid w:val="003543C5"/>
    <w:rsid w:val="00354926"/>
    <w:rsid w:val="00354B04"/>
    <w:rsid w:val="0035506D"/>
    <w:rsid w:val="003556DA"/>
    <w:rsid w:val="0035620D"/>
    <w:rsid w:val="003562B3"/>
    <w:rsid w:val="00356A3D"/>
    <w:rsid w:val="00357763"/>
    <w:rsid w:val="003577CB"/>
    <w:rsid w:val="00357F06"/>
    <w:rsid w:val="00360453"/>
    <w:rsid w:val="003612A0"/>
    <w:rsid w:val="003613E4"/>
    <w:rsid w:val="00361831"/>
    <w:rsid w:val="00362D6F"/>
    <w:rsid w:val="00363137"/>
    <w:rsid w:val="0036316F"/>
    <w:rsid w:val="00364910"/>
    <w:rsid w:val="003653BC"/>
    <w:rsid w:val="00365A10"/>
    <w:rsid w:val="00365E2A"/>
    <w:rsid w:val="00365EB1"/>
    <w:rsid w:val="003663AF"/>
    <w:rsid w:val="00366679"/>
    <w:rsid w:val="003669EB"/>
    <w:rsid w:val="00367117"/>
    <w:rsid w:val="0036715D"/>
    <w:rsid w:val="003675B7"/>
    <w:rsid w:val="00367760"/>
    <w:rsid w:val="00370385"/>
    <w:rsid w:val="0037061D"/>
    <w:rsid w:val="003707B1"/>
    <w:rsid w:val="003709CC"/>
    <w:rsid w:val="00370C73"/>
    <w:rsid w:val="003713E1"/>
    <w:rsid w:val="0037189A"/>
    <w:rsid w:val="00371F17"/>
    <w:rsid w:val="00371F36"/>
    <w:rsid w:val="00372060"/>
    <w:rsid w:val="00372E17"/>
    <w:rsid w:val="00373506"/>
    <w:rsid w:val="00373E44"/>
    <w:rsid w:val="00374192"/>
    <w:rsid w:val="003751A1"/>
    <w:rsid w:val="003752BD"/>
    <w:rsid w:val="00375FF2"/>
    <w:rsid w:val="00375FFD"/>
    <w:rsid w:val="003765EE"/>
    <w:rsid w:val="003766D1"/>
    <w:rsid w:val="00376F5C"/>
    <w:rsid w:val="003779CD"/>
    <w:rsid w:val="0038099E"/>
    <w:rsid w:val="00380E1B"/>
    <w:rsid w:val="00380E2A"/>
    <w:rsid w:val="00380F32"/>
    <w:rsid w:val="00381315"/>
    <w:rsid w:val="00381470"/>
    <w:rsid w:val="00381B0A"/>
    <w:rsid w:val="00381DF8"/>
    <w:rsid w:val="0038215B"/>
    <w:rsid w:val="00382975"/>
    <w:rsid w:val="00382EE5"/>
    <w:rsid w:val="00383005"/>
    <w:rsid w:val="0038395A"/>
    <w:rsid w:val="0038469F"/>
    <w:rsid w:val="00384887"/>
    <w:rsid w:val="0038534B"/>
    <w:rsid w:val="003854B1"/>
    <w:rsid w:val="003868FB"/>
    <w:rsid w:val="00386BDB"/>
    <w:rsid w:val="00387417"/>
    <w:rsid w:val="0039003E"/>
    <w:rsid w:val="003900ED"/>
    <w:rsid w:val="00390138"/>
    <w:rsid w:val="0039045B"/>
    <w:rsid w:val="003905AE"/>
    <w:rsid w:val="00390AEC"/>
    <w:rsid w:val="003911FC"/>
    <w:rsid w:val="003913CD"/>
    <w:rsid w:val="0039153E"/>
    <w:rsid w:val="003917FC"/>
    <w:rsid w:val="00391E2C"/>
    <w:rsid w:val="0039212C"/>
    <w:rsid w:val="00392144"/>
    <w:rsid w:val="0039264F"/>
    <w:rsid w:val="00392C3F"/>
    <w:rsid w:val="003930D4"/>
    <w:rsid w:val="00393860"/>
    <w:rsid w:val="00393BE5"/>
    <w:rsid w:val="003943D4"/>
    <w:rsid w:val="00395558"/>
    <w:rsid w:val="00395621"/>
    <w:rsid w:val="00395BD6"/>
    <w:rsid w:val="00395C88"/>
    <w:rsid w:val="00395FBF"/>
    <w:rsid w:val="0039620D"/>
    <w:rsid w:val="00396468"/>
    <w:rsid w:val="0039688E"/>
    <w:rsid w:val="00396AD9"/>
    <w:rsid w:val="00397724"/>
    <w:rsid w:val="00397D8E"/>
    <w:rsid w:val="003A12E4"/>
    <w:rsid w:val="003A16AD"/>
    <w:rsid w:val="003A1EFD"/>
    <w:rsid w:val="003A35ED"/>
    <w:rsid w:val="003A387B"/>
    <w:rsid w:val="003A3C19"/>
    <w:rsid w:val="003A3FE3"/>
    <w:rsid w:val="003A48A6"/>
    <w:rsid w:val="003A4A44"/>
    <w:rsid w:val="003A4B48"/>
    <w:rsid w:val="003A5062"/>
    <w:rsid w:val="003A5683"/>
    <w:rsid w:val="003A5E6C"/>
    <w:rsid w:val="003A6356"/>
    <w:rsid w:val="003A665B"/>
    <w:rsid w:val="003A79A4"/>
    <w:rsid w:val="003A7A46"/>
    <w:rsid w:val="003A7C60"/>
    <w:rsid w:val="003B00B0"/>
    <w:rsid w:val="003B0778"/>
    <w:rsid w:val="003B0A4A"/>
    <w:rsid w:val="003B0DA0"/>
    <w:rsid w:val="003B0EFA"/>
    <w:rsid w:val="003B146F"/>
    <w:rsid w:val="003B1BDD"/>
    <w:rsid w:val="003B225B"/>
    <w:rsid w:val="003B2814"/>
    <w:rsid w:val="003B2A14"/>
    <w:rsid w:val="003B302F"/>
    <w:rsid w:val="003B31D7"/>
    <w:rsid w:val="003B3BE1"/>
    <w:rsid w:val="003B46B3"/>
    <w:rsid w:val="003B480C"/>
    <w:rsid w:val="003B4A81"/>
    <w:rsid w:val="003B54DB"/>
    <w:rsid w:val="003B5BF1"/>
    <w:rsid w:val="003B602C"/>
    <w:rsid w:val="003B60E9"/>
    <w:rsid w:val="003B632E"/>
    <w:rsid w:val="003B6AE2"/>
    <w:rsid w:val="003B6B8B"/>
    <w:rsid w:val="003B75EC"/>
    <w:rsid w:val="003B76E7"/>
    <w:rsid w:val="003B7A41"/>
    <w:rsid w:val="003B7D0D"/>
    <w:rsid w:val="003C0317"/>
    <w:rsid w:val="003C0354"/>
    <w:rsid w:val="003C0643"/>
    <w:rsid w:val="003C07E5"/>
    <w:rsid w:val="003C3102"/>
    <w:rsid w:val="003C3687"/>
    <w:rsid w:val="003C4347"/>
    <w:rsid w:val="003C4407"/>
    <w:rsid w:val="003C4AB0"/>
    <w:rsid w:val="003C55D2"/>
    <w:rsid w:val="003C61A6"/>
    <w:rsid w:val="003C61C8"/>
    <w:rsid w:val="003C63E1"/>
    <w:rsid w:val="003C7319"/>
    <w:rsid w:val="003C756E"/>
    <w:rsid w:val="003C77BC"/>
    <w:rsid w:val="003D0E65"/>
    <w:rsid w:val="003D10A3"/>
    <w:rsid w:val="003D1CBF"/>
    <w:rsid w:val="003D2A85"/>
    <w:rsid w:val="003D2B81"/>
    <w:rsid w:val="003D2CAB"/>
    <w:rsid w:val="003D33BD"/>
    <w:rsid w:val="003D3BB5"/>
    <w:rsid w:val="003D3EF7"/>
    <w:rsid w:val="003D4147"/>
    <w:rsid w:val="003D4477"/>
    <w:rsid w:val="003D4A63"/>
    <w:rsid w:val="003D5591"/>
    <w:rsid w:val="003D5F1E"/>
    <w:rsid w:val="003D6956"/>
    <w:rsid w:val="003D6E5C"/>
    <w:rsid w:val="003D706A"/>
    <w:rsid w:val="003D72A6"/>
    <w:rsid w:val="003D73B8"/>
    <w:rsid w:val="003D7858"/>
    <w:rsid w:val="003D7E30"/>
    <w:rsid w:val="003E019C"/>
    <w:rsid w:val="003E05E1"/>
    <w:rsid w:val="003E0986"/>
    <w:rsid w:val="003E0A23"/>
    <w:rsid w:val="003E0DA7"/>
    <w:rsid w:val="003E0DD0"/>
    <w:rsid w:val="003E25AC"/>
    <w:rsid w:val="003E263F"/>
    <w:rsid w:val="003E266D"/>
    <w:rsid w:val="003E331C"/>
    <w:rsid w:val="003E3A55"/>
    <w:rsid w:val="003E514B"/>
    <w:rsid w:val="003E66D2"/>
    <w:rsid w:val="003E7264"/>
    <w:rsid w:val="003E72B1"/>
    <w:rsid w:val="003E75E0"/>
    <w:rsid w:val="003E7D26"/>
    <w:rsid w:val="003E7DF1"/>
    <w:rsid w:val="003F0703"/>
    <w:rsid w:val="003F0955"/>
    <w:rsid w:val="003F0A37"/>
    <w:rsid w:val="003F20B8"/>
    <w:rsid w:val="003F2861"/>
    <w:rsid w:val="003F29AF"/>
    <w:rsid w:val="003F2FB0"/>
    <w:rsid w:val="003F3CDD"/>
    <w:rsid w:val="003F3F4B"/>
    <w:rsid w:val="003F3F5F"/>
    <w:rsid w:val="003F47B9"/>
    <w:rsid w:val="003F4874"/>
    <w:rsid w:val="003F48DA"/>
    <w:rsid w:val="003F4DE7"/>
    <w:rsid w:val="003F5028"/>
    <w:rsid w:val="003F5A8C"/>
    <w:rsid w:val="003F62E7"/>
    <w:rsid w:val="003F6EAA"/>
    <w:rsid w:val="003F7024"/>
    <w:rsid w:val="003F7155"/>
    <w:rsid w:val="00400112"/>
    <w:rsid w:val="00400C59"/>
    <w:rsid w:val="00400D03"/>
    <w:rsid w:val="004018E5"/>
    <w:rsid w:val="00403015"/>
    <w:rsid w:val="00403D53"/>
    <w:rsid w:val="00404416"/>
    <w:rsid w:val="00404C02"/>
    <w:rsid w:val="00405AB2"/>
    <w:rsid w:val="00406206"/>
    <w:rsid w:val="00406215"/>
    <w:rsid w:val="00407776"/>
    <w:rsid w:val="0041039E"/>
    <w:rsid w:val="0041093D"/>
    <w:rsid w:val="00410C38"/>
    <w:rsid w:val="00410C46"/>
    <w:rsid w:val="00410E0D"/>
    <w:rsid w:val="00411891"/>
    <w:rsid w:val="0041191C"/>
    <w:rsid w:val="0041251A"/>
    <w:rsid w:val="004128A1"/>
    <w:rsid w:val="00412CC7"/>
    <w:rsid w:val="00412D9D"/>
    <w:rsid w:val="00413A80"/>
    <w:rsid w:val="00414137"/>
    <w:rsid w:val="004142E0"/>
    <w:rsid w:val="00414672"/>
    <w:rsid w:val="00414BBA"/>
    <w:rsid w:val="00414D78"/>
    <w:rsid w:val="0041513E"/>
    <w:rsid w:val="00416427"/>
    <w:rsid w:val="004171D4"/>
    <w:rsid w:val="0041746A"/>
    <w:rsid w:val="00417534"/>
    <w:rsid w:val="00420BD1"/>
    <w:rsid w:val="00420E19"/>
    <w:rsid w:val="004211AF"/>
    <w:rsid w:val="0042184D"/>
    <w:rsid w:val="004218E9"/>
    <w:rsid w:val="00421A64"/>
    <w:rsid w:val="00421B43"/>
    <w:rsid w:val="00421CD7"/>
    <w:rsid w:val="00422C98"/>
    <w:rsid w:val="00422D99"/>
    <w:rsid w:val="0042343F"/>
    <w:rsid w:val="00423754"/>
    <w:rsid w:val="00424552"/>
    <w:rsid w:val="0042496C"/>
    <w:rsid w:val="004249EB"/>
    <w:rsid w:val="00425622"/>
    <w:rsid w:val="004256A4"/>
    <w:rsid w:val="00426A08"/>
    <w:rsid w:val="004272DB"/>
    <w:rsid w:val="00427DF9"/>
    <w:rsid w:val="004304D2"/>
    <w:rsid w:val="0043070C"/>
    <w:rsid w:val="004310D9"/>
    <w:rsid w:val="004311CC"/>
    <w:rsid w:val="004313B0"/>
    <w:rsid w:val="0043163F"/>
    <w:rsid w:val="00431A86"/>
    <w:rsid w:val="00431B29"/>
    <w:rsid w:val="00431BB3"/>
    <w:rsid w:val="00431D4B"/>
    <w:rsid w:val="00432319"/>
    <w:rsid w:val="0043255A"/>
    <w:rsid w:val="0043264A"/>
    <w:rsid w:val="0043286B"/>
    <w:rsid w:val="0043395D"/>
    <w:rsid w:val="00433E6C"/>
    <w:rsid w:val="00434A37"/>
    <w:rsid w:val="00434B92"/>
    <w:rsid w:val="004355F8"/>
    <w:rsid w:val="00435F57"/>
    <w:rsid w:val="00436548"/>
    <w:rsid w:val="0043720C"/>
    <w:rsid w:val="004374BC"/>
    <w:rsid w:val="004379D2"/>
    <w:rsid w:val="004379EB"/>
    <w:rsid w:val="00437C8F"/>
    <w:rsid w:val="0044035A"/>
    <w:rsid w:val="004405D1"/>
    <w:rsid w:val="0044078F"/>
    <w:rsid w:val="00440BB5"/>
    <w:rsid w:val="00441168"/>
    <w:rsid w:val="004428FC"/>
    <w:rsid w:val="00442B8C"/>
    <w:rsid w:val="004432F8"/>
    <w:rsid w:val="0044437B"/>
    <w:rsid w:val="00444ABB"/>
    <w:rsid w:val="00444E6E"/>
    <w:rsid w:val="004457AB"/>
    <w:rsid w:val="004459DD"/>
    <w:rsid w:val="00445C6E"/>
    <w:rsid w:val="004465F4"/>
    <w:rsid w:val="004467C7"/>
    <w:rsid w:val="0044687C"/>
    <w:rsid w:val="0044760E"/>
    <w:rsid w:val="0045009A"/>
    <w:rsid w:val="00450441"/>
    <w:rsid w:val="00450A21"/>
    <w:rsid w:val="00450C9E"/>
    <w:rsid w:val="00450E02"/>
    <w:rsid w:val="00451553"/>
    <w:rsid w:val="004518F6"/>
    <w:rsid w:val="00452203"/>
    <w:rsid w:val="0045292C"/>
    <w:rsid w:val="00452F41"/>
    <w:rsid w:val="004531B8"/>
    <w:rsid w:val="0045338D"/>
    <w:rsid w:val="0045416A"/>
    <w:rsid w:val="00454A9B"/>
    <w:rsid w:val="00454ECB"/>
    <w:rsid w:val="0045566D"/>
    <w:rsid w:val="004558D4"/>
    <w:rsid w:val="00455953"/>
    <w:rsid w:val="00455AA1"/>
    <w:rsid w:val="00455B50"/>
    <w:rsid w:val="00455B93"/>
    <w:rsid w:val="004574B0"/>
    <w:rsid w:val="004577D3"/>
    <w:rsid w:val="00457A43"/>
    <w:rsid w:val="00460041"/>
    <w:rsid w:val="004605E0"/>
    <w:rsid w:val="0046088E"/>
    <w:rsid w:val="00460BB0"/>
    <w:rsid w:val="00460D33"/>
    <w:rsid w:val="00460DB1"/>
    <w:rsid w:val="004611EE"/>
    <w:rsid w:val="0046149F"/>
    <w:rsid w:val="00461540"/>
    <w:rsid w:val="00461E35"/>
    <w:rsid w:val="00462FE5"/>
    <w:rsid w:val="0046322B"/>
    <w:rsid w:val="00463ECA"/>
    <w:rsid w:val="00464660"/>
    <w:rsid w:val="00465A42"/>
    <w:rsid w:val="00466002"/>
    <w:rsid w:val="004662D8"/>
    <w:rsid w:val="0046647D"/>
    <w:rsid w:val="00466BAE"/>
    <w:rsid w:val="00466FBF"/>
    <w:rsid w:val="00467AA6"/>
    <w:rsid w:val="00467F73"/>
    <w:rsid w:val="004700AB"/>
    <w:rsid w:val="0047052C"/>
    <w:rsid w:val="0047106C"/>
    <w:rsid w:val="00471142"/>
    <w:rsid w:val="0047186F"/>
    <w:rsid w:val="00471CDA"/>
    <w:rsid w:val="0047246A"/>
    <w:rsid w:val="004725B7"/>
    <w:rsid w:val="0047265E"/>
    <w:rsid w:val="00472714"/>
    <w:rsid w:val="004728F2"/>
    <w:rsid w:val="00472DAC"/>
    <w:rsid w:val="00472E60"/>
    <w:rsid w:val="004730F6"/>
    <w:rsid w:val="00473A67"/>
    <w:rsid w:val="004742B4"/>
    <w:rsid w:val="004742B8"/>
    <w:rsid w:val="00474384"/>
    <w:rsid w:val="00475980"/>
    <w:rsid w:val="00475C9C"/>
    <w:rsid w:val="00475DFA"/>
    <w:rsid w:val="00475E2B"/>
    <w:rsid w:val="00476063"/>
    <w:rsid w:val="00476526"/>
    <w:rsid w:val="004766B8"/>
    <w:rsid w:val="00476A79"/>
    <w:rsid w:val="00477766"/>
    <w:rsid w:val="00477AAC"/>
    <w:rsid w:val="004801DD"/>
    <w:rsid w:val="00480D13"/>
    <w:rsid w:val="004815A2"/>
    <w:rsid w:val="00481B64"/>
    <w:rsid w:val="00481FB2"/>
    <w:rsid w:val="0048206D"/>
    <w:rsid w:val="004828BF"/>
    <w:rsid w:val="00482AEA"/>
    <w:rsid w:val="00482F0B"/>
    <w:rsid w:val="0048322F"/>
    <w:rsid w:val="00483AD4"/>
    <w:rsid w:val="00483E1D"/>
    <w:rsid w:val="0048489C"/>
    <w:rsid w:val="004848FD"/>
    <w:rsid w:val="00484F37"/>
    <w:rsid w:val="00486EEA"/>
    <w:rsid w:val="00487ADA"/>
    <w:rsid w:val="00487C77"/>
    <w:rsid w:val="00487F08"/>
    <w:rsid w:val="0049095E"/>
    <w:rsid w:val="00491625"/>
    <w:rsid w:val="00491AC6"/>
    <w:rsid w:val="00493023"/>
    <w:rsid w:val="004938EC"/>
    <w:rsid w:val="0049426E"/>
    <w:rsid w:val="00494B65"/>
    <w:rsid w:val="0049586C"/>
    <w:rsid w:val="004958EE"/>
    <w:rsid w:val="00495A46"/>
    <w:rsid w:val="00495DDD"/>
    <w:rsid w:val="0049605A"/>
    <w:rsid w:val="00496422"/>
    <w:rsid w:val="00496544"/>
    <w:rsid w:val="00496FA0"/>
    <w:rsid w:val="00496FDE"/>
    <w:rsid w:val="0049793B"/>
    <w:rsid w:val="00497A77"/>
    <w:rsid w:val="00497C93"/>
    <w:rsid w:val="00497CF3"/>
    <w:rsid w:val="004A014E"/>
    <w:rsid w:val="004A1377"/>
    <w:rsid w:val="004A1F26"/>
    <w:rsid w:val="004A22DF"/>
    <w:rsid w:val="004A2406"/>
    <w:rsid w:val="004A240B"/>
    <w:rsid w:val="004A24D6"/>
    <w:rsid w:val="004A29E3"/>
    <w:rsid w:val="004A2B0A"/>
    <w:rsid w:val="004A35BE"/>
    <w:rsid w:val="004A3781"/>
    <w:rsid w:val="004A387C"/>
    <w:rsid w:val="004A3BC1"/>
    <w:rsid w:val="004A3C8D"/>
    <w:rsid w:val="004A3E27"/>
    <w:rsid w:val="004A3E93"/>
    <w:rsid w:val="004A4B0D"/>
    <w:rsid w:val="004A5136"/>
    <w:rsid w:val="004A5180"/>
    <w:rsid w:val="004A5334"/>
    <w:rsid w:val="004A6D40"/>
    <w:rsid w:val="004A6DD4"/>
    <w:rsid w:val="004A6E54"/>
    <w:rsid w:val="004A6FC9"/>
    <w:rsid w:val="004A747B"/>
    <w:rsid w:val="004A7803"/>
    <w:rsid w:val="004A78AC"/>
    <w:rsid w:val="004A7D8B"/>
    <w:rsid w:val="004B0169"/>
    <w:rsid w:val="004B0AF0"/>
    <w:rsid w:val="004B0DD0"/>
    <w:rsid w:val="004B15C7"/>
    <w:rsid w:val="004B17B1"/>
    <w:rsid w:val="004B1CEF"/>
    <w:rsid w:val="004B1EBA"/>
    <w:rsid w:val="004B1F32"/>
    <w:rsid w:val="004B29E0"/>
    <w:rsid w:val="004B2C83"/>
    <w:rsid w:val="004B32DE"/>
    <w:rsid w:val="004B451D"/>
    <w:rsid w:val="004B4907"/>
    <w:rsid w:val="004B4B17"/>
    <w:rsid w:val="004B5156"/>
    <w:rsid w:val="004B5441"/>
    <w:rsid w:val="004B5ACA"/>
    <w:rsid w:val="004B5B23"/>
    <w:rsid w:val="004B5B98"/>
    <w:rsid w:val="004B7524"/>
    <w:rsid w:val="004B7EE1"/>
    <w:rsid w:val="004C024D"/>
    <w:rsid w:val="004C10B9"/>
    <w:rsid w:val="004C12AB"/>
    <w:rsid w:val="004C15C8"/>
    <w:rsid w:val="004C16B8"/>
    <w:rsid w:val="004C238E"/>
    <w:rsid w:val="004C2BA7"/>
    <w:rsid w:val="004C317F"/>
    <w:rsid w:val="004C3FA2"/>
    <w:rsid w:val="004C4559"/>
    <w:rsid w:val="004C470A"/>
    <w:rsid w:val="004C4AB9"/>
    <w:rsid w:val="004C4E79"/>
    <w:rsid w:val="004C5F45"/>
    <w:rsid w:val="004C5F78"/>
    <w:rsid w:val="004C602A"/>
    <w:rsid w:val="004C684C"/>
    <w:rsid w:val="004C6A64"/>
    <w:rsid w:val="004C6D28"/>
    <w:rsid w:val="004C7073"/>
    <w:rsid w:val="004C721A"/>
    <w:rsid w:val="004C728D"/>
    <w:rsid w:val="004C7320"/>
    <w:rsid w:val="004C7654"/>
    <w:rsid w:val="004C77BC"/>
    <w:rsid w:val="004D000F"/>
    <w:rsid w:val="004D0753"/>
    <w:rsid w:val="004D08BA"/>
    <w:rsid w:val="004D0964"/>
    <w:rsid w:val="004D1114"/>
    <w:rsid w:val="004D1251"/>
    <w:rsid w:val="004D135F"/>
    <w:rsid w:val="004D15B5"/>
    <w:rsid w:val="004D1B21"/>
    <w:rsid w:val="004D1DB1"/>
    <w:rsid w:val="004D2F51"/>
    <w:rsid w:val="004D311C"/>
    <w:rsid w:val="004D3C78"/>
    <w:rsid w:val="004D3DFC"/>
    <w:rsid w:val="004D414E"/>
    <w:rsid w:val="004D5994"/>
    <w:rsid w:val="004D5D08"/>
    <w:rsid w:val="004D602D"/>
    <w:rsid w:val="004D647D"/>
    <w:rsid w:val="004D680C"/>
    <w:rsid w:val="004D722A"/>
    <w:rsid w:val="004E0CBE"/>
    <w:rsid w:val="004E1C62"/>
    <w:rsid w:val="004E217A"/>
    <w:rsid w:val="004E220A"/>
    <w:rsid w:val="004E250B"/>
    <w:rsid w:val="004E2606"/>
    <w:rsid w:val="004E308F"/>
    <w:rsid w:val="004E309E"/>
    <w:rsid w:val="004E30CF"/>
    <w:rsid w:val="004E3437"/>
    <w:rsid w:val="004E3F9E"/>
    <w:rsid w:val="004E419F"/>
    <w:rsid w:val="004E468E"/>
    <w:rsid w:val="004E5BCA"/>
    <w:rsid w:val="004E5EFE"/>
    <w:rsid w:val="004E6967"/>
    <w:rsid w:val="004E7BB0"/>
    <w:rsid w:val="004E7EBB"/>
    <w:rsid w:val="004E7ED1"/>
    <w:rsid w:val="004F08A6"/>
    <w:rsid w:val="004F091C"/>
    <w:rsid w:val="004F1103"/>
    <w:rsid w:val="004F1200"/>
    <w:rsid w:val="004F13DE"/>
    <w:rsid w:val="004F1586"/>
    <w:rsid w:val="004F1DA6"/>
    <w:rsid w:val="004F1EEB"/>
    <w:rsid w:val="004F2958"/>
    <w:rsid w:val="004F2AF0"/>
    <w:rsid w:val="004F31F6"/>
    <w:rsid w:val="004F32A4"/>
    <w:rsid w:val="004F38A5"/>
    <w:rsid w:val="004F55ED"/>
    <w:rsid w:val="004F66BF"/>
    <w:rsid w:val="004F6B47"/>
    <w:rsid w:val="004F7DFC"/>
    <w:rsid w:val="00501888"/>
    <w:rsid w:val="00501B1F"/>
    <w:rsid w:val="00502467"/>
    <w:rsid w:val="005034AD"/>
    <w:rsid w:val="00504744"/>
    <w:rsid w:val="00504A8A"/>
    <w:rsid w:val="0050511B"/>
    <w:rsid w:val="00505315"/>
    <w:rsid w:val="0050552D"/>
    <w:rsid w:val="00505A37"/>
    <w:rsid w:val="0050623C"/>
    <w:rsid w:val="00506403"/>
    <w:rsid w:val="00506638"/>
    <w:rsid w:val="00506D93"/>
    <w:rsid w:val="00506EF0"/>
    <w:rsid w:val="00506FA4"/>
    <w:rsid w:val="00507B5F"/>
    <w:rsid w:val="00507DE0"/>
    <w:rsid w:val="005103C4"/>
    <w:rsid w:val="00510B5F"/>
    <w:rsid w:val="00512E55"/>
    <w:rsid w:val="00513101"/>
    <w:rsid w:val="00513EA9"/>
    <w:rsid w:val="0051483F"/>
    <w:rsid w:val="005148FC"/>
    <w:rsid w:val="005149B1"/>
    <w:rsid w:val="00514EDA"/>
    <w:rsid w:val="00514F19"/>
    <w:rsid w:val="005150ED"/>
    <w:rsid w:val="00515163"/>
    <w:rsid w:val="00515C94"/>
    <w:rsid w:val="00516271"/>
    <w:rsid w:val="005171EC"/>
    <w:rsid w:val="005213B8"/>
    <w:rsid w:val="00521F59"/>
    <w:rsid w:val="00522347"/>
    <w:rsid w:val="0052329C"/>
    <w:rsid w:val="00523613"/>
    <w:rsid w:val="005236A1"/>
    <w:rsid w:val="005236F9"/>
    <w:rsid w:val="00523805"/>
    <w:rsid w:val="00523F6E"/>
    <w:rsid w:val="00523FFB"/>
    <w:rsid w:val="00524285"/>
    <w:rsid w:val="005257BD"/>
    <w:rsid w:val="00526D02"/>
    <w:rsid w:val="00527F66"/>
    <w:rsid w:val="00530375"/>
    <w:rsid w:val="00530A93"/>
    <w:rsid w:val="005312A7"/>
    <w:rsid w:val="00531DA7"/>
    <w:rsid w:val="00532241"/>
    <w:rsid w:val="005326FF"/>
    <w:rsid w:val="0053279E"/>
    <w:rsid w:val="00533EF4"/>
    <w:rsid w:val="00534147"/>
    <w:rsid w:val="00534624"/>
    <w:rsid w:val="00534693"/>
    <w:rsid w:val="005346F9"/>
    <w:rsid w:val="00534B60"/>
    <w:rsid w:val="00535AD9"/>
    <w:rsid w:val="00536B1F"/>
    <w:rsid w:val="00536C13"/>
    <w:rsid w:val="005372A4"/>
    <w:rsid w:val="0053785B"/>
    <w:rsid w:val="005379B8"/>
    <w:rsid w:val="0054000C"/>
    <w:rsid w:val="00540192"/>
    <w:rsid w:val="00540241"/>
    <w:rsid w:val="0054029F"/>
    <w:rsid w:val="005402B5"/>
    <w:rsid w:val="00540427"/>
    <w:rsid w:val="0054056E"/>
    <w:rsid w:val="00540FCE"/>
    <w:rsid w:val="005410AF"/>
    <w:rsid w:val="00541462"/>
    <w:rsid w:val="00541A6D"/>
    <w:rsid w:val="00541B72"/>
    <w:rsid w:val="00541FF0"/>
    <w:rsid w:val="005428B4"/>
    <w:rsid w:val="00542A77"/>
    <w:rsid w:val="005438F9"/>
    <w:rsid w:val="0054418A"/>
    <w:rsid w:val="00545C8C"/>
    <w:rsid w:val="00546761"/>
    <w:rsid w:val="00546E2B"/>
    <w:rsid w:val="00547362"/>
    <w:rsid w:val="00547829"/>
    <w:rsid w:val="00550C55"/>
    <w:rsid w:val="005518ED"/>
    <w:rsid w:val="00551CC6"/>
    <w:rsid w:val="00552768"/>
    <w:rsid w:val="00552DF8"/>
    <w:rsid w:val="00552FA2"/>
    <w:rsid w:val="00553928"/>
    <w:rsid w:val="00554374"/>
    <w:rsid w:val="0055463E"/>
    <w:rsid w:val="00554EA7"/>
    <w:rsid w:val="005555B5"/>
    <w:rsid w:val="005555BA"/>
    <w:rsid w:val="00555B17"/>
    <w:rsid w:val="00555B9D"/>
    <w:rsid w:val="00555E7B"/>
    <w:rsid w:val="00555ED1"/>
    <w:rsid w:val="00556488"/>
    <w:rsid w:val="005568AC"/>
    <w:rsid w:val="005569DF"/>
    <w:rsid w:val="00557BE4"/>
    <w:rsid w:val="00557C73"/>
    <w:rsid w:val="00560404"/>
    <w:rsid w:val="005608E5"/>
    <w:rsid w:val="0056124F"/>
    <w:rsid w:val="0056226B"/>
    <w:rsid w:val="00562354"/>
    <w:rsid w:val="00562983"/>
    <w:rsid w:val="00562B55"/>
    <w:rsid w:val="0056335C"/>
    <w:rsid w:val="00563367"/>
    <w:rsid w:val="00563398"/>
    <w:rsid w:val="00563BF2"/>
    <w:rsid w:val="00564217"/>
    <w:rsid w:val="005647B0"/>
    <w:rsid w:val="00564C47"/>
    <w:rsid w:val="00564D7C"/>
    <w:rsid w:val="00565A7C"/>
    <w:rsid w:val="00566A62"/>
    <w:rsid w:val="00567889"/>
    <w:rsid w:val="00567C9D"/>
    <w:rsid w:val="0057045E"/>
    <w:rsid w:val="00570A68"/>
    <w:rsid w:val="00573331"/>
    <w:rsid w:val="005738D8"/>
    <w:rsid w:val="00573CC7"/>
    <w:rsid w:val="00573D2D"/>
    <w:rsid w:val="005744B3"/>
    <w:rsid w:val="00574E0C"/>
    <w:rsid w:val="00576210"/>
    <w:rsid w:val="0057645A"/>
    <w:rsid w:val="005770C7"/>
    <w:rsid w:val="0058000E"/>
    <w:rsid w:val="005803C5"/>
    <w:rsid w:val="00580F70"/>
    <w:rsid w:val="00581403"/>
    <w:rsid w:val="0058191B"/>
    <w:rsid w:val="00582E63"/>
    <w:rsid w:val="00582E9E"/>
    <w:rsid w:val="005834E5"/>
    <w:rsid w:val="00584A41"/>
    <w:rsid w:val="00584E78"/>
    <w:rsid w:val="005853EE"/>
    <w:rsid w:val="0058635B"/>
    <w:rsid w:val="005865A3"/>
    <w:rsid w:val="00586C42"/>
    <w:rsid w:val="00587244"/>
    <w:rsid w:val="00587543"/>
    <w:rsid w:val="00587660"/>
    <w:rsid w:val="00587876"/>
    <w:rsid w:val="00590083"/>
    <w:rsid w:val="005902CB"/>
    <w:rsid w:val="00590625"/>
    <w:rsid w:val="00590684"/>
    <w:rsid w:val="00590ADC"/>
    <w:rsid w:val="0059141B"/>
    <w:rsid w:val="005918E8"/>
    <w:rsid w:val="00591B81"/>
    <w:rsid w:val="0059263E"/>
    <w:rsid w:val="005935D0"/>
    <w:rsid w:val="00594BC7"/>
    <w:rsid w:val="0059506E"/>
    <w:rsid w:val="00597167"/>
    <w:rsid w:val="00597AB0"/>
    <w:rsid w:val="00597C91"/>
    <w:rsid w:val="00597EFA"/>
    <w:rsid w:val="005A002A"/>
    <w:rsid w:val="005A00BB"/>
    <w:rsid w:val="005A0102"/>
    <w:rsid w:val="005A02B9"/>
    <w:rsid w:val="005A05B4"/>
    <w:rsid w:val="005A0955"/>
    <w:rsid w:val="005A10E2"/>
    <w:rsid w:val="005A1361"/>
    <w:rsid w:val="005A1376"/>
    <w:rsid w:val="005A144B"/>
    <w:rsid w:val="005A1564"/>
    <w:rsid w:val="005A192F"/>
    <w:rsid w:val="005A1A63"/>
    <w:rsid w:val="005A1A74"/>
    <w:rsid w:val="005A1B14"/>
    <w:rsid w:val="005A1D01"/>
    <w:rsid w:val="005A1DA2"/>
    <w:rsid w:val="005A2598"/>
    <w:rsid w:val="005A29EB"/>
    <w:rsid w:val="005A2F77"/>
    <w:rsid w:val="005A386A"/>
    <w:rsid w:val="005A541D"/>
    <w:rsid w:val="005A6272"/>
    <w:rsid w:val="005A6530"/>
    <w:rsid w:val="005A685A"/>
    <w:rsid w:val="005A69FD"/>
    <w:rsid w:val="005A7670"/>
    <w:rsid w:val="005A7BDC"/>
    <w:rsid w:val="005B01D7"/>
    <w:rsid w:val="005B0B6B"/>
    <w:rsid w:val="005B101E"/>
    <w:rsid w:val="005B1D04"/>
    <w:rsid w:val="005B1D18"/>
    <w:rsid w:val="005B1F83"/>
    <w:rsid w:val="005B20CF"/>
    <w:rsid w:val="005B2695"/>
    <w:rsid w:val="005B2AB8"/>
    <w:rsid w:val="005B3433"/>
    <w:rsid w:val="005B37BF"/>
    <w:rsid w:val="005B38F8"/>
    <w:rsid w:val="005B3D23"/>
    <w:rsid w:val="005B4487"/>
    <w:rsid w:val="005B44F9"/>
    <w:rsid w:val="005B4589"/>
    <w:rsid w:val="005B47FD"/>
    <w:rsid w:val="005B4DFE"/>
    <w:rsid w:val="005B4F91"/>
    <w:rsid w:val="005B57B3"/>
    <w:rsid w:val="005B5CEB"/>
    <w:rsid w:val="005B7908"/>
    <w:rsid w:val="005C00C7"/>
    <w:rsid w:val="005C02C1"/>
    <w:rsid w:val="005C19A9"/>
    <w:rsid w:val="005C1CAA"/>
    <w:rsid w:val="005C1DE0"/>
    <w:rsid w:val="005C3A85"/>
    <w:rsid w:val="005C596A"/>
    <w:rsid w:val="005C6D6B"/>
    <w:rsid w:val="005C6DBA"/>
    <w:rsid w:val="005C7C31"/>
    <w:rsid w:val="005C7CE6"/>
    <w:rsid w:val="005D0269"/>
    <w:rsid w:val="005D043B"/>
    <w:rsid w:val="005D057E"/>
    <w:rsid w:val="005D0999"/>
    <w:rsid w:val="005D0C6F"/>
    <w:rsid w:val="005D1A31"/>
    <w:rsid w:val="005D2075"/>
    <w:rsid w:val="005D2C60"/>
    <w:rsid w:val="005D35F4"/>
    <w:rsid w:val="005D36CC"/>
    <w:rsid w:val="005D3C4D"/>
    <w:rsid w:val="005D43D7"/>
    <w:rsid w:val="005D4BCF"/>
    <w:rsid w:val="005D4EE5"/>
    <w:rsid w:val="005D51E6"/>
    <w:rsid w:val="005D521D"/>
    <w:rsid w:val="005D5635"/>
    <w:rsid w:val="005D70FE"/>
    <w:rsid w:val="005D7691"/>
    <w:rsid w:val="005D7711"/>
    <w:rsid w:val="005D772D"/>
    <w:rsid w:val="005D7C95"/>
    <w:rsid w:val="005E0960"/>
    <w:rsid w:val="005E0C3F"/>
    <w:rsid w:val="005E0C4D"/>
    <w:rsid w:val="005E0C59"/>
    <w:rsid w:val="005E0C75"/>
    <w:rsid w:val="005E0D03"/>
    <w:rsid w:val="005E171E"/>
    <w:rsid w:val="005E2678"/>
    <w:rsid w:val="005E2F66"/>
    <w:rsid w:val="005E4AFD"/>
    <w:rsid w:val="005E4FC5"/>
    <w:rsid w:val="005E5253"/>
    <w:rsid w:val="005E52AD"/>
    <w:rsid w:val="005E5B14"/>
    <w:rsid w:val="005E6A69"/>
    <w:rsid w:val="005E6EE3"/>
    <w:rsid w:val="005E6F68"/>
    <w:rsid w:val="005E7230"/>
    <w:rsid w:val="005E72B4"/>
    <w:rsid w:val="005F1261"/>
    <w:rsid w:val="005F1331"/>
    <w:rsid w:val="005F1EE5"/>
    <w:rsid w:val="005F3130"/>
    <w:rsid w:val="005F3E50"/>
    <w:rsid w:val="005F3E60"/>
    <w:rsid w:val="005F416F"/>
    <w:rsid w:val="005F5062"/>
    <w:rsid w:val="005F51C8"/>
    <w:rsid w:val="005F56CA"/>
    <w:rsid w:val="005F56EE"/>
    <w:rsid w:val="005F5B4E"/>
    <w:rsid w:val="005F5E3A"/>
    <w:rsid w:val="005F643A"/>
    <w:rsid w:val="005F678F"/>
    <w:rsid w:val="005F7491"/>
    <w:rsid w:val="005F776A"/>
    <w:rsid w:val="005F7C9A"/>
    <w:rsid w:val="005F7D7F"/>
    <w:rsid w:val="00600016"/>
    <w:rsid w:val="006000C5"/>
    <w:rsid w:val="00600954"/>
    <w:rsid w:val="006009E6"/>
    <w:rsid w:val="00600DB9"/>
    <w:rsid w:val="00600EA7"/>
    <w:rsid w:val="0060108A"/>
    <w:rsid w:val="0060186E"/>
    <w:rsid w:val="00601CB9"/>
    <w:rsid w:val="00601D30"/>
    <w:rsid w:val="006023E6"/>
    <w:rsid w:val="00602729"/>
    <w:rsid w:val="00602794"/>
    <w:rsid w:val="0060336D"/>
    <w:rsid w:val="00603624"/>
    <w:rsid w:val="0060373D"/>
    <w:rsid w:val="00604018"/>
    <w:rsid w:val="0060444D"/>
    <w:rsid w:val="00604B5D"/>
    <w:rsid w:val="00604EE7"/>
    <w:rsid w:val="006052C3"/>
    <w:rsid w:val="0060563A"/>
    <w:rsid w:val="00606293"/>
    <w:rsid w:val="0060637F"/>
    <w:rsid w:val="00606B46"/>
    <w:rsid w:val="006070A2"/>
    <w:rsid w:val="00607360"/>
    <w:rsid w:val="00607610"/>
    <w:rsid w:val="00607A72"/>
    <w:rsid w:val="00607E46"/>
    <w:rsid w:val="006101FF"/>
    <w:rsid w:val="00610A60"/>
    <w:rsid w:val="0061104B"/>
    <w:rsid w:val="006112CF"/>
    <w:rsid w:val="00611A6E"/>
    <w:rsid w:val="00611E08"/>
    <w:rsid w:val="00613028"/>
    <w:rsid w:val="006137F6"/>
    <w:rsid w:val="00613CA9"/>
    <w:rsid w:val="0061468E"/>
    <w:rsid w:val="00615DC2"/>
    <w:rsid w:val="00616355"/>
    <w:rsid w:val="00616550"/>
    <w:rsid w:val="006168CD"/>
    <w:rsid w:val="006175DE"/>
    <w:rsid w:val="00620974"/>
    <w:rsid w:val="00622127"/>
    <w:rsid w:val="0062238A"/>
    <w:rsid w:val="00622C3D"/>
    <w:rsid w:val="00622EB6"/>
    <w:rsid w:val="006230D7"/>
    <w:rsid w:val="00623196"/>
    <w:rsid w:val="00623366"/>
    <w:rsid w:val="006234F3"/>
    <w:rsid w:val="0062383A"/>
    <w:rsid w:val="006238A5"/>
    <w:rsid w:val="00623A12"/>
    <w:rsid w:val="00623B2C"/>
    <w:rsid w:val="00623B6D"/>
    <w:rsid w:val="0062419C"/>
    <w:rsid w:val="0062429C"/>
    <w:rsid w:val="006242B6"/>
    <w:rsid w:val="00624B5C"/>
    <w:rsid w:val="00624CEC"/>
    <w:rsid w:val="00624D54"/>
    <w:rsid w:val="006251BA"/>
    <w:rsid w:val="006251BB"/>
    <w:rsid w:val="0062585B"/>
    <w:rsid w:val="006258DE"/>
    <w:rsid w:val="00626683"/>
    <w:rsid w:val="0062686C"/>
    <w:rsid w:val="006268CD"/>
    <w:rsid w:val="00626CB3"/>
    <w:rsid w:val="00626EB6"/>
    <w:rsid w:val="0062718E"/>
    <w:rsid w:val="006278EA"/>
    <w:rsid w:val="006301BF"/>
    <w:rsid w:val="006301DB"/>
    <w:rsid w:val="006306AC"/>
    <w:rsid w:val="00630C2B"/>
    <w:rsid w:val="00631952"/>
    <w:rsid w:val="006326E0"/>
    <w:rsid w:val="0063281B"/>
    <w:rsid w:val="006328AC"/>
    <w:rsid w:val="0063312A"/>
    <w:rsid w:val="00633294"/>
    <w:rsid w:val="006332A2"/>
    <w:rsid w:val="006356C4"/>
    <w:rsid w:val="00636132"/>
    <w:rsid w:val="00636C99"/>
    <w:rsid w:val="0063703F"/>
    <w:rsid w:val="00637C4D"/>
    <w:rsid w:val="00637DEA"/>
    <w:rsid w:val="00640786"/>
    <w:rsid w:val="00641696"/>
    <w:rsid w:val="0064203A"/>
    <w:rsid w:val="006420CC"/>
    <w:rsid w:val="0064264A"/>
    <w:rsid w:val="006428E7"/>
    <w:rsid w:val="0064397A"/>
    <w:rsid w:val="00643BA4"/>
    <w:rsid w:val="006441B3"/>
    <w:rsid w:val="00644C9E"/>
    <w:rsid w:val="0064549B"/>
    <w:rsid w:val="00645944"/>
    <w:rsid w:val="00646C7E"/>
    <w:rsid w:val="00647C3B"/>
    <w:rsid w:val="006500C4"/>
    <w:rsid w:val="00650999"/>
    <w:rsid w:val="00650DA1"/>
    <w:rsid w:val="0065193C"/>
    <w:rsid w:val="0065228B"/>
    <w:rsid w:val="00652471"/>
    <w:rsid w:val="0065248B"/>
    <w:rsid w:val="00653BBD"/>
    <w:rsid w:val="00653C89"/>
    <w:rsid w:val="006549B8"/>
    <w:rsid w:val="00654A52"/>
    <w:rsid w:val="00655377"/>
    <w:rsid w:val="0065602A"/>
    <w:rsid w:val="00656779"/>
    <w:rsid w:val="00656A98"/>
    <w:rsid w:val="00656B73"/>
    <w:rsid w:val="006571E9"/>
    <w:rsid w:val="00657470"/>
    <w:rsid w:val="00657B86"/>
    <w:rsid w:val="006601ED"/>
    <w:rsid w:val="0066069E"/>
    <w:rsid w:val="00660E67"/>
    <w:rsid w:val="00661443"/>
    <w:rsid w:val="00661467"/>
    <w:rsid w:val="00661AB1"/>
    <w:rsid w:val="00661D7F"/>
    <w:rsid w:val="006624D2"/>
    <w:rsid w:val="006628C1"/>
    <w:rsid w:val="00662CC5"/>
    <w:rsid w:val="00662FFE"/>
    <w:rsid w:val="006633DC"/>
    <w:rsid w:val="006634BD"/>
    <w:rsid w:val="00664644"/>
    <w:rsid w:val="00664903"/>
    <w:rsid w:val="00664E98"/>
    <w:rsid w:val="00664F0B"/>
    <w:rsid w:val="006654F2"/>
    <w:rsid w:val="00665853"/>
    <w:rsid w:val="006660E4"/>
    <w:rsid w:val="0066616B"/>
    <w:rsid w:val="006666A3"/>
    <w:rsid w:val="00666D8F"/>
    <w:rsid w:val="00667A10"/>
    <w:rsid w:val="00667B9C"/>
    <w:rsid w:val="00667DC2"/>
    <w:rsid w:val="00670BEB"/>
    <w:rsid w:val="00670C1B"/>
    <w:rsid w:val="00670FAB"/>
    <w:rsid w:val="0067108B"/>
    <w:rsid w:val="00671227"/>
    <w:rsid w:val="006714C5"/>
    <w:rsid w:val="00671C66"/>
    <w:rsid w:val="00672654"/>
    <w:rsid w:val="00672B88"/>
    <w:rsid w:val="00672FA6"/>
    <w:rsid w:val="00673B16"/>
    <w:rsid w:val="00673DDE"/>
    <w:rsid w:val="00674548"/>
    <w:rsid w:val="0067504A"/>
    <w:rsid w:val="00677001"/>
    <w:rsid w:val="00681018"/>
    <w:rsid w:val="006813C4"/>
    <w:rsid w:val="00681C0C"/>
    <w:rsid w:val="0068210A"/>
    <w:rsid w:val="00682E49"/>
    <w:rsid w:val="006832DA"/>
    <w:rsid w:val="0068338A"/>
    <w:rsid w:val="00683664"/>
    <w:rsid w:val="00683B7E"/>
    <w:rsid w:val="00683C03"/>
    <w:rsid w:val="00683E84"/>
    <w:rsid w:val="00684B1A"/>
    <w:rsid w:val="00684C64"/>
    <w:rsid w:val="0068525B"/>
    <w:rsid w:val="00685317"/>
    <w:rsid w:val="00685C70"/>
    <w:rsid w:val="00685E2C"/>
    <w:rsid w:val="0068663E"/>
    <w:rsid w:val="0068754C"/>
    <w:rsid w:val="00690C1E"/>
    <w:rsid w:val="00690D65"/>
    <w:rsid w:val="00691038"/>
    <w:rsid w:val="00691292"/>
    <w:rsid w:val="006919DA"/>
    <w:rsid w:val="006926E6"/>
    <w:rsid w:val="00693431"/>
    <w:rsid w:val="00693585"/>
    <w:rsid w:val="00693C0C"/>
    <w:rsid w:val="00694890"/>
    <w:rsid w:val="00695BE8"/>
    <w:rsid w:val="00695DFA"/>
    <w:rsid w:val="006960C6"/>
    <w:rsid w:val="00696536"/>
    <w:rsid w:val="0069660D"/>
    <w:rsid w:val="006968BF"/>
    <w:rsid w:val="006A08A8"/>
    <w:rsid w:val="006A0BAB"/>
    <w:rsid w:val="006A0E43"/>
    <w:rsid w:val="006A1A68"/>
    <w:rsid w:val="006A1E8D"/>
    <w:rsid w:val="006A20CC"/>
    <w:rsid w:val="006A2933"/>
    <w:rsid w:val="006A2E8D"/>
    <w:rsid w:val="006A374D"/>
    <w:rsid w:val="006A3DC1"/>
    <w:rsid w:val="006A421E"/>
    <w:rsid w:val="006A4AE1"/>
    <w:rsid w:val="006A4BDB"/>
    <w:rsid w:val="006A4C93"/>
    <w:rsid w:val="006A5000"/>
    <w:rsid w:val="006A5A45"/>
    <w:rsid w:val="006A608F"/>
    <w:rsid w:val="006A66D4"/>
    <w:rsid w:val="006A7379"/>
    <w:rsid w:val="006A75FA"/>
    <w:rsid w:val="006A7EC2"/>
    <w:rsid w:val="006B06D8"/>
    <w:rsid w:val="006B1535"/>
    <w:rsid w:val="006B1AA6"/>
    <w:rsid w:val="006B1D59"/>
    <w:rsid w:val="006B2491"/>
    <w:rsid w:val="006B24F9"/>
    <w:rsid w:val="006B317B"/>
    <w:rsid w:val="006B35C0"/>
    <w:rsid w:val="006B43A9"/>
    <w:rsid w:val="006B4B54"/>
    <w:rsid w:val="006B50C7"/>
    <w:rsid w:val="006B572B"/>
    <w:rsid w:val="006B5AE5"/>
    <w:rsid w:val="006B5CBA"/>
    <w:rsid w:val="006B5E36"/>
    <w:rsid w:val="006B60A2"/>
    <w:rsid w:val="006B6197"/>
    <w:rsid w:val="006B63C7"/>
    <w:rsid w:val="006B6963"/>
    <w:rsid w:val="006B6A5E"/>
    <w:rsid w:val="006B6BB3"/>
    <w:rsid w:val="006B6D10"/>
    <w:rsid w:val="006B7589"/>
    <w:rsid w:val="006B7D37"/>
    <w:rsid w:val="006B7E0B"/>
    <w:rsid w:val="006C03B0"/>
    <w:rsid w:val="006C081F"/>
    <w:rsid w:val="006C1051"/>
    <w:rsid w:val="006C12CE"/>
    <w:rsid w:val="006C14A3"/>
    <w:rsid w:val="006C1604"/>
    <w:rsid w:val="006C1678"/>
    <w:rsid w:val="006C2A2E"/>
    <w:rsid w:val="006C2E24"/>
    <w:rsid w:val="006C33B4"/>
    <w:rsid w:val="006C3E03"/>
    <w:rsid w:val="006C4076"/>
    <w:rsid w:val="006C4094"/>
    <w:rsid w:val="006C45E2"/>
    <w:rsid w:val="006C46B1"/>
    <w:rsid w:val="006C4A61"/>
    <w:rsid w:val="006C4FD8"/>
    <w:rsid w:val="006C5115"/>
    <w:rsid w:val="006C564F"/>
    <w:rsid w:val="006C5CA4"/>
    <w:rsid w:val="006C5F29"/>
    <w:rsid w:val="006C6182"/>
    <w:rsid w:val="006C6199"/>
    <w:rsid w:val="006C65E6"/>
    <w:rsid w:val="006C664C"/>
    <w:rsid w:val="006C69B0"/>
    <w:rsid w:val="006D0D38"/>
    <w:rsid w:val="006D0F05"/>
    <w:rsid w:val="006D17CF"/>
    <w:rsid w:val="006D1933"/>
    <w:rsid w:val="006D21CA"/>
    <w:rsid w:val="006D2818"/>
    <w:rsid w:val="006D2A97"/>
    <w:rsid w:val="006D2DB8"/>
    <w:rsid w:val="006D39FC"/>
    <w:rsid w:val="006D49C3"/>
    <w:rsid w:val="006D4AD0"/>
    <w:rsid w:val="006D4BB0"/>
    <w:rsid w:val="006D4CC2"/>
    <w:rsid w:val="006D59E7"/>
    <w:rsid w:val="006D74CC"/>
    <w:rsid w:val="006D7597"/>
    <w:rsid w:val="006D7860"/>
    <w:rsid w:val="006D7F2A"/>
    <w:rsid w:val="006D7F6A"/>
    <w:rsid w:val="006E0B92"/>
    <w:rsid w:val="006E0FEE"/>
    <w:rsid w:val="006E10EC"/>
    <w:rsid w:val="006E1FDB"/>
    <w:rsid w:val="006E2A2B"/>
    <w:rsid w:val="006E2AC5"/>
    <w:rsid w:val="006E31FA"/>
    <w:rsid w:val="006E32C5"/>
    <w:rsid w:val="006E3899"/>
    <w:rsid w:val="006E3921"/>
    <w:rsid w:val="006E392B"/>
    <w:rsid w:val="006E3BDF"/>
    <w:rsid w:val="006E3BE2"/>
    <w:rsid w:val="006E3C8A"/>
    <w:rsid w:val="006E40D4"/>
    <w:rsid w:val="006E427A"/>
    <w:rsid w:val="006E5350"/>
    <w:rsid w:val="006E592B"/>
    <w:rsid w:val="006E6405"/>
    <w:rsid w:val="006E679F"/>
    <w:rsid w:val="006E6B5D"/>
    <w:rsid w:val="006F0E84"/>
    <w:rsid w:val="006F1039"/>
    <w:rsid w:val="006F12BA"/>
    <w:rsid w:val="006F17FC"/>
    <w:rsid w:val="006F1BDB"/>
    <w:rsid w:val="006F2174"/>
    <w:rsid w:val="006F28AC"/>
    <w:rsid w:val="006F2F5B"/>
    <w:rsid w:val="006F30E5"/>
    <w:rsid w:val="006F336B"/>
    <w:rsid w:val="006F35DF"/>
    <w:rsid w:val="006F3B87"/>
    <w:rsid w:val="006F3E7F"/>
    <w:rsid w:val="006F3FEE"/>
    <w:rsid w:val="006F46A6"/>
    <w:rsid w:val="006F5244"/>
    <w:rsid w:val="006F55C8"/>
    <w:rsid w:val="006F5652"/>
    <w:rsid w:val="006F574B"/>
    <w:rsid w:val="006F674C"/>
    <w:rsid w:val="006F6A40"/>
    <w:rsid w:val="006F7B0E"/>
    <w:rsid w:val="00700310"/>
    <w:rsid w:val="0070085C"/>
    <w:rsid w:val="00700958"/>
    <w:rsid w:val="00700E45"/>
    <w:rsid w:val="00701DA2"/>
    <w:rsid w:val="0070216E"/>
    <w:rsid w:val="0070260D"/>
    <w:rsid w:val="0070263D"/>
    <w:rsid w:val="00702AE3"/>
    <w:rsid w:val="00702BF7"/>
    <w:rsid w:val="0070393C"/>
    <w:rsid w:val="00703C4D"/>
    <w:rsid w:val="00703C79"/>
    <w:rsid w:val="00703D69"/>
    <w:rsid w:val="007048C2"/>
    <w:rsid w:val="00704AC9"/>
    <w:rsid w:val="007056CC"/>
    <w:rsid w:val="00705B13"/>
    <w:rsid w:val="00707005"/>
    <w:rsid w:val="007073CB"/>
    <w:rsid w:val="00707517"/>
    <w:rsid w:val="00707DB3"/>
    <w:rsid w:val="00711408"/>
    <w:rsid w:val="007115E1"/>
    <w:rsid w:val="00711F0B"/>
    <w:rsid w:val="007123A3"/>
    <w:rsid w:val="00713490"/>
    <w:rsid w:val="00713642"/>
    <w:rsid w:val="00713BC4"/>
    <w:rsid w:val="007141F9"/>
    <w:rsid w:val="00714730"/>
    <w:rsid w:val="00714A9E"/>
    <w:rsid w:val="00714AF5"/>
    <w:rsid w:val="00715069"/>
    <w:rsid w:val="0071653D"/>
    <w:rsid w:val="007165B6"/>
    <w:rsid w:val="00716BE6"/>
    <w:rsid w:val="007172F4"/>
    <w:rsid w:val="0071744B"/>
    <w:rsid w:val="00717974"/>
    <w:rsid w:val="00717C8D"/>
    <w:rsid w:val="00717E22"/>
    <w:rsid w:val="00720190"/>
    <w:rsid w:val="00720923"/>
    <w:rsid w:val="00720F9F"/>
    <w:rsid w:val="0072170A"/>
    <w:rsid w:val="00721878"/>
    <w:rsid w:val="00721EB7"/>
    <w:rsid w:val="00723718"/>
    <w:rsid w:val="00723EE1"/>
    <w:rsid w:val="00724879"/>
    <w:rsid w:val="00724A98"/>
    <w:rsid w:val="00724E96"/>
    <w:rsid w:val="0072519B"/>
    <w:rsid w:val="007256E8"/>
    <w:rsid w:val="007257DB"/>
    <w:rsid w:val="0072585B"/>
    <w:rsid w:val="0072594F"/>
    <w:rsid w:val="00725B96"/>
    <w:rsid w:val="00726A37"/>
    <w:rsid w:val="007276FD"/>
    <w:rsid w:val="0072782F"/>
    <w:rsid w:val="007306BF"/>
    <w:rsid w:val="0073076B"/>
    <w:rsid w:val="00730C95"/>
    <w:rsid w:val="00732A5E"/>
    <w:rsid w:val="007339E7"/>
    <w:rsid w:val="00733AE1"/>
    <w:rsid w:val="00733B88"/>
    <w:rsid w:val="00733D52"/>
    <w:rsid w:val="007342A8"/>
    <w:rsid w:val="00734430"/>
    <w:rsid w:val="00734871"/>
    <w:rsid w:val="00734A83"/>
    <w:rsid w:val="00735257"/>
    <w:rsid w:val="00735F5E"/>
    <w:rsid w:val="00736339"/>
    <w:rsid w:val="00736494"/>
    <w:rsid w:val="007368E5"/>
    <w:rsid w:val="007369F3"/>
    <w:rsid w:val="00736D92"/>
    <w:rsid w:val="00737353"/>
    <w:rsid w:val="007373BE"/>
    <w:rsid w:val="007374DC"/>
    <w:rsid w:val="007379D9"/>
    <w:rsid w:val="00740222"/>
    <w:rsid w:val="00740359"/>
    <w:rsid w:val="007403F2"/>
    <w:rsid w:val="007415F2"/>
    <w:rsid w:val="00741ADC"/>
    <w:rsid w:val="007422C4"/>
    <w:rsid w:val="007438B7"/>
    <w:rsid w:val="00743EE0"/>
    <w:rsid w:val="007440A4"/>
    <w:rsid w:val="00744AC5"/>
    <w:rsid w:val="00744B9C"/>
    <w:rsid w:val="00744C21"/>
    <w:rsid w:val="00745C42"/>
    <w:rsid w:val="00745FFC"/>
    <w:rsid w:val="0074602A"/>
    <w:rsid w:val="007467A7"/>
    <w:rsid w:val="00746EA9"/>
    <w:rsid w:val="00746F78"/>
    <w:rsid w:val="0074722D"/>
    <w:rsid w:val="0074731D"/>
    <w:rsid w:val="00747CBB"/>
    <w:rsid w:val="00750084"/>
    <w:rsid w:val="00750675"/>
    <w:rsid w:val="00750B9D"/>
    <w:rsid w:val="00750D4D"/>
    <w:rsid w:val="00750E3E"/>
    <w:rsid w:val="007517CC"/>
    <w:rsid w:val="00751AD4"/>
    <w:rsid w:val="0075247A"/>
    <w:rsid w:val="00753488"/>
    <w:rsid w:val="0075355F"/>
    <w:rsid w:val="007545BB"/>
    <w:rsid w:val="00754A59"/>
    <w:rsid w:val="00754B49"/>
    <w:rsid w:val="007558F5"/>
    <w:rsid w:val="00756343"/>
    <w:rsid w:val="0075689B"/>
    <w:rsid w:val="00756F4E"/>
    <w:rsid w:val="00757274"/>
    <w:rsid w:val="0075727A"/>
    <w:rsid w:val="0075747F"/>
    <w:rsid w:val="007604A7"/>
    <w:rsid w:val="0076239C"/>
    <w:rsid w:val="007624C8"/>
    <w:rsid w:val="00763057"/>
    <w:rsid w:val="00763182"/>
    <w:rsid w:val="00763BB6"/>
    <w:rsid w:val="007642CA"/>
    <w:rsid w:val="00764875"/>
    <w:rsid w:val="00764BDC"/>
    <w:rsid w:val="00765382"/>
    <w:rsid w:val="007669E9"/>
    <w:rsid w:val="007714EB"/>
    <w:rsid w:val="007716F4"/>
    <w:rsid w:val="0077171F"/>
    <w:rsid w:val="00771B09"/>
    <w:rsid w:val="00771E38"/>
    <w:rsid w:val="007731AA"/>
    <w:rsid w:val="00773EE1"/>
    <w:rsid w:val="0077415C"/>
    <w:rsid w:val="00774B81"/>
    <w:rsid w:val="00774BC0"/>
    <w:rsid w:val="007753A2"/>
    <w:rsid w:val="007756E5"/>
    <w:rsid w:val="00775B37"/>
    <w:rsid w:val="00776260"/>
    <w:rsid w:val="007763B2"/>
    <w:rsid w:val="00776737"/>
    <w:rsid w:val="00776CD3"/>
    <w:rsid w:val="007771BC"/>
    <w:rsid w:val="0077741E"/>
    <w:rsid w:val="007778DA"/>
    <w:rsid w:val="00780BF5"/>
    <w:rsid w:val="00781B37"/>
    <w:rsid w:val="007821F3"/>
    <w:rsid w:val="007824F5"/>
    <w:rsid w:val="00783A0D"/>
    <w:rsid w:val="00783E8B"/>
    <w:rsid w:val="007843E9"/>
    <w:rsid w:val="007853B1"/>
    <w:rsid w:val="007859F5"/>
    <w:rsid w:val="00786038"/>
    <w:rsid w:val="007860E8"/>
    <w:rsid w:val="007861F2"/>
    <w:rsid w:val="00787961"/>
    <w:rsid w:val="00787F49"/>
    <w:rsid w:val="0079089D"/>
    <w:rsid w:val="00790D2F"/>
    <w:rsid w:val="00791079"/>
    <w:rsid w:val="007918F1"/>
    <w:rsid w:val="00791958"/>
    <w:rsid w:val="0079256A"/>
    <w:rsid w:val="00792A00"/>
    <w:rsid w:val="00792D20"/>
    <w:rsid w:val="00793206"/>
    <w:rsid w:val="00793983"/>
    <w:rsid w:val="00793AFC"/>
    <w:rsid w:val="00793E71"/>
    <w:rsid w:val="007946E9"/>
    <w:rsid w:val="00794D2C"/>
    <w:rsid w:val="00795723"/>
    <w:rsid w:val="0079582D"/>
    <w:rsid w:val="00795F69"/>
    <w:rsid w:val="00796041"/>
    <w:rsid w:val="0079635B"/>
    <w:rsid w:val="00796AA7"/>
    <w:rsid w:val="0079799D"/>
    <w:rsid w:val="00797D08"/>
    <w:rsid w:val="007A058F"/>
    <w:rsid w:val="007A05F2"/>
    <w:rsid w:val="007A148A"/>
    <w:rsid w:val="007A23CC"/>
    <w:rsid w:val="007A25C0"/>
    <w:rsid w:val="007A2633"/>
    <w:rsid w:val="007A347C"/>
    <w:rsid w:val="007A3823"/>
    <w:rsid w:val="007A3909"/>
    <w:rsid w:val="007A3EEF"/>
    <w:rsid w:val="007A3F89"/>
    <w:rsid w:val="007A40CD"/>
    <w:rsid w:val="007A456C"/>
    <w:rsid w:val="007A4B24"/>
    <w:rsid w:val="007A5461"/>
    <w:rsid w:val="007A56E6"/>
    <w:rsid w:val="007A5FAD"/>
    <w:rsid w:val="007A65DA"/>
    <w:rsid w:val="007A73A1"/>
    <w:rsid w:val="007A73F0"/>
    <w:rsid w:val="007A760D"/>
    <w:rsid w:val="007A794C"/>
    <w:rsid w:val="007A7B8D"/>
    <w:rsid w:val="007B0357"/>
    <w:rsid w:val="007B0613"/>
    <w:rsid w:val="007B06F2"/>
    <w:rsid w:val="007B22E1"/>
    <w:rsid w:val="007B2333"/>
    <w:rsid w:val="007B3402"/>
    <w:rsid w:val="007B3FA6"/>
    <w:rsid w:val="007B44B4"/>
    <w:rsid w:val="007B459A"/>
    <w:rsid w:val="007B4AD5"/>
    <w:rsid w:val="007B4C00"/>
    <w:rsid w:val="007B4F13"/>
    <w:rsid w:val="007B50DE"/>
    <w:rsid w:val="007B56E0"/>
    <w:rsid w:val="007B5B8F"/>
    <w:rsid w:val="007B5E33"/>
    <w:rsid w:val="007B5EE1"/>
    <w:rsid w:val="007B5F91"/>
    <w:rsid w:val="007B6F42"/>
    <w:rsid w:val="007B758D"/>
    <w:rsid w:val="007B7683"/>
    <w:rsid w:val="007C0F06"/>
    <w:rsid w:val="007C244A"/>
    <w:rsid w:val="007C2692"/>
    <w:rsid w:val="007C26F0"/>
    <w:rsid w:val="007C27F8"/>
    <w:rsid w:val="007C2A04"/>
    <w:rsid w:val="007C2E40"/>
    <w:rsid w:val="007C30D2"/>
    <w:rsid w:val="007C31E4"/>
    <w:rsid w:val="007C3337"/>
    <w:rsid w:val="007C3B0F"/>
    <w:rsid w:val="007C3DB4"/>
    <w:rsid w:val="007C424C"/>
    <w:rsid w:val="007C485E"/>
    <w:rsid w:val="007C4BC6"/>
    <w:rsid w:val="007C5110"/>
    <w:rsid w:val="007C5AC7"/>
    <w:rsid w:val="007C5F78"/>
    <w:rsid w:val="007C6031"/>
    <w:rsid w:val="007C61D3"/>
    <w:rsid w:val="007C72B7"/>
    <w:rsid w:val="007C757E"/>
    <w:rsid w:val="007C7B45"/>
    <w:rsid w:val="007C7D63"/>
    <w:rsid w:val="007C7DDE"/>
    <w:rsid w:val="007D04AB"/>
    <w:rsid w:val="007D07E5"/>
    <w:rsid w:val="007D0E50"/>
    <w:rsid w:val="007D27A5"/>
    <w:rsid w:val="007D28A0"/>
    <w:rsid w:val="007D2A69"/>
    <w:rsid w:val="007D32D2"/>
    <w:rsid w:val="007D38D1"/>
    <w:rsid w:val="007D4BF8"/>
    <w:rsid w:val="007D4D64"/>
    <w:rsid w:val="007D4DA8"/>
    <w:rsid w:val="007D5078"/>
    <w:rsid w:val="007D578C"/>
    <w:rsid w:val="007D5D26"/>
    <w:rsid w:val="007D66A4"/>
    <w:rsid w:val="007D67C4"/>
    <w:rsid w:val="007D6B03"/>
    <w:rsid w:val="007D733C"/>
    <w:rsid w:val="007E06DF"/>
    <w:rsid w:val="007E12F6"/>
    <w:rsid w:val="007E17E4"/>
    <w:rsid w:val="007E1DE3"/>
    <w:rsid w:val="007E1F9D"/>
    <w:rsid w:val="007E2338"/>
    <w:rsid w:val="007E2407"/>
    <w:rsid w:val="007E28CA"/>
    <w:rsid w:val="007E3EB9"/>
    <w:rsid w:val="007E4719"/>
    <w:rsid w:val="007E48AA"/>
    <w:rsid w:val="007E5383"/>
    <w:rsid w:val="007E579F"/>
    <w:rsid w:val="007E5FEC"/>
    <w:rsid w:val="007E6464"/>
    <w:rsid w:val="007E65E3"/>
    <w:rsid w:val="007E69E2"/>
    <w:rsid w:val="007E73C9"/>
    <w:rsid w:val="007F0706"/>
    <w:rsid w:val="007F0B2A"/>
    <w:rsid w:val="007F2738"/>
    <w:rsid w:val="007F29CD"/>
    <w:rsid w:val="007F2C36"/>
    <w:rsid w:val="007F2CE2"/>
    <w:rsid w:val="007F3007"/>
    <w:rsid w:val="007F3167"/>
    <w:rsid w:val="007F3AD0"/>
    <w:rsid w:val="007F3E87"/>
    <w:rsid w:val="007F3EB6"/>
    <w:rsid w:val="007F3FF7"/>
    <w:rsid w:val="007F4039"/>
    <w:rsid w:val="007F43C4"/>
    <w:rsid w:val="007F4788"/>
    <w:rsid w:val="007F4946"/>
    <w:rsid w:val="007F4E24"/>
    <w:rsid w:val="007F588E"/>
    <w:rsid w:val="007F5E38"/>
    <w:rsid w:val="007F5E3F"/>
    <w:rsid w:val="007F5EC6"/>
    <w:rsid w:val="007F614F"/>
    <w:rsid w:val="007F64F2"/>
    <w:rsid w:val="007F6733"/>
    <w:rsid w:val="007F691C"/>
    <w:rsid w:val="007F6C8D"/>
    <w:rsid w:val="007F73DE"/>
    <w:rsid w:val="007F7EB4"/>
    <w:rsid w:val="007F7EF8"/>
    <w:rsid w:val="008008CD"/>
    <w:rsid w:val="008008E2"/>
    <w:rsid w:val="00800DCE"/>
    <w:rsid w:val="0080121D"/>
    <w:rsid w:val="00801AAA"/>
    <w:rsid w:val="00801DC6"/>
    <w:rsid w:val="00802164"/>
    <w:rsid w:val="008038E8"/>
    <w:rsid w:val="00803FEC"/>
    <w:rsid w:val="008045A5"/>
    <w:rsid w:val="008059CA"/>
    <w:rsid w:val="00805CEC"/>
    <w:rsid w:val="00806998"/>
    <w:rsid w:val="00806C75"/>
    <w:rsid w:val="00806D80"/>
    <w:rsid w:val="00807400"/>
    <w:rsid w:val="00807AD4"/>
    <w:rsid w:val="00810D41"/>
    <w:rsid w:val="008115C0"/>
    <w:rsid w:val="008119D4"/>
    <w:rsid w:val="00812DDA"/>
    <w:rsid w:val="00813810"/>
    <w:rsid w:val="00813D71"/>
    <w:rsid w:val="00814462"/>
    <w:rsid w:val="00815071"/>
    <w:rsid w:val="008151CD"/>
    <w:rsid w:val="0081549B"/>
    <w:rsid w:val="008156DB"/>
    <w:rsid w:val="00815FA9"/>
    <w:rsid w:val="008165CB"/>
    <w:rsid w:val="008165E0"/>
    <w:rsid w:val="00816793"/>
    <w:rsid w:val="00816D39"/>
    <w:rsid w:val="00817069"/>
    <w:rsid w:val="00817105"/>
    <w:rsid w:val="00817613"/>
    <w:rsid w:val="0081766A"/>
    <w:rsid w:val="0081775F"/>
    <w:rsid w:val="00817A51"/>
    <w:rsid w:val="00817BAE"/>
    <w:rsid w:val="00817C4F"/>
    <w:rsid w:val="00817D4F"/>
    <w:rsid w:val="00817EE7"/>
    <w:rsid w:val="0082003E"/>
    <w:rsid w:val="0082132E"/>
    <w:rsid w:val="0082133F"/>
    <w:rsid w:val="00821793"/>
    <w:rsid w:val="008218E8"/>
    <w:rsid w:val="00821FA4"/>
    <w:rsid w:val="00822192"/>
    <w:rsid w:val="008223C6"/>
    <w:rsid w:val="00822894"/>
    <w:rsid w:val="00822B7C"/>
    <w:rsid w:val="00822EF6"/>
    <w:rsid w:val="00824A7F"/>
    <w:rsid w:val="0082547F"/>
    <w:rsid w:val="0082567C"/>
    <w:rsid w:val="00826565"/>
    <w:rsid w:val="008267C7"/>
    <w:rsid w:val="00826B75"/>
    <w:rsid w:val="00827290"/>
    <w:rsid w:val="00827795"/>
    <w:rsid w:val="008277F4"/>
    <w:rsid w:val="00827B45"/>
    <w:rsid w:val="00827C40"/>
    <w:rsid w:val="00827E8E"/>
    <w:rsid w:val="008301FF"/>
    <w:rsid w:val="00830465"/>
    <w:rsid w:val="00830B56"/>
    <w:rsid w:val="00830C97"/>
    <w:rsid w:val="00831178"/>
    <w:rsid w:val="008316A7"/>
    <w:rsid w:val="0083192A"/>
    <w:rsid w:val="00831D18"/>
    <w:rsid w:val="00833309"/>
    <w:rsid w:val="008333A4"/>
    <w:rsid w:val="008342BC"/>
    <w:rsid w:val="00834CB1"/>
    <w:rsid w:val="00835B87"/>
    <w:rsid w:val="00836A7D"/>
    <w:rsid w:val="00837721"/>
    <w:rsid w:val="0083775C"/>
    <w:rsid w:val="0084005C"/>
    <w:rsid w:val="00840304"/>
    <w:rsid w:val="00840422"/>
    <w:rsid w:val="00840768"/>
    <w:rsid w:val="008408E0"/>
    <w:rsid w:val="0084097D"/>
    <w:rsid w:val="00840BAA"/>
    <w:rsid w:val="00840CFB"/>
    <w:rsid w:val="008412D8"/>
    <w:rsid w:val="00841345"/>
    <w:rsid w:val="008428EF"/>
    <w:rsid w:val="0084315D"/>
    <w:rsid w:val="00843546"/>
    <w:rsid w:val="008435DC"/>
    <w:rsid w:val="00843685"/>
    <w:rsid w:val="00843780"/>
    <w:rsid w:val="0084433C"/>
    <w:rsid w:val="008448D3"/>
    <w:rsid w:val="00845491"/>
    <w:rsid w:val="008454B1"/>
    <w:rsid w:val="00845A9A"/>
    <w:rsid w:val="00845B70"/>
    <w:rsid w:val="00845C3A"/>
    <w:rsid w:val="00845E30"/>
    <w:rsid w:val="00845FE7"/>
    <w:rsid w:val="008470BD"/>
    <w:rsid w:val="008478F9"/>
    <w:rsid w:val="008507C3"/>
    <w:rsid w:val="00850E37"/>
    <w:rsid w:val="0085130C"/>
    <w:rsid w:val="00851768"/>
    <w:rsid w:val="00851AFD"/>
    <w:rsid w:val="00852434"/>
    <w:rsid w:val="00853147"/>
    <w:rsid w:val="00854D7B"/>
    <w:rsid w:val="00854FA4"/>
    <w:rsid w:val="0085585C"/>
    <w:rsid w:val="008559FD"/>
    <w:rsid w:val="00855E43"/>
    <w:rsid w:val="00855FDD"/>
    <w:rsid w:val="008566BE"/>
    <w:rsid w:val="00856F19"/>
    <w:rsid w:val="0085756E"/>
    <w:rsid w:val="00857961"/>
    <w:rsid w:val="008615FD"/>
    <w:rsid w:val="00862175"/>
    <w:rsid w:val="008624D3"/>
    <w:rsid w:val="008628E3"/>
    <w:rsid w:val="00862CF5"/>
    <w:rsid w:val="008631D0"/>
    <w:rsid w:val="00863476"/>
    <w:rsid w:val="00863787"/>
    <w:rsid w:val="00863CEF"/>
    <w:rsid w:val="008645AC"/>
    <w:rsid w:val="0086486B"/>
    <w:rsid w:val="0086549F"/>
    <w:rsid w:val="008655F5"/>
    <w:rsid w:val="00865651"/>
    <w:rsid w:val="00865C6D"/>
    <w:rsid w:val="00865D6E"/>
    <w:rsid w:val="00866294"/>
    <w:rsid w:val="008664A4"/>
    <w:rsid w:val="008669F2"/>
    <w:rsid w:val="0086734B"/>
    <w:rsid w:val="008674E1"/>
    <w:rsid w:val="00867944"/>
    <w:rsid w:val="00870E90"/>
    <w:rsid w:val="00870ECC"/>
    <w:rsid w:val="00871E19"/>
    <w:rsid w:val="00871F21"/>
    <w:rsid w:val="00872A4A"/>
    <w:rsid w:val="00872FA3"/>
    <w:rsid w:val="00873453"/>
    <w:rsid w:val="0087407A"/>
    <w:rsid w:val="008747FB"/>
    <w:rsid w:val="008749B1"/>
    <w:rsid w:val="00874A25"/>
    <w:rsid w:val="008757EC"/>
    <w:rsid w:val="00875831"/>
    <w:rsid w:val="008759CF"/>
    <w:rsid w:val="00875ABD"/>
    <w:rsid w:val="00875ECC"/>
    <w:rsid w:val="008761B9"/>
    <w:rsid w:val="008767BE"/>
    <w:rsid w:val="008776ED"/>
    <w:rsid w:val="00877A90"/>
    <w:rsid w:val="00880848"/>
    <w:rsid w:val="008810B2"/>
    <w:rsid w:val="008813BE"/>
    <w:rsid w:val="00881C63"/>
    <w:rsid w:val="00882928"/>
    <w:rsid w:val="008829D7"/>
    <w:rsid w:val="00882B77"/>
    <w:rsid w:val="00883331"/>
    <w:rsid w:val="008835B3"/>
    <w:rsid w:val="00883E86"/>
    <w:rsid w:val="00884775"/>
    <w:rsid w:val="00884946"/>
    <w:rsid w:val="008853C4"/>
    <w:rsid w:val="00885DEA"/>
    <w:rsid w:val="008867D2"/>
    <w:rsid w:val="00886E96"/>
    <w:rsid w:val="00887745"/>
    <w:rsid w:val="00890053"/>
    <w:rsid w:val="0089036F"/>
    <w:rsid w:val="0089065A"/>
    <w:rsid w:val="00890CBC"/>
    <w:rsid w:val="00891183"/>
    <w:rsid w:val="008914BD"/>
    <w:rsid w:val="0089161C"/>
    <w:rsid w:val="00891769"/>
    <w:rsid w:val="00891C10"/>
    <w:rsid w:val="00892150"/>
    <w:rsid w:val="008925F4"/>
    <w:rsid w:val="00892EDD"/>
    <w:rsid w:val="00893307"/>
    <w:rsid w:val="00893852"/>
    <w:rsid w:val="00893D85"/>
    <w:rsid w:val="008941F7"/>
    <w:rsid w:val="0089425E"/>
    <w:rsid w:val="00894573"/>
    <w:rsid w:val="0089458A"/>
    <w:rsid w:val="0089467D"/>
    <w:rsid w:val="008948CE"/>
    <w:rsid w:val="00894B1F"/>
    <w:rsid w:val="00894BA0"/>
    <w:rsid w:val="00894FC6"/>
    <w:rsid w:val="008955E3"/>
    <w:rsid w:val="00896186"/>
    <w:rsid w:val="008971CE"/>
    <w:rsid w:val="008979F1"/>
    <w:rsid w:val="008A0B36"/>
    <w:rsid w:val="008A0BED"/>
    <w:rsid w:val="008A0F4E"/>
    <w:rsid w:val="008A153C"/>
    <w:rsid w:val="008A1615"/>
    <w:rsid w:val="008A1BC2"/>
    <w:rsid w:val="008A1F21"/>
    <w:rsid w:val="008A24D0"/>
    <w:rsid w:val="008A25A5"/>
    <w:rsid w:val="008A2A9E"/>
    <w:rsid w:val="008A2C70"/>
    <w:rsid w:val="008A330E"/>
    <w:rsid w:val="008A3BF8"/>
    <w:rsid w:val="008A4642"/>
    <w:rsid w:val="008A4C29"/>
    <w:rsid w:val="008A4E61"/>
    <w:rsid w:val="008A5085"/>
    <w:rsid w:val="008A51A3"/>
    <w:rsid w:val="008A525F"/>
    <w:rsid w:val="008A5696"/>
    <w:rsid w:val="008A6186"/>
    <w:rsid w:val="008A6950"/>
    <w:rsid w:val="008A715E"/>
    <w:rsid w:val="008B002C"/>
    <w:rsid w:val="008B07B3"/>
    <w:rsid w:val="008B1A60"/>
    <w:rsid w:val="008B1B78"/>
    <w:rsid w:val="008B21DD"/>
    <w:rsid w:val="008B2B61"/>
    <w:rsid w:val="008B31E2"/>
    <w:rsid w:val="008B39D2"/>
    <w:rsid w:val="008B3AD9"/>
    <w:rsid w:val="008B3B7B"/>
    <w:rsid w:val="008B3B9B"/>
    <w:rsid w:val="008B3E10"/>
    <w:rsid w:val="008B4331"/>
    <w:rsid w:val="008B489A"/>
    <w:rsid w:val="008B48EF"/>
    <w:rsid w:val="008B508D"/>
    <w:rsid w:val="008B513A"/>
    <w:rsid w:val="008B5490"/>
    <w:rsid w:val="008B5BA7"/>
    <w:rsid w:val="008B6301"/>
    <w:rsid w:val="008B64B1"/>
    <w:rsid w:val="008B7CAB"/>
    <w:rsid w:val="008C09E0"/>
    <w:rsid w:val="008C1167"/>
    <w:rsid w:val="008C225E"/>
    <w:rsid w:val="008C2705"/>
    <w:rsid w:val="008C271E"/>
    <w:rsid w:val="008C2B02"/>
    <w:rsid w:val="008C2E5B"/>
    <w:rsid w:val="008C2FD2"/>
    <w:rsid w:val="008C37B2"/>
    <w:rsid w:val="008C4736"/>
    <w:rsid w:val="008C4925"/>
    <w:rsid w:val="008C5612"/>
    <w:rsid w:val="008C56E3"/>
    <w:rsid w:val="008C5B1B"/>
    <w:rsid w:val="008C608E"/>
    <w:rsid w:val="008C68F0"/>
    <w:rsid w:val="008C6E73"/>
    <w:rsid w:val="008C6EA4"/>
    <w:rsid w:val="008C6EF8"/>
    <w:rsid w:val="008C7126"/>
    <w:rsid w:val="008C737A"/>
    <w:rsid w:val="008C7754"/>
    <w:rsid w:val="008D0BBE"/>
    <w:rsid w:val="008D0C83"/>
    <w:rsid w:val="008D133A"/>
    <w:rsid w:val="008D1CE2"/>
    <w:rsid w:val="008D2521"/>
    <w:rsid w:val="008D2D06"/>
    <w:rsid w:val="008D2FC7"/>
    <w:rsid w:val="008D31C4"/>
    <w:rsid w:val="008D34FB"/>
    <w:rsid w:val="008D3626"/>
    <w:rsid w:val="008D44AF"/>
    <w:rsid w:val="008D4766"/>
    <w:rsid w:val="008D4AE0"/>
    <w:rsid w:val="008D50E6"/>
    <w:rsid w:val="008D52AA"/>
    <w:rsid w:val="008D5B02"/>
    <w:rsid w:val="008D5F2C"/>
    <w:rsid w:val="008D6302"/>
    <w:rsid w:val="008D723E"/>
    <w:rsid w:val="008D79E9"/>
    <w:rsid w:val="008D7B17"/>
    <w:rsid w:val="008E0113"/>
    <w:rsid w:val="008E037B"/>
    <w:rsid w:val="008E0C79"/>
    <w:rsid w:val="008E1526"/>
    <w:rsid w:val="008E1B69"/>
    <w:rsid w:val="008E1CDA"/>
    <w:rsid w:val="008E201E"/>
    <w:rsid w:val="008E201F"/>
    <w:rsid w:val="008E2437"/>
    <w:rsid w:val="008E26BC"/>
    <w:rsid w:val="008E2C6C"/>
    <w:rsid w:val="008E3222"/>
    <w:rsid w:val="008E4811"/>
    <w:rsid w:val="008E4861"/>
    <w:rsid w:val="008E4E1C"/>
    <w:rsid w:val="008E4EEE"/>
    <w:rsid w:val="008E6A39"/>
    <w:rsid w:val="008F0993"/>
    <w:rsid w:val="008F0F41"/>
    <w:rsid w:val="008F1D21"/>
    <w:rsid w:val="008F23FC"/>
    <w:rsid w:val="008F2733"/>
    <w:rsid w:val="008F2881"/>
    <w:rsid w:val="008F39DD"/>
    <w:rsid w:val="008F3FB7"/>
    <w:rsid w:val="008F4354"/>
    <w:rsid w:val="008F54C0"/>
    <w:rsid w:val="008F5747"/>
    <w:rsid w:val="008F69A3"/>
    <w:rsid w:val="008F74DD"/>
    <w:rsid w:val="008F7A9D"/>
    <w:rsid w:val="008F7AD4"/>
    <w:rsid w:val="008F7C9F"/>
    <w:rsid w:val="008F7DCC"/>
    <w:rsid w:val="00900339"/>
    <w:rsid w:val="00900E95"/>
    <w:rsid w:val="00901A36"/>
    <w:rsid w:val="00902253"/>
    <w:rsid w:val="00902560"/>
    <w:rsid w:val="00903553"/>
    <w:rsid w:val="0090379C"/>
    <w:rsid w:val="0090399F"/>
    <w:rsid w:val="00903BB9"/>
    <w:rsid w:val="00904011"/>
    <w:rsid w:val="0090442D"/>
    <w:rsid w:val="0090468A"/>
    <w:rsid w:val="0090545A"/>
    <w:rsid w:val="0090576A"/>
    <w:rsid w:val="00905D14"/>
    <w:rsid w:val="00906523"/>
    <w:rsid w:val="00906BDF"/>
    <w:rsid w:val="00906C57"/>
    <w:rsid w:val="009071A1"/>
    <w:rsid w:val="0090755B"/>
    <w:rsid w:val="0090784C"/>
    <w:rsid w:val="00910109"/>
    <w:rsid w:val="0091220A"/>
    <w:rsid w:val="00912377"/>
    <w:rsid w:val="0091393F"/>
    <w:rsid w:val="00913A75"/>
    <w:rsid w:val="00913CCA"/>
    <w:rsid w:val="00914627"/>
    <w:rsid w:val="00915376"/>
    <w:rsid w:val="00916039"/>
    <w:rsid w:val="00917269"/>
    <w:rsid w:val="0092045E"/>
    <w:rsid w:val="00920692"/>
    <w:rsid w:val="00921222"/>
    <w:rsid w:val="0092197D"/>
    <w:rsid w:val="00921F67"/>
    <w:rsid w:val="00922CA6"/>
    <w:rsid w:val="00922CE0"/>
    <w:rsid w:val="0092318D"/>
    <w:rsid w:val="00923337"/>
    <w:rsid w:val="0092376D"/>
    <w:rsid w:val="00923E7E"/>
    <w:rsid w:val="009241A0"/>
    <w:rsid w:val="00924C79"/>
    <w:rsid w:val="009254B6"/>
    <w:rsid w:val="00925E1D"/>
    <w:rsid w:val="00925E2F"/>
    <w:rsid w:val="00925E93"/>
    <w:rsid w:val="00926190"/>
    <w:rsid w:val="00926F52"/>
    <w:rsid w:val="009275AC"/>
    <w:rsid w:val="00927B23"/>
    <w:rsid w:val="0093018B"/>
    <w:rsid w:val="009304B9"/>
    <w:rsid w:val="009308FF"/>
    <w:rsid w:val="0093183C"/>
    <w:rsid w:val="00931B65"/>
    <w:rsid w:val="00931BA4"/>
    <w:rsid w:val="00932520"/>
    <w:rsid w:val="00932887"/>
    <w:rsid w:val="00932E8F"/>
    <w:rsid w:val="00933106"/>
    <w:rsid w:val="00933281"/>
    <w:rsid w:val="00933A0D"/>
    <w:rsid w:val="00933E27"/>
    <w:rsid w:val="00934108"/>
    <w:rsid w:val="00934518"/>
    <w:rsid w:val="00934E61"/>
    <w:rsid w:val="0093584A"/>
    <w:rsid w:val="0093641E"/>
    <w:rsid w:val="00936686"/>
    <w:rsid w:val="00936DFE"/>
    <w:rsid w:val="009374BC"/>
    <w:rsid w:val="00937847"/>
    <w:rsid w:val="00937A82"/>
    <w:rsid w:val="00940006"/>
    <w:rsid w:val="009401F7"/>
    <w:rsid w:val="00940518"/>
    <w:rsid w:val="0094091A"/>
    <w:rsid w:val="00940AD5"/>
    <w:rsid w:val="00941095"/>
    <w:rsid w:val="0094195B"/>
    <w:rsid w:val="00941C63"/>
    <w:rsid w:val="00941E27"/>
    <w:rsid w:val="0094212E"/>
    <w:rsid w:val="00942637"/>
    <w:rsid w:val="00942784"/>
    <w:rsid w:val="00942C3B"/>
    <w:rsid w:val="00942DB8"/>
    <w:rsid w:val="00942DCE"/>
    <w:rsid w:val="0094383A"/>
    <w:rsid w:val="00943A4D"/>
    <w:rsid w:val="00943C95"/>
    <w:rsid w:val="00944425"/>
    <w:rsid w:val="009446D9"/>
    <w:rsid w:val="00944BBB"/>
    <w:rsid w:val="00944E47"/>
    <w:rsid w:val="00945F67"/>
    <w:rsid w:val="00946540"/>
    <w:rsid w:val="00946B5A"/>
    <w:rsid w:val="00946C42"/>
    <w:rsid w:val="00950656"/>
    <w:rsid w:val="00951334"/>
    <w:rsid w:val="0095149B"/>
    <w:rsid w:val="00951631"/>
    <w:rsid w:val="009519EA"/>
    <w:rsid w:val="00952BDC"/>
    <w:rsid w:val="00952C10"/>
    <w:rsid w:val="00953392"/>
    <w:rsid w:val="009537F7"/>
    <w:rsid w:val="00953E8A"/>
    <w:rsid w:val="0095450E"/>
    <w:rsid w:val="00954722"/>
    <w:rsid w:val="00955076"/>
    <w:rsid w:val="009557E7"/>
    <w:rsid w:val="00955F15"/>
    <w:rsid w:val="00956E31"/>
    <w:rsid w:val="00956F40"/>
    <w:rsid w:val="009570D6"/>
    <w:rsid w:val="0095785F"/>
    <w:rsid w:val="00957C15"/>
    <w:rsid w:val="00957F04"/>
    <w:rsid w:val="0096024C"/>
    <w:rsid w:val="009615AE"/>
    <w:rsid w:val="00961A75"/>
    <w:rsid w:val="0096216A"/>
    <w:rsid w:val="0096224B"/>
    <w:rsid w:val="009627CE"/>
    <w:rsid w:val="00962A39"/>
    <w:rsid w:val="0096336D"/>
    <w:rsid w:val="00963C05"/>
    <w:rsid w:val="00964C8D"/>
    <w:rsid w:val="00964F2E"/>
    <w:rsid w:val="00965180"/>
    <w:rsid w:val="009652D0"/>
    <w:rsid w:val="00965794"/>
    <w:rsid w:val="0096584B"/>
    <w:rsid w:val="009659ED"/>
    <w:rsid w:val="00966A38"/>
    <w:rsid w:val="00966FB5"/>
    <w:rsid w:val="0096737D"/>
    <w:rsid w:val="0096748F"/>
    <w:rsid w:val="00967EC8"/>
    <w:rsid w:val="00970144"/>
    <w:rsid w:val="0097026A"/>
    <w:rsid w:val="00970371"/>
    <w:rsid w:val="00970495"/>
    <w:rsid w:val="00970A7C"/>
    <w:rsid w:val="00971847"/>
    <w:rsid w:val="00971F17"/>
    <w:rsid w:val="0097218C"/>
    <w:rsid w:val="00972D32"/>
    <w:rsid w:val="00972E0A"/>
    <w:rsid w:val="00973FB1"/>
    <w:rsid w:val="009748DE"/>
    <w:rsid w:val="009755F3"/>
    <w:rsid w:val="00975C3B"/>
    <w:rsid w:val="00975FB0"/>
    <w:rsid w:val="00976175"/>
    <w:rsid w:val="009768DF"/>
    <w:rsid w:val="00977BBF"/>
    <w:rsid w:val="00977CF4"/>
    <w:rsid w:val="009809B4"/>
    <w:rsid w:val="0098114F"/>
    <w:rsid w:val="00981682"/>
    <w:rsid w:val="00981D5F"/>
    <w:rsid w:val="009826CE"/>
    <w:rsid w:val="00982ECD"/>
    <w:rsid w:val="00983577"/>
    <w:rsid w:val="00983E6E"/>
    <w:rsid w:val="009841A9"/>
    <w:rsid w:val="00984DAA"/>
    <w:rsid w:val="00984E88"/>
    <w:rsid w:val="00984EB7"/>
    <w:rsid w:val="0098505E"/>
    <w:rsid w:val="00985063"/>
    <w:rsid w:val="009857A9"/>
    <w:rsid w:val="00985902"/>
    <w:rsid w:val="00985A59"/>
    <w:rsid w:val="00985C51"/>
    <w:rsid w:val="00985ED8"/>
    <w:rsid w:val="00986B47"/>
    <w:rsid w:val="009874E7"/>
    <w:rsid w:val="00987829"/>
    <w:rsid w:val="00987ABC"/>
    <w:rsid w:val="00990368"/>
    <w:rsid w:val="0099053A"/>
    <w:rsid w:val="00991187"/>
    <w:rsid w:val="009928D9"/>
    <w:rsid w:val="009929A7"/>
    <w:rsid w:val="00992ECF"/>
    <w:rsid w:val="0099333F"/>
    <w:rsid w:val="00993382"/>
    <w:rsid w:val="0099341A"/>
    <w:rsid w:val="00993C62"/>
    <w:rsid w:val="00994273"/>
    <w:rsid w:val="009945EF"/>
    <w:rsid w:val="00994AC0"/>
    <w:rsid w:val="0099504B"/>
    <w:rsid w:val="0099530E"/>
    <w:rsid w:val="009953CE"/>
    <w:rsid w:val="00995527"/>
    <w:rsid w:val="0099581B"/>
    <w:rsid w:val="009972D9"/>
    <w:rsid w:val="00997A03"/>
    <w:rsid w:val="009A03F5"/>
    <w:rsid w:val="009A142A"/>
    <w:rsid w:val="009A1A20"/>
    <w:rsid w:val="009A1E38"/>
    <w:rsid w:val="009A1E52"/>
    <w:rsid w:val="009A2A18"/>
    <w:rsid w:val="009A2B7E"/>
    <w:rsid w:val="009A2D1F"/>
    <w:rsid w:val="009A4575"/>
    <w:rsid w:val="009A5039"/>
    <w:rsid w:val="009A534E"/>
    <w:rsid w:val="009A5816"/>
    <w:rsid w:val="009A6561"/>
    <w:rsid w:val="009A661F"/>
    <w:rsid w:val="009A685B"/>
    <w:rsid w:val="009A6F9B"/>
    <w:rsid w:val="009A793B"/>
    <w:rsid w:val="009A79E1"/>
    <w:rsid w:val="009A7C99"/>
    <w:rsid w:val="009B00A3"/>
    <w:rsid w:val="009B079B"/>
    <w:rsid w:val="009B0868"/>
    <w:rsid w:val="009B0BDF"/>
    <w:rsid w:val="009B0F35"/>
    <w:rsid w:val="009B17C4"/>
    <w:rsid w:val="009B1B16"/>
    <w:rsid w:val="009B1C19"/>
    <w:rsid w:val="009B1EE1"/>
    <w:rsid w:val="009B2479"/>
    <w:rsid w:val="009B2CCC"/>
    <w:rsid w:val="009B3671"/>
    <w:rsid w:val="009B4553"/>
    <w:rsid w:val="009B4755"/>
    <w:rsid w:val="009B4AB2"/>
    <w:rsid w:val="009B4BA3"/>
    <w:rsid w:val="009B4F92"/>
    <w:rsid w:val="009B54FD"/>
    <w:rsid w:val="009B57C8"/>
    <w:rsid w:val="009B5C30"/>
    <w:rsid w:val="009B5D66"/>
    <w:rsid w:val="009B6027"/>
    <w:rsid w:val="009B612A"/>
    <w:rsid w:val="009B6140"/>
    <w:rsid w:val="009B6E68"/>
    <w:rsid w:val="009B76B9"/>
    <w:rsid w:val="009B7A21"/>
    <w:rsid w:val="009B7E6F"/>
    <w:rsid w:val="009B7F92"/>
    <w:rsid w:val="009C04A2"/>
    <w:rsid w:val="009C127E"/>
    <w:rsid w:val="009C1921"/>
    <w:rsid w:val="009C1A52"/>
    <w:rsid w:val="009C1CA2"/>
    <w:rsid w:val="009C2226"/>
    <w:rsid w:val="009C2EEC"/>
    <w:rsid w:val="009C3353"/>
    <w:rsid w:val="009C459C"/>
    <w:rsid w:val="009C481A"/>
    <w:rsid w:val="009C4C63"/>
    <w:rsid w:val="009C4CDD"/>
    <w:rsid w:val="009C4F07"/>
    <w:rsid w:val="009C4FB1"/>
    <w:rsid w:val="009C54D0"/>
    <w:rsid w:val="009C5859"/>
    <w:rsid w:val="009C59D8"/>
    <w:rsid w:val="009C5CC1"/>
    <w:rsid w:val="009C660D"/>
    <w:rsid w:val="009C6644"/>
    <w:rsid w:val="009C699C"/>
    <w:rsid w:val="009C6B29"/>
    <w:rsid w:val="009C6C18"/>
    <w:rsid w:val="009C7305"/>
    <w:rsid w:val="009C75EE"/>
    <w:rsid w:val="009C775F"/>
    <w:rsid w:val="009C7B82"/>
    <w:rsid w:val="009C7C14"/>
    <w:rsid w:val="009D01C2"/>
    <w:rsid w:val="009D03A8"/>
    <w:rsid w:val="009D0901"/>
    <w:rsid w:val="009D0EAC"/>
    <w:rsid w:val="009D1CD4"/>
    <w:rsid w:val="009D2306"/>
    <w:rsid w:val="009D260D"/>
    <w:rsid w:val="009D286A"/>
    <w:rsid w:val="009D288F"/>
    <w:rsid w:val="009D3195"/>
    <w:rsid w:val="009D398A"/>
    <w:rsid w:val="009D3C8B"/>
    <w:rsid w:val="009D43C1"/>
    <w:rsid w:val="009D4611"/>
    <w:rsid w:val="009D4D29"/>
    <w:rsid w:val="009D61F6"/>
    <w:rsid w:val="009D6244"/>
    <w:rsid w:val="009D6256"/>
    <w:rsid w:val="009D70A2"/>
    <w:rsid w:val="009D7383"/>
    <w:rsid w:val="009D7889"/>
    <w:rsid w:val="009D7C86"/>
    <w:rsid w:val="009E0256"/>
    <w:rsid w:val="009E0AAA"/>
    <w:rsid w:val="009E0E36"/>
    <w:rsid w:val="009E1527"/>
    <w:rsid w:val="009E19A3"/>
    <w:rsid w:val="009E1D7F"/>
    <w:rsid w:val="009E239D"/>
    <w:rsid w:val="009E2968"/>
    <w:rsid w:val="009E2D38"/>
    <w:rsid w:val="009E33AF"/>
    <w:rsid w:val="009E37A6"/>
    <w:rsid w:val="009E3B79"/>
    <w:rsid w:val="009E3B87"/>
    <w:rsid w:val="009E43E5"/>
    <w:rsid w:val="009E4FDF"/>
    <w:rsid w:val="009E53F7"/>
    <w:rsid w:val="009E552F"/>
    <w:rsid w:val="009E5639"/>
    <w:rsid w:val="009E59CC"/>
    <w:rsid w:val="009E61FD"/>
    <w:rsid w:val="009E71F0"/>
    <w:rsid w:val="009E7478"/>
    <w:rsid w:val="009E7870"/>
    <w:rsid w:val="009E7E0E"/>
    <w:rsid w:val="009F1060"/>
    <w:rsid w:val="009F1CD9"/>
    <w:rsid w:val="009F2B3B"/>
    <w:rsid w:val="009F2F10"/>
    <w:rsid w:val="009F3EA9"/>
    <w:rsid w:val="009F4108"/>
    <w:rsid w:val="009F4672"/>
    <w:rsid w:val="009F4721"/>
    <w:rsid w:val="009F48CC"/>
    <w:rsid w:val="009F4A8B"/>
    <w:rsid w:val="009F4F77"/>
    <w:rsid w:val="009F5479"/>
    <w:rsid w:val="009F599A"/>
    <w:rsid w:val="009F5C2A"/>
    <w:rsid w:val="009F6310"/>
    <w:rsid w:val="009F73F7"/>
    <w:rsid w:val="009F76FC"/>
    <w:rsid w:val="00A00045"/>
    <w:rsid w:val="00A006E0"/>
    <w:rsid w:val="00A00AE1"/>
    <w:rsid w:val="00A00CE0"/>
    <w:rsid w:val="00A01068"/>
    <w:rsid w:val="00A023B9"/>
    <w:rsid w:val="00A024D0"/>
    <w:rsid w:val="00A0285D"/>
    <w:rsid w:val="00A0288B"/>
    <w:rsid w:val="00A02899"/>
    <w:rsid w:val="00A02A68"/>
    <w:rsid w:val="00A02B25"/>
    <w:rsid w:val="00A02E68"/>
    <w:rsid w:val="00A02F00"/>
    <w:rsid w:val="00A02F04"/>
    <w:rsid w:val="00A043B5"/>
    <w:rsid w:val="00A04C12"/>
    <w:rsid w:val="00A054A1"/>
    <w:rsid w:val="00A05C68"/>
    <w:rsid w:val="00A05E0D"/>
    <w:rsid w:val="00A06631"/>
    <w:rsid w:val="00A06CA6"/>
    <w:rsid w:val="00A06EFA"/>
    <w:rsid w:val="00A0704D"/>
    <w:rsid w:val="00A079C6"/>
    <w:rsid w:val="00A07E31"/>
    <w:rsid w:val="00A10368"/>
    <w:rsid w:val="00A1045B"/>
    <w:rsid w:val="00A10826"/>
    <w:rsid w:val="00A10ED0"/>
    <w:rsid w:val="00A11365"/>
    <w:rsid w:val="00A1147D"/>
    <w:rsid w:val="00A1192E"/>
    <w:rsid w:val="00A11CA2"/>
    <w:rsid w:val="00A11E67"/>
    <w:rsid w:val="00A120DF"/>
    <w:rsid w:val="00A12970"/>
    <w:rsid w:val="00A13067"/>
    <w:rsid w:val="00A13A36"/>
    <w:rsid w:val="00A14F68"/>
    <w:rsid w:val="00A155A7"/>
    <w:rsid w:val="00A15856"/>
    <w:rsid w:val="00A16B58"/>
    <w:rsid w:val="00A177B9"/>
    <w:rsid w:val="00A207A9"/>
    <w:rsid w:val="00A208AF"/>
    <w:rsid w:val="00A208BE"/>
    <w:rsid w:val="00A21170"/>
    <w:rsid w:val="00A214D2"/>
    <w:rsid w:val="00A2182B"/>
    <w:rsid w:val="00A219FB"/>
    <w:rsid w:val="00A234DD"/>
    <w:rsid w:val="00A23A9D"/>
    <w:rsid w:val="00A23D6B"/>
    <w:rsid w:val="00A24205"/>
    <w:rsid w:val="00A24734"/>
    <w:rsid w:val="00A25C2E"/>
    <w:rsid w:val="00A265CF"/>
    <w:rsid w:val="00A2756A"/>
    <w:rsid w:val="00A27F8E"/>
    <w:rsid w:val="00A3042C"/>
    <w:rsid w:val="00A3069A"/>
    <w:rsid w:val="00A306CC"/>
    <w:rsid w:val="00A30E4D"/>
    <w:rsid w:val="00A31874"/>
    <w:rsid w:val="00A31C1D"/>
    <w:rsid w:val="00A3209B"/>
    <w:rsid w:val="00A320AF"/>
    <w:rsid w:val="00A323B9"/>
    <w:rsid w:val="00A3310D"/>
    <w:rsid w:val="00A33453"/>
    <w:rsid w:val="00A3347A"/>
    <w:rsid w:val="00A3356C"/>
    <w:rsid w:val="00A336EA"/>
    <w:rsid w:val="00A34D4A"/>
    <w:rsid w:val="00A3539E"/>
    <w:rsid w:val="00A357F6"/>
    <w:rsid w:val="00A35AF4"/>
    <w:rsid w:val="00A36362"/>
    <w:rsid w:val="00A367C3"/>
    <w:rsid w:val="00A37143"/>
    <w:rsid w:val="00A37A14"/>
    <w:rsid w:val="00A37F9C"/>
    <w:rsid w:val="00A406C2"/>
    <w:rsid w:val="00A40973"/>
    <w:rsid w:val="00A41A55"/>
    <w:rsid w:val="00A41C33"/>
    <w:rsid w:val="00A42104"/>
    <w:rsid w:val="00A437FE"/>
    <w:rsid w:val="00A43E57"/>
    <w:rsid w:val="00A43E9B"/>
    <w:rsid w:val="00A44314"/>
    <w:rsid w:val="00A4565D"/>
    <w:rsid w:val="00A46C70"/>
    <w:rsid w:val="00A46DB6"/>
    <w:rsid w:val="00A4775B"/>
    <w:rsid w:val="00A47B4E"/>
    <w:rsid w:val="00A47F91"/>
    <w:rsid w:val="00A50DFE"/>
    <w:rsid w:val="00A50E6B"/>
    <w:rsid w:val="00A51E21"/>
    <w:rsid w:val="00A525C4"/>
    <w:rsid w:val="00A52675"/>
    <w:rsid w:val="00A52D34"/>
    <w:rsid w:val="00A538EC"/>
    <w:rsid w:val="00A53EB6"/>
    <w:rsid w:val="00A55466"/>
    <w:rsid w:val="00A5610E"/>
    <w:rsid w:val="00A56696"/>
    <w:rsid w:val="00A569FE"/>
    <w:rsid w:val="00A56D37"/>
    <w:rsid w:val="00A56EF7"/>
    <w:rsid w:val="00A5774F"/>
    <w:rsid w:val="00A57A02"/>
    <w:rsid w:val="00A57EC3"/>
    <w:rsid w:val="00A609FD"/>
    <w:rsid w:val="00A60BB3"/>
    <w:rsid w:val="00A61249"/>
    <w:rsid w:val="00A62EE9"/>
    <w:rsid w:val="00A63E6E"/>
    <w:rsid w:val="00A6407E"/>
    <w:rsid w:val="00A65312"/>
    <w:rsid w:val="00A65B52"/>
    <w:rsid w:val="00A6636A"/>
    <w:rsid w:val="00A66A4D"/>
    <w:rsid w:val="00A66D9E"/>
    <w:rsid w:val="00A66F04"/>
    <w:rsid w:val="00A66FDB"/>
    <w:rsid w:val="00A6715F"/>
    <w:rsid w:val="00A674E7"/>
    <w:rsid w:val="00A67537"/>
    <w:rsid w:val="00A6794F"/>
    <w:rsid w:val="00A67EA2"/>
    <w:rsid w:val="00A7028D"/>
    <w:rsid w:val="00A70B15"/>
    <w:rsid w:val="00A71107"/>
    <w:rsid w:val="00A7132D"/>
    <w:rsid w:val="00A717F8"/>
    <w:rsid w:val="00A718FC"/>
    <w:rsid w:val="00A71C66"/>
    <w:rsid w:val="00A72034"/>
    <w:rsid w:val="00A72EBE"/>
    <w:rsid w:val="00A72EE0"/>
    <w:rsid w:val="00A73B8A"/>
    <w:rsid w:val="00A74085"/>
    <w:rsid w:val="00A74498"/>
    <w:rsid w:val="00A747D4"/>
    <w:rsid w:val="00A749B2"/>
    <w:rsid w:val="00A74C55"/>
    <w:rsid w:val="00A74F68"/>
    <w:rsid w:val="00A755FE"/>
    <w:rsid w:val="00A760B4"/>
    <w:rsid w:val="00A76493"/>
    <w:rsid w:val="00A76503"/>
    <w:rsid w:val="00A7789C"/>
    <w:rsid w:val="00A80F3E"/>
    <w:rsid w:val="00A81624"/>
    <w:rsid w:val="00A820A8"/>
    <w:rsid w:val="00A82251"/>
    <w:rsid w:val="00A823A9"/>
    <w:rsid w:val="00A824E0"/>
    <w:rsid w:val="00A8309C"/>
    <w:rsid w:val="00A83E60"/>
    <w:rsid w:val="00A8411C"/>
    <w:rsid w:val="00A84386"/>
    <w:rsid w:val="00A84653"/>
    <w:rsid w:val="00A846FC"/>
    <w:rsid w:val="00A8526D"/>
    <w:rsid w:val="00A86DE0"/>
    <w:rsid w:val="00A86FC9"/>
    <w:rsid w:val="00A871C4"/>
    <w:rsid w:val="00A879B8"/>
    <w:rsid w:val="00A9028A"/>
    <w:rsid w:val="00A9052D"/>
    <w:rsid w:val="00A907D3"/>
    <w:rsid w:val="00A90993"/>
    <w:rsid w:val="00A912CC"/>
    <w:rsid w:val="00A92F2B"/>
    <w:rsid w:val="00A93C78"/>
    <w:rsid w:val="00A93CA2"/>
    <w:rsid w:val="00A94517"/>
    <w:rsid w:val="00A94D3E"/>
    <w:rsid w:val="00A953EB"/>
    <w:rsid w:val="00A95E54"/>
    <w:rsid w:val="00A9655F"/>
    <w:rsid w:val="00A9656F"/>
    <w:rsid w:val="00A978C3"/>
    <w:rsid w:val="00AA0B54"/>
    <w:rsid w:val="00AA0D8A"/>
    <w:rsid w:val="00AA0DAD"/>
    <w:rsid w:val="00AA1F7E"/>
    <w:rsid w:val="00AA21BF"/>
    <w:rsid w:val="00AA24C5"/>
    <w:rsid w:val="00AA3284"/>
    <w:rsid w:val="00AA34F6"/>
    <w:rsid w:val="00AA3BBC"/>
    <w:rsid w:val="00AA3DAA"/>
    <w:rsid w:val="00AA42EF"/>
    <w:rsid w:val="00AA42F8"/>
    <w:rsid w:val="00AA4310"/>
    <w:rsid w:val="00AA4A58"/>
    <w:rsid w:val="00AA5612"/>
    <w:rsid w:val="00AA565B"/>
    <w:rsid w:val="00AA5BE1"/>
    <w:rsid w:val="00AA5ED7"/>
    <w:rsid w:val="00AA6590"/>
    <w:rsid w:val="00AA68A9"/>
    <w:rsid w:val="00AA6B6C"/>
    <w:rsid w:val="00AA7E5F"/>
    <w:rsid w:val="00AB00A0"/>
    <w:rsid w:val="00AB010D"/>
    <w:rsid w:val="00AB0B43"/>
    <w:rsid w:val="00AB0EE1"/>
    <w:rsid w:val="00AB10A3"/>
    <w:rsid w:val="00AB12A2"/>
    <w:rsid w:val="00AB2A6D"/>
    <w:rsid w:val="00AB3336"/>
    <w:rsid w:val="00AB357C"/>
    <w:rsid w:val="00AB3D49"/>
    <w:rsid w:val="00AB415A"/>
    <w:rsid w:val="00AB446E"/>
    <w:rsid w:val="00AB44A6"/>
    <w:rsid w:val="00AB4A96"/>
    <w:rsid w:val="00AB50E3"/>
    <w:rsid w:val="00AB537B"/>
    <w:rsid w:val="00AB5428"/>
    <w:rsid w:val="00AB583D"/>
    <w:rsid w:val="00AB5992"/>
    <w:rsid w:val="00AB59B8"/>
    <w:rsid w:val="00AB5F0F"/>
    <w:rsid w:val="00AB6534"/>
    <w:rsid w:val="00AB65B4"/>
    <w:rsid w:val="00AB6BC7"/>
    <w:rsid w:val="00AB6C12"/>
    <w:rsid w:val="00AB7392"/>
    <w:rsid w:val="00AB778E"/>
    <w:rsid w:val="00AB7B68"/>
    <w:rsid w:val="00AC02B7"/>
    <w:rsid w:val="00AC06EC"/>
    <w:rsid w:val="00AC1522"/>
    <w:rsid w:val="00AC17D4"/>
    <w:rsid w:val="00AC1F89"/>
    <w:rsid w:val="00AC304F"/>
    <w:rsid w:val="00AC3C2C"/>
    <w:rsid w:val="00AC43CF"/>
    <w:rsid w:val="00AC446A"/>
    <w:rsid w:val="00AC47B4"/>
    <w:rsid w:val="00AC4C4E"/>
    <w:rsid w:val="00AC4F46"/>
    <w:rsid w:val="00AC501E"/>
    <w:rsid w:val="00AC5782"/>
    <w:rsid w:val="00AC5CF6"/>
    <w:rsid w:val="00AC6131"/>
    <w:rsid w:val="00AC6148"/>
    <w:rsid w:val="00AC684B"/>
    <w:rsid w:val="00AC697F"/>
    <w:rsid w:val="00AC6BE6"/>
    <w:rsid w:val="00AC6EA8"/>
    <w:rsid w:val="00AC72C4"/>
    <w:rsid w:val="00AC78C3"/>
    <w:rsid w:val="00AC7C78"/>
    <w:rsid w:val="00AC7F3C"/>
    <w:rsid w:val="00AD0257"/>
    <w:rsid w:val="00AD1B93"/>
    <w:rsid w:val="00AD1DB3"/>
    <w:rsid w:val="00AD1DC6"/>
    <w:rsid w:val="00AD1F5A"/>
    <w:rsid w:val="00AD2179"/>
    <w:rsid w:val="00AD25D6"/>
    <w:rsid w:val="00AD291A"/>
    <w:rsid w:val="00AD33F0"/>
    <w:rsid w:val="00AD385E"/>
    <w:rsid w:val="00AD3A7D"/>
    <w:rsid w:val="00AD404F"/>
    <w:rsid w:val="00AD4071"/>
    <w:rsid w:val="00AD4264"/>
    <w:rsid w:val="00AD4A62"/>
    <w:rsid w:val="00AD51ED"/>
    <w:rsid w:val="00AD60A9"/>
    <w:rsid w:val="00AD6194"/>
    <w:rsid w:val="00AD6675"/>
    <w:rsid w:val="00AD70D2"/>
    <w:rsid w:val="00AD73C8"/>
    <w:rsid w:val="00AD76F2"/>
    <w:rsid w:val="00AE0555"/>
    <w:rsid w:val="00AE07BF"/>
    <w:rsid w:val="00AE0CBD"/>
    <w:rsid w:val="00AE19D7"/>
    <w:rsid w:val="00AE1A68"/>
    <w:rsid w:val="00AE1D1C"/>
    <w:rsid w:val="00AE1FD5"/>
    <w:rsid w:val="00AE252A"/>
    <w:rsid w:val="00AE2CA2"/>
    <w:rsid w:val="00AE2DFD"/>
    <w:rsid w:val="00AE33C7"/>
    <w:rsid w:val="00AE3A65"/>
    <w:rsid w:val="00AE3FA3"/>
    <w:rsid w:val="00AE4178"/>
    <w:rsid w:val="00AE4C9C"/>
    <w:rsid w:val="00AE6333"/>
    <w:rsid w:val="00AE6664"/>
    <w:rsid w:val="00AE6C41"/>
    <w:rsid w:val="00AE77BD"/>
    <w:rsid w:val="00AF03A7"/>
    <w:rsid w:val="00AF07B2"/>
    <w:rsid w:val="00AF0A42"/>
    <w:rsid w:val="00AF0EDF"/>
    <w:rsid w:val="00AF1E4F"/>
    <w:rsid w:val="00AF1F58"/>
    <w:rsid w:val="00AF22C2"/>
    <w:rsid w:val="00AF2A45"/>
    <w:rsid w:val="00AF3692"/>
    <w:rsid w:val="00AF3B51"/>
    <w:rsid w:val="00AF3BB9"/>
    <w:rsid w:val="00AF4121"/>
    <w:rsid w:val="00AF579F"/>
    <w:rsid w:val="00AF59E0"/>
    <w:rsid w:val="00AF616B"/>
    <w:rsid w:val="00AF6942"/>
    <w:rsid w:val="00AF7D3F"/>
    <w:rsid w:val="00AF7EED"/>
    <w:rsid w:val="00AF7EFC"/>
    <w:rsid w:val="00B000E8"/>
    <w:rsid w:val="00B004EF"/>
    <w:rsid w:val="00B00F88"/>
    <w:rsid w:val="00B01333"/>
    <w:rsid w:val="00B013B6"/>
    <w:rsid w:val="00B016BD"/>
    <w:rsid w:val="00B01F43"/>
    <w:rsid w:val="00B026C3"/>
    <w:rsid w:val="00B031D0"/>
    <w:rsid w:val="00B03E3C"/>
    <w:rsid w:val="00B03F8D"/>
    <w:rsid w:val="00B048CE"/>
    <w:rsid w:val="00B05100"/>
    <w:rsid w:val="00B05D9C"/>
    <w:rsid w:val="00B05EC6"/>
    <w:rsid w:val="00B063FC"/>
    <w:rsid w:val="00B07D4D"/>
    <w:rsid w:val="00B104AC"/>
    <w:rsid w:val="00B1067B"/>
    <w:rsid w:val="00B10874"/>
    <w:rsid w:val="00B10ACD"/>
    <w:rsid w:val="00B110A4"/>
    <w:rsid w:val="00B11995"/>
    <w:rsid w:val="00B11E16"/>
    <w:rsid w:val="00B12301"/>
    <w:rsid w:val="00B127DD"/>
    <w:rsid w:val="00B13B3A"/>
    <w:rsid w:val="00B14141"/>
    <w:rsid w:val="00B14168"/>
    <w:rsid w:val="00B152CA"/>
    <w:rsid w:val="00B15DB5"/>
    <w:rsid w:val="00B16D13"/>
    <w:rsid w:val="00B177C2"/>
    <w:rsid w:val="00B20390"/>
    <w:rsid w:val="00B20504"/>
    <w:rsid w:val="00B205CD"/>
    <w:rsid w:val="00B20D28"/>
    <w:rsid w:val="00B222EB"/>
    <w:rsid w:val="00B22F3B"/>
    <w:rsid w:val="00B232C5"/>
    <w:rsid w:val="00B237D5"/>
    <w:rsid w:val="00B24992"/>
    <w:rsid w:val="00B24E06"/>
    <w:rsid w:val="00B251EC"/>
    <w:rsid w:val="00B25321"/>
    <w:rsid w:val="00B256A7"/>
    <w:rsid w:val="00B25B8E"/>
    <w:rsid w:val="00B25C65"/>
    <w:rsid w:val="00B25C6B"/>
    <w:rsid w:val="00B2692E"/>
    <w:rsid w:val="00B26AE0"/>
    <w:rsid w:val="00B27469"/>
    <w:rsid w:val="00B27545"/>
    <w:rsid w:val="00B30230"/>
    <w:rsid w:val="00B30733"/>
    <w:rsid w:val="00B307BA"/>
    <w:rsid w:val="00B31BE2"/>
    <w:rsid w:val="00B32792"/>
    <w:rsid w:val="00B32DDF"/>
    <w:rsid w:val="00B33719"/>
    <w:rsid w:val="00B3462E"/>
    <w:rsid w:val="00B348EF"/>
    <w:rsid w:val="00B35149"/>
    <w:rsid w:val="00B35D95"/>
    <w:rsid w:val="00B36090"/>
    <w:rsid w:val="00B36A83"/>
    <w:rsid w:val="00B36FE1"/>
    <w:rsid w:val="00B370E3"/>
    <w:rsid w:val="00B37459"/>
    <w:rsid w:val="00B37AC0"/>
    <w:rsid w:val="00B401C7"/>
    <w:rsid w:val="00B4067C"/>
    <w:rsid w:val="00B40815"/>
    <w:rsid w:val="00B40C75"/>
    <w:rsid w:val="00B40D10"/>
    <w:rsid w:val="00B40EE7"/>
    <w:rsid w:val="00B41C0C"/>
    <w:rsid w:val="00B424B9"/>
    <w:rsid w:val="00B4256C"/>
    <w:rsid w:val="00B42A8B"/>
    <w:rsid w:val="00B43099"/>
    <w:rsid w:val="00B441FC"/>
    <w:rsid w:val="00B45147"/>
    <w:rsid w:val="00B459F3"/>
    <w:rsid w:val="00B45AE1"/>
    <w:rsid w:val="00B4685F"/>
    <w:rsid w:val="00B4703E"/>
    <w:rsid w:val="00B47393"/>
    <w:rsid w:val="00B476D3"/>
    <w:rsid w:val="00B4775E"/>
    <w:rsid w:val="00B47B09"/>
    <w:rsid w:val="00B47F2A"/>
    <w:rsid w:val="00B50007"/>
    <w:rsid w:val="00B50A4C"/>
    <w:rsid w:val="00B50BF1"/>
    <w:rsid w:val="00B50DE7"/>
    <w:rsid w:val="00B51D99"/>
    <w:rsid w:val="00B52360"/>
    <w:rsid w:val="00B527B6"/>
    <w:rsid w:val="00B52F27"/>
    <w:rsid w:val="00B5316B"/>
    <w:rsid w:val="00B53300"/>
    <w:rsid w:val="00B534C1"/>
    <w:rsid w:val="00B53A80"/>
    <w:rsid w:val="00B54378"/>
    <w:rsid w:val="00B543E2"/>
    <w:rsid w:val="00B54625"/>
    <w:rsid w:val="00B54BAA"/>
    <w:rsid w:val="00B55231"/>
    <w:rsid w:val="00B552AE"/>
    <w:rsid w:val="00B557E2"/>
    <w:rsid w:val="00B56209"/>
    <w:rsid w:val="00B5627B"/>
    <w:rsid w:val="00B5687A"/>
    <w:rsid w:val="00B578DB"/>
    <w:rsid w:val="00B57AEF"/>
    <w:rsid w:val="00B6017D"/>
    <w:rsid w:val="00B605DB"/>
    <w:rsid w:val="00B6100C"/>
    <w:rsid w:val="00B61725"/>
    <w:rsid w:val="00B61A58"/>
    <w:rsid w:val="00B61BAA"/>
    <w:rsid w:val="00B61D64"/>
    <w:rsid w:val="00B622F4"/>
    <w:rsid w:val="00B63156"/>
    <w:rsid w:val="00B63741"/>
    <w:rsid w:val="00B63838"/>
    <w:rsid w:val="00B641C1"/>
    <w:rsid w:val="00B64441"/>
    <w:rsid w:val="00B6491E"/>
    <w:rsid w:val="00B64975"/>
    <w:rsid w:val="00B656D5"/>
    <w:rsid w:val="00B65EF5"/>
    <w:rsid w:val="00B65F1B"/>
    <w:rsid w:val="00B66373"/>
    <w:rsid w:val="00B66B38"/>
    <w:rsid w:val="00B66F59"/>
    <w:rsid w:val="00B66FEE"/>
    <w:rsid w:val="00B6709E"/>
    <w:rsid w:val="00B675B1"/>
    <w:rsid w:val="00B7059E"/>
    <w:rsid w:val="00B70F7F"/>
    <w:rsid w:val="00B71182"/>
    <w:rsid w:val="00B7143C"/>
    <w:rsid w:val="00B71791"/>
    <w:rsid w:val="00B71BF4"/>
    <w:rsid w:val="00B71C87"/>
    <w:rsid w:val="00B71E76"/>
    <w:rsid w:val="00B71E81"/>
    <w:rsid w:val="00B72E73"/>
    <w:rsid w:val="00B73E70"/>
    <w:rsid w:val="00B75801"/>
    <w:rsid w:val="00B758C0"/>
    <w:rsid w:val="00B75AC0"/>
    <w:rsid w:val="00B77172"/>
    <w:rsid w:val="00B776AD"/>
    <w:rsid w:val="00B777F9"/>
    <w:rsid w:val="00B80454"/>
    <w:rsid w:val="00B80B1E"/>
    <w:rsid w:val="00B8213E"/>
    <w:rsid w:val="00B8255E"/>
    <w:rsid w:val="00B82778"/>
    <w:rsid w:val="00B828A9"/>
    <w:rsid w:val="00B831A6"/>
    <w:rsid w:val="00B8331B"/>
    <w:rsid w:val="00B833BE"/>
    <w:rsid w:val="00B836E2"/>
    <w:rsid w:val="00B8455D"/>
    <w:rsid w:val="00B84891"/>
    <w:rsid w:val="00B85717"/>
    <w:rsid w:val="00B8593F"/>
    <w:rsid w:val="00B85B11"/>
    <w:rsid w:val="00B85C9C"/>
    <w:rsid w:val="00B86017"/>
    <w:rsid w:val="00B86523"/>
    <w:rsid w:val="00B86532"/>
    <w:rsid w:val="00B8671A"/>
    <w:rsid w:val="00B87CAA"/>
    <w:rsid w:val="00B90292"/>
    <w:rsid w:val="00B90CCC"/>
    <w:rsid w:val="00B91975"/>
    <w:rsid w:val="00B9226F"/>
    <w:rsid w:val="00B9395C"/>
    <w:rsid w:val="00B9401F"/>
    <w:rsid w:val="00B94419"/>
    <w:rsid w:val="00B94892"/>
    <w:rsid w:val="00B94895"/>
    <w:rsid w:val="00B9490D"/>
    <w:rsid w:val="00B94DE1"/>
    <w:rsid w:val="00B94F0F"/>
    <w:rsid w:val="00B95B20"/>
    <w:rsid w:val="00B9670B"/>
    <w:rsid w:val="00B968BB"/>
    <w:rsid w:val="00B96BF6"/>
    <w:rsid w:val="00B96F32"/>
    <w:rsid w:val="00B97C81"/>
    <w:rsid w:val="00B97E4D"/>
    <w:rsid w:val="00BA052D"/>
    <w:rsid w:val="00BA0E7E"/>
    <w:rsid w:val="00BA126F"/>
    <w:rsid w:val="00BA30D9"/>
    <w:rsid w:val="00BA3ABF"/>
    <w:rsid w:val="00BA3B8F"/>
    <w:rsid w:val="00BA40A6"/>
    <w:rsid w:val="00BA4B88"/>
    <w:rsid w:val="00BA5209"/>
    <w:rsid w:val="00BA5574"/>
    <w:rsid w:val="00BA60B7"/>
    <w:rsid w:val="00BA658D"/>
    <w:rsid w:val="00BA723C"/>
    <w:rsid w:val="00BA757C"/>
    <w:rsid w:val="00BB000B"/>
    <w:rsid w:val="00BB07BF"/>
    <w:rsid w:val="00BB0897"/>
    <w:rsid w:val="00BB0F2A"/>
    <w:rsid w:val="00BB1636"/>
    <w:rsid w:val="00BB177D"/>
    <w:rsid w:val="00BB232A"/>
    <w:rsid w:val="00BB25D1"/>
    <w:rsid w:val="00BB27D7"/>
    <w:rsid w:val="00BB2D18"/>
    <w:rsid w:val="00BB374A"/>
    <w:rsid w:val="00BB3B8E"/>
    <w:rsid w:val="00BB3D56"/>
    <w:rsid w:val="00BB42E7"/>
    <w:rsid w:val="00BB4BAE"/>
    <w:rsid w:val="00BB4DC2"/>
    <w:rsid w:val="00BB522C"/>
    <w:rsid w:val="00BB545A"/>
    <w:rsid w:val="00BB592B"/>
    <w:rsid w:val="00BB5931"/>
    <w:rsid w:val="00BB5F73"/>
    <w:rsid w:val="00BB6468"/>
    <w:rsid w:val="00BB722B"/>
    <w:rsid w:val="00BB767C"/>
    <w:rsid w:val="00BB76E6"/>
    <w:rsid w:val="00BB7D3E"/>
    <w:rsid w:val="00BC007D"/>
    <w:rsid w:val="00BC114F"/>
    <w:rsid w:val="00BC17F7"/>
    <w:rsid w:val="00BC1C46"/>
    <w:rsid w:val="00BC1FF2"/>
    <w:rsid w:val="00BC206F"/>
    <w:rsid w:val="00BC2233"/>
    <w:rsid w:val="00BC2311"/>
    <w:rsid w:val="00BC295C"/>
    <w:rsid w:val="00BC2A06"/>
    <w:rsid w:val="00BC306F"/>
    <w:rsid w:val="00BC32B7"/>
    <w:rsid w:val="00BC3BE0"/>
    <w:rsid w:val="00BC3DF6"/>
    <w:rsid w:val="00BC63EB"/>
    <w:rsid w:val="00BC744F"/>
    <w:rsid w:val="00BC75E3"/>
    <w:rsid w:val="00BC77F6"/>
    <w:rsid w:val="00BD0291"/>
    <w:rsid w:val="00BD0752"/>
    <w:rsid w:val="00BD09D5"/>
    <w:rsid w:val="00BD0B92"/>
    <w:rsid w:val="00BD0BF6"/>
    <w:rsid w:val="00BD1221"/>
    <w:rsid w:val="00BD23BA"/>
    <w:rsid w:val="00BD2F0C"/>
    <w:rsid w:val="00BD386E"/>
    <w:rsid w:val="00BD3D77"/>
    <w:rsid w:val="00BD44FA"/>
    <w:rsid w:val="00BD45D4"/>
    <w:rsid w:val="00BD5F24"/>
    <w:rsid w:val="00BD5FCF"/>
    <w:rsid w:val="00BD6282"/>
    <w:rsid w:val="00BD6A60"/>
    <w:rsid w:val="00BD6AF3"/>
    <w:rsid w:val="00BD6CCE"/>
    <w:rsid w:val="00BD6D38"/>
    <w:rsid w:val="00BE0476"/>
    <w:rsid w:val="00BE06E9"/>
    <w:rsid w:val="00BE1024"/>
    <w:rsid w:val="00BE24AE"/>
    <w:rsid w:val="00BE387A"/>
    <w:rsid w:val="00BE4DCC"/>
    <w:rsid w:val="00BE4DCE"/>
    <w:rsid w:val="00BE4DDF"/>
    <w:rsid w:val="00BE534D"/>
    <w:rsid w:val="00BE548B"/>
    <w:rsid w:val="00BE5830"/>
    <w:rsid w:val="00BE6989"/>
    <w:rsid w:val="00BE7522"/>
    <w:rsid w:val="00BF004B"/>
    <w:rsid w:val="00BF083B"/>
    <w:rsid w:val="00BF09DB"/>
    <w:rsid w:val="00BF1E08"/>
    <w:rsid w:val="00BF295D"/>
    <w:rsid w:val="00BF2A4A"/>
    <w:rsid w:val="00BF2B5C"/>
    <w:rsid w:val="00BF3396"/>
    <w:rsid w:val="00BF3591"/>
    <w:rsid w:val="00BF38E2"/>
    <w:rsid w:val="00BF3B58"/>
    <w:rsid w:val="00BF3DFD"/>
    <w:rsid w:val="00BF471E"/>
    <w:rsid w:val="00BF4BB8"/>
    <w:rsid w:val="00BF53EB"/>
    <w:rsid w:val="00BF5782"/>
    <w:rsid w:val="00BF57B3"/>
    <w:rsid w:val="00BF59CF"/>
    <w:rsid w:val="00BF649A"/>
    <w:rsid w:val="00BF6529"/>
    <w:rsid w:val="00BF6A21"/>
    <w:rsid w:val="00BF70DD"/>
    <w:rsid w:val="00BF7642"/>
    <w:rsid w:val="00BF7C31"/>
    <w:rsid w:val="00BF7CB6"/>
    <w:rsid w:val="00BF7FE9"/>
    <w:rsid w:val="00C0059F"/>
    <w:rsid w:val="00C008B0"/>
    <w:rsid w:val="00C00F2A"/>
    <w:rsid w:val="00C0110B"/>
    <w:rsid w:val="00C01C13"/>
    <w:rsid w:val="00C01CCC"/>
    <w:rsid w:val="00C01D2D"/>
    <w:rsid w:val="00C0232A"/>
    <w:rsid w:val="00C02DE9"/>
    <w:rsid w:val="00C0354F"/>
    <w:rsid w:val="00C0368C"/>
    <w:rsid w:val="00C03AE1"/>
    <w:rsid w:val="00C03B5E"/>
    <w:rsid w:val="00C03C5B"/>
    <w:rsid w:val="00C0477A"/>
    <w:rsid w:val="00C04B58"/>
    <w:rsid w:val="00C052AB"/>
    <w:rsid w:val="00C0615F"/>
    <w:rsid w:val="00C0652C"/>
    <w:rsid w:val="00C07AD7"/>
    <w:rsid w:val="00C1071A"/>
    <w:rsid w:val="00C120B2"/>
    <w:rsid w:val="00C122A9"/>
    <w:rsid w:val="00C13054"/>
    <w:rsid w:val="00C13A58"/>
    <w:rsid w:val="00C14399"/>
    <w:rsid w:val="00C143CD"/>
    <w:rsid w:val="00C1514E"/>
    <w:rsid w:val="00C155EE"/>
    <w:rsid w:val="00C16162"/>
    <w:rsid w:val="00C169EA"/>
    <w:rsid w:val="00C16A98"/>
    <w:rsid w:val="00C16EB9"/>
    <w:rsid w:val="00C17039"/>
    <w:rsid w:val="00C17703"/>
    <w:rsid w:val="00C17907"/>
    <w:rsid w:val="00C17F82"/>
    <w:rsid w:val="00C2076A"/>
    <w:rsid w:val="00C20A48"/>
    <w:rsid w:val="00C20CC8"/>
    <w:rsid w:val="00C21778"/>
    <w:rsid w:val="00C21854"/>
    <w:rsid w:val="00C21AFF"/>
    <w:rsid w:val="00C22535"/>
    <w:rsid w:val="00C2272A"/>
    <w:rsid w:val="00C2277F"/>
    <w:rsid w:val="00C24650"/>
    <w:rsid w:val="00C24A87"/>
    <w:rsid w:val="00C24BEE"/>
    <w:rsid w:val="00C24CD0"/>
    <w:rsid w:val="00C2577A"/>
    <w:rsid w:val="00C25CF6"/>
    <w:rsid w:val="00C25D99"/>
    <w:rsid w:val="00C261C7"/>
    <w:rsid w:val="00C26457"/>
    <w:rsid w:val="00C26963"/>
    <w:rsid w:val="00C26BE4"/>
    <w:rsid w:val="00C26F40"/>
    <w:rsid w:val="00C2716D"/>
    <w:rsid w:val="00C27FA0"/>
    <w:rsid w:val="00C30883"/>
    <w:rsid w:val="00C30A6E"/>
    <w:rsid w:val="00C30C40"/>
    <w:rsid w:val="00C30C93"/>
    <w:rsid w:val="00C31333"/>
    <w:rsid w:val="00C31431"/>
    <w:rsid w:val="00C31DDE"/>
    <w:rsid w:val="00C32095"/>
    <w:rsid w:val="00C326EB"/>
    <w:rsid w:val="00C32B43"/>
    <w:rsid w:val="00C32BC1"/>
    <w:rsid w:val="00C32E8D"/>
    <w:rsid w:val="00C331BF"/>
    <w:rsid w:val="00C3382C"/>
    <w:rsid w:val="00C33B5D"/>
    <w:rsid w:val="00C343DB"/>
    <w:rsid w:val="00C3451B"/>
    <w:rsid w:val="00C348F3"/>
    <w:rsid w:val="00C34DE0"/>
    <w:rsid w:val="00C3545E"/>
    <w:rsid w:val="00C35902"/>
    <w:rsid w:val="00C36684"/>
    <w:rsid w:val="00C369DA"/>
    <w:rsid w:val="00C36A03"/>
    <w:rsid w:val="00C371E0"/>
    <w:rsid w:val="00C37578"/>
    <w:rsid w:val="00C37AC7"/>
    <w:rsid w:val="00C4021F"/>
    <w:rsid w:val="00C4063B"/>
    <w:rsid w:val="00C407D9"/>
    <w:rsid w:val="00C409BE"/>
    <w:rsid w:val="00C41424"/>
    <w:rsid w:val="00C41762"/>
    <w:rsid w:val="00C420B6"/>
    <w:rsid w:val="00C420C5"/>
    <w:rsid w:val="00C437EA"/>
    <w:rsid w:val="00C43803"/>
    <w:rsid w:val="00C439FC"/>
    <w:rsid w:val="00C43EBB"/>
    <w:rsid w:val="00C43F30"/>
    <w:rsid w:val="00C4456D"/>
    <w:rsid w:val="00C4506F"/>
    <w:rsid w:val="00C463A1"/>
    <w:rsid w:val="00C4656A"/>
    <w:rsid w:val="00C4731D"/>
    <w:rsid w:val="00C476D5"/>
    <w:rsid w:val="00C479F5"/>
    <w:rsid w:val="00C50077"/>
    <w:rsid w:val="00C50236"/>
    <w:rsid w:val="00C50666"/>
    <w:rsid w:val="00C507F6"/>
    <w:rsid w:val="00C509FC"/>
    <w:rsid w:val="00C50B8B"/>
    <w:rsid w:val="00C50CFB"/>
    <w:rsid w:val="00C51380"/>
    <w:rsid w:val="00C518DE"/>
    <w:rsid w:val="00C52584"/>
    <w:rsid w:val="00C5272A"/>
    <w:rsid w:val="00C528EF"/>
    <w:rsid w:val="00C52E13"/>
    <w:rsid w:val="00C532AD"/>
    <w:rsid w:val="00C53562"/>
    <w:rsid w:val="00C53786"/>
    <w:rsid w:val="00C5393A"/>
    <w:rsid w:val="00C53974"/>
    <w:rsid w:val="00C54254"/>
    <w:rsid w:val="00C54B4D"/>
    <w:rsid w:val="00C5504E"/>
    <w:rsid w:val="00C5513B"/>
    <w:rsid w:val="00C554EC"/>
    <w:rsid w:val="00C5569D"/>
    <w:rsid w:val="00C56050"/>
    <w:rsid w:val="00C567CD"/>
    <w:rsid w:val="00C57D0A"/>
    <w:rsid w:val="00C57FC6"/>
    <w:rsid w:val="00C60310"/>
    <w:rsid w:val="00C6167F"/>
    <w:rsid w:val="00C61775"/>
    <w:rsid w:val="00C61912"/>
    <w:rsid w:val="00C61DCF"/>
    <w:rsid w:val="00C61E38"/>
    <w:rsid w:val="00C6237C"/>
    <w:rsid w:val="00C62C31"/>
    <w:rsid w:val="00C62C8D"/>
    <w:rsid w:val="00C6337A"/>
    <w:rsid w:val="00C634E6"/>
    <w:rsid w:val="00C6395B"/>
    <w:rsid w:val="00C63ABC"/>
    <w:rsid w:val="00C63B9B"/>
    <w:rsid w:val="00C63E67"/>
    <w:rsid w:val="00C63FB7"/>
    <w:rsid w:val="00C6414F"/>
    <w:rsid w:val="00C6525B"/>
    <w:rsid w:val="00C65B88"/>
    <w:rsid w:val="00C65C45"/>
    <w:rsid w:val="00C65D7B"/>
    <w:rsid w:val="00C6680A"/>
    <w:rsid w:val="00C67284"/>
    <w:rsid w:val="00C677B2"/>
    <w:rsid w:val="00C678D4"/>
    <w:rsid w:val="00C700A4"/>
    <w:rsid w:val="00C703BF"/>
    <w:rsid w:val="00C70FB0"/>
    <w:rsid w:val="00C71332"/>
    <w:rsid w:val="00C71347"/>
    <w:rsid w:val="00C71785"/>
    <w:rsid w:val="00C721B5"/>
    <w:rsid w:val="00C72237"/>
    <w:rsid w:val="00C73574"/>
    <w:rsid w:val="00C736D2"/>
    <w:rsid w:val="00C73C26"/>
    <w:rsid w:val="00C73D2E"/>
    <w:rsid w:val="00C73D74"/>
    <w:rsid w:val="00C741C6"/>
    <w:rsid w:val="00C7420B"/>
    <w:rsid w:val="00C75199"/>
    <w:rsid w:val="00C75BC2"/>
    <w:rsid w:val="00C765F4"/>
    <w:rsid w:val="00C767A3"/>
    <w:rsid w:val="00C76B7D"/>
    <w:rsid w:val="00C771EB"/>
    <w:rsid w:val="00C77BF7"/>
    <w:rsid w:val="00C803E6"/>
    <w:rsid w:val="00C808A8"/>
    <w:rsid w:val="00C81059"/>
    <w:rsid w:val="00C81ECD"/>
    <w:rsid w:val="00C82245"/>
    <w:rsid w:val="00C8232F"/>
    <w:rsid w:val="00C827C4"/>
    <w:rsid w:val="00C83774"/>
    <w:rsid w:val="00C843D8"/>
    <w:rsid w:val="00C846E8"/>
    <w:rsid w:val="00C8472F"/>
    <w:rsid w:val="00C852D9"/>
    <w:rsid w:val="00C85460"/>
    <w:rsid w:val="00C85FD2"/>
    <w:rsid w:val="00C86165"/>
    <w:rsid w:val="00C86C3A"/>
    <w:rsid w:val="00C871EB"/>
    <w:rsid w:val="00C87517"/>
    <w:rsid w:val="00C87CC4"/>
    <w:rsid w:val="00C9064B"/>
    <w:rsid w:val="00C90D52"/>
    <w:rsid w:val="00C914D1"/>
    <w:rsid w:val="00C91AF5"/>
    <w:rsid w:val="00C921E9"/>
    <w:rsid w:val="00C92345"/>
    <w:rsid w:val="00C923F1"/>
    <w:rsid w:val="00C937B8"/>
    <w:rsid w:val="00C93D95"/>
    <w:rsid w:val="00C942F2"/>
    <w:rsid w:val="00C948D7"/>
    <w:rsid w:val="00C94B12"/>
    <w:rsid w:val="00C94DF2"/>
    <w:rsid w:val="00C956F1"/>
    <w:rsid w:val="00C96C08"/>
    <w:rsid w:val="00C9719E"/>
    <w:rsid w:val="00C971F8"/>
    <w:rsid w:val="00C9784D"/>
    <w:rsid w:val="00C97B16"/>
    <w:rsid w:val="00C97BFB"/>
    <w:rsid w:val="00CA06CB"/>
    <w:rsid w:val="00CA0857"/>
    <w:rsid w:val="00CA0D3A"/>
    <w:rsid w:val="00CA1B55"/>
    <w:rsid w:val="00CA1C19"/>
    <w:rsid w:val="00CA1ED5"/>
    <w:rsid w:val="00CA2120"/>
    <w:rsid w:val="00CA2D65"/>
    <w:rsid w:val="00CA32A4"/>
    <w:rsid w:val="00CA3E77"/>
    <w:rsid w:val="00CA47B3"/>
    <w:rsid w:val="00CA4D7E"/>
    <w:rsid w:val="00CA607B"/>
    <w:rsid w:val="00CA6400"/>
    <w:rsid w:val="00CA65F7"/>
    <w:rsid w:val="00CA6B4D"/>
    <w:rsid w:val="00CA6C82"/>
    <w:rsid w:val="00CA70A2"/>
    <w:rsid w:val="00CA714E"/>
    <w:rsid w:val="00CA7C34"/>
    <w:rsid w:val="00CB0031"/>
    <w:rsid w:val="00CB0434"/>
    <w:rsid w:val="00CB0FB7"/>
    <w:rsid w:val="00CB10BD"/>
    <w:rsid w:val="00CB1A66"/>
    <w:rsid w:val="00CB1E7A"/>
    <w:rsid w:val="00CB245D"/>
    <w:rsid w:val="00CB24C6"/>
    <w:rsid w:val="00CB27DA"/>
    <w:rsid w:val="00CB2B6E"/>
    <w:rsid w:val="00CB2BA6"/>
    <w:rsid w:val="00CB2C16"/>
    <w:rsid w:val="00CB314F"/>
    <w:rsid w:val="00CB399C"/>
    <w:rsid w:val="00CB3AF6"/>
    <w:rsid w:val="00CB3EF2"/>
    <w:rsid w:val="00CB4022"/>
    <w:rsid w:val="00CB5559"/>
    <w:rsid w:val="00CB5963"/>
    <w:rsid w:val="00CB6838"/>
    <w:rsid w:val="00CB689C"/>
    <w:rsid w:val="00CB74DD"/>
    <w:rsid w:val="00CB74EA"/>
    <w:rsid w:val="00CB751B"/>
    <w:rsid w:val="00CC018E"/>
    <w:rsid w:val="00CC022E"/>
    <w:rsid w:val="00CC08CF"/>
    <w:rsid w:val="00CC0A6A"/>
    <w:rsid w:val="00CC0F36"/>
    <w:rsid w:val="00CC0F94"/>
    <w:rsid w:val="00CC11D6"/>
    <w:rsid w:val="00CC1433"/>
    <w:rsid w:val="00CC17D0"/>
    <w:rsid w:val="00CC1AB6"/>
    <w:rsid w:val="00CC208D"/>
    <w:rsid w:val="00CC2703"/>
    <w:rsid w:val="00CC2F8E"/>
    <w:rsid w:val="00CC426A"/>
    <w:rsid w:val="00CC4829"/>
    <w:rsid w:val="00CC4ADA"/>
    <w:rsid w:val="00CC4C49"/>
    <w:rsid w:val="00CC5321"/>
    <w:rsid w:val="00CC54D7"/>
    <w:rsid w:val="00CC5CA0"/>
    <w:rsid w:val="00CC6FA6"/>
    <w:rsid w:val="00CC722F"/>
    <w:rsid w:val="00CD009C"/>
    <w:rsid w:val="00CD0E73"/>
    <w:rsid w:val="00CD0F40"/>
    <w:rsid w:val="00CD11A6"/>
    <w:rsid w:val="00CD18F7"/>
    <w:rsid w:val="00CD1AD4"/>
    <w:rsid w:val="00CD1CF6"/>
    <w:rsid w:val="00CD1F8F"/>
    <w:rsid w:val="00CD33E2"/>
    <w:rsid w:val="00CD57C9"/>
    <w:rsid w:val="00CD5930"/>
    <w:rsid w:val="00CD5E14"/>
    <w:rsid w:val="00CD6418"/>
    <w:rsid w:val="00CD651C"/>
    <w:rsid w:val="00CD69D0"/>
    <w:rsid w:val="00CD7D27"/>
    <w:rsid w:val="00CD7E0A"/>
    <w:rsid w:val="00CE0012"/>
    <w:rsid w:val="00CE05E4"/>
    <w:rsid w:val="00CE09D7"/>
    <w:rsid w:val="00CE0BF8"/>
    <w:rsid w:val="00CE203C"/>
    <w:rsid w:val="00CE287C"/>
    <w:rsid w:val="00CE3229"/>
    <w:rsid w:val="00CE3B79"/>
    <w:rsid w:val="00CE4782"/>
    <w:rsid w:val="00CE4EDB"/>
    <w:rsid w:val="00CE56A8"/>
    <w:rsid w:val="00CE571E"/>
    <w:rsid w:val="00CE5F70"/>
    <w:rsid w:val="00CE6658"/>
    <w:rsid w:val="00CE6E82"/>
    <w:rsid w:val="00CF049D"/>
    <w:rsid w:val="00CF0969"/>
    <w:rsid w:val="00CF0CF2"/>
    <w:rsid w:val="00CF118D"/>
    <w:rsid w:val="00CF131F"/>
    <w:rsid w:val="00CF1469"/>
    <w:rsid w:val="00CF19D3"/>
    <w:rsid w:val="00CF215A"/>
    <w:rsid w:val="00CF233C"/>
    <w:rsid w:val="00CF2688"/>
    <w:rsid w:val="00CF2FD8"/>
    <w:rsid w:val="00CF3723"/>
    <w:rsid w:val="00CF46FF"/>
    <w:rsid w:val="00CF4954"/>
    <w:rsid w:val="00CF6281"/>
    <w:rsid w:val="00CF6BDE"/>
    <w:rsid w:val="00D000CE"/>
    <w:rsid w:val="00D00683"/>
    <w:rsid w:val="00D0078A"/>
    <w:rsid w:val="00D00E86"/>
    <w:rsid w:val="00D017C7"/>
    <w:rsid w:val="00D01EBD"/>
    <w:rsid w:val="00D02F52"/>
    <w:rsid w:val="00D045A5"/>
    <w:rsid w:val="00D054CD"/>
    <w:rsid w:val="00D05978"/>
    <w:rsid w:val="00D05B90"/>
    <w:rsid w:val="00D05C5E"/>
    <w:rsid w:val="00D061BE"/>
    <w:rsid w:val="00D063E4"/>
    <w:rsid w:val="00D06C5E"/>
    <w:rsid w:val="00D07054"/>
    <w:rsid w:val="00D07062"/>
    <w:rsid w:val="00D07152"/>
    <w:rsid w:val="00D07225"/>
    <w:rsid w:val="00D103C4"/>
    <w:rsid w:val="00D10960"/>
    <w:rsid w:val="00D11126"/>
    <w:rsid w:val="00D111A8"/>
    <w:rsid w:val="00D11319"/>
    <w:rsid w:val="00D114F1"/>
    <w:rsid w:val="00D11C0A"/>
    <w:rsid w:val="00D11C9C"/>
    <w:rsid w:val="00D1272E"/>
    <w:rsid w:val="00D139E0"/>
    <w:rsid w:val="00D13A6B"/>
    <w:rsid w:val="00D13B25"/>
    <w:rsid w:val="00D141F9"/>
    <w:rsid w:val="00D148D9"/>
    <w:rsid w:val="00D14C72"/>
    <w:rsid w:val="00D1518E"/>
    <w:rsid w:val="00D15351"/>
    <w:rsid w:val="00D15FFD"/>
    <w:rsid w:val="00D1668B"/>
    <w:rsid w:val="00D169BA"/>
    <w:rsid w:val="00D16F0D"/>
    <w:rsid w:val="00D17591"/>
    <w:rsid w:val="00D17618"/>
    <w:rsid w:val="00D1762D"/>
    <w:rsid w:val="00D17A41"/>
    <w:rsid w:val="00D20570"/>
    <w:rsid w:val="00D20D3E"/>
    <w:rsid w:val="00D21CA1"/>
    <w:rsid w:val="00D21FB2"/>
    <w:rsid w:val="00D2257D"/>
    <w:rsid w:val="00D23C69"/>
    <w:rsid w:val="00D2431E"/>
    <w:rsid w:val="00D24EE0"/>
    <w:rsid w:val="00D25B43"/>
    <w:rsid w:val="00D264E5"/>
    <w:rsid w:val="00D30EC2"/>
    <w:rsid w:val="00D30F0E"/>
    <w:rsid w:val="00D3153C"/>
    <w:rsid w:val="00D31A09"/>
    <w:rsid w:val="00D32556"/>
    <w:rsid w:val="00D32ACA"/>
    <w:rsid w:val="00D33EF7"/>
    <w:rsid w:val="00D33F73"/>
    <w:rsid w:val="00D349BA"/>
    <w:rsid w:val="00D34D44"/>
    <w:rsid w:val="00D352EB"/>
    <w:rsid w:val="00D35D34"/>
    <w:rsid w:val="00D364A6"/>
    <w:rsid w:val="00D3716C"/>
    <w:rsid w:val="00D37246"/>
    <w:rsid w:val="00D402D3"/>
    <w:rsid w:val="00D403AC"/>
    <w:rsid w:val="00D40C34"/>
    <w:rsid w:val="00D411B5"/>
    <w:rsid w:val="00D415D0"/>
    <w:rsid w:val="00D41645"/>
    <w:rsid w:val="00D41F08"/>
    <w:rsid w:val="00D41FD6"/>
    <w:rsid w:val="00D42573"/>
    <w:rsid w:val="00D42679"/>
    <w:rsid w:val="00D4270B"/>
    <w:rsid w:val="00D429FA"/>
    <w:rsid w:val="00D43452"/>
    <w:rsid w:val="00D43ACC"/>
    <w:rsid w:val="00D43C5A"/>
    <w:rsid w:val="00D43EC9"/>
    <w:rsid w:val="00D445BC"/>
    <w:rsid w:val="00D44BCB"/>
    <w:rsid w:val="00D44E68"/>
    <w:rsid w:val="00D45035"/>
    <w:rsid w:val="00D466BB"/>
    <w:rsid w:val="00D46853"/>
    <w:rsid w:val="00D471DA"/>
    <w:rsid w:val="00D47ABD"/>
    <w:rsid w:val="00D50296"/>
    <w:rsid w:val="00D507F3"/>
    <w:rsid w:val="00D50F16"/>
    <w:rsid w:val="00D51723"/>
    <w:rsid w:val="00D5180D"/>
    <w:rsid w:val="00D51946"/>
    <w:rsid w:val="00D51B58"/>
    <w:rsid w:val="00D51C0B"/>
    <w:rsid w:val="00D52079"/>
    <w:rsid w:val="00D520D1"/>
    <w:rsid w:val="00D524A9"/>
    <w:rsid w:val="00D52537"/>
    <w:rsid w:val="00D52BFC"/>
    <w:rsid w:val="00D5378A"/>
    <w:rsid w:val="00D542CA"/>
    <w:rsid w:val="00D544CC"/>
    <w:rsid w:val="00D5495E"/>
    <w:rsid w:val="00D54ED0"/>
    <w:rsid w:val="00D559EA"/>
    <w:rsid w:val="00D55AE3"/>
    <w:rsid w:val="00D56160"/>
    <w:rsid w:val="00D56F7E"/>
    <w:rsid w:val="00D57754"/>
    <w:rsid w:val="00D6002B"/>
    <w:rsid w:val="00D603F8"/>
    <w:rsid w:val="00D608A0"/>
    <w:rsid w:val="00D61183"/>
    <w:rsid w:val="00D615CD"/>
    <w:rsid w:val="00D61F26"/>
    <w:rsid w:val="00D61FDF"/>
    <w:rsid w:val="00D624DE"/>
    <w:rsid w:val="00D62CB1"/>
    <w:rsid w:val="00D62DD9"/>
    <w:rsid w:val="00D63312"/>
    <w:rsid w:val="00D63978"/>
    <w:rsid w:val="00D63B99"/>
    <w:rsid w:val="00D63F9E"/>
    <w:rsid w:val="00D644A7"/>
    <w:rsid w:val="00D645CD"/>
    <w:rsid w:val="00D646D7"/>
    <w:rsid w:val="00D64A83"/>
    <w:rsid w:val="00D64DB6"/>
    <w:rsid w:val="00D65181"/>
    <w:rsid w:val="00D665AF"/>
    <w:rsid w:val="00D6686A"/>
    <w:rsid w:val="00D66B69"/>
    <w:rsid w:val="00D66D01"/>
    <w:rsid w:val="00D66D9C"/>
    <w:rsid w:val="00D67F16"/>
    <w:rsid w:val="00D705CF"/>
    <w:rsid w:val="00D70D4D"/>
    <w:rsid w:val="00D71029"/>
    <w:rsid w:val="00D710C8"/>
    <w:rsid w:val="00D710F4"/>
    <w:rsid w:val="00D7163F"/>
    <w:rsid w:val="00D71B04"/>
    <w:rsid w:val="00D7216D"/>
    <w:rsid w:val="00D726AD"/>
    <w:rsid w:val="00D73287"/>
    <w:rsid w:val="00D732E0"/>
    <w:rsid w:val="00D73740"/>
    <w:rsid w:val="00D73867"/>
    <w:rsid w:val="00D73C65"/>
    <w:rsid w:val="00D747FD"/>
    <w:rsid w:val="00D75111"/>
    <w:rsid w:val="00D754C8"/>
    <w:rsid w:val="00D75538"/>
    <w:rsid w:val="00D75E5E"/>
    <w:rsid w:val="00D76897"/>
    <w:rsid w:val="00D771FC"/>
    <w:rsid w:val="00D77BE7"/>
    <w:rsid w:val="00D77DC5"/>
    <w:rsid w:val="00D77E1A"/>
    <w:rsid w:val="00D80256"/>
    <w:rsid w:val="00D80CE3"/>
    <w:rsid w:val="00D80E0E"/>
    <w:rsid w:val="00D813D8"/>
    <w:rsid w:val="00D81983"/>
    <w:rsid w:val="00D82525"/>
    <w:rsid w:val="00D833A3"/>
    <w:rsid w:val="00D8387B"/>
    <w:rsid w:val="00D840CC"/>
    <w:rsid w:val="00D844FB"/>
    <w:rsid w:val="00D84A3D"/>
    <w:rsid w:val="00D84A6C"/>
    <w:rsid w:val="00D84C15"/>
    <w:rsid w:val="00D84C43"/>
    <w:rsid w:val="00D8513B"/>
    <w:rsid w:val="00D860A1"/>
    <w:rsid w:val="00D865A1"/>
    <w:rsid w:val="00D872EF"/>
    <w:rsid w:val="00D877AF"/>
    <w:rsid w:val="00D87A16"/>
    <w:rsid w:val="00D90D4D"/>
    <w:rsid w:val="00D90D8F"/>
    <w:rsid w:val="00D91C94"/>
    <w:rsid w:val="00D91EDC"/>
    <w:rsid w:val="00D920E3"/>
    <w:rsid w:val="00D9215D"/>
    <w:rsid w:val="00D923C6"/>
    <w:rsid w:val="00D929E6"/>
    <w:rsid w:val="00D9318C"/>
    <w:rsid w:val="00D932F7"/>
    <w:rsid w:val="00D935DD"/>
    <w:rsid w:val="00D93941"/>
    <w:rsid w:val="00D93B8E"/>
    <w:rsid w:val="00D946BF"/>
    <w:rsid w:val="00D94F62"/>
    <w:rsid w:val="00D95006"/>
    <w:rsid w:val="00D95151"/>
    <w:rsid w:val="00D9533F"/>
    <w:rsid w:val="00D956DD"/>
    <w:rsid w:val="00D95A6D"/>
    <w:rsid w:val="00D96046"/>
    <w:rsid w:val="00D96941"/>
    <w:rsid w:val="00D96CEC"/>
    <w:rsid w:val="00DA0460"/>
    <w:rsid w:val="00DA2BB0"/>
    <w:rsid w:val="00DA2C8E"/>
    <w:rsid w:val="00DA3275"/>
    <w:rsid w:val="00DA34FA"/>
    <w:rsid w:val="00DA5A48"/>
    <w:rsid w:val="00DA61BE"/>
    <w:rsid w:val="00DA636C"/>
    <w:rsid w:val="00DA67AB"/>
    <w:rsid w:val="00DA696E"/>
    <w:rsid w:val="00DA729D"/>
    <w:rsid w:val="00DA7615"/>
    <w:rsid w:val="00DA76F3"/>
    <w:rsid w:val="00DB00FC"/>
    <w:rsid w:val="00DB0689"/>
    <w:rsid w:val="00DB08C1"/>
    <w:rsid w:val="00DB0A37"/>
    <w:rsid w:val="00DB0A3D"/>
    <w:rsid w:val="00DB0DB8"/>
    <w:rsid w:val="00DB154D"/>
    <w:rsid w:val="00DB1BCA"/>
    <w:rsid w:val="00DB3102"/>
    <w:rsid w:val="00DB323A"/>
    <w:rsid w:val="00DB35B8"/>
    <w:rsid w:val="00DB362F"/>
    <w:rsid w:val="00DB472A"/>
    <w:rsid w:val="00DB5AD2"/>
    <w:rsid w:val="00DB64F0"/>
    <w:rsid w:val="00DB6533"/>
    <w:rsid w:val="00DB663B"/>
    <w:rsid w:val="00DB67CF"/>
    <w:rsid w:val="00DB68A2"/>
    <w:rsid w:val="00DB6A47"/>
    <w:rsid w:val="00DB6D88"/>
    <w:rsid w:val="00DB6EBD"/>
    <w:rsid w:val="00DB6F28"/>
    <w:rsid w:val="00DB703C"/>
    <w:rsid w:val="00DB7665"/>
    <w:rsid w:val="00DC02E2"/>
    <w:rsid w:val="00DC056D"/>
    <w:rsid w:val="00DC076C"/>
    <w:rsid w:val="00DC11CE"/>
    <w:rsid w:val="00DC2765"/>
    <w:rsid w:val="00DC2DBC"/>
    <w:rsid w:val="00DC3662"/>
    <w:rsid w:val="00DC3844"/>
    <w:rsid w:val="00DC3B82"/>
    <w:rsid w:val="00DC3CFE"/>
    <w:rsid w:val="00DC44A4"/>
    <w:rsid w:val="00DC4840"/>
    <w:rsid w:val="00DC4D3D"/>
    <w:rsid w:val="00DC51A0"/>
    <w:rsid w:val="00DC5985"/>
    <w:rsid w:val="00DC5C06"/>
    <w:rsid w:val="00DC600C"/>
    <w:rsid w:val="00DC66B0"/>
    <w:rsid w:val="00DC68F5"/>
    <w:rsid w:val="00DC6AA3"/>
    <w:rsid w:val="00DC6F14"/>
    <w:rsid w:val="00DC708E"/>
    <w:rsid w:val="00DC73F8"/>
    <w:rsid w:val="00DC7ADC"/>
    <w:rsid w:val="00DC7E80"/>
    <w:rsid w:val="00DC7F16"/>
    <w:rsid w:val="00DD016F"/>
    <w:rsid w:val="00DD02C5"/>
    <w:rsid w:val="00DD0913"/>
    <w:rsid w:val="00DD0C88"/>
    <w:rsid w:val="00DD23E7"/>
    <w:rsid w:val="00DD25F1"/>
    <w:rsid w:val="00DD29AB"/>
    <w:rsid w:val="00DD29DC"/>
    <w:rsid w:val="00DD2BCF"/>
    <w:rsid w:val="00DD30DD"/>
    <w:rsid w:val="00DD3D83"/>
    <w:rsid w:val="00DD489C"/>
    <w:rsid w:val="00DD5B6A"/>
    <w:rsid w:val="00DD5DB2"/>
    <w:rsid w:val="00DD60F8"/>
    <w:rsid w:val="00DD6555"/>
    <w:rsid w:val="00DD686C"/>
    <w:rsid w:val="00DD6CF9"/>
    <w:rsid w:val="00DD6DC0"/>
    <w:rsid w:val="00DD6F1D"/>
    <w:rsid w:val="00DD7F12"/>
    <w:rsid w:val="00DE0292"/>
    <w:rsid w:val="00DE12FC"/>
    <w:rsid w:val="00DE15A3"/>
    <w:rsid w:val="00DE1AAE"/>
    <w:rsid w:val="00DE1DC6"/>
    <w:rsid w:val="00DE2AA0"/>
    <w:rsid w:val="00DE2E48"/>
    <w:rsid w:val="00DE31F3"/>
    <w:rsid w:val="00DE396C"/>
    <w:rsid w:val="00DE4AAA"/>
    <w:rsid w:val="00DE4BF0"/>
    <w:rsid w:val="00DE58F6"/>
    <w:rsid w:val="00DE615B"/>
    <w:rsid w:val="00DE66EF"/>
    <w:rsid w:val="00DE68B4"/>
    <w:rsid w:val="00DF0456"/>
    <w:rsid w:val="00DF04A9"/>
    <w:rsid w:val="00DF09C5"/>
    <w:rsid w:val="00DF2621"/>
    <w:rsid w:val="00DF28E6"/>
    <w:rsid w:val="00DF2990"/>
    <w:rsid w:val="00DF354D"/>
    <w:rsid w:val="00DF39CF"/>
    <w:rsid w:val="00DF4537"/>
    <w:rsid w:val="00DF5347"/>
    <w:rsid w:val="00DF5B3E"/>
    <w:rsid w:val="00DF61A0"/>
    <w:rsid w:val="00DF6BD0"/>
    <w:rsid w:val="00DF6E42"/>
    <w:rsid w:val="00DF73A1"/>
    <w:rsid w:val="00DF74F7"/>
    <w:rsid w:val="00DF7966"/>
    <w:rsid w:val="00DF7B2D"/>
    <w:rsid w:val="00DF7C53"/>
    <w:rsid w:val="00E0024A"/>
    <w:rsid w:val="00E004C3"/>
    <w:rsid w:val="00E005C4"/>
    <w:rsid w:val="00E017FE"/>
    <w:rsid w:val="00E01A0B"/>
    <w:rsid w:val="00E01C88"/>
    <w:rsid w:val="00E0203B"/>
    <w:rsid w:val="00E02111"/>
    <w:rsid w:val="00E0268C"/>
    <w:rsid w:val="00E032DB"/>
    <w:rsid w:val="00E041D6"/>
    <w:rsid w:val="00E04B8A"/>
    <w:rsid w:val="00E04DCB"/>
    <w:rsid w:val="00E05193"/>
    <w:rsid w:val="00E05533"/>
    <w:rsid w:val="00E055B3"/>
    <w:rsid w:val="00E05667"/>
    <w:rsid w:val="00E05B26"/>
    <w:rsid w:val="00E060B7"/>
    <w:rsid w:val="00E063AD"/>
    <w:rsid w:val="00E065A0"/>
    <w:rsid w:val="00E06D8C"/>
    <w:rsid w:val="00E06EFC"/>
    <w:rsid w:val="00E073B5"/>
    <w:rsid w:val="00E077F7"/>
    <w:rsid w:val="00E107CF"/>
    <w:rsid w:val="00E11686"/>
    <w:rsid w:val="00E117F3"/>
    <w:rsid w:val="00E118F8"/>
    <w:rsid w:val="00E11DD9"/>
    <w:rsid w:val="00E11EE5"/>
    <w:rsid w:val="00E11EE7"/>
    <w:rsid w:val="00E11FB8"/>
    <w:rsid w:val="00E12301"/>
    <w:rsid w:val="00E12404"/>
    <w:rsid w:val="00E12E88"/>
    <w:rsid w:val="00E12F94"/>
    <w:rsid w:val="00E13069"/>
    <w:rsid w:val="00E1368E"/>
    <w:rsid w:val="00E13779"/>
    <w:rsid w:val="00E145A3"/>
    <w:rsid w:val="00E15823"/>
    <w:rsid w:val="00E15F46"/>
    <w:rsid w:val="00E16CBA"/>
    <w:rsid w:val="00E16E09"/>
    <w:rsid w:val="00E20146"/>
    <w:rsid w:val="00E20E25"/>
    <w:rsid w:val="00E2133D"/>
    <w:rsid w:val="00E21D7D"/>
    <w:rsid w:val="00E21F01"/>
    <w:rsid w:val="00E22827"/>
    <w:rsid w:val="00E22BEE"/>
    <w:rsid w:val="00E23724"/>
    <w:rsid w:val="00E23E34"/>
    <w:rsid w:val="00E23F79"/>
    <w:rsid w:val="00E24690"/>
    <w:rsid w:val="00E24876"/>
    <w:rsid w:val="00E24878"/>
    <w:rsid w:val="00E24ECF"/>
    <w:rsid w:val="00E250D3"/>
    <w:rsid w:val="00E25528"/>
    <w:rsid w:val="00E26229"/>
    <w:rsid w:val="00E2649A"/>
    <w:rsid w:val="00E26F3A"/>
    <w:rsid w:val="00E271F1"/>
    <w:rsid w:val="00E2724B"/>
    <w:rsid w:val="00E2778F"/>
    <w:rsid w:val="00E27C00"/>
    <w:rsid w:val="00E3009E"/>
    <w:rsid w:val="00E30469"/>
    <w:rsid w:val="00E30704"/>
    <w:rsid w:val="00E30977"/>
    <w:rsid w:val="00E30C6D"/>
    <w:rsid w:val="00E30CFF"/>
    <w:rsid w:val="00E3178F"/>
    <w:rsid w:val="00E31D88"/>
    <w:rsid w:val="00E32091"/>
    <w:rsid w:val="00E3279F"/>
    <w:rsid w:val="00E32F17"/>
    <w:rsid w:val="00E33215"/>
    <w:rsid w:val="00E33652"/>
    <w:rsid w:val="00E3371F"/>
    <w:rsid w:val="00E33860"/>
    <w:rsid w:val="00E338D1"/>
    <w:rsid w:val="00E33949"/>
    <w:rsid w:val="00E345BD"/>
    <w:rsid w:val="00E35A57"/>
    <w:rsid w:val="00E35DA1"/>
    <w:rsid w:val="00E35F94"/>
    <w:rsid w:val="00E37CE3"/>
    <w:rsid w:val="00E40149"/>
    <w:rsid w:val="00E40183"/>
    <w:rsid w:val="00E40F19"/>
    <w:rsid w:val="00E4108F"/>
    <w:rsid w:val="00E4137F"/>
    <w:rsid w:val="00E41497"/>
    <w:rsid w:val="00E4151B"/>
    <w:rsid w:val="00E416AE"/>
    <w:rsid w:val="00E417C0"/>
    <w:rsid w:val="00E41BC1"/>
    <w:rsid w:val="00E41E2E"/>
    <w:rsid w:val="00E426B3"/>
    <w:rsid w:val="00E42965"/>
    <w:rsid w:val="00E42EDA"/>
    <w:rsid w:val="00E4319E"/>
    <w:rsid w:val="00E43DC3"/>
    <w:rsid w:val="00E43E07"/>
    <w:rsid w:val="00E44880"/>
    <w:rsid w:val="00E44DA6"/>
    <w:rsid w:val="00E45935"/>
    <w:rsid w:val="00E459BA"/>
    <w:rsid w:val="00E45AB8"/>
    <w:rsid w:val="00E45F82"/>
    <w:rsid w:val="00E46667"/>
    <w:rsid w:val="00E466BF"/>
    <w:rsid w:val="00E472CF"/>
    <w:rsid w:val="00E476CE"/>
    <w:rsid w:val="00E47B71"/>
    <w:rsid w:val="00E47BF0"/>
    <w:rsid w:val="00E47C15"/>
    <w:rsid w:val="00E47FCB"/>
    <w:rsid w:val="00E500CB"/>
    <w:rsid w:val="00E51120"/>
    <w:rsid w:val="00E514DF"/>
    <w:rsid w:val="00E53441"/>
    <w:rsid w:val="00E555C0"/>
    <w:rsid w:val="00E5593C"/>
    <w:rsid w:val="00E55C4B"/>
    <w:rsid w:val="00E56525"/>
    <w:rsid w:val="00E56813"/>
    <w:rsid w:val="00E569F4"/>
    <w:rsid w:val="00E577EB"/>
    <w:rsid w:val="00E57877"/>
    <w:rsid w:val="00E57CBA"/>
    <w:rsid w:val="00E6014D"/>
    <w:rsid w:val="00E6061B"/>
    <w:rsid w:val="00E60C0A"/>
    <w:rsid w:val="00E60EC3"/>
    <w:rsid w:val="00E611A6"/>
    <w:rsid w:val="00E611EE"/>
    <w:rsid w:val="00E6208F"/>
    <w:rsid w:val="00E62D0B"/>
    <w:rsid w:val="00E63550"/>
    <w:rsid w:val="00E635DB"/>
    <w:rsid w:val="00E640BE"/>
    <w:rsid w:val="00E648F3"/>
    <w:rsid w:val="00E65074"/>
    <w:rsid w:val="00E65A85"/>
    <w:rsid w:val="00E65D1C"/>
    <w:rsid w:val="00E65F07"/>
    <w:rsid w:val="00E665A6"/>
    <w:rsid w:val="00E669DF"/>
    <w:rsid w:val="00E675C7"/>
    <w:rsid w:val="00E67C1E"/>
    <w:rsid w:val="00E7004D"/>
    <w:rsid w:val="00E706F7"/>
    <w:rsid w:val="00E710CE"/>
    <w:rsid w:val="00E71222"/>
    <w:rsid w:val="00E71302"/>
    <w:rsid w:val="00E71614"/>
    <w:rsid w:val="00E718C1"/>
    <w:rsid w:val="00E7287D"/>
    <w:rsid w:val="00E72F9B"/>
    <w:rsid w:val="00E73688"/>
    <w:rsid w:val="00E73857"/>
    <w:rsid w:val="00E73ACE"/>
    <w:rsid w:val="00E73FE4"/>
    <w:rsid w:val="00E7461E"/>
    <w:rsid w:val="00E7537E"/>
    <w:rsid w:val="00E75E27"/>
    <w:rsid w:val="00E75F76"/>
    <w:rsid w:val="00E762FE"/>
    <w:rsid w:val="00E7648D"/>
    <w:rsid w:val="00E769A1"/>
    <w:rsid w:val="00E76E39"/>
    <w:rsid w:val="00E771C8"/>
    <w:rsid w:val="00E77467"/>
    <w:rsid w:val="00E77552"/>
    <w:rsid w:val="00E77834"/>
    <w:rsid w:val="00E80C88"/>
    <w:rsid w:val="00E80EA8"/>
    <w:rsid w:val="00E811F8"/>
    <w:rsid w:val="00E813CC"/>
    <w:rsid w:val="00E813F4"/>
    <w:rsid w:val="00E8142F"/>
    <w:rsid w:val="00E8171A"/>
    <w:rsid w:val="00E81A13"/>
    <w:rsid w:val="00E81A29"/>
    <w:rsid w:val="00E81C3B"/>
    <w:rsid w:val="00E823AE"/>
    <w:rsid w:val="00E82B52"/>
    <w:rsid w:val="00E82EEC"/>
    <w:rsid w:val="00E830E3"/>
    <w:rsid w:val="00E83933"/>
    <w:rsid w:val="00E84737"/>
    <w:rsid w:val="00E848EA"/>
    <w:rsid w:val="00E84B3E"/>
    <w:rsid w:val="00E84C09"/>
    <w:rsid w:val="00E84E5A"/>
    <w:rsid w:val="00E85424"/>
    <w:rsid w:val="00E8575C"/>
    <w:rsid w:val="00E8597E"/>
    <w:rsid w:val="00E85ACE"/>
    <w:rsid w:val="00E85B2B"/>
    <w:rsid w:val="00E86934"/>
    <w:rsid w:val="00E86EC0"/>
    <w:rsid w:val="00E87082"/>
    <w:rsid w:val="00E876EF"/>
    <w:rsid w:val="00E87C4D"/>
    <w:rsid w:val="00E87CF0"/>
    <w:rsid w:val="00E909AA"/>
    <w:rsid w:val="00E90AE2"/>
    <w:rsid w:val="00E911E7"/>
    <w:rsid w:val="00E916AC"/>
    <w:rsid w:val="00E91FCC"/>
    <w:rsid w:val="00E925D9"/>
    <w:rsid w:val="00E92EDA"/>
    <w:rsid w:val="00E9312D"/>
    <w:rsid w:val="00E93193"/>
    <w:rsid w:val="00E93DAB"/>
    <w:rsid w:val="00E9433A"/>
    <w:rsid w:val="00E9448B"/>
    <w:rsid w:val="00E944EC"/>
    <w:rsid w:val="00E94697"/>
    <w:rsid w:val="00E949BE"/>
    <w:rsid w:val="00E94FD8"/>
    <w:rsid w:val="00E952DB"/>
    <w:rsid w:val="00E96277"/>
    <w:rsid w:val="00E96B6F"/>
    <w:rsid w:val="00E96C42"/>
    <w:rsid w:val="00E972B8"/>
    <w:rsid w:val="00EA022B"/>
    <w:rsid w:val="00EA0629"/>
    <w:rsid w:val="00EA1007"/>
    <w:rsid w:val="00EA1451"/>
    <w:rsid w:val="00EA19CB"/>
    <w:rsid w:val="00EA1BD8"/>
    <w:rsid w:val="00EA273D"/>
    <w:rsid w:val="00EA2C3D"/>
    <w:rsid w:val="00EA3171"/>
    <w:rsid w:val="00EA3AD8"/>
    <w:rsid w:val="00EA44EA"/>
    <w:rsid w:val="00EA4DB6"/>
    <w:rsid w:val="00EA543B"/>
    <w:rsid w:val="00EA5A61"/>
    <w:rsid w:val="00EA5EA0"/>
    <w:rsid w:val="00EA65D8"/>
    <w:rsid w:val="00EA662E"/>
    <w:rsid w:val="00EA6F18"/>
    <w:rsid w:val="00EA7D93"/>
    <w:rsid w:val="00EA7FC3"/>
    <w:rsid w:val="00EB04B0"/>
    <w:rsid w:val="00EB098D"/>
    <w:rsid w:val="00EB0CC5"/>
    <w:rsid w:val="00EB0D5B"/>
    <w:rsid w:val="00EB12FE"/>
    <w:rsid w:val="00EB1452"/>
    <w:rsid w:val="00EB1F79"/>
    <w:rsid w:val="00EB2BD0"/>
    <w:rsid w:val="00EB3F76"/>
    <w:rsid w:val="00EB4158"/>
    <w:rsid w:val="00EB4265"/>
    <w:rsid w:val="00EB53B6"/>
    <w:rsid w:val="00EB5855"/>
    <w:rsid w:val="00EB58F3"/>
    <w:rsid w:val="00EB62BA"/>
    <w:rsid w:val="00EB6665"/>
    <w:rsid w:val="00EB67D4"/>
    <w:rsid w:val="00EB699B"/>
    <w:rsid w:val="00EB6D2F"/>
    <w:rsid w:val="00EB7313"/>
    <w:rsid w:val="00EB77D5"/>
    <w:rsid w:val="00EC00CB"/>
    <w:rsid w:val="00EC01C8"/>
    <w:rsid w:val="00EC030E"/>
    <w:rsid w:val="00EC03C4"/>
    <w:rsid w:val="00EC05E9"/>
    <w:rsid w:val="00EC1157"/>
    <w:rsid w:val="00EC14E2"/>
    <w:rsid w:val="00EC1717"/>
    <w:rsid w:val="00EC1FF6"/>
    <w:rsid w:val="00EC2004"/>
    <w:rsid w:val="00EC2112"/>
    <w:rsid w:val="00EC2344"/>
    <w:rsid w:val="00EC23F6"/>
    <w:rsid w:val="00EC39D9"/>
    <w:rsid w:val="00EC3EFD"/>
    <w:rsid w:val="00EC40EF"/>
    <w:rsid w:val="00EC4745"/>
    <w:rsid w:val="00EC4D6A"/>
    <w:rsid w:val="00EC550E"/>
    <w:rsid w:val="00EC5AFD"/>
    <w:rsid w:val="00EC5C3C"/>
    <w:rsid w:val="00EC6896"/>
    <w:rsid w:val="00EC6D53"/>
    <w:rsid w:val="00EC73B4"/>
    <w:rsid w:val="00EC7C8C"/>
    <w:rsid w:val="00ED005A"/>
    <w:rsid w:val="00ED0529"/>
    <w:rsid w:val="00ED0BA0"/>
    <w:rsid w:val="00ED12B1"/>
    <w:rsid w:val="00ED1D8A"/>
    <w:rsid w:val="00ED28E2"/>
    <w:rsid w:val="00ED3DDA"/>
    <w:rsid w:val="00ED43CB"/>
    <w:rsid w:val="00ED5928"/>
    <w:rsid w:val="00ED59A8"/>
    <w:rsid w:val="00ED61A6"/>
    <w:rsid w:val="00ED6420"/>
    <w:rsid w:val="00ED6424"/>
    <w:rsid w:val="00ED6AF2"/>
    <w:rsid w:val="00ED6BBF"/>
    <w:rsid w:val="00ED6C52"/>
    <w:rsid w:val="00ED6E0B"/>
    <w:rsid w:val="00ED6E68"/>
    <w:rsid w:val="00ED72C0"/>
    <w:rsid w:val="00ED7726"/>
    <w:rsid w:val="00ED79CD"/>
    <w:rsid w:val="00ED7BDF"/>
    <w:rsid w:val="00ED7E01"/>
    <w:rsid w:val="00EE0A3F"/>
    <w:rsid w:val="00EE0A80"/>
    <w:rsid w:val="00EE271B"/>
    <w:rsid w:val="00EE2F10"/>
    <w:rsid w:val="00EE3072"/>
    <w:rsid w:val="00EE354B"/>
    <w:rsid w:val="00EE4C4C"/>
    <w:rsid w:val="00EE52D0"/>
    <w:rsid w:val="00EE5572"/>
    <w:rsid w:val="00EE57A6"/>
    <w:rsid w:val="00EE6011"/>
    <w:rsid w:val="00EE64A8"/>
    <w:rsid w:val="00EE69F9"/>
    <w:rsid w:val="00EE7809"/>
    <w:rsid w:val="00EF05FB"/>
    <w:rsid w:val="00EF0DAC"/>
    <w:rsid w:val="00EF1A48"/>
    <w:rsid w:val="00EF1B66"/>
    <w:rsid w:val="00EF1E75"/>
    <w:rsid w:val="00EF2D80"/>
    <w:rsid w:val="00EF3828"/>
    <w:rsid w:val="00EF43B7"/>
    <w:rsid w:val="00EF446E"/>
    <w:rsid w:val="00EF4C1A"/>
    <w:rsid w:val="00EF4DBA"/>
    <w:rsid w:val="00EF5037"/>
    <w:rsid w:val="00EF5421"/>
    <w:rsid w:val="00EF5A76"/>
    <w:rsid w:val="00EF609F"/>
    <w:rsid w:val="00EF6311"/>
    <w:rsid w:val="00EF6645"/>
    <w:rsid w:val="00EF69D0"/>
    <w:rsid w:val="00EF6E29"/>
    <w:rsid w:val="00EF6FFD"/>
    <w:rsid w:val="00EF7115"/>
    <w:rsid w:val="00F00452"/>
    <w:rsid w:val="00F0095D"/>
    <w:rsid w:val="00F00DE8"/>
    <w:rsid w:val="00F02821"/>
    <w:rsid w:val="00F02FF3"/>
    <w:rsid w:val="00F03115"/>
    <w:rsid w:val="00F037E0"/>
    <w:rsid w:val="00F04C42"/>
    <w:rsid w:val="00F04E15"/>
    <w:rsid w:val="00F055D2"/>
    <w:rsid w:val="00F062B8"/>
    <w:rsid w:val="00F063F4"/>
    <w:rsid w:val="00F06615"/>
    <w:rsid w:val="00F068A6"/>
    <w:rsid w:val="00F0699D"/>
    <w:rsid w:val="00F06AE9"/>
    <w:rsid w:val="00F06D44"/>
    <w:rsid w:val="00F06FEB"/>
    <w:rsid w:val="00F070EB"/>
    <w:rsid w:val="00F07891"/>
    <w:rsid w:val="00F07ABB"/>
    <w:rsid w:val="00F07C5C"/>
    <w:rsid w:val="00F07CA7"/>
    <w:rsid w:val="00F07CF4"/>
    <w:rsid w:val="00F10368"/>
    <w:rsid w:val="00F1053D"/>
    <w:rsid w:val="00F107DF"/>
    <w:rsid w:val="00F10DC2"/>
    <w:rsid w:val="00F11252"/>
    <w:rsid w:val="00F122BC"/>
    <w:rsid w:val="00F1248A"/>
    <w:rsid w:val="00F12A0E"/>
    <w:rsid w:val="00F12AD5"/>
    <w:rsid w:val="00F13121"/>
    <w:rsid w:val="00F1342F"/>
    <w:rsid w:val="00F1360C"/>
    <w:rsid w:val="00F13663"/>
    <w:rsid w:val="00F13B41"/>
    <w:rsid w:val="00F13E05"/>
    <w:rsid w:val="00F14575"/>
    <w:rsid w:val="00F14FF0"/>
    <w:rsid w:val="00F15091"/>
    <w:rsid w:val="00F1552B"/>
    <w:rsid w:val="00F15A3C"/>
    <w:rsid w:val="00F15BCB"/>
    <w:rsid w:val="00F162B8"/>
    <w:rsid w:val="00F16571"/>
    <w:rsid w:val="00F171D9"/>
    <w:rsid w:val="00F202C0"/>
    <w:rsid w:val="00F2056D"/>
    <w:rsid w:val="00F205CA"/>
    <w:rsid w:val="00F2069B"/>
    <w:rsid w:val="00F211AE"/>
    <w:rsid w:val="00F21437"/>
    <w:rsid w:val="00F21655"/>
    <w:rsid w:val="00F216DF"/>
    <w:rsid w:val="00F21BB3"/>
    <w:rsid w:val="00F21D6C"/>
    <w:rsid w:val="00F22387"/>
    <w:rsid w:val="00F22627"/>
    <w:rsid w:val="00F229CF"/>
    <w:rsid w:val="00F22D72"/>
    <w:rsid w:val="00F236A0"/>
    <w:rsid w:val="00F236ED"/>
    <w:rsid w:val="00F23B51"/>
    <w:rsid w:val="00F23C4C"/>
    <w:rsid w:val="00F240E7"/>
    <w:rsid w:val="00F24117"/>
    <w:rsid w:val="00F24EAE"/>
    <w:rsid w:val="00F259F4"/>
    <w:rsid w:val="00F25BE5"/>
    <w:rsid w:val="00F26309"/>
    <w:rsid w:val="00F26E44"/>
    <w:rsid w:val="00F27B46"/>
    <w:rsid w:val="00F27DDC"/>
    <w:rsid w:val="00F300DC"/>
    <w:rsid w:val="00F30D62"/>
    <w:rsid w:val="00F317C6"/>
    <w:rsid w:val="00F3219D"/>
    <w:rsid w:val="00F33548"/>
    <w:rsid w:val="00F336CA"/>
    <w:rsid w:val="00F34D27"/>
    <w:rsid w:val="00F353D1"/>
    <w:rsid w:val="00F356F5"/>
    <w:rsid w:val="00F35E1B"/>
    <w:rsid w:val="00F3611A"/>
    <w:rsid w:val="00F36AEF"/>
    <w:rsid w:val="00F36B64"/>
    <w:rsid w:val="00F36C0A"/>
    <w:rsid w:val="00F36E8E"/>
    <w:rsid w:val="00F373A9"/>
    <w:rsid w:val="00F374CA"/>
    <w:rsid w:val="00F37537"/>
    <w:rsid w:val="00F375B0"/>
    <w:rsid w:val="00F37DB2"/>
    <w:rsid w:val="00F403E7"/>
    <w:rsid w:val="00F406CE"/>
    <w:rsid w:val="00F40795"/>
    <w:rsid w:val="00F40958"/>
    <w:rsid w:val="00F40E52"/>
    <w:rsid w:val="00F410D7"/>
    <w:rsid w:val="00F419FC"/>
    <w:rsid w:val="00F41B09"/>
    <w:rsid w:val="00F42B55"/>
    <w:rsid w:val="00F42C8B"/>
    <w:rsid w:val="00F4352D"/>
    <w:rsid w:val="00F4372B"/>
    <w:rsid w:val="00F4380A"/>
    <w:rsid w:val="00F457A7"/>
    <w:rsid w:val="00F45BFC"/>
    <w:rsid w:val="00F45DCB"/>
    <w:rsid w:val="00F45E1D"/>
    <w:rsid w:val="00F45F56"/>
    <w:rsid w:val="00F46810"/>
    <w:rsid w:val="00F47965"/>
    <w:rsid w:val="00F47A8F"/>
    <w:rsid w:val="00F50758"/>
    <w:rsid w:val="00F51D21"/>
    <w:rsid w:val="00F51D26"/>
    <w:rsid w:val="00F530B3"/>
    <w:rsid w:val="00F539B3"/>
    <w:rsid w:val="00F539BB"/>
    <w:rsid w:val="00F53F3B"/>
    <w:rsid w:val="00F54055"/>
    <w:rsid w:val="00F54225"/>
    <w:rsid w:val="00F54829"/>
    <w:rsid w:val="00F561D8"/>
    <w:rsid w:val="00F56438"/>
    <w:rsid w:val="00F56C65"/>
    <w:rsid w:val="00F56FB4"/>
    <w:rsid w:val="00F572EB"/>
    <w:rsid w:val="00F5773F"/>
    <w:rsid w:val="00F57A01"/>
    <w:rsid w:val="00F60589"/>
    <w:rsid w:val="00F606D6"/>
    <w:rsid w:val="00F607B5"/>
    <w:rsid w:val="00F60830"/>
    <w:rsid w:val="00F60F5E"/>
    <w:rsid w:val="00F6103D"/>
    <w:rsid w:val="00F613BB"/>
    <w:rsid w:val="00F61553"/>
    <w:rsid w:val="00F61671"/>
    <w:rsid w:val="00F61B00"/>
    <w:rsid w:val="00F61F96"/>
    <w:rsid w:val="00F625B0"/>
    <w:rsid w:val="00F63047"/>
    <w:rsid w:val="00F630D6"/>
    <w:rsid w:val="00F635E7"/>
    <w:rsid w:val="00F63E48"/>
    <w:rsid w:val="00F645B4"/>
    <w:rsid w:val="00F64B46"/>
    <w:rsid w:val="00F6514E"/>
    <w:rsid w:val="00F65369"/>
    <w:rsid w:val="00F66125"/>
    <w:rsid w:val="00F6631B"/>
    <w:rsid w:val="00F66FB4"/>
    <w:rsid w:val="00F673F1"/>
    <w:rsid w:val="00F7082C"/>
    <w:rsid w:val="00F70B86"/>
    <w:rsid w:val="00F70EE1"/>
    <w:rsid w:val="00F70FA4"/>
    <w:rsid w:val="00F7115C"/>
    <w:rsid w:val="00F72349"/>
    <w:rsid w:val="00F726F7"/>
    <w:rsid w:val="00F72964"/>
    <w:rsid w:val="00F7390A"/>
    <w:rsid w:val="00F7390E"/>
    <w:rsid w:val="00F73E4A"/>
    <w:rsid w:val="00F73F6D"/>
    <w:rsid w:val="00F74BCB"/>
    <w:rsid w:val="00F74D33"/>
    <w:rsid w:val="00F74ECE"/>
    <w:rsid w:val="00F7526D"/>
    <w:rsid w:val="00F75673"/>
    <w:rsid w:val="00F75773"/>
    <w:rsid w:val="00F757C0"/>
    <w:rsid w:val="00F758EB"/>
    <w:rsid w:val="00F75C16"/>
    <w:rsid w:val="00F75E5D"/>
    <w:rsid w:val="00F7645C"/>
    <w:rsid w:val="00F769C9"/>
    <w:rsid w:val="00F77C73"/>
    <w:rsid w:val="00F80778"/>
    <w:rsid w:val="00F808C7"/>
    <w:rsid w:val="00F815AC"/>
    <w:rsid w:val="00F815CB"/>
    <w:rsid w:val="00F81ABF"/>
    <w:rsid w:val="00F8207B"/>
    <w:rsid w:val="00F8246F"/>
    <w:rsid w:val="00F82BE2"/>
    <w:rsid w:val="00F836F6"/>
    <w:rsid w:val="00F83D51"/>
    <w:rsid w:val="00F83D60"/>
    <w:rsid w:val="00F84D3C"/>
    <w:rsid w:val="00F85476"/>
    <w:rsid w:val="00F85EE3"/>
    <w:rsid w:val="00F86B80"/>
    <w:rsid w:val="00F86C2F"/>
    <w:rsid w:val="00F87108"/>
    <w:rsid w:val="00F87534"/>
    <w:rsid w:val="00F876BB"/>
    <w:rsid w:val="00F87749"/>
    <w:rsid w:val="00F87E0A"/>
    <w:rsid w:val="00F91094"/>
    <w:rsid w:val="00F92326"/>
    <w:rsid w:val="00F92582"/>
    <w:rsid w:val="00F92752"/>
    <w:rsid w:val="00F9336D"/>
    <w:rsid w:val="00F93880"/>
    <w:rsid w:val="00F9478E"/>
    <w:rsid w:val="00F9535C"/>
    <w:rsid w:val="00F977F0"/>
    <w:rsid w:val="00FA07D9"/>
    <w:rsid w:val="00FA134C"/>
    <w:rsid w:val="00FA171A"/>
    <w:rsid w:val="00FA1E0B"/>
    <w:rsid w:val="00FA3227"/>
    <w:rsid w:val="00FA4493"/>
    <w:rsid w:val="00FA455B"/>
    <w:rsid w:val="00FA598C"/>
    <w:rsid w:val="00FA6506"/>
    <w:rsid w:val="00FA7360"/>
    <w:rsid w:val="00FA7511"/>
    <w:rsid w:val="00FA76B8"/>
    <w:rsid w:val="00FA7A92"/>
    <w:rsid w:val="00FA7E8D"/>
    <w:rsid w:val="00FB064A"/>
    <w:rsid w:val="00FB075B"/>
    <w:rsid w:val="00FB0A20"/>
    <w:rsid w:val="00FB0D4F"/>
    <w:rsid w:val="00FB117B"/>
    <w:rsid w:val="00FB1F35"/>
    <w:rsid w:val="00FB21C6"/>
    <w:rsid w:val="00FB25C4"/>
    <w:rsid w:val="00FB262A"/>
    <w:rsid w:val="00FB2802"/>
    <w:rsid w:val="00FB29FE"/>
    <w:rsid w:val="00FB2E48"/>
    <w:rsid w:val="00FB300B"/>
    <w:rsid w:val="00FB3092"/>
    <w:rsid w:val="00FB3229"/>
    <w:rsid w:val="00FB3BE4"/>
    <w:rsid w:val="00FB40DA"/>
    <w:rsid w:val="00FB42FE"/>
    <w:rsid w:val="00FB470C"/>
    <w:rsid w:val="00FB4C7D"/>
    <w:rsid w:val="00FB4DDB"/>
    <w:rsid w:val="00FB50B7"/>
    <w:rsid w:val="00FB5815"/>
    <w:rsid w:val="00FB5F33"/>
    <w:rsid w:val="00FB616F"/>
    <w:rsid w:val="00FB6905"/>
    <w:rsid w:val="00FB7180"/>
    <w:rsid w:val="00FB7AA5"/>
    <w:rsid w:val="00FB7AC2"/>
    <w:rsid w:val="00FC0166"/>
    <w:rsid w:val="00FC02D9"/>
    <w:rsid w:val="00FC04E7"/>
    <w:rsid w:val="00FC0513"/>
    <w:rsid w:val="00FC0AAA"/>
    <w:rsid w:val="00FC1160"/>
    <w:rsid w:val="00FC131B"/>
    <w:rsid w:val="00FC1659"/>
    <w:rsid w:val="00FC1867"/>
    <w:rsid w:val="00FC1DCB"/>
    <w:rsid w:val="00FC1FEA"/>
    <w:rsid w:val="00FC20CE"/>
    <w:rsid w:val="00FC24ED"/>
    <w:rsid w:val="00FC3190"/>
    <w:rsid w:val="00FC3273"/>
    <w:rsid w:val="00FC3666"/>
    <w:rsid w:val="00FC396A"/>
    <w:rsid w:val="00FC3EB3"/>
    <w:rsid w:val="00FC3EE3"/>
    <w:rsid w:val="00FC45DF"/>
    <w:rsid w:val="00FC487E"/>
    <w:rsid w:val="00FC4953"/>
    <w:rsid w:val="00FC4E49"/>
    <w:rsid w:val="00FC538A"/>
    <w:rsid w:val="00FC5BE8"/>
    <w:rsid w:val="00FC5E5E"/>
    <w:rsid w:val="00FC5F41"/>
    <w:rsid w:val="00FC664F"/>
    <w:rsid w:val="00FC67B2"/>
    <w:rsid w:val="00FC70AD"/>
    <w:rsid w:val="00FC72F2"/>
    <w:rsid w:val="00FC77EA"/>
    <w:rsid w:val="00FC7BDC"/>
    <w:rsid w:val="00FC7C10"/>
    <w:rsid w:val="00FD01D7"/>
    <w:rsid w:val="00FD04BB"/>
    <w:rsid w:val="00FD05A6"/>
    <w:rsid w:val="00FD0BD5"/>
    <w:rsid w:val="00FD1097"/>
    <w:rsid w:val="00FD124F"/>
    <w:rsid w:val="00FD1274"/>
    <w:rsid w:val="00FD1C99"/>
    <w:rsid w:val="00FD1D4D"/>
    <w:rsid w:val="00FD1DE1"/>
    <w:rsid w:val="00FD1F39"/>
    <w:rsid w:val="00FD2201"/>
    <w:rsid w:val="00FD27C7"/>
    <w:rsid w:val="00FD2A0A"/>
    <w:rsid w:val="00FD2BB8"/>
    <w:rsid w:val="00FD2F1A"/>
    <w:rsid w:val="00FD2F8A"/>
    <w:rsid w:val="00FD351A"/>
    <w:rsid w:val="00FD39B6"/>
    <w:rsid w:val="00FD3B20"/>
    <w:rsid w:val="00FD4220"/>
    <w:rsid w:val="00FD5368"/>
    <w:rsid w:val="00FD561D"/>
    <w:rsid w:val="00FD6AB6"/>
    <w:rsid w:val="00FD6D5F"/>
    <w:rsid w:val="00FD75FE"/>
    <w:rsid w:val="00FD7714"/>
    <w:rsid w:val="00FD77AE"/>
    <w:rsid w:val="00FD7CFD"/>
    <w:rsid w:val="00FE0189"/>
    <w:rsid w:val="00FE0286"/>
    <w:rsid w:val="00FE0362"/>
    <w:rsid w:val="00FE0FCC"/>
    <w:rsid w:val="00FE1B5E"/>
    <w:rsid w:val="00FE1BF2"/>
    <w:rsid w:val="00FE1C81"/>
    <w:rsid w:val="00FE24DE"/>
    <w:rsid w:val="00FE2697"/>
    <w:rsid w:val="00FE2A8D"/>
    <w:rsid w:val="00FE4441"/>
    <w:rsid w:val="00FE45D6"/>
    <w:rsid w:val="00FE512F"/>
    <w:rsid w:val="00FE58CE"/>
    <w:rsid w:val="00FE5E9D"/>
    <w:rsid w:val="00FE6A30"/>
    <w:rsid w:val="00FE705C"/>
    <w:rsid w:val="00FE7C00"/>
    <w:rsid w:val="00FF0264"/>
    <w:rsid w:val="00FF096D"/>
    <w:rsid w:val="00FF09E6"/>
    <w:rsid w:val="00FF0B58"/>
    <w:rsid w:val="00FF0B64"/>
    <w:rsid w:val="00FF14FD"/>
    <w:rsid w:val="00FF19B6"/>
    <w:rsid w:val="00FF1AF2"/>
    <w:rsid w:val="00FF1CD9"/>
    <w:rsid w:val="00FF1E38"/>
    <w:rsid w:val="00FF2BFC"/>
    <w:rsid w:val="00FF2DEC"/>
    <w:rsid w:val="00FF338A"/>
    <w:rsid w:val="00FF4252"/>
    <w:rsid w:val="00FF4B06"/>
    <w:rsid w:val="00FF4C7D"/>
    <w:rsid w:val="00FF5C48"/>
    <w:rsid w:val="00FF5DAC"/>
    <w:rsid w:val="00FF649E"/>
    <w:rsid w:val="00FF6D7E"/>
    <w:rsid w:val="00FF6E36"/>
    <w:rsid w:val="00FF6EE9"/>
    <w:rsid w:val="00FF7BD3"/>
    <w:rsid w:val="0120765D"/>
    <w:rsid w:val="018E3672"/>
    <w:rsid w:val="02164635"/>
    <w:rsid w:val="027C3466"/>
    <w:rsid w:val="029055F2"/>
    <w:rsid w:val="03256A6C"/>
    <w:rsid w:val="037763C4"/>
    <w:rsid w:val="04DB4977"/>
    <w:rsid w:val="0627537E"/>
    <w:rsid w:val="06A116ED"/>
    <w:rsid w:val="06BA1548"/>
    <w:rsid w:val="06E03618"/>
    <w:rsid w:val="06F40373"/>
    <w:rsid w:val="0723124C"/>
    <w:rsid w:val="07B45315"/>
    <w:rsid w:val="082F165E"/>
    <w:rsid w:val="08520BE7"/>
    <w:rsid w:val="08BE567C"/>
    <w:rsid w:val="08FF1C4F"/>
    <w:rsid w:val="0A2658E9"/>
    <w:rsid w:val="0BA55BCA"/>
    <w:rsid w:val="0C7E7BF7"/>
    <w:rsid w:val="0CE17CCE"/>
    <w:rsid w:val="0DAE09FE"/>
    <w:rsid w:val="0ED11372"/>
    <w:rsid w:val="0EDA2EBF"/>
    <w:rsid w:val="10D113AB"/>
    <w:rsid w:val="119105D6"/>
    <w:rsid w:val="13475083"/>
    <w:rsid w:val="15051099"/>
    <w:rsid w:val="15D14E87"/>
    <w:rsid w:val="161A71A5"/>
    <w:rsid w:val="161C3035"/>
    <w:rsid w:val="1655529B"/>
    <w:rsid w:val="193A133B"/>
    <w:rsid w:val="194C312C"/>
    <w:rsid w:val="198F32D7"/>
    <w:rsid w:val="19953A8D"/>
    <w:rsid w:val="19DD4C7B"/>
    <w:rsid w:val="1A925B53"/>
    <w:rsid w:val="1ADD2620"/>
    <w:rsid w:val="1C1D6943"/>
    <w:rsid w:val="1CB16F20"/>
    <w:rsid w:val="1D8E417D"/>
    <w:rsid w:val="1F0A4DEF"/>
    <w:rsid w:val="1F5634E7"/>
    <w:rsid w:val="201723F5"/>
    <w:rsid w:val="2079747D"/>
    <w:rsid w:val="20951FE6"/>
    <w:rsid w:val="2136082C"/>
    <w:rsid w:val="21BF095A"/>
    <w:rsid w:val="21FB5F9F"/>
    <w:rsid w:val="22934188"/>
    <w:rsid w:val="22CE59C7"/>
    <w:rsid w:val="232C7925"/>
    <w:rsid w:val="23776ADE"/>
    <w:rsid w:val="252B3C86"/>
    <w:rsid w:val="25A64EF2"/>
    <w:rsid w:val="25D83015"/>
    <w:rsid w:val="25F93B72"/>
    <w:rsid w:val="26410713"/>
    <w:rsid w:val="26DA0BAE"/>
    <w:rsid w:val="271E568B"/>
    <w:rsid w:val="27720495"/>
    <w:rsid w:val="29813F40"/>
    <w:rsid w:val="2A390E26"/>
    <w:rsid w:val="2BC961FC"/>
    <w:rsid w:val="2BDC7BA2"/>
    <w:rsid w:val="2DD809AF"/>
    <w:rsid w:val="2DEA6EED"/>
    <w:rsid w:val="2E532A1D"/>
    <w:rsid w:val="2E8B45B0"/>
    <w:rsid w:val="2FF900F8"/>
    <w:rsid w:val="306519BF"/>
    <w:rsid w:val="32D279D8"/>
    <w:rsid w:val="343F7577"/>
    <w:rsid w:val="34EA78F0"/>
    <w:rsid w:val="351964F7"/>
    <w:rsid w:val="365F6866"/>
    <w:rsid w:val="366C7300"/>
    <w:rsid w:val="38743A1E"/>
    <w:rsid w:val="39D44EA4"/>
    <w:rsid w:val="3A4F6E5B"/>
    <w:rsid w:val="3B1073D9"/>
    <w:rsid w:val="3B2220F5"/>
    <w:rsid w:val="3B8820E3"/>
    <w:rsid w:val="3BCB04DA"/>
    <w:rsid w:val="3C875EDC"/>
    <w:rsid w:val="3DBF1E7D"/>
    <w:rsid w:val="3E2E003F"/>
    <w:rsid w:val="3EF011BB"/>
    <w:rsid w:val="3F396AA4"/>
    <w:rsid w:val="40CA3013"/>
    <w:rsid w:val="41C22948"/>
    <w:rsid w:val="42276431"/>
    <w:rsid w:val="42B11D15"/>
    <w:rsid w:val="42FF2253"/>
    <w:rsid w:val="43B70AA5"/>
    <w:rsid w:val="43CC3F57"/>
    <w:rsid w:val="444A644B"/>
    <w:rsid w:val="447B345C"/>
    <w:rsid w:val="44C74550"/>
    <w:rsid w:val="45685F5C"/>
    <w:rsid w:val="45917CCE"/>
    <w:rsid w:val="459260C9"/>
    <w:rsid w:val="45FF52BF"/>
    <w:rsid w:val="49F778FF"/>
    <w:rsid w:val="4AC814EC"/>
    <w:rsid w:val="4AEA5FEB"/>
    <w:rsid w:val="4B2772B4"/>
    <w:rsid w:val="4C774D13"/>
    <w:rsid w:val="4CAC4353"/>
    <w:rsid w:val="4CD04DB5"/>
    <w:rsid w:val="4CF12C79"/>
    <w:rsid w:val="4DA429EC"/>
    <w:rsid w:val="4DAF3148"/>
    <w:rsid w:val="4E600013"/>
    <w:rsid w:val="4F1969B1"/>
    <w:rsid w:val="4F702CB0"/>
    <w:rsid w:val="516A3A56"/>
    <w:rsid w:val="51781432"/>
    <w:rsid w:val="52025AE9"/>
    <w:rsid w:val="523227C6"/>
    <w:rsid w:val="525168D1"/>
    <w:rsid w:val="53460675"/>
    <w:rsid w:val="53B01EB6"/>
    <w:rsid w:val="5580185C"/>
    <w:rsid w:val="56086835"/>
    <w:rsid w:val="56BC3634"/>
    <w:rsid w:val="57A04D4E"/>
    <w:rsid w:val="58297AE2"/>
    <w:rsid w:val="58E12CDF"/>
    <w:rsid w:val="598558D1"/>
    <w:rsid w:val="59C74640"/>
    <w:rsid w:val="59CD78E2"/>
    <w:rsid w:val="5A082F03"/>
    <w:rsid w:val="5C2E32BC"/>
    <w:rsid w:val="5C8F5124"/>
    <w:rsid w:val="5C9B540C"/>
    <w:rsid w:val="5D163184"/>
    <w:rsid w:val="5D3A79F6"/>
    <w:rsid w:val="5E3748AD"/>
    <w:rsid w:val="5F41673E"/>
    <w:rsid w:val="5FB33E16"/>
    <w:rsid w:val="5FD70E51"/>
    <w:rsid w:val="637D45D8"/>
    <w:rsid w:val="63DE2FB6"/>
    <w:rsid w:val="64583BDF"/>
    <w:rsid w:val="64CF6970"/>
    <w:rsid w:val="651B6D38"/>
    <w:rsid w:val="65C6272B"/>
    <w:rsid w:val="663131FF"/>
    <w:rsid w:val="663E3E1C"/>
    <w:rsid w:val="66567793"/>
    <w:rsid w:val="667F358A"/>
    <w:rsid w:val="66C562C4"/>
    <w:rsid w:val="681C56E8"/>
    <w:rsid w:val="693A18C7"/>
    <w:rsid w:val="6A072877"/>
    <w:rsid w:val="6AFD2464"/>
    <w:rsid w:val="6B4C267D"/>
    <w:rsid w:val="6B6A581D"/>
    <w:rsid w:val="6B85523A"/>
    <w:rsid w:val="6C1C4731"/>
    <w:rsid w:val="6C6E48EB"/>
    <w:rsid w:val="6CE238CA"/>
    <w:rsid w:val="6E5A0C83"/>
    <w:rsid w:val="6E7100B0"/>
    <w:rsid w:val="6EA36ACE"/>
    <w:rsid w:val="6EBB79A1"/>
    <w:rsid w:val="6F5601B5"/>
    <w:rsid w:val="6FA655EF"/>
    <w:rsid w:val="6FFB465B"/>
    <w:rsid w:val="70255FA1"/>
    <w:rsid w:val="71DF38C2"/>
    <w:rsid w:val="72136023"/>
    <w:rsid w:val="724F27D3"/>
    <w:rsid w:val="73E334C8"/>
    <w:rsid w:val="751A73BE"/>
    <w:rsid w:val="75E15289"/>
    <w:rsid w:val="75F302B6"/>
    <w:rsid w:val="7606432D"/>
    <w:rsid w:val="762D6A90"/>
    <w:rsid w:val="76332AC4"/>
    <w:rsid w:val="766F1A66"/>
    <w:rsid w:val="768809FB"/>
    <w:rsid w:val="769E49B0"/>
    <w:rsid w:val="76FE15E0"/>
    <w:rsid w:val="77963A41"/>
    <w:rsid w:val="787B5828"/>
    <w:rsid w:val="792B6D5D"/>
    <w:rsid w:val="79357CCC"/>
    <w:rsid w:val="797F465B"/>
    <w:rsid w:val="7A2478D5"/>
    <w:rsid w:val="7B384E18"/>
    <w:rsid w:val="7C1E49A0"/>
    <w:rsid w:val="7C61265B"/>
    <w:rsid w:val="7D1C79E5"/>
    <w:rsid w:val="7E87010F"/>
    <w:rsid w:val="7EB6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qFormat="1" w:unhideWhenUsed="0" w:uiPriority="99"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99" w:semiHidden="0" w:name="macro"/>
    <w:lsdException w:qFormat="1" w:unhideWhenUsed="0" w:uiPriority="0" w:semiHidden="0" w:name="toa heading"/>
    <w:lsdException w:qFormat="1" w:unhideWhenUsed="0" w:uiPriority="99" w:semiHidden="0" w:name="List"/>
    <w:lsdException w:qFormat="1" w:unhideWhenUsed="0" w:uiPriority="99" w:semiHidden="0" w:name="List Bullet"/>
    <w:lsdException w:uiPriority="0" w:name="List Number"/>
    <w:lsdException w:qFormat="1" w:unhideWhenUsed="0" w:uiPriority="99" w:semiHidden="0" w:name="List 2"/>
    <w:lsdException w:qFormat="1" w:unhideWhenUsed="0" w:uiPriority="99" w:semiHidden="0" w:name="List 3"/>
    <w:lsdException w:uiPriority="0" w:name="List 4"/>
    <w:lsdException w:qFormat="1"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autoRedefine/>
    <w:qFormat/>
    <w:uiPriority w:val="0"/>
    <w:pPr>
      <w:keepNext/>
      <w:keepLines/>
      <w:spacing w:before="120" w:after="120"/>
      <w:jc w:val="center"/>
      <w:outlineLvl w:val="0"/>
    </w:pPr>
    <w:rPr>
      <w:b/>
      <w:spacing w:val="20"/>
      <w:kern w:val="44"/>
      <w:sz w:val="32"/>
    </w:rPr>
  </w:style>
  <w:style w:type="paragraph" w:styleId="4">
    <w:name w:val="heading 2"/>
    <w:basedOn w:val="1"/>
    <w:next w:val="1"/>
    <w:link w:val="71"/>
    <w:autoRedefine/>
    <w:qFormat/>
    <w:uiPriority w:val="0"/>
    <w:pPr>
      <w:keepNext/>
      <w:keepLines/>
      <w:spacing w:before="120" w:beforeLines="50" w:line="360" w:lineRule="auto"/>
      <w:ind w:firstLine="602"/>
      <w:jc w:val="center"/>
      <w:outlineLvl w:val="1"/>
    </w:pPr>
    <w:rPr>
      <w:rFonts w:ascii="Arial" w:hAnsi="Arial"/>
      <w:b/>
      <w:kern w:val="0"/>
      <w:sz w:val="30"/>
    </w:rPr>
  </w:style>
  <w:style w:type="paragraph" w:styleId="5">
    <w:name w:val="heading 3"/>
    <w:basedOn w:val="1"/>
    <w:next w:val="6"/>
    <w:link w:val="72"/>
    <w:autoRedefine/>
    <w:qFormat/>
    <w:uiPriority w:val="0"/>
    <w:pPr>
      <w:keepNext/>
      <w:keepLines/>
      <w:spacing w:line="360" w:lineRule="auto"/>
      <w:ind w:firstLine="562"/>
      <w:jc w:val="center"/>
      <w:outlineLvl w:val="2"/>
    </w:pPr>
    <w:rPr>
      <w:rFonts w:asciiTheme="minorEastAsia" w:hAnsiTheme="minorEastAsia" w:eastAsiaTheme="minorEastAsia"/>
      <w:b/>
      <w:color w:val="FF0000"/>
      <w:sz w:val="28"/>
      <w:szCs w:val="28"/>
    </w:rPr>
  </w:style>
  <w:style w:type="paragraph" w:styleId="7">
    <w:name w:val="heading 4"/>
    <w:basedOn w:val="1"/>
    <w:next w:val="1"/>
    <w:link w:val="73"/>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4"/>
    <w:autoRedefine/>
    <w:qFormat/>
    <w:uiPriority w:val="0"/>
    <w:pPr>
      <w:keepNext/>
      <w:jc w:val="center"/>
      <w:outlineLvl w:val="4"/>
    </w:pPr>
    <w:rPr>
      <w:rFonts w:ascii="仿宋_GB2312" w:eastAsia="仿宋_GB2312"/>
      <w:b/>
      <w:bCs/>
      <w:sz w:val="24"/>
    </w:rPr>
  </w:style>
  <w:style w:type="paragraph" w:styleId="9">
    <w:name w:val="heading 6"/>
    <w:basedOn w:val="1"/>
    <w:next w:val="1"/>
    <w:link w:val="75"/>
    <w:autoRedefine/>
    <w:qFormat/>
    <w:uiPriority w:val="0"/>
    <w:pPr>
      <w:keepNext/>
      <w:keepLines/>
      <w:widowControl/>
      <w:numPr>
        <w:ilvl w:val="5"/>
        <w:numId w:val="1"/>
      </w:numPr>
      <w:tabs>
        <w:tab w:val="left" w:pos="1440"/>
      </w:tabs>
      <w:spacing w:before="240" w:after="64" w:line="317" w:lineRule="auto"/>
      <w:jc w:val="left"/>
      <w:outlineLvl w:val="5"/>
    </w:pPr>
    <w:rPr>
      <w:rFonts w:ascii="Arial" w:hAnsi="Arial" w:eastAsia="黑体"/>
      <w:b/>
      <w:bCs/>
      <w:kern w:val="0"/>
      <w:sz w:val="24"/>
      <w:szCs w:val="24"/>
    </w:rPr>
  </w:style>
  <w:style w:type="paragraph" w:styleId="10">
    <w:name w:val="heading 7"/>
    <w:basedOn w:val="1"/>
    <w:next w:val="1"/>
    <w:link w:val="76"/>
    <w:autoRedefine/>
    <w:qFormat/>
    <w:uiPriority w:val="99"/>
    <w:pPr>
      <w:keepNext/>
      <w:keepLines/>
      <w:widowControl/>
      <w:tabs>
        <w:tab w:val="left" w:pos="2520"/>
        <w:tab w:val="left" w:pos="3472"/>
      </w:tabs>
      <w:spacing w:before="240" w:after="64" w:line="317" w:lineRule="auto"/>
      <w:ind w:left="3472" w:hanging="420"/>
      <w:jc w:val="left"/>
      <w:outlineLvl w:val="6"/>
    </w:pPr>
    <w:rPr>
      <w:b/>
      <w:bCs/>
      <w:kern w:val="0"/>
      <w:sz w:val="24"/>
      <w:szCs w:val="24"/>
    </w:rPr>
  </w:style>
  <w:style w:type="paragraph" w:styleId="11">
    <w:name w:val="heading 8"/>
    <w:basedOn w:val="1"/>
    <w:next w:val="1"/>
    <w:link w:val="77"/>
    <w:autoRedefine/>
    <w:qFormat/>
    <w:uiPriority w:val="99"/>
    <w:pPr>
      <w:keepNext/>
      <w:keepLines/>
      <w:widowControl/>
      <w:tabs>
        <w:tab w:val="left" w:pos="1440"/>
        <w:tab w:val="left" w:pos="3892"/>
      </w:tabs>
      <w:spacing w:before="240" w:after="64" w:line="317" w:lineRule="auto"/>
      <w:ind w:left="3892" w:hanging="420"/>
      <w:jc w:val="left"/>
      <w:outlineLvl w:val="7"/>
    </w:pPr>
    <w:rPr>
      <w:rFonts w:ascii="Arial" w:hAnsi="Arial" w:eastAsia="黑体"/>
      <w:kern w:val="0"/>
      <w:sz w:val="24"/>
      <w:szCs w:val="24"/>
    </w:rPr>
  </w:style>
  <w:style w:type="paragraph" w:styleId="12">
    <w:name w:val="heading 9"/>
    <w:basedOn w:val="1"/>
    <w:next w:val="1"/>
    <w:link w:val="78"/>
    <w:autoRedefine/>
    <w:qFormat/>
    <w:uiPriority w:val="99"/>
    <w:pPr>
      <w:keepNext/>
      <w:keepLines/>
      <w:widowControl/>
      <w:tabs>
        <w:tab w:val="left" w:pos="1584"/>
        <w:tab w:val="left" w:pos="4312"/>
      </w:tabs>
      <w:spacing w:before="240" w:after="64" w:line="317" w:lineRule="auto"/>
      <w:ind w:left="4312" w:hanging="420"/>
      <w:jc w:val="left"/>
      <w:outlineLvl w:val="8"/>
    </w:pPr>
    <w:rPr>
      <w:rFonts w:ascii="Arial" w:hAnsi="Arial" w:eastAsia="黑体"/>
      <w:kern w:val="0"/>
      <w:szCs w:val="21"/>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3">
    <w:name w:val="macro"/>
    <w:link w:val="177"/>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6">
    <w:name w:val="Normal Indent"/>
    <w:basedOn w:val="1"/>
    <w:link w:val="70"/>
    <w:autoRedefine/>
    <w:qFormat/>
    <w:uiPriority w:val="99"/>
    <w:pPr>
      <w:ind w:firstLine="420"/>
    </w:pPr>
  </w:style>
  <w:style w:type="paragraph" w:styleId="13">
    <w:name w:val="List 3"/>
    <w:basedOn w:val="1"/>
    <w:autoRedefine/>
    <w:qFormat/>
    <w:uiPriority w:val="99"/>
    <w:pPr>
      <w:ind w:left="100" w:leftChars="400" w:hanging="200" w:hangingChars="200"/>
    </w:pPr>
    <w:rPr>
      <w:szCs w:val="24"/>
    </w:rPr>
  </w:style>
  <w:style w:type="paragraph" w:styleId="14">
    <w:name w:val="toc 7"/>
    <w:basedOn w:val="1"/>
    <w:next w:val="1"/>
    <w:autoRedefine/>
    <w:qFormat/>
    <w:uiPriority w:val="39"/>
    <w:pPr>
      <w:ind w:left="1260"/>
      <w:jc w:val="left"/>
    </w:pPr>
    <w:rPr>
      <w:rFonts w:asciiTheme="minorHAnsi" w:hAnsiTheme="minorHAnsi" w:cstheme="minorHAnsi"/>
      <w:sz w:val="18"/>
      <w:szCs w:val="18"/>
    </w:rPr>
  </w:style>
  <w:style w:type="paragraph" w:styleId="15">
    <w:name w:val="caption"/>
    <w:basedOn w:val="1"/>
    <w:next w:val="1"/>
    <w:autoRedefine/>
    <w:qFormat/>
    <w:uiPriority w:val="99"/>
    <w:rPr>
      <w:rFonts w:ascii="Arial" w:hAnsi="Arial" w:eastAsia="黑体" w:cs="Arial"/>
      <w:sz w:val="20"/>
    </w:rPr>
  </w:style>
  <w:style w:type="paragraph" w:styleId="16">
    <w:name w:val="List Bullet"/>
    <w:basedOn w:val="1"/>
    <w:autoRedefine/>
    <w:qFormat/>
    <w:uiPriority w:val="99"/>
    <w:pPr>
      <w:tabs>
        <w:tab w:val="left" w:pos="360"/>
        <w:tab w:val="left" w:pos="432"/>
      </w:tabs>
      <w:ind w:left="432" w:hanging="432"/>
    </w:pPr>
    <w:rPr>
      <w:szCs w:val="24"/>
    </w:rPr>
  </w:style>
  <w:style w:type="paragraph" w:styleId="17">
    <w:name w:val="Document Map"/>
    <w:basedOn w:val="1"/>
    <w:link w:val="118"/>
    <w:autoRedefine/>
    <w:qFormat/>
    <w:uiPriority w:val="99"/>
    <w:pPr>
      <w:shd w:val="clear" w:color="auto" w:fill="000080"/>
    </w:pPr>
  </w:style>
  <w:style w:type="paragraph" w:styleId="18">
    <w:name w:val="toa heading"/>
    <w:basedOn w:val="1"/>
    <w:next w:val="1"/>
    <w:autoRedefine/>
    <w:qFormat/>
    <w:uiPriority w:val="0"/>
    <w:pPr>
      <w:spacing w:before="120"/>
    </w:pPr>
    <w:rPr>
      <w:rFonts w:ascii="Arial" w:hAnsi="Arial" w:cs="Arial"/>
      <w:sz w:val="24"/>
      <w:szCs w:val="24"/>
    </w:rPr>
  </w:style>
  <w:style w:type="paragraph" w:styleId="19">
    <w:name w:val="annotation text"/>
    <w:basedOn w:val="1"/>
    <w:link w:val="144"/>
    <w:autoRedefine/>
    <w:unhideWhenUsed/>
    <w:qFormat/>
    <w:uiPriority w:val="0"/>
    <w:pPr>
      <w:jc w:val="left"/>
    </w:pPr>
  </w:style>
  <w:style w:type="paragraph" w:styleId="20">
    <w:name w:val="Body Text 3"/>
    <w:basedOn w:val="1"/>
    <w:link w:val="176"/>
    <w:autoRedefine/>
    <w:qFormat/>
    <w:uiPriority w:val="99"/>
    <w:pPr>
      <w:widowControl/>
      <w:spacing w:after="120"/>
      <w:jc w:val="left"/>
    </w:pPr>
    <w:rPr>
      <w:kern w:val="0"/>
      <w:sz w:val="16"/>
      <w:szCs w:val="16"/>
    </w:rPr>
  </w:style>
  <w:style w:type="paragraph" w:styleId="21">
    <w:name w:val="Body Text"/>
    <w:basedOn w:val="1"/>
    <w:next w:val="1"/>
    <w:link w:val="127"/>
    <w:autoRedefine/>
    <w:qFormat/>
    <w:uiPriority w:val="0"/>
    <w:pPr>
      <w:adjustRightInd w:val="0"/>
      <w:spacing w:line="440" w:lineRule="exact"/>
    </w:pPr>
    <w:rPr>
      <w:rFonts w:ascii="宋体" w:hAnsi="宋体"/>
      <w:bCs/>
      <w:color w:val="000000"/>
      <w:sz w:val="24"/>
    </w:rPr>
  </w:style>
  <w:style w:type="paragraph" w:styleId="22">
    <w:name w:val="Body Text Indent"/>
    <w:basedOn w:val="1"/>
    <w:link w:val="129"/>
    <w:autoRedefine/>
    <w:qFormat/>
    <w:uiPriority w:val="0"/>
    <w:pPr>
      <w:spacing w:line="460" w:lineRule="exact"/>
      <w:ind w:firstLine="510"/>
    </w:pPr>
  </w:style>
  <w:style w:type="paragraph" w:styleId="23">
    <w:name w:val="List 2"/>
    <w:basedOn w:val="1"/>
    <w:autoRedefine/>
    <w:qFormat/>
    <w:uiPriority w:val="99"/>
    <w:pPr>
      <w:ind w:left="100" w:leftChars="200" w:hanging="200" w:hangingChars="200"/>
    </w:pPr>
    <w:rPr>
      <w:szCs w:val="24"/>
    </w:rPr>
  </w:style>
  <w:style w:type="paragraph" w:styleId="24">
    <w:name w:val="Block Text"/>
    <w:basedOn w:val="1"/>
    <w:next w:val="1"/>
    <w:autoRedefine/>
    <w:qFormat/>
    <w:uiPriority w:val="99"/>
    <w:pPr>
      <w:widowControl/>
      <w:spacing w:after="120"/>
      <w:ind w:left="1440" w:leftChars="700" w:right="1440" w:rightChars="700"/>
      <w:jc w:val="left"/>
    </w:pPr>
    <w:rPr>
      <w:kern w:val="0"/>
      <w:sz w:val="20"/>
    </w:rPr>
  </w:style>
  <w:style w:type="paragraph" w:styleId="25">
    <w:name w:val="index 4"/>
    <w:basedOn w:val="1"/>
    <w:next w:val="1"/>
    <w:autoRedefine/>
    <w:unhideWhenUsed/>
    <w:qFormat/>
    <w:uiPriority w:val="99"/>
    <w:pPr>
      <w:ind w:left="600" w:leftChars="600"/>
    </w:pPr>
    <w:rPr>
      <w:szCs w:val="24"/>
    </w:rPr>
  </w:style>
  <w:style w:type="paragraph" w:styleId="26">
    <w:name w:val="toc 5"/>
    <w:basedOn w:val="1"/>
    <w:next w:val="1"/>
    <w:autoRedefine/>
    <w:qFormat/>
    <w:uiPriority w:val="39"/>
    <w:pPr>
      <w:ind w:left="840"/>
      <w:jc w:val="left"/>
    </w:pPr>
    <w:rPr>
      <w:rFonts w:asciiTheme="minorHAnsi" w:hAnsiTheme="minorHAnsi" w:cstheme="minorHAnsi"/>
      <w:sz w:val="18"/>
      <w:szCs w:val="18"/>
    </w:rPr>
  </w:style>
  <w:style w:type="paragraph" w:styleId="27">
    <w:name w:val="toc 3"/>
    <w:basedOn w:val="1"/>
    <w:next w:val="1"/>
    <w:autoRedefine/>
    <w:qFormat/>
    <w:uiPriority w:val="39"/>
    <w:pPr>
      <w:ind w:left="420"/>
      <w:jc w:val="left"/>
    </w:pPr>
    <w:rPr>
      <w:rFonts w:asciiTheme="minorHAnsi" w:hAnsiTheme="minorHAnsi" w:cstheme="minorHAnsi"/>
      <w:i/>
      <w:iCs/>
      <w:sz w:val="20"/>
    </w:rPr>
  </w:style>
  <w:style w:type="paragraph" w:styleId="28">
    <w:name w:val="Plain Text"/>
    <w:basedOn w:val="1"/>
    <w:next w:val="1"/>
    <w:link w:val="79"/>
    <w:autoRedefine/>
    <w:qFormat/>
    <w:uiPriority w:val="0"/>
    <w:rPr>
      <w:rFonts w:ascii="宋体" w:hAnsi="Courier New"/>
    </w:rPr>
  </w:style>
  <w:style w:type="paragraph" w:styleId="29">
    <w:name w:val="toc 8"/>
    <w:basedOn w:val="1"/>
    <w:next w:val="1"/>
    <w:autoRedefine/>
    <w:qFormat/>
    <w:uiPriority w:val="39"/>
    <w:pPr>
      <w:ind w:left="1470"/>
      <w:jc w:val="left"/>
    </w:pPr>
    <w:rPr>
      <w:rFonts w:asciiTheme="minorHAnsi" w:hAnsiTheme="minorHAnsi" w:cstheme="minorHAnsi"/>
      <w:sz w:val="18"/>
      <w:szCs w:val="18"/>
    </w:rPr>
  </w:style>
  <w:style w:type="paragraph" w:styleId="30">
    <w:name w:val="Date"/>
    <w:basedOn w:val="1"/>
    <w:next w:val="1"/>
    <w:link w:val="82"/>
    <w:autoRedefine/>
    <w:qFormat/>
    <w:uiPriority w:val="0"/>
    <w:pPr>
      <w:ind w:left="100" w:leftChars="2500"/>
    </w:pPr>
    <w:rPr>
      <w:rFonts w:eastAsia="楷体_GB2312"/>
      <w:sz w:val="48"/>
      <w:szCs w:val="24"/>
    </w:rPr>
  </w:style>
  <w:style w:type="paragraph" w:styleId="31">
    <w:name w:val="Body Text Indent 2"/>
    <w:basedOn w:val="1"/>
    <w:link w:val="103"/>
    <w:autoRedefine/>
    <w:qFormat/>
    <w:uiPriority w:val="0"/>
    <w:pPr>
      <w:spacing w:line="500" w:lineRule="exact"/>
      <w:ind w:firstLine="510"/>
    </w:pPr>
    <w:rPr>
      <w:rFonts w:ascii="宋体"/>
      <w:sz w:val="24"/>
    </w:rPr>
  </w:style>
  <w:style w:type="paragraph" w:styleId="32">
    <w:name w:val="Balloon Text"/>
    <w:basedOn w:val="1"/>
    <w:link w:val="126"/>
    <w:autoRedefine/>
    <w:qFormat/>
    <w:uiPriority w:val="99"/>
    <w:rPr>
      <w:sz w:val="18"/>
      <w:szCs w:val="18"/>
    </w:rPr>
  </w:style>
  <w:style w:type="paragraph" w:styleId="33">
    <w:name w:val="footer"/>
    <w:basedOn w:val="1"/>
    <w:link w:val="135"/>
    <w:autoRedefine/>
    <w:qFormat/>
    <w:uiPriority w:val="0"/>
    <w:pPr>
      <w:tabs>
        <w:tab w:val="center" w:pos="4153"/>
        <w:tab w:val="right" w:pos="8306"/>
      </w:tabs>
      <w:snapToGrid w:val="0"/>
      <w:jc w:val="left"/>
    </w:pPr>
    <w:rPr>
      <w:sz w:val="18"/>
    </w:rPr>
  </w:style>
  <w:style w:type="paragraph" w:styleId="34">
    <w:name w:val="envelope return"/>
    <w:basedOn w:val="1"/>
    <w:qFormat/>
    <w:uiPriority w:val="0"/>
    <w:pPr>
      <w:snapToGrid w:val="0"/>
    </w:pPr>
    <w:rPr>
      <w:rFonts w:ascii="Arial" w:hAnsi="Arial"/>
    </w:rPr>
  </w:style>
  <w:style w:type="paragraph" w:styleId="35">
    <w:name w:val="header"/>
    <w:basedOn w:val="1"/>
    <w:link w:val="117"/>
    <w:autoRedefine/>
    <w:qFormat/>
    <w:uiPriority w:val="0"/>
    <w:pPr>
      <w:pBdr>
        <w:bottom w:val="single" w:color="auto" w:sz="6" w:space="1"/>
      </w:pBdr>
      <w:tabs>
        <w:tab w:val="center" w:pos="4153"/>
        <w:tab w:val="right" w:pos="8306"/>
      </w:tabs>
      <w:snapToGrid w:val="0"/>
      <w:jc w:val="center"/>
    </w:pPr>
    <w:rPr>
      <w:sz w:val="18"/>
    </w:rPr>
  </w:style>
  <w:style w:type="paragraph" w:styleId="36">
    <w:name w:val="toc 1"/>
    <w:basedOn w:val="37"/>
    <w:next w:val="1"/>
    <w:autoRedefine/>
    <w:qFormat/>
    <w:uiPriority w:val="39"/>
    <w:pPr>
      <w:spacing w:before="120" w:after="120"/>
      <w:jc w:val="left"/>
    </w:pPr>
    <w:rPr>
      <w:rFonts w:asciiTheme="minorHAnsi" w:hAnsiTheme="minorHAnsi" w:cstheme="minorHAnsi"/>
      <w:b/>
      <w:bCs/>
      <w:caps/>
      <w:sz w:val="20"/>
    </w:rPr>
  </w:style>
  <w:style w:type="paragraph" w:styleId="37">
    <w:name w:val="index 1"/>
    <w:basedOn w:val="1"/>
    <w:next w:val="1"/>
    <w:autoRedefine/>
    <w:qFormat/>
    <w:uiPriority w:val="99"/>
    <w:rPr>
      <w:rFonts w:ascii="宋体" w:hAnsi="宋体"/>
      <w:sz w:val="24"/>
      <w:szCs w:val="24"/>
    </w:rPr>
  </w:style>
  <w:style w:type="paragraph" w:styleId="38">
    <w:name w:val="toc 4"/>
    <w:basedOn w:val="1"/>
    <w:next w:val="1"/>
    <w:autoRedefine/>
    <w:qFormat/>
    <w:uiPriority w:val="39"/>
    <w:pPr>
      <w:ind w:left="630"/>
      <w:jc w:val="left"/>
    </w:pPr>
    <w:rPr>
      <w:rFonts w:asciiTheme="minorHAnsi" w:hAnsiTheme="minorHAnsi" w:cstheme="minorHAnsi"/>
      <w:sz w:val="18"/>
      <w:szCs w:val="18"/>
    </w:rPr>
  </w:style>
  <w:style w:type="paragraph" w:styleId="39">
    <w:name w:val="Subtitle"/>
    <w:basedOn w:val="1"/>
    <w:next w:val="1"/>
    <w:link w:val="288"/>
    <w:autoRedefine/>
    <w:qFormat/>
    <w:uiPriority w:val="99"/>
    <w:pPr>
      <w:spacing w:before="240" w:after="60" w:line="312" w:lineRule="auto"/>
      <w:jc w:val="center"/>
      <w:outlineLvl w:val="1"/>
    </w:pPr>
    <w:rPr>
      <w:rFonts w:ascii="Cambria" w:hAnsi="Cambria"/>
      <w:b/>
      <w:bCs/>
      <w:kern w:val="28"/>
      <w:sz w:val="32"/>
      <w:szCs w:val="32"/>
    </w:rPr>
  </w:style>
  <w:style w:type="paragraph" w:styleId="40">
    <w:name w:val="List"/>
    <w:basedOn w:val="1"/>
    <w:autoRedefine/>
    <w:qFormat/>
    <w:uiPriority w:val="99"/>
    <w:pPr>
      <w:ind w:left="200" w:hanging="200" w:hangingChars="200"/>
    </w:pPr>
    <w:rPr>
      <w:szCs w:val="24"/>
    </w:rPr>
  </w:style>
  <w:style w:type="paragraph" w:styleId="41">
    <w:name w:val="footnote text"/>
    <w:basedOn w:val="1"/>
    <w:link w:val="250"/>
    <w:autoRedefine/>
    <w:qFormat/>
    <w:uiPriority w:val="99"/>
    <w:pPr>
      <w:snapToGrid w:val="0"/>
      <w:jc w:val="left"/>
    </w:pPr>
    <w:rPr>
      <w:sz w:val="18"/>
      <w:szCs w:val="18"/>
    </w:rPr>
  </w:style>
  <w:style w:type="paragraph" w:styleId="42">
    <w:name w:val="toc 6"/>
    <w:basedOn w:val="1"/>
    <w:next w:val="1"/>
    <w:autoRedefine/>
    <w:qFormat/>
    <w:uiPriority w:val="39"/>
    <w:pPr>
      <w:ind w:left="1050"/>
      <w:jc w:val="left"/>
    </w:pPr>
    <w:rPr>
      <w:rFonts w:asciiTheme="minorHAnsi" w:hAnsiTheme="minorHAnsi" w:cstheme="minorHAnsi"/>
      <w:sz w:val="18"/>
      <w:szCs w:val="18"/>
    </w:rPr>
  </w:style>
  <w:style w:type="paragraph" w:styleId="43">
    <w:name w:val="List 5"/>
    <w:next w:val="36"/>
    <w:unhideWhenUsed/>
    <w:qFormat/>
    <w:uiPriority w:val="0"/>
    <w:pPr>
      <w:widowControl w:val="0"/>
      <w:ind w:left="2100" w:hanging="420"/>
      <w:jc w:val="both"/>
    </w:pPr>
    <w:rPr>
      <w:rFonts w:ascii="Calibri" w:hAnsi="Calibri" w:eastAsia="宋体" w:cs="Times New Roman"/>
      <w:kern w:val="2"/>
      <w:sz w:val="21"/>
      <w:szCs w:val="22"/>
      <w:lang w:val="en-US" w:eastAsia="zh-CN" w:bidi="ar-SA"/>
    </w:rPr>
  </w:style>
  <w:style w:type="paragraph" w:styleId="44">
    <w:name w:val="Body Text Indent 3"/>
    <w:basedOn w:val="1"/>
    <w:link w:val="112"/>
    <w:autoRedefine/>
    <w:qFormat/>
    <w:uiPriority w:val="99"/>
    <w:pPr>
      <w:spacing w:line="360" w:lineRule="auto"/>
      <w:ind w:firstLine="480" w:firstLineChars="200"/>
    </w:pPr>
    <w:rPr>
      <w:sz w:val="24"/>
      <w:szCs w:val="24"/>
    </w:rPr>
  </w:style>
  <w:style w:type="paragraph" w:styleId="45">
    <w:name w:val="table of figures"/>
    <w:basedOn w:val="1"/>
    <w:next w:val="1"/>
    <w:qFormat/>
    <w:uiPriority w:val="99"/>
    <w:pPr>
      <w:ind w:left="840" w:leftChars="200" w:hanging="420" w:hangingChars="200"/>
    </w:pPr>
  </w:style>
  <w:style w:type="paragraph" w:styleId="46">
    <w:name w:val="toc 2"/>
    <w:basedOn w:val="1"/>
    <w:next w:val="1"/>
    <w:link w:val="116"/>
    <w:autoRedefine/>
    <w:qFormat/>
    <w:uiPriority w:val="39"/>
    <w:pPr>
      <w:ind w:left="210"/>
      <w:jc w:val="left"/>
    </w:pPr>
    <w:rPr>
      <w:rFonts w:asciiTheme="minorHAnsi" w:hAnsiTheme="minorHAnsi" w:cstheme="minorHAnsi"/>
      <w:smallCaps/>
      <w:sz w:val="20"/>
    </w:rPr>
  </w:style>
  <w:style w:type="paragraph" w:styleId="47">
    <w:name w:val="toc 9"/>
    <w:basedOn w:val="1"/>
    <w:next w:val="1"/>
    <w:autoRedefine/>
    <w:qFormat/>
    <w:uiPriority w:val="39"/>
    <w:pPr>
      <w:ind w:left="1680"/>
      <w:jc w:val="left"/>
    </w:pPr>
    <w:rPr>
      <w:rFonts w:asciiTheme="minorHAnsi" w:hAnsiTheme="minorHAnsi" w:cstheme="minorHAnsi"/>
      <w:sz w:val="18"/>
      <w:szCs w:val="18"/>
    </w:rPr>
  </w:style>
  <w:style w:type="paragraph" w:styleId="48">
    <w:name w:val="Body Text 2"/>
    <w:basedOn w:val="1"/>
    <w:link w:val="107"/>
    <w:autoRedefine/>
    <w:qFormat/>
    <w:uiPriority w:val="99"/>
    <w:pPr>
      <w:spacing w:before="360"/>
    </w:pPr>
    <w:rPr>
      <w:rFonts w:ascii="仿宋_GB2312" w:eastAsia="仿宋_GB2312"/>
      <w:b/>
      <w:color w:val="000000"/>
      <w:kern w:val="0"/>
      <w:sz w:val="44"/>
    </w:rPr>
  </w:style>
  <w:style w:type="paragraph" w:styleId="49">
    <w:name w:val="List Continue 2"/>
    <w:basedOn w:val="1"/>
    <w:autoRedefine/>
    <w:qFormat/>
    <w:uiPriority w:val="99"/>
    <w:pPr>
      <w:spacing w:after="120"/>
      <w:ind w:left="840" w:leftChars="400"/>
    </w:pPr>
    <w:rPr>
      <w:szCs w:val="24"/>
    </w:rPr>
  </w:style>
  <w:style w:type="paragraph" w:styleId="50">
    <w:name w:val="HTML Preformatted"/>
    <w:basedOn w:val="1"/>
    <w:link w:val="12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1">
    <w:name w:val="Normal (Web)"/>
    <w:basedOn w:val="1"/>
    <w:autoRedefine/>
    <w:qFormat/>
    <w:uiPriority w:val="0"/>
    <w:pPr>
      <w:widowControl/>
      <w:spacing w:before="100" w:beforeAutospacing="1" w:after="100" w:afterAutospacing="1" w:line="330" w:lineRule="atLeast"/>
      <w:jc w:val="left"/>
    </w:pPr>
    <w:rPr>
      <w:rFonts w:ascii="宋体" w:hAnsi="宋体" w:cs="宋体"/>
      <w:kern w:val="0"/>
      <w:sz w:val="18"/>
      <w:szCs w:val="18"/>
    </w:rPr>
  </w:style>
  <w:style w:type="paragraph" w:styleId="52">
    <w:name w:val="Title"/>
    <w:basedOn w:val="1"/>
    <w:link w:val="219"/>
    <w:autoRedefine/>
    <w:qFormat/>
    <w:uiPriority w:val="99"/>
    <w:pPr>
      <w:adjustRightInd w:val="0"/>
      <w:spacing w:line="420" w:lineRule="atLeast"/>
      <w:jc w:val="center"/>
      <w:textAlignment w:val="baseline"/>
      <w:outlineLvl w:val="0"/>
    </w:pPr>
    <w:rPr>
      <w:rFonts w:ascii="Arial" w:hAnsi="Arial"/>
      <w:b/>
      <w:kern w:val="0"/>
      <w:sz w:val="32"/>
    </w:rPr>
  </w:style>
  <w:style w:type="paragraph" w:styleId="53">
    <w:name w:val="annotation subject"/>
    <w:basedOn w:val="19"/>
    <w:next w:val="19"/>
    <w:link w:val="145"/>
    <w:autoRedefine/>
    <w:unhideWhenUsed/>
    <w:qFormat/>
    <w:uiPriority w:val="99"/>
    <w:rPr>
      <w:b/>
      <w:bCs/>
    </w:rPr>
  </w:style>
  <w:style w:type="paragraph" w:styleId="54">
    <w:name w:val="Body Text First Indent"/>
    <w:basedOn w:val="21"/>
    <w:link w:val="253"/>
    <w:autoRedefine/>
    <w:qFormat/>
    <w:uiPriority w:val="99"/>
    <w:pPr>
      <w:adjustRightInd/>
      <w:spacing w:after="120" w:line="360" w:lineRule="auto"/>
      <w:ind w:firstLine="309" w:firstLineChars="100"/>
      <w:outlineLvl w:val="0"/>
    </w:pPr>
    <w:rPr>
      <w:rFonts w:ascii="Times New Roman" w:hAnsi="Times New Roman"/>
      <w:kern w:val="28"/>
      <w:sz w:val="21"/>
      <w:szCs w:val="21"/>
    </w:rPr>
  </w:style>
  <w:style w:type="paragraph" w:styleId="55">
    <w:name w:val="Body Text First Indent 2"/>
    <w:basedOn w:val="22"/>
    <w:link w:val="196"/>
    <w:autoRedefine/>
    <w:qFormat/>
    <w:uiPriority w:val="0"/>
    <w:pPr>
      <w:widowControl/>
      <w:spacing w:line="240" w:lineRule="auto"/>
      <w:ind w:firstLine="200" w:firstLineChars="200"/>
      <w:jc w:val="left"/>
    </w:pPr>
    <w:rPr>
      <w:szCs w:val="24"/>
    </w:rPr>
  </w:style>
  <w:style w:type="table" w:styleId="57">
    <w:name w:val="Table Grid"/>
    <w:basedOn w:val="56"/>
    <w:autoRedefine/>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autoRedefine/>
    <w:qFormat/>
    <w:uiPriority w:val="99"/>
    <w:rPr>
      <w:rFonts w:ascii="Arial" w:hAnsi="Arial" w:eastAsia="黑体"/>
      <w:color w:val="800080"/>
      <w:kern w:val="2"/>
      <w:sz w:val="21"/>
      <w:szCs w:val="21"/>
      <w:u w:val="single"/>
      <w:lang w:val="en-US" w:eastAsia="zh-CN" w:bidi="ar-SA"/>
    </w:rPr>
  </w:style>
  <w:style w:type="character" w:styleId="62">
    <w:name w:val="Emphasis"/>
    <w:autoRedefine/>
    <w:qFormat/>
    <w:uiPriority w:val="0"/>
    <w:rPr>
      <w:i/>
      <w:iCs/>
    </w:rPr>
  </w:style>
  <w:style w:type="character" w:styleId="63">
    <w:name w:val="Hyperlink"/>
    <w:autoRedefine/>
    <w:qFormat/>
    <w:uiPriority w:val="99"/>
    <w:rPr>
      <w:color w:val="0000FF"/>
      <w:u w:val="single"/>
    </w:rPr>
  </w:style>
  <w:style w:type="character" w:styleId="64">
    <w:name w:val="annotation reference"/>
    <w:basedOn w:val="58"/>
    <w:autoRedefine/>
    <w:unhideWhenUsed/>
    <w:qFormat/>
    <w:uiPriority w:val="0"/>
    <w:rPr>
      <w:sz w:val="21"/>
      <w:szCs w:val="21"/>
    </w:rPr>
  </w:style>
  <w:style w:type="character" w:styleId="65">
    <w:name w:val="footnote reference"/>
    <w:autoRedefine/>
    <w:qFormat/>
    <w:uiPriority w:val="0"/>
    <w:rPr>
      <w:vertAlign w:val="superscript"/>
    </w:rPr>
  </w:style>
  <w:style w:type="paragraph" w:customStyle="1" w:styleId="66">
    <w:name w:val="正文（标准）"/>
    <w:basedOn w:val="67"/>
    <w:next w:val="1"/>
    <w:semiHidden/>
    <w:qFormat/>
    <w:uiPriority w:val="0"/>
    <w:pPr>
      <w:ind w:firstLine="525"/>
    </w:pPr>
    <w:rPr>
      <w:rFonts w:ascii="宋体" w:hAnsi="宋体"/>
    </w:rPr>
  </w:style>
  <w:style w:type="paragraph" w:customStyle="1" w:styleId="67">
    <w:name w:val="Normal_0"/>
    <w:next w:val="66"/>
    <w:autoRedefine/>
    <w:qFormat/>
    <w:uiPriority w:val="0"/>
    <w:pPr>
      <w:widowControl w:val="0"/>
      <w:jc w:val="both"/>
    </w:pPr>
    <w:rPr>
      <w:rFonts w:ascii="Calibri" w:hAnsi="Calibri" w:eastAsia="宋体" w:cs="Times New Roman"/>
      <w:lang w:val="en-US" w:eastAsia="zh-CN" w:bidi="ar-SA"/>
    </w:rPr>
  </w:style>
  <w:style w:type="paragraph" w:customStyle="1" w:styleId="68">
    <w:name w:val="p0"/>
    <w:basedOn w:val="1"/>
    <w:next w:val="43"/>
    <w:link w:val="327"/>
    <w:autoRedefine/>
    <w:qFormat/>
    <w:uiPriority w:val="99"/>
    <w:pPr>
      <w:widowControl/>
    </w:pPr>
    <w:rPr>
      <w:kern w:val="0"/>
      <w:szCs w:val="21"/>
    </w:rPr>
  </w:style>
  <w:style w:type="character" w:customStyle="1" w:styleId="69">
    <w:name w:val="标题 1 字符"/>
    <w:basedOn w:val="58"/>
    <w:link w:val="2"/>
    <w:autoRedefine/>
    <w:qFormat/>
    <w:uiPriority w:val="0"/>
    <w:rPr>
      <w:b/>
      <w:spacing w:val="20"/>
      <w:kern w:val="44"/>
      <w:sz w:val="32"/>
    </w:rPr>
  </w:style>
  <w:style w:type="character" w:customStyle="1" w:styleId="70">
    <w:name w:val="正文缩进 字符"/>
    <w:link w:val="6"/>
    <w:autoRedefine/>
    <w:qFormat/>
    <w:uiPriority w:val="99"/>
    <w:rPr>
      <w:rFonts w:eastAsia="宋体"/>
      <w:kern w:val="2"/>
      <w:sz w:val="21"/>
      <w:lang w:val="en-US" w:eastAsia="zh-CN" w:bidi="ar-SA"/>
    </w:rPr>
  </w:style>
  <w:style w:type="character" w:customStyle="1" w:styleId="71">
    <w:name w:val="标题 2 字符"/>
    <w:link w:val="4"/>
    <w:autoRedefine/>
    <w:qFormat/>
    <w:uiPriority w:val="0"/>
    <w:rPr>
      <w:rFonts w:ascii="Arial" w:hAnsi="Arial"/>
      <w:b/>
      <w:sz w:val="30"/>
    </w:rPr>
  </w:style>
  <w:style w:type="character" w:customStyle="1" w:styleId="72">
    <w:name w:val="标题 3 字符"/>
    <w:link w:val="5"/>
    <w:autoRedefine/>
    <w:qFormat/>
    <w:uiPriority w:val="0"/>
    <w:rPr>
      <w:rFonts w:asciiTheme="minorEastAsia" w:hAnsiTheme="minorEastAsia" w:eastAsiaTheme="minorEastAsia"/>
      <w:b/>
      <w:color w:val="FF0000"/>
      <w:kern w:val="2"/>
      <w:sz w:val="28"/>
      <w:szCs w:val="28"/>
    </w:rPr>
  </w:style>
  <w:style w:type="character" w:customStyle="1" w:styleId="73">
    <w:name w:val="标题 4 字符"/>
    <w:link w:val="7"/>
    <w:autoRedefine/>
    <w:qFormat/>
    <w:uiPriority w:val="0"/>
    <w:rPr>
      <w:rFonts w:ascii="Arial" w:hAnsi="Arial" w:eastAsia="黑体"/>
      <w:b/>
      <w:bCs/>
      <w:kern w:val="2"/>
      <w:sz w:val="28"/>
      <w:szCs w:val="28"/>
    </w:rPr>
  </w:style>
  <w:style w:type="character" w:customStyle="1" w:styleId="74">
    <w:name w:val="标题 5 字符"/>
    <w:link w:val="8"/>
    <w:autoRedefine/>
    <w:qFormat/>
    <w:uiPriority w:val="0"/>
    <w:rPr>
      <w:rFonts w:ascii="仿宋_GB2312" w:eastAsia="仿宋_GB2312"/>
      <w:b/>
      <w:bCs/>
      <w:kern w:val="2"/>
      <w:sz w:val="24"/>
    </w:rPr>
  </w:style>
  <w:style w:type="character" w:customStyle="1" w:styleId="75">
    <w:name w:val="标题 6 字符"/>
    <w:basedOn w:val="58"/>
    <w:link w:val="9"/>
    <w:autoRedefine/>
    <w:qFormat/>
    <w:uiPriority w:val="0"/>
    <w:rPr>
      <w:rFonts w:ascii="Arial" w:hAnsi="Arial" w:eastAsia="黑体"/>
      <w:b/>
      <w:bCs/>
      <w:sz w:val="24"/>
      <w:szCs w:val="24"/>
    </w:rPr>
  </w:style>
  <w:style w:type="character" w:customStyle="1" w:styleId="76">
    <w:name w:val="标题 7 字符"/>
    <w:basedOn w:val="58"/>
    <w:link w:val="10"/>
    <w:autoRedefine/>
    <w:qFormat/>
    <w:uiPriority w:val="99"/>
    <w:rPr>
      <w:b/>
      <w:bCs/>
      <w:sz w:val="24"/>
      <w:szCs w:val="24"/>
    </w:rPr>
  </w:style>
  <w:style w:type="character" w:customStyle="1" w:styleId="77">
    <w:name w:val="标题 8 字符"/>
    <w:basedOn w:val="58"/>
    <w:link w:val="11"/>
    <w:autoRedefine/>
    <w:qFormat/>
    <w:uiPriority w:val="99"/>
    <w:rPr>
      <w:rFonts w:ascii="Arial" w:hAnsi="Arial" w:eastAsia="黑体"/>
      <w:sz w:val="24"/>
      <w:szCs w:val="24"/>
    </w:rPr>
  </w:style>
  <w:style w:type="character" w:customStyle="1" w:styleId="78">
    <w:name w:val="标题 9 字符"/>
    <w:basedOn w:val="58"/>
    <w:link w:val="12"/>
    <w:autoRedefine/>
    <w:qFormat/>
    <w:uiPriority w:val="99"/>
    <w:rPr>
      <w:rFonts w:ascii="Arial" w:hAnsi="Arial" w:eastAsia="黑体"/>
      <w:sz w:val="21"/>
      <w:szCs w:val="21"/>
    </w:rPr>
  </w:style>
  <w:style w:type="character" w:customStyle="1" w:styleId="79">
    <w:name w:val="纯文本 字符"/>
    <w:link w:val="28"/>
    <w:autoRedefine/>
    <w:qFormat/>
    <w:uiPriority w:val="0"/>
    <w:rPr>
      <w:rFonts w:ascii="宋体" w:hAnsi="Courier New" w:eastAsia="宋体"/>
      <w:kern w:val="2"/>
      <w:sz w:val="21"/>
      <w:lang w:val="en-US" w:eastAsia="zh-CN" w:bidi="ar-SA"/>
    </w:rPr>
  </w:style>
  <w:style w:type="character" w:customStyle="1" w:styleId="80">
    <w:name w:val="ca-31"/>
    <w:autoRedefine/>
    <w:qFormat/>
    <w:uiPriority w:val="99"/>
    <w:rPr>
      <w:rFonts w:ascii="宋体" w:hAnsi="宋体" w:eastAsia="宋体" w:cs="Times New Roman"/>
      <w:color w:val="000000"/>
      <w:sz w:val="28"/>
      <w:szCs w:val="28"/>
    </w:rPr>
  </w:style>
  <w:style w:type="character" w:customStyle="1" w:styleId="81">
    <w:name w:val="纯文本 Char1"/>
    <w:autoRedefine/>
    <w:qFormat/>
    <w:uiPriority w:val="0"/>
    <w:rPr>
      <w:rFonts w:ascii="宋体" w:eastAsia="宋体"/>
      <w:szCs w:val="24"/>
      <w:lang w:val="en-US" w:eastAsia="zh-CN" w:bidi="ar-SA"/>
    </w:rPr>
  </w:style>
  <w:style w:type="character" w:customStyle="1" w:styleId="82">
    <w:name w:val="日期 字符"/>
    <w:link w:val="30"/>
    <w:autoRedefine/>
    <w:qFormat/>
    <w:locked/>
    <w:uiPriority w:val="0"/>
    <w:rPr>
      <w:rFonts w:eastAsia="楷体_GB2312"/>
      <w:kern w:val="2"/>
      <w:sz w:val="48"/>
      <w:szCs w:val="24"/>
    </w:rPr>
  </w:style>
  <w:style w:type="character" w:customStyle="1" w:styleId="83">
    <w:name w:val="point_normal"/>
    <w:basedOn w:val="58"/>
    <w:autoRedefine/>
    <w:qFormat/>
    <w:uiPriority w:val="0"/>
  </w:style>
  <w:style w:type="character" w:customStyle="1" w:styleId="84">
    <w:name w:val="style4 style5"/>
    <w:basedOn w:val="58"/>
    <w:autoRedefine/>
    <w:qFormat/>
    <w:uiPriority w:val="0"/>
  </w:style>
  <w:style w:type="character" w:customStyle="1" w:styleId="85">
    <w:name w:val="规划正文 Char Char Char Char"/>
    <w:link w:val="86"/>
    <w:autoRedefine/>
    <w:qFormat/>
    <w:uiPriority w:val="0"/>
    <w:rPr>
      <w:rFonts w:eastAsia="宋体"/>
      <w:kern w:val="2"/>
      <w:sz w:val="28"/>
      <w:szCs w:val="28"/>
      <w:lang w:val="en-US" w:eastAsia="zh-CN" w:bidi="ar-SA"/>
    </w:rPr>
  </w:style>
  <w:style w:type="paragraph" w:customStyle="1" w:styleId="86">
    <w:name w:val="规划正文 Char Char"/>
    <w:basedOn w:val="1"/>
    <w:link w:val="85"/>
    <w:autoRedefine/>
    <w:qFormat/>
    <w:uiPriority w:val="0"/>
    <w:pPr>
      <w:widowControl/>
      <w:spacing w:line="360" w:lineRule="auto"/>
      <w:ind w:firstLine="200" w:firstLineChars="200"/>
      <w:jc w:val="left"/>
    </w:pPr>
    <w:rPr>
      <w:sz w:val="28"/>
      <w:szCs w:val="28"/>
    </w:rPr>
  </w:style>
  <w:style w:type="character" w:customStyle="1" w:styleId="87">
    <w:name w:val="标题 1 Char Char"/>
    <w:autoRedefine/>
    <w:qFormat/>
    <w:uiPriority w:val="0"/>
    <w:rPr>
      <w:rFonts w:eastAsia="宋体"/>
      <w:b/>
      <w:bCs/>
      <w:kern w:val="44"/>
      <w:sz w:val="44"/>
      <w:lang w:val="en-US" w:eastAsia="zh-CN" w:bidi="ar-SA"/>
    </w:rPr>
  </w:style>
  <w:style w:type="character" w:customStyle="1" w:styleId="88">
    <w:name w:val="small1"/>
    <w:autoRedefine/>
    <w:qFormat/>
    <w:uiPriority w:val="0"/>
    <w:rPr>
      <w:rFonts w:hint="default" w:ascii="Verdana" w:hAnsi="Verdana"/>
      <w:sz w:val="17"/>
      <w:szCs w:val="17"/>
    </w:rPr>
  </w:style>
  <w:style w:type="character" w:customStyle="1" w:styleId="89">
    <w:name w:val="正文段 Char Char"/>
    <w:link w:val="90"/>
    <w:autoRedefine/>
    <w:qFormat/>
    <w:uiPriority w:val="0"/>
    <w:rPr>
      <w:rFonts w:ascii="宋体" w:eastAsia="宋体"/>
      <w:kern w:val="2"/>
      <w:sz w:val="24"/>
      <w:lang w:val="en-US" w:eastAsia="zh-CN" w:bidi="ar-SA"/>
    </w:rPr>
  </w:style>
  <w:style w:type="paragraph" w:customStyle="1" w:styleId="90">
    <w:name w:val="正文段"/>
    <w:basedOn w:val="1"/>
    <w:link w:val="89"/>
    <w:autoRedefine/>
    <w:qFormat/>
    <w:uiPriority w:val="0"/>
    <w:pPr>
      <w:snapToGrid w:val="0"/>
      <w:spacing w:after="240" w:line="240" w:lineRule="atLeast"/>
      <w:ind w:firstLine="425"/>
    </w:pPr>
    <w:rPr>
      <w:rFonts w:ascii="宋体"/>
      <w:sz w:val="24"/>
    </w:rPr>
  </w:style>
  <w:style w:type="character" w:customStyle="1" w:styleId="91">
    <w:name w:val="样式 规划正文 Char + 宋体 Char Char"/>
    <w:link w:val="92"/>
    <w:autoRedefine/>
    <w:qFormat/>
    <w:uiPriority w:val="0"/>
    <w:rPr>
      <w:rFonts w:ascii="宋体" w:hAnsi="宋体" w:eastAsia="宋体"/>
      <w:kern w:val="2"/>
      <w:sz w:val="28"/>
      <w:szCs w:val="28"/>
      <w:lang w:val="en-US" w:eastAsia="zh-CN" w:bidi="ar-SA"/>
    </w:rPr>
  </w:style>
  <w:style w:type="paragraph" w:customStyle="1" w:styleId="92">
    <w:name w:val="样式 规划正文 Char + 宋体"/>
    <w:basedOn w:val="86"/>
    <w:link w:val="91"/>
    <w:autoRedefine/>
    <w:qFormat/>
    <w:uiPriority w:val="0"/>
    <w:rPr>
      <w:rFonts w:ascii="宋体" w:hAnsi="宋体"/>
    </w:rPr>
  </w:style>
  <w:style w:type="character" w:customStyle="1" w:styleId="93">
    <w:name w:val="访问过的超链接1"/>
    <w:autoRedefine/>
    <w:qFormat/>
    <w:uiPriority w:val="0"/>
    <w:rPr>
      <w:color w:val="800080"/>
      <w:u w:val="single"/>
    </w:rPr>
  </w:style>
  <w:style w:type="character" w:customStyle="1" w:styleId="94">
    <w:name w:val="p41"/>
    <w:autoRedefine/>
    <w:qFormat/>
    <w:uiPriority w:val="0"/>
    <w:rPr>
      <w:rFonts w:hint="eastAsia" w:ascii="宋体" w:hAnsi="宋体" w:eastAsia="宋体"/>
      <w:sz w:val="22"/>
      <w:szCs w:val="22"/>
    </w:rPr>
  </w:style>
  <w:style w:type="character" w:customStyle="1" w:styleId="95">
    <w:name w:val="para"/>
    <w:basedOn w:val="58"/>
    <w:autoRedefine/>
    <w:qFormat/>
    <w:uiPriority w:val="0"/>
  </w:style>
  <w:style w:type="character" w:customStyle="1" w:styleId="96">
    <w:name w:val="title_emph"/>
    <w:basedOn w:val="58"/>
    <w:autoRedefine/>
    <w:qFormat/>
    <w:uiPriority w:val="0"/>
  </w:style>
  <w:style w:type="character" w:customStyle="1" w:styleId="97">
    <w:name w:val="Char Char2"/>
    <w:autoRedefine/>
    <w:qFormat/>
    <w:uiPriority w:val="0"/>
    <w:rPr>
      <w:rFonts w:ascii="宋体" w:eastAsia="宋体"/>
      <w:kern w:val="2"/>
      <w:sz w:val="21"/>
      <w:lang w:val="en-US" w:eastAsia="zh-CN" w:bidi="ar-SA"/>
    </w:rPr>
  </w:style>
  <w:style w:type="character" w:customStyle="1" w:styleId="98">
    <w:name w:val="v151"/>
    <w:autoRedefine/>
    <w:qFormat/>
    <w:uiPriority w:val="0"/>
    <w:rPr>
      <w:sz w:val="18"/>
      <w:szCs w:val="18"/>
    </w:rPr>
  </w:style>
  <w:style w:type="paragraph" w:customStyle="1" w:styleId="99">
    <w:name w:val="并列项-点"/>
    <w:basedOn w:val="1"/>
    <w:autoRedefine/>
    <w:qFormat/>
    <w:uiPriority w:val="0"/>
    <w:pPr>
      <w:tabs>
        <w:tab w:val="left" w:pos="840"/>
      </w:tabs>
      <w:adjustRightInd w:val="0"/>
      <w:snapToGrid w:val="0"/>
      <w:spacing w:after="120" w:line="360" w:lineRule="exact"/>
      <w:ind w:left="840" w:hanging="480"/>
    </w:pPr>
    <w:rPr>
      <w:rFonts w:eastAsia="仿宋_GB2312"/>
      <w:sz w:val="32"/>
    </w:rPr>
  </w:style>
  <w:style w:type="paragraph" w:customStyle="1" w:styleId="100">
    <w:name w:val="retrait3"/>
    <w:basedOn w:val="1"/>
    <w:autoRedefine/>
    <w:qFormat/>
    <w:uiPriority w:val="99"/>
    <w:pPr>
      <w:widowControl/>
      <w:spacing w:before="20" w:after="20"/>
      <w:ind w:left="851"/>
      <w:jc w:val="left"/>
    </w:pPr>
    <w:rPr>
      <w:rFonts w:ascii="Arial" w:hAnsi="Arial"/>
      <w:kern w:val="0"/>
      <w:sz w:val="24"/>
      <w:lang w:val="en-GB"/>
    </w:rPr>
  </w:style>
  <w:style w:type="paragraph" w:customStyle="1" w:styleId="101">
    <w:name w:val="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02">
    <w:name w:val="正文 New New New New New New"/>
    <w:autoRedefine/>
    <w:qFormat/>
    <w:uiPriority w:val="0"/>
    <w:pPr>
      <w:widowControl w:val="0"/>
      <w:jc w:val="both"/>
    </w:pPr>
    <w:rPr>
      <w:rFonts w:ascii="Calibri" w:hAnsi="Calibri" w:eastAsia="宋体" w:cs="Times New Roman"/>
      <w:kern w:val="2"/>
      <w:sz w:val="21"/>
      <w:szCs w:val="21"/>
      <w:lang w:val="en-US" w:eastAsia="zh-CN" w:bidi="ar-SA"/>
    </w:rPr>
  </w:style>
  <w:style w:type="character" w:customStyle="1" w:styleId="103">
    <w:name w:val="正文文本缩进 2 字符"/>
    <w:basedOn w:val="58"/>
    <w:link w:val="31"/>
    <w:autoRedefine/>
    <w:qFormat/>
    <w:uiPriority w:val="0"/>
    <w:rPr>
      <w:rFonts w:ascii="宋体"/>
      <w:kern w:val="2"/>
      <w:sz w:val="24"/>
    </w:rPr>
  </w:style>
  <w:style w:type="paragraph" w:customStyle="1" w:styleId="104">
    <w:name w:val="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05">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6">
    <w:name w:val="NomDoc"/>
    <w:basedOn w:val="1"/>
    <w:autoRedefine/>
    <w:qFormat/>
    <w:uiPriority w:val="99"/>
    <w:pPr>
      <w:widowControl/>
      <w:jc w:val="left"/>
    </w:pPr>
    <w:rPr>
      <w:rFonts w:ascii="Arial" w:hAnsi="Arial"/>
      <w:caps/>
      <w:kern w:val="0"/>
      <w:sz w:val="16"/>
      <w:lang w:val="en-GB"/>
    </w:rPr>
  </w:style>
  <w:style w:type="character" w:customStyle="1" w:styleId="107">
    <w:name w:val="正文文本 2 字符"/>
    <w:basedOn w:val="58"/>
    <w:link w:val="48"/>
    <w:autoRedefine/>
    <w:qFormat/>
    <w:uiPriority w:val="99"/>
    <w:rPr>
      <w:rFonts w:ascii="仿宋_GB2312" w:eastAsia="仿宋_GB2312"/>
      <w:b/>
      <w:color w:val="000000"/>
      <w:sz w:val="44"/>
    </w:rPr>
  </w:style>
  <w:style w:type="paragraph" w:customStyle="1" w:styleId="108">
    <w:name w:val="Char111"/>
    <w:basedOn w:val="1"/>
    <w:link w:val="109"/>
    <w:autoRedefine/>
    <w:qFormat/>
    <w:uiPriority w:val="0"/>
    <w:rPr>
      <w:rFonts w:ascii="仿宋_GB2312" w:eastAsia="仿宋_GB2312"/>
      <w:b/>
      <w:sz w:val="32"/>
      <w:szCs w:val="32"/>
    </w:rPr>
  </w:style>
  <w:style w:type="character" w:customStyle="1" w:styleId="109">
    <w:name w:val="Char Char Char"/>
    <w:link w:val="108"/>
    <w:autoRedefine/>
    <w:qFormat/>
    <w:uiPriority w:val="0"/>
    <w:rPr>
      <w:rFonts w:ascii="仿宋_GB2312" w:eastAsia="仿宋_GB2312"/>
      <w:b/>
      <w:kern w:val="2"/>
      <w:sz w:val="32"/>
      <w:szCs w:val="32"/>
    </w:rPr>
  </w:style>
  <w:style w:type="paragraph" w:customStyle="1" w:styleId="110">
    <w:name w:val="Char Char5 Char Char"/>
    <w:basedOn w:val="1"/>
    <w:autoRedefine/>
    <w:qFormat/>
    <w:uiPriority w:val="0"/>
    <w:pPr>
      <w:adjustRightInd w:val="0"/>
      <w:spacing w:line="360" w:lineRule="auto"/>
    </w:pPr>
    <w:rPr>
      <w:kern w:val="0"/>
      <w:sz w:val="24"/>
    </w:rPr>
  </w:style>
  <w:style w:type="paragraph" w:customStyle="1" w:styleId="111">
    <w:name w:val="字元 字元 字元 字元 字元"/>
    <w:basedOn w:val="1"/>
    <w:autoRedefine/>
    <w:qFormat/>
    <w:uiPriority w:val="0"/>
  </w:style>
  <w:style w:type="character" w:customStyle="1" w:styleId="112">
    <w:name w:val="正文文本缩进 3 字符"/>
    <w:link w:val="44"/>
    <w:autoRedefine/>
    <w:qFormat/>
    <w:uiPriority w:val="99"/>
    <w:rPr>
      <w:kern w:val="2"/>
      <w:sz w:val="24"/>
      <w:szCs w:val="24"/>
    </w:rPr>
  </w:style>
  <w:style w:type="paragraph" w:customStyle="1" w:styleId="113">
    <w:name w:val="Char Char Char Char Char Char Char Char Char Char1"/>
    <w:basedOn w:val="1"/>
    <w:autoRedefine/>
    <w:qFormat/>
    <w:uiPriority w:val="99"/>
    <w:pPr>
      <w:tabs>
        <w:tab w:val="left" w:pos="425"/>
      </w:tabs>
      <w:ind w:left="425" w:hanging="425"/>
    </w:pPr>
  </w:style>
  <w:style w:type="paragraph" w:customStyle="1" w:styleId="114">
    <w:name w:val="规划正文"/>
    <w:basedOn w:val="1"/>
    <w:autoRedefine/>
    <w:qFormat/>
    <w:uiPriority w:val="0"/>
    <w:pPr>
      <w:widowControl/>
      <w:spacing w:line="360" w:lineRule="auto"/>
      <w:ind w:firstLine="200" w:firstLineChars="200"/>
      <w:jc w:val="left"/>
    </w:pPr>
    <w:rPr>
      <w:kern w:val="0"/>
      <w:sz w:val="28"/>
      <w:szCs w:val="28"/>
    </w:rPr>
  </w:style>
  <w:style w:type="paragraph" w:customStyle="1" w:styleId="115">
    <w:name w:val="pa-5"/>
    <w:basedOn w:val="1"/>
    <w:autoRedefine/>
    <w:qFormat/>
    <w:uiPriority w:val="99"/>
    <w:pPr>
      <w:widowControl/>
      <w:spacing w:line="360" w:lineRule="atLeast"/>
      <w:jc w:val="left"/>
    </w:pPr>
    <w:rPr>
      <w:rFonts w:ascii="宋体" w:hAnsi="宋体" w:cs="宋体"/>
      <w:kern w:val="0"/>
      <w:sz w:val="24"/>
      <w:szCs w:val="24"/>
    </w:rPr>
  </w:style>
  <w:style w:type="character" w:customStyle="1" w:styleId="116">
    <w:name w:val="目录 2 字符"/>
    <w:link w:val="46"/>
    <w:autoRedefine/>
    <w:qFormat/>
    <w:uiPriority w:val="39"/>
    <w:rPr>
      <w:rFonts w:asciiTheme="minorHAnsi" w:hAnsiTheme="minorHAnsi" w:cstheme="minorHAnsi"/>
      <w:smallCaps/>
      <w:kern w:val="2"/>
    </w:rPr>
  </w:style>
  <w:style w:type="character" w:customStyle="1" w:styleId="117">
    <w:name w:val="页眉 字符"/>
    <w:basedOn w:val="58"/>
    <w:link w:val="35"/>
    <w:autoRedefine/>
    <w:qFormat/>
    <w:uiPriority w:val="99"/>
    <w:rPr>
      <w:kern w:val="2"/>
      <w:sz w:val="18"/>
    </w:rPr>
  </w:style>
  <w:style w:type="character" w:customStyle="1" w:styleId="118">
    <w:name w:val="文档结构图 字符"/>
    <w:link w:val="17"/>
    <w:autoRedefine/>
    <w:qFormat/>
    <w:uiPriority w:val="99"/>
    <w:rPr>
      <w:kern w:val="2"/>
      <w:sz w:val="21"/>
      <w:shd w:val="clear" w:color="auto" w:fill="000080"/>
    </w:rPr>
  </w:style>
  <w:style w:type="paragraph" w:customStyle="1" w:styleId="119">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20">
    <w:name w:val="p15"/>
    <w:basedOn w:val="1"/>
    <w:autoRedefine/>
    <w:qFormat/>
    <w:uiPriority w:val="0"/>
    <w:pPr>
      <w:widowControl/>
      <w:spacing w:before="100" w:after="100"/>
      <w:jc w:val="left"/>
    </w:pPr>
    <w:rPr>
      <w:rFonts w:ascii="宋体" w:hAnsi="宋体" w:cs="宋体"/>
      <w:kern w:val="0"/>
      <w:sz w:val="24"/>
      <w:szCs w:val="24"/>
    </w:rPr>
  </w:style>
  <w:style w:type="paragraph" w:customStyle="1" w:styleId="121">
    <w:name w:val="新编号"/>
    <w:basedOn w:val="122"/>
    <w:autoRedefine/>
    <w:qFormat/>
    <w:uiPriority w:val="0"/>
    <w:pPr>
      <w:tabs>
        <w:tab w:val="left" w:pos="0"/>
        <w:tab w:val="left" w:pos="360"/>
      </w:tabs>
      <w:ind w:firstLine="400"/>
    </w:pPr>
    <w:rPr>
      <w:kern w:val="0"/>
    </w:rPr>
  </w:style>
  <w:style w:type="paragraph" w:customStyle="1" w:styleId="122">
    <w:name w:val="样式 规划正文 Char + 宋体 两端对齐 首行缩进:  2 字符 行距: 固定值 26 磅"/>
    <w:basedOn w:val="86"/>
    <w:autoRedefine/>
    <w:qFormat/>
    <w:uiPriority w:val="0"/>
    <w:pPr>
      <w:tabs>
        <w:tab w:val="left" w:pos="360"/>
      </w:tabs>
      <w:spacing w:line="520" w:lineRule="exact"/>
      <w:ind w:firstLine="0" w:firstLineChars="0"/>
      <w:jc w:val="both"/>
    </w:pPr>
    <w:rPr>
      <w:rFonts w:ascii="宋体" w:hAnsi="宋体" w:cs="宋体"/>
      <w:szCs w:val="20"/>
    </w:rPr>
  </w:style>
  <w:style w:type="character" w:customStyle="1" w:styleId="123">
    <w:name w:val="HTML 预设格式 字符"/>
    <w:link w:val="50"/>
    <w:autoRedefine/>
    <w:qFormat/>
    <w:uiPriority w:val="99"/>
    <w:rPr>
      <w:rFonts w:ascii="宋体" w:hAnsi="宋体" w:cs="宋体"/>
      <w:sz w:val="24"/>
      <w:szCs w:val="24"/>
    </w:rPr>
  </w:style>
  <w:style w:type="paragraph" w:customStyle="1" w:styleId="124">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25">
    <w:name w:val="表格内字体"/>
    <w:basedOn w:val="1"/>
    <w:autoRedefine/>
    <w:qFormat/>
    <w:uiPriority w:val="0"/>
    <w:pPr>
      <w:spacing w:before="360" w:line="360" w:lineRule="auto"/>
      <w:jc w:val="center"/>
    </w:pPr>
    <w:rPr>
      <w:rFonts w:ascii="宋体" w:eastAsia="仿宋_GB2312"/>
    </w:rPr>
  </w:style>
  <w:style w:type="character" w:customStyle="1" w:styleId="126">
    <w:name w:val="批注框文本 字符"/>
    <w:link w:val="32"/>
    <w:autoRedefine/>
    <w:qFormat/>
    <w:uiPriority w:val="99"/>
    <w:rPr>
      <w:kern w:val="2"/>
      <w:sz w:val="18"/>
      <w:szCs w:val="18"/>
    </w:rPr>
  </w:style>
  <w:style w:type="character" w:customStyle="1" w:styleId="127">
    <w:name w:val="正文文本 字符"/>
    <w:link w:val="21"/>
    <w:autoRedefine/>
    <w:qFormat/>
    <w:uiPriority w:val="0"/>
    <w:rPr>
      <w:rFonts w:ascii="宋体" w:hAnsi="宋体"/>
      <w:bCs/>
      <w:color w:val="000000"/>
      <w:kern w:val="2"/>
      <w:sz w:val="24"/>
    </w:rPr>
  </w:style>
  <w:style w:type="paragraph" w:styleId="128">
    <w:name w:val="List Paragraph"/>
    <w:basedOn w:val="1"/>
    <w:autoRedefine/>
    <w:qFormat/>
    <w:uiPriority w:val="34"/>
    <w:pPr>
      <w:ind w:left="720"/>
      <w:contextualSpacing/>
    </w:pPr>
    <w:rPr>
      <w:sz w:val="28"/>
    </w:rPr>
  </w:style>
  <w:style w:type="character" w:customStyle="1" w:styleId="129">
    <w:name w:val="正文文本缩进 字符"/>
    <w:basedOn w:val="58"/>
    <w:link w:val="22"/>
    <w:autoRedefine/>
    <w:qFormat/>
    <w:uiPriority w:val="0"/>
    <w:rPr>
      <w:kern w:val="2"/>
      <w:sz w:val="21"/>
    </w:rPr>
  </w:style>
  <w:style w:type="paragraph" w:customStyle="1" w:styleId="130">
    <w:name w:val="小标题"/>
    <w:basedOn w:val="122"/>
    <w:autoRedefine/>
    <w:qFormat/>
    <w:uiPriority w:val="0"/>
    <w:pPr>
      <w:tabs>
        <w:tab w:val="left" w:pos="814"/>
        <w:tab w:val="clear" w:pos="360"/>
      </w:tabs>
      <w:ind w:left="737" w:hanging="283"/>
    </w:pPr>
  </w:style>
  <w:style w:type="paragraph" w:customStyle="1" w:styleId="131">
    <w:name w:val="要点1"/>
    <w:basedOn w:val="6"/>
    <w:autoRedefine/>
    <w:qFormat/>
    <w:uiPriority w:val="0"/>
    <w:pPr>
      <w:tabs>
        <w:tab w:val="left" w:pos="960"/>
      </w:tabs>
      <w:spacing w:line="520" w:lineRule="exact"/>
      <w:ind w:firstLine="200" w:firstLineChars="200"/>
    </w:pPr>
    <w:rPr>
      <w:rFonts w:ascii="宋体" w:hAnsi="宋体"/>
      <w:sz w:val="28"/>
      <w:szCs w:val="28"/>
    </w:rPr>
  </w:style>
  <w:style w:type="paragraph" w:customStyle="1" w:styleId="132">
    <w:name w:val="图片"/>
    <w:basedOn w:val="1"/>
    <w:next w:val="15"/>
    <w:autoRedefine/>
    <w:qFormat/>
    <w:uiPriority w:val="0"/>
    <w:pPr>
      <w:keepNext/>
      <w:widowControl/>
      <w:jc w:val="left"/>
    </w:pPr>
    <w:rPr>
      <w:rFonts w:ascii="Garamond" w:hAnsi="Garamond"/>
      <w:kern w:val="0"/>
    </w:rPr>
  </w:style>
  <w:style w:type="paragraph" w:customStyle="1" w:styleId="133">
    <w:name w:val="字元 字元"/>
    <w:basedOn w:val="1"/>
    <w:autoRedefine/>
    <w:qFormat/>
    <w:uiPriority w:val="0"/>
  </w:style>
  <w:style w:type="paragraph" w:customStyle="1" w:styleId="134">
    <w:name w:val="Absatz2AL"/>
    <w:basedOn w:val="21"/>
    <w:next w:val="1"/>
    <w:autoRedefine/>
    <w:qFormat/>
    <w:uiPriority w:val="0"/>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135">
    <w:name w:val="页脚 字符"/>
    <w:basedOn w:val="58"/>
    <w:link w:val="33"/>
    <w:autoRedefine/>
    <w:qFormat/>
    <w:uiPriority w:val="99"/>
    <w:rPr>
      <w:kern w:val="2"/>
      <w:sz w:val="18"/>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7">
    <w:name w:val="默认段落字体 Para Char"/>
    <w:basedOn w:val="1"/>
    <w:autoRedefine/>
    <w:qFormat/>
    <w:uiPriority w:val="99"/>
  </w:style>
  <w:style w:type="paragraph" w:customStyle="1" w:styleId="138">
    <w:name w:val="TOC 标题1"/>
    <w:basedOn w:val="2"/>
    <w:next w:val="1"/>
    <w:autoRedefine/>
    <w:qFormat/>
    <w:uiPriority w:val="99"/>
    <w:pPr>
      <w:widowControl/>
      <w:spacing w:before="480" w:after="0" w:line="276" w:lineRule="auto"/>
      <w:jc w:val="left"/>
      <w:outlineLvl w:val="9"/>
    </w:pPr>
    <w:rPr>
      <w:rFonts w:ascii="Cambria" w:hAnsi="Cambria"/>
      <w:bCs/>
      <w:color w:val="365F91"/>
      <w:spacing w:val="0"/>
      <w:kern w:val="0"/>
      <w:sz w:val="28"/>
      <w:szCs w:val="28"/>
    </w:rPr>
  </w:style>
  <w:style w:type="paragraph" w:customStyle="1" w:styleId="13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0">
    <w:name w:val="正文文本缩进 2 Char1"/>
    <w:autoRedefine/>
    <w:qFormat/>
    <w:uiPriority w:val="0"/>
    <w:rPr>
      <w:kern w:val="2"/>
      <w:sz w:val="21"/>
    </w:rPr>
  </w:style>
  <w:style w:type="paragraph" w:customStyle="1" w:styleId="141">
    <w:name w:val="正文_1"/>
    <w:autoRedefine/>
    <w:qFormat/>
    <w:uiPriority w:val="99"/>
    <w:pPr>
      <w:widowControl w:val="0"/>
      <w:spacing w:before="120" w:beforeLines="50" w:line="360" w:lineRule="auto"/>
      <w:ind w:left="105" w:leftChars="50" w:right="105" w:rightChars="50"/>
      <w:jc w:val="both"/>
    </w:pPr>
    <w:rPr>
      <w:rFonts w:ascii="Times New Roman" w:hAnsi="Times New Roman" w:eastAsia="宋体" w:cs="Times New Roman"/>
      <w:kern w:val="2"/>
      <w:sz w:val="21"/>
      <w:lang w:val="en-US" w:eastAsia="zh-CN" w:bidi="ar-SA"/>
    </w:rPr>
  </w:style>
  <w:style w:type="character" w:customStyle="1" w:styleId="142">
    <w:name w:val="纯文本 字符1"/>
    <w:autoRedefine/>
    <w:qFormat/>
    <w:uiPriority w:val="99"/>
    <w:rPr>
      <w:rFonts w:ascii="宋体" w:hAnsi="Times New Roman" w:eastAsia="宋体" w:cs="Times New Roman"/>
      <w:kern w:val="0"/>
      <w:sz w:val="20"/>
      <w:szCs w:val="24"/>
    </w:rPr>
  </w:style>
  <w:style w:type="paragraph" w:customStyle="1" w:styleId="143">
    <w:name w:val="正文_2"/>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4">
    <w:name w:val="批注文字 字符"/>
    <w:basedOn w:val="58"/>
    <w:link w:val="19"/>
    <w:autoRedefine/>
    <w:qFormat/>
    <w:uiPriority w:val="99"/>
    <w:rPr>
      <w:kern w:val="2"/>
      <w:sz w:val="21"/>
    </w:rPr>
  </w:style>
  <w:style w:type="character" w:customStyle="1" w:styleId="145">
    <w:name w:val="批注主题 字符"/>
    <w:basedOn w:val="144"/>
    <w:link w:val="53"/>
    <w:autoRedefine/>
    <w:qFormat/>
    <w:uiPriority w:val="99"/>
    <w:rPr>
      <w:b/>
      <w:bCs/>
      <w:kern w:val="2"/>
      <w:sz w:val="21"/>
    </w:rPr>
  </w:style>
  <w:style w:type="paragraph" w:customStyle="1" w:styleId="146">
    <w:name w:val="Blockquote"/>
    <w:basedOn w:val="1"/>
    <w:link w:val="147"/>
    <w:autoRedefine/>
    <w:qFormat/>
    <w:uiPriority w:val="99"/>
    <w:pPr>
      <w:autoSpaceDE w:val="0"/>
      <w:autoSpaceDN w:val="0"/>
      <w:adjustRightInd w:val="0"/>
      <w:spacing w:before="100" w:after="100"/>
      <w:ind w:left="360" w:right="360"/>
      <w:jc w:val="left"/>
    </w:pPr>
    <w:rPr>
      <w:kern w:val="0"/>
      <w:sz w:val="24"/>
    </w:rPr>
  </w:style>
  <w:style w:type="character" w:customStyle="1" w:styleId="147">
    <w:name w:val="Blockquote Char"/>
    <w:link w:val="146"/>
    <w:autoRedefine/>
    <w:qFormat/>
    <w:uiPriority w:val="99"/>
    <w:rPr>
      <w:sz w:val="24"/>
    </w:rPr>
  </w:style>
  <w:style w:type="paragraph" w:customStyle="1" w:styleId="148">
    <w:name w:val="正文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9">
    <w:name w:val="Normal_1"/>
    <w:autoRedefine/>
    <w:qFormat/>
    <w:uiPriority w:val="0"/>
    <w:pPr>
      <w:widowControl w:val="0"/>
      <w:jc w:val="both"/>
    </w:pPr>
    <w:rPr>
      <w:rFonts w:ascii="Calibri" w:hAnsi="Calibri" w:eastAsia="宋体" w:cs="Times New Roman"/>
      <w:lang w:val="en-US" w:eastAsia="zh-CN" w:bidi="ar-SA"/>
    </w:rPr>
  </w:style>
  <w:style w:type="paragraph" w:customStyle="1" w:styleId="150">
    <w:name w:val="页脚1"/>
    <w:basedOn w:val="67"/>
    <w:link w:val="151"/>
    <w:autoRedefine/>
    <w:unhideWhenUsed/>
    <w:qFormat/>
    <w:uiPriority w:val="99"/>
    <w:pPr>
      <w:tabs>
        <w:tab w:val="center" w:pos="4153"/>
        <w:tab w:val="right" w:pos="8306"/>
      </w:tabs>
      <w:snapToGrid w:val="0"/>
      <w:jc w:val="left"/>
    </w:pPr>
    <w:rPr>
      <w:sz w:val="18"/>
      <w:szCs w:val="18"/>
    </w:rPr>
  </w:style>
  <w:style w:type="character" w:customStyle="1" w:styleId="151">
    <w:name w:val="页脚 Char_0"/>
    <w:link w:val="150"/>
    <w:autoRedefine/>
    <w:qFormat/>
    <w:uiPriority w:val="99"/>
    <w:rPr>
      <w:rFonts w:ascii="Calibri" w:hAnsi="Calibri"/>
      <w:sz w:val="18"/>
      <w:szCs w:val="18"/>
    </w:rPr>
  </w:style>
  <w:style w:type="paragraph" w:customStyle="1" w:styleId="152">
    <w:name w:val="正文_3_0"/>
    <w:autoRedefine/>
    <w:qFormat/>
    <w:uiPriority w:val="0"/>
    <w:pPr>
      <w:widowControl w:val="0"/>
      <w:jc w:val="both"/>
    </w:pPr>
    <w:rPr>
      <w:rFonts w:ascii="Calibri" w:hAnsi="Calibri" w:eastAsia="宋体" w:cs="Times New Roman"/>
      <w:lang w:val="en-US" w:eastAsia="zh-CN" w:bidi="ar-SA"/>
    </w:rPr>
  </w:style>
  <w:style w:type="character" w:customStyle="1" w:styleId="153">
    <w:name w:val="Char Char19"/>
    <w:autoRedefine/>
    <w:qFormat/>
    <w:uiPriority w:val="0"/>
    <w:rPr>
      <w:rFonts w:ascii="Arial" w:hAnsi="Arial" w:eastAsia="黑体"/>
      <w:b/>
      <w:bCs/>
      <w:sz w:val="32"/>
      <w:szCs w:val="32"/>
    </w:rPr>
  </w:style>
  <w:style w:type="paragraph" w:customStyle="1" w:styleId="154">
    <w:name w:val="Normal_2"/>
    <w:autoRedefine/>
    <w:qFormat/>
    <w:uiPriority w:val="0"/>
    <w:pPr>
      <w:widowControl w:val="0"/>
      <w:jc w:val="both"/>
    </w:pPr>
    <w:rPr>
      <w:rFonts w:ascii="Calibri" w:hAnsi="Calibri" w:eastAsia="宋体" w:cs="Times New Roman"/>
      <w:lang w:val="en-US" w:eastAsia="zh-CN" w:bidi="ar-SA"/>
    </w:rPr>
  </w:style>
  <w:style w:type="paragraph" w:customStyle="1" w:styleId="155">
    <w:name w:val="Normal_1_0"/>
    <w:autoRedefine/>
    <w:qFormat/>
    <w:uiPriority w:val="0"/>
    <w:pPr>
      <w:widowControl w:val="0"/>
      <w:jc w:val="both"/>
    </w:pPr>
    <w:rPr>
      <w:rFonts w:ascii="Calibri" w:hAnsi="Calibri" w:eastAsia="宋体" w:cs="Times New Roman"/>
      <w:lang w:val="en-US" w:eastAsia="zh-CN" w:bidi="ar-SA"/>
    </w:rPr>
  </w:style>
  <w:style w:type="paragraph" w:customStyle="1" w:styleId="156">
    <w:name w:val="Normal_3"/>
    <w:autoRedefine/>
    <w:qFormat/>
    <w:uiPriority w:val="0"/>
    <w:pPr>
      <w:widowControl w:val="0"/>
      <w:jc w:val="both"/>
    </w:pPr>
    <w:rPr>
      <w:rFonts w:ascii="Calibri" w:hAnsi="Calibri" w:eastAsia="宋体" w:cs="Times New Roman"/>
      <w:lang w:val="en-US" w:eastAsia="zh-CN" w:bidi="ar-SA"/>
    </w:rPr>
  </w:style>
  <w:style w:type="paragraph" w:customStyle="1" w:styleId="157">
    <w:name w:val="样式1"/>
    <w:basedOn w:val="7"/>
    <w:autoRedefine/>
    <w:qFormat/>
    <w:uiPriority w:val="99"/>
    <w:pPr>
      <w:widowControl/>
      <w:jc w:val="left"/>
    </w:pPr>
    <w:rPr>
      <w:rFonts w:ascii="黑体"/>
      <w:kern w:val="0"/>
      <w:sz w:val="24"/>
      <w:szCs w:val="30"/>
    </w:rPr>
  </w:style>
  <w:style w:type="paragraph" w:customStyle="1" w:styleId="158">
    <w:name w:val="标题4"/>
    <w:basedOn w:val="1"/>
    <w:next w:val="7"/>
    <w:link w:val="159"/>
    <w:autoRedefine/>
    <w:qFormat/>
    <w:uiPriority w:val="0"/>
    <w:pPr>
      <w:widowControl/>
      <w:jc w:val="left"/>
    </w:pPr>
    <w:rPr>
      <w:rFonts w:ascii="黑体" w:eastAsia="黑体"/>
      <w:kern w:val="0"/>
      <w:sz w:val="24"/>
      <w:szCs w:val="30"/>
    </w:rPr>
  </w:style>
  <w:style w:type="character" w:customStyle="1" w:styleId="159">
    <w:name w:val="标题4 Char Char"/>
    <w:link w:val="158"/>
    <w:autoRedefine/>
    <w:qFormat/>
    <w:uiPriority w:val="0"/>
    <w:rPr>
      <w:rFonts w:ascii="黑体" w:eastAsia="黑体"/>
      <w:sz w:val="24"/>
      <w:szCs w:val="30"/>
    </w:rPr>
  </w:style>
  <w:style w:type="paragraph" w:customStyle="1" w:styleId="160">
    <w:name w:val="样式2"/>
    <w:basedOn w:val="7"/>
    <w:next w:val="7"/>
    <w:autoRedefine/>
    <w:qFormat/>
    <w:uiPriority w:val="0"/>
    <w:pPr>
      <w:widowControl/>
      <w:jc w:val="left"/>
    </w:pPr>
    <w:rPr>
      <w:rFonts w:ascii="黑体"/>
      <w:kern w:val="0"/>
      <w:sz w:val="24"/>
      <w:szCs w:val="30"/>
    </w:rPr>
  </w:style>
  <w:style w:type="character" w:customStyle="1" w:styleId="161">
    <w:name w:val="正文文本缩进 Char1"/>
    <w:basedOn w:val="58"/>
    <w:autoRedefine/>
    <w:qFormat/>
    <w:uiPriority w:val="99"/>
  </w:style>
  <w:style w:type="paragraph" w:customStyle="1" w:styleId="162">
    <w:name w:val="Char3"/>
    <w:basedOn w:val="1"/>
    <w:autoRedefine/>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163">
    <w:name w:val="zbggmain style9"/>
    <w:basedOn w:val="58"/>
    <w:autoRedefine/>
    <w:qFormat/>
    <w:uiPriority w:val="0"/>
  </w:style>
  <w:style w:type="paragraph" w:customStyle="1" w:styleId="164">
    <w:name w:val="样式 标题 3 + (中文) 黑体 小四 非加粗 段前: 7.8 磅 段后: 0 磅 行距: 固定值 20 磅"/>
    <w:basedOn w:val="5"/>
    <w:autoRedefine/>
    <w:qFormat/>
    <w:uiPriority w:val="99"/>
    <w:pPr>
      <w:spacing w:line="400" w:lineRule="exact"/>
      <w:ind w:firstLine="0"/>
    </w:pPr>
    <w:rPr>
      <w:rFonts w:ascii="Times New Roman" w:eastAsia="黑体" w:cs="宋体"/>
      <w:b w:val="0"/>
    </w:rPr>
  </w:style>
  <w:style w:type="paragraph" w:customStyle="1" w:styleId="165">
    <w:name w:val="样式 标题 2 + Times New Roman 四号 非加粗 段前: 5 磅 段后: 0 磅 行距: 固定值 20..."/>
    <w:basedOn w:val="4"/>
    <w:link w:val="166"/>
    <w:autoRedefine/>
    <w:qFormat/>
    <w:uiPriority w:val="0"/>
    <w:pPr>
      <w:spacing w:before="100"/>
      <w:jc w:val="both"/>
    </w:pPr>
    <w:rPr>
      <w:rFonts w:ascii="Times New Roman" w:hAnsi="Times New Roman" w:eastAsia="黑体" w:cs="宋体"/>
      <w:b w:val="0"/>
      <w:kern w:val="2"/>
      <w:sz w:val="28"/>
    </w:rPr>
  </w:style>
  <w:style w:type="character" w:customStyle="1" w:styleId="166">
    <w:name w:val="样式 标题 2 + Times New Roman 四号 非加粗 段前: 5 磅 段后: 0 磅 行距: 固定值 20... Char Char"/>
    <w:basedOn w:val="58"/>
    <w:link w:val="165"/>
    <w:autoRedefine/>
    <w:qFormat/>
    <w:uiPriority w:val="0"/>
    <w:rPr>
      <w:rFonts w:eastAsia="黑体" w:cs="宋体"/>
      <w:kern w:val="2"/>
      <w:sz w:val="28"/>
    </w:rPr>
  </w:style>
  <w:style w:type="paragraph" w:customStyle="1" w:styleId="167">
    <w:name w:val="Char6 Char Char Char"/>
    <w:basedOn w:val="1"/>
    <w:autoRedefine/>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68">
    <w:name w:val="opening2"/>
    <w:basedOn w:val="1"/>
    <w:autoRedefine/>
    <w:qFormat/>
    <w:uiPriority w:val="99"/>
    <w:pPr>
      <w:widowControl/>
      <w:spacing w:before="100" w:beforeAutospacing="1" w:after="100" w:afterAutospacing="1"/>
      <w:jc w:val="left"/>
    </w:pPr>
    <w:rPr>
      <w:rFonts w:ascii="宋体" w:hAnsi="宋体" w:cs="宋体"/>
      <w:color w:val="000000"/>
      <w:kern w:val="0"/>
      <w:sz w:val="23"/>
      <w:szCs w:val="23"/>
    </w:rPr>
  </w:style>
  <w:style w:type="paragraph" w:customStyle="1" w:styleId="169">
    <w:name w:val="7"/>
    <w:basedOn w:val="1"/>
    <w:autoRedefine/>
    <w:qFormat/>
    <w:uiPriority w:val="99"/>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character" w:customStyle="1" w:styleId="170">
    <w:name w:val="javascript"/>
    <w:basedOn w:val="58"/>
    <w:autoRedefine/>
    <w:qFormat/>
    <w:uiPriority w:val="0"/>
  </w:style>
  <w:style w:type="character" w:customStyle="1" w:styleId="171">
    <w:name w:val="style11"/>
    <w:autoRedefine/>
    <w:qFormat/>
    <w:uiPriority w:val="0"/>
    <w:rPr>
      <w:b/>
      <w:bCs/>
    </w:rPr>
  </w:style>
  <w:style w:type="paragraph" w:customStyle="1" w:styleId="172">
    <w:name w:val="1"/>
    <w:basedOn w:val="1"/>
    <w:next w:val="24"/>
    <w:autoRedefine/>
    <w:qFormat/>
    <w:uiPriority w:val="99"/>
    <w:pPr>
      <w:adjustRightInd w:val="0"/>
      <w:ind w:left="420" w:right="33"/>
      <w:jc w:val="left"/>
      <w:textAlignment w:val="baseline"/>
    </w:pPr>
    <w:rPr>
      <w:kern w:val="0"/>
      <w:sz w:val="24"/>
    </w:rPr>
  </w:style>
  <w:style w:type="paragraph" w:customStyle="1" w:styleId="173">
    <w:name w:val="样式 样式 样式 宋体 小四 黑色 两端对齐 + 首行缩进:  2 字符 + 五号 首行缩进:  2 字符"/>
    <w:basedOn w:val="1"/>
    <w:autoRedefine/>
    <w:qFormat/>
    <w:uiPriority w:val="99"/>
    <w:pPr>
      <w:widowControl/>
      <w:spacing w:line="340" w:lineRule="exact"/>
      <w:ind w:firstLine="200" w:firstLineChars="200"/>
    </w:pPr>
    <w:rPr>
      <w:rFonts w:ascii="宋体" w:hAnsi="宋体"/>
      <w:color w:val="000000"/>
      <w:kern w:val="0"/>
    </w:rPr>
  </w:style>
  <w:style w:type="paragraph" w:customStyle="1" w:styleId="174">
    <w:name w:val="目录文字"/>
    <w:basedOn w:val="1"/>
    <w:autoRedefine/>
    <w:qFormat/>
    <w:uiPriority w:val="99"/>
    <w:pPr>
      <w:widowControl/>
      <w:spacing w:line="480" w:lineRule="auto"/>
      <w:jc w:val="left"/>
    </w:pPr>
    <w:rPr>
      <w:rFonts w:ascii="宋体" w:hAnsi="宋体"/>
      <w:kern w:val="0"/>
      <w:sz w:val="24"/>
    </w:rPr>
  </w:style>
  <w:style w:type="paragraph" w:customStyle="1" w:styleId="175">
    <w:name w:val="xl51"/>
    <w:basedOn w:val="1"/>
    <w:autoRedefine/>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76">
    <w:name w:val="正文文本 3 字符"/>
    <w:basedOn w:val="58"/>
    <w:link w:val="20"/>
    <w:autoRedefine/>
    <w:qFormat/>
    <w:uiPriority w:val="99"/>
    <w:rPr>
      <w:sz w:val="16"/>
      <w:szCs w:val="16"/>
    </w:rPr>
  </w:style>
  <w:style w:type="character" w:customStyle="1" w:styleId="177">
    <w:name w:val="宏文本 字符"/>
    <w:link w:val="3"/>
    <w:autoRedefine/>
    <w:qFormat/>
    <w:uiPriority w:val="99"/>
    <w:rPr>
      <w:rFonts w:ascii="Courier New" w:hAnsi="Courier New"/>
      <w:sz w:val="24"/>
      <w:szCs w:val="24"/>
    </w:rPr>
  </w:style>
  <w:style w:type="character" w:customStyle="1" w:styleId="178">
    <w:name w:val="宏文本 Char1"/>
    <w:basedOn w:val="58"/>
    <w:autoRedefine/>
    <w:qFormat/>
    <w:uiPriority w:val="0"/>
    <w:rPr>
      <w:rFonts w:ascii="Courier New" w:hAnsi="Courier New" w:cs="Courier New"/>
      <w:kern w:val="2"/>
      <w:sz w:val="24"/>
      <w:szCs w:val="24"/>
    </w:rPr>
  </w:style>
  <w:style w:type="character" w:customStyle="1" w:styleId="179">
    <w:name w:val="15"/>
    <w:autoRedefine/>
    <w:qFormat/>
    <w:uiPriority w:val="0"/>
    <w:rPr>
      <w:rFonts w:hint="eastAsia" w:ascii="MingLiU" w:hAnsi="MingLiU" w:eastAsia="MingLiU"/>
      <w:sz w:val="22"/>
      <w:szCs w:val="22"/>
    </w:rPr>
  </w:style>
  <w:style w:type="character" w:customStyle="1" w:styleId="180">
    <w:name w:val="font51"/>
    <w:autoRedefine/>
    <w:qFormat/>
    <w:uiPriority w:val="0"/>
    <w:rPr>
      <w:rFonts w:hint="eastAsia" w:ascii="宋体" w:hAnsi="宋体" w:eastAsia="宋体" w:cs="宋体"/>
      <w:b/>
      <w:color w:val="000000"/>
      <w:sz w:val="21"/>
      <w:szCs w:val="21"/>
      <w:u w:val="none"/>
    </w:rPr>
  </w:style>
  <w:style w:type="character" w:customStyle="1" w:styleId="181">
    <w:name w:val="正文文本 (2)_"/>
    <w:link w:val="182"/>
    <w:autoRedefine/>
    <w:qFormat/>
    <w:uiPriority w:val="0"/>
    <w:rPr>
      <w:rFonts w:ascii="MingLiU" w:hAnsi="MingLiU" w:eastAsia="MingLiU" w:cs="MingLiU"/>
      <w:spacing w:val="4"/>
      <w:sz w:val="22"/>
      <w:szCs w:val="22"/>
    </w:rPr>
  </w:style>
  <w:style w:type="paragraph" w:customStyle="1" w:styleId="182">
    <w:name w:val="正文文本 (2)"/>
    <w:basedOn w:val="1"/>
    <w:link w:val="181"/>
    <w:autoRedefine/>
    <w:qFormat/>
    <w:uiPriority w:val="0"/>
    <w:pPr>
      <w:spacing w:after="120" w:line="458" w:lineRule="exact"/>
      <w:jc w:val="distribute"/>
    </w:pPr>
    <w:rPr>
      <w:rFonts w:ascii="MingLiU" w:hAnsi="MingLiU" w:eastAsia="MingLiU" w:cs="MingLiU"/>
      <w:spacing w:val="4"/>
      <w:kern w:val="0"/>
      <w:sz w:val="22"/>
      <w:szCs w:val="22"/>
    </w:rPr>
  </w:style>
  <w:style w:type="character" w:customStyle="1" w:styleId="183">
    <w:name w:val="font61"/>
    <w:autoRedefine/>
    <w:qFormat/>
    <w:uiPriority w:val="0"/>
    <w:rPr>
      <w:rFonts w:hint="default" w:ascii="Times New Roman" w:hAnsi="Times New Roman" w:cs="Times New Roman"/>
      <w:b/>
      <w:color w:val="000000"/>
      <w:sz w:val="21"/>
      <w:szCs w:val="21"/>
      <w:u w:val="none"/>
    </w:rPr>
  </w:style>
  <w:style w:type="character" w:customStyle="1" w:styleId="184">
    <w:name w:val="my Char Char"/>
    <w:link w:val="185"/>
    <w:autoRedefine/>
    <w:qFormat/>
    <w:uiPriority w:val="0"/>
    <w:rPr>
      <w:color w:val="000000"/>
      <w:kern w:val="2"/>
      <w:sz w:val="24"/>
      <w:szCs w:val="24"/>
    </w:rPr>
  </w:style>
  <w:style w:type="paragraph" w:customStyle="1" w:styleId="185">
    <w:name w:val="my"/>
    <w:basedOn w:val="44"/>
    <w:link w:val="184"/>
    <w:autoRedefine/>
    <w:qFormat/>
    <w:uiPriority w:val="0"/>
    <w:rPr>
      <w:color w:val="000000"/>
    </w:rPr>
  </w:style>
  <w:style w:type="character" w:customStyle="1" w:styleId="186">
    <w:name w:val="样式 标题 2 + 二号 Char"/>
    <w:autoRedefine/>
    <w:qFormat/>
    <w:uiPriority w:val="0"/>
    <w:rPr>
      <w:rFonts w:ascii="Arial" w:hAnsi="Arial" w:eastAsia="宋体"/>
      <w:b/>
      <w:color w:val="FF0000"/>
      <w:sz w:val="32"/>
      <w:lang w:val="en-US" w:eastAsia="zh-CN"/>
    </w:rPr>
  </w:style>
  <w:style w:type="character" w:customStyle="1" w:styleId="187">
    <w:name w:val="font161"/>
    <w:autoRedefine/>
    <w:qFormat/>
    <w:uiPriority w:val="0"/>
    <w:rPr>
      <w:rFonts w:ascii="Arial" w:hAnsi="Arial" w:eastAsia="黑体"/>
      <w:b/>
      <w:bCs/>
      <w:kern w:val="2"/>
      <w:sz w:val="32"/>
      <w:szCs w:val="32"/>
      <w:lang w:val="en-US" w:eastAsia="zh-CN" w:bidi="ar-SA"/>
    </w:rPr>
  </w:style>
  <w:style w:type="character" w:customStyle="1" w:styleId="188">
    <w:name w:val="表一 Char Char"/>
    <w:link w:val="189"/>
    <w:autoRedefine/>
    <w:qFormat/>
    <w:uiPriority w:val="0"/>
    <w:rPr>
      <w:snapToGrid w:val="0"/>
      <w:sz w:val="24"/>
    </w:rPr>
  </w:style>
  <w:style w:type="paragraph" w:customStyle="1" w:styleId="189">
    <w:name w:val="表一"/>
    <w:basedOn w:val="1"/>
    <w:link w:val="188"/>
    <w:autoRedefine/>
    <w:qFormat/>
    <w:uiPriority w:val="0"/>
    <w:pPr>
      <w:adjustRightInd w:val="0"/>
      <w:snapToGrid w:val="0"/>
      <w:ind w:right="-71"/>
      <w:jc w:val="center"/>
    </w:pPr>
    <w:rPr>
      <w:snapToGrid w:val="0"/>
      <w:kern w:val="0"/>
      <w:sz w:val="24"/>
    </w:rPr>
  </w:style>
  <w:style w:type="character" w:customStyle="1" w:styleId="190">
    <w:name w:val="段落 Char"/>
    <w:link w:val="191"/>
    <w:autoRedefine/>
    <w:qFormat/>
    <w:uiPriority w:val="0"/>
    <w:rPr>
      <w:rFonts w:ascii="宋体" w:hAnsi="宋体"/>
      <w:kern w:val="2"/>
      <w:sz w:val="24"/>
      <w:szCs w:val="24"/>
    </w:rPr>
  </w:style>
  <w:style w:type="paragraph" w:customStyle="1" w:styleId="191">
    <w:name w:val="段落"/>
    <w:basedOn w:val="1"/>
    <w:link w:val="190"/>
    <w:autoRedefine/>
    <w:qFormat/>
    <w:uiPriority w:val="0"/>
    <w:pPr>
      <w:spacing w:line="440" w:lineRule="exact"/>
      <w:ind w:firstLine="200" w:firstLineChars="200"/>
    </w:pPr>
    <w:rPr>
      <w:rFonts w:ascii="宋体" w:hAnsi="宋体"/>
      <w:sz w:val="24"/>
      <w:szCs w:val="24"/>
    </w:rPr>
  </w:style>
  <w:style w:type="character" w:customStyle="1" w:styleId="192">
    <w:name w:val="Char Char1"/>
    <w:autoRedefine/>
    <w:qFormat/>
    <w:uiPriority w:val="0"/>
    <w:rPr>
      <w:rFonts w:eastAsia="宋体"/>
      <w:b/>
      <w:kern w:val="2"/>
      <w:sz w:val="32"/>
      <w:lang w:val="en-US" w:eastAsia="zh-CN"/>
    </w:rPr>
  </w:style>
  <w:style w:type="character" w:customStyle="1" w:styleId="193">
    <w:name w:val="正文文本_"/>
    <w:link w:val="194"/>
    <w:autoRedefine/>
    <w:qFormat/>
    <w:uiPriority w:val="0"/>
    <w:rPr>
      <w:rFonts w:ascii="MingLiU" w:hAnsi="MingLiU" w:eastAsia="MingLiU" w:cs="MingLiU"/>
      <w:spacing w:val="9"/>
      <w:sz w:val="21"/>
      <w:szCs w:val="21"/>
    </w:rPr>
  </w:style>
  <w:style w:type="paragraph" w:customStyle="1" w:styleId="194">
    <w:name w:val="正文文本1"/>
    <w:basedOn w:val="1"/>
    <w:link w:val="193"/>
    <w:autoRedefine/>
    <w:qFormat/>
    <w:uiPriority w:val="0"/>
    <w:pPr>
      <w:spacing w:after="60" w:line="463" w:lineRule="exact"/>
      <w:jc w:val="distribute"/>
    </w:pPr>
    <w:rPr>
      <w:rFonts w:ascii="MingLiU" w:hAnsi="MingLiU" w:eastAsia="MingLiU" w:cs="MingLiU"/>
      <w:spacing w:val="9"/>
      <w:kern w:val="0"/>
      <w:szCs w:val="21"/>
    </w:rPr>
  </w:style>
  <w:style w:type="character" w:customStyle="1" w:styleId="195">
    <w:name w:val="font31"/>
    <w:autoRedefine/>
    <w:qFormat/>
    <w:uiPriority w:val="0"/>
    <w:rPr>
      <w:rFonts w:hint="default" w:ascii="Times New Roman" w:hAnsi="Times New Roman" w:cs="Times New Roman"/>
      <w:color w:val="000000"/>
      <w:sz w:val="21"/>
      <w:szCs w:val="21"/>
      <w:u w:val="none"/>
    </w:rPr>
  </w:style>
  <w:style w:type="character" w:customStyle="1" w:styleId="196">
    <w:name w:val="正文首行缩进 2 字符"/>
    <w:basedOn w:val="197"/>
    <w:link w:val="55"/>
    <w:autoRedefine/>
    <w:qFormat/>
    <w:uiPriority w:val="0"/>
    <w:rPr>
      <w:kern w:val="2"/>
      <w:sz w:val="21"/>
      <w:szCs w:val="24"/>
    </w:rPr>
  </w:style>
  <w:style w:type="character" w:customStyle="1" w:styleId="197">
    <w:name w:val="正文文本缩进 Char"/>
    <w:autoRedefine/>
    <w:qFormat/>
    <w:uiPriority w:val="0"/>
    <w:rPr>
      <w:kern w:val="2"/>
      <w:sz w:val="21"/>
      <w:szCs w:val="24"/>
    </w:rPr>
  </w:style>
  <w:style w:type="character" w:customStyle="1" w:styleId="198">
    <w:name w:val="正文首行缩进 2 Char1"/>
    <w:basedOn w:val="129"/>
    <w:autoRedefine/>
    <w:qFormat/>
    <w:uiPriority w:val="0"/>
    <w:rPr>
      <w:kern w:val="2"/>
      <w:sz w:val="21"/>
    </w:rPr>
  </w:style>
  <w:style w:type="character" w:customStyle="1" w:styleId="199">
    <w:name w:val="HTML 预设格式 Char1"/>
    <w:autoRedefine/>
    <w:qFormat/>
    <w:uiPriority w:val="0"/>
    <w:rPr>
      <w:rFonts w:ascii="Courier New" w:hAnsi="Courier New" w:cs="Courier New"/>
    </w:rPr>
  </w:style>
  <w:style w:type="character" w:customStyle="1" w:styleId="200">
    <w:name w:val="正正正文 Char1"/>
    <w:link w:val="201"/>
    <w:autoRedefine/>
    <w:qFormat/>
    <w:uiPriority w:val="0"/>
    <w:rPr>
      <w:color w:val="000000"/>
      <w:kern w:val="2"/>
      <w:sz w:val="21"/>
    </w:rPr>
  </w:style>
  <w:style w:type="paragraph" w:customStyle="1" w:styleId="201">
    <w:name w:val="正正正文"/>
    <w:basedOn w:val="1"/>
    <w:link w:val="200"/>
    <w:autoRedefine/>
    <w:qFormat/>
    <w:uiPriority w:val="0"/>
    <w:pPr>
      <w:snapToGrid w:val="0"/>
      <w:spacing w:line="460" w:lineRule="exact"/>
      <w:ind w:firstLine="420" w:firstLineChars="200"/>
    </w:pPr>
    <w:rPr>
      <w:color w:val="000000"/>
    </w:rPr>
  </w:style>
  <w:style w:type="character" w:customStyle="1" w:styleId="202">
    <w:name w:val="Char Char3"/>
    <w:autoRedefine/>
    <w:qFormat/>
    <w:uiPriority w:val="0"/>
    <w:rPr>
      <w:rFonts w:eastAsia="宋体"/>
      <w:b/>
      <w:kern w:val="44"/>
      <w:sz w:val="44"/>
      <w:lang w:val="en-US" w:eastAsia="zh-CN"/>
    </w:rPr>
  </w:style>
  <w:style w:type="character" w:customStyle="1" w:styleId="203">
    <w:name w:val="font21"/>
    <w:autoRedefine/>
    <w:qFormat/>
    <w:uiPriority w:val="0"/>
    <w:rPr>
      <w:rFonts w:hint="eastAsia" w:ascii="宋体" w:hAnsi="宋体" w:eastAsia="宋体" w:cs="宋体"/>
      <w:color w:val="FF0000"/>
      <w:sz w:val="21"/>
      <w:szCs w:val="21"/>
      <w:u w:val="none"/>
    </w:rPr>
  </w:style>
  <w:style w:type="character" w:customStyle="1" w:styleId="204">
    <w:name w:val="p21"/>
    <w:autoRedefine/>
    <w:qFormat/>
    <w:uiPriority w:val="0"/>
    <w:rPr>
      <w:sz w:val="9"/>
      <w:szCs w:val="9"/>
    </w:rPr>
  </w:style>
  <w:style w:type="character" w:customStyle="1" w:styleId="205">
    <w:name w:val="正文文本 + Tahoma"/>
    <w:autoRedefine/>
    <w:qFormat/>
    <w:uiPriority w:val="0"/>
    <w:rPr>
      <w:rFonts w:ascii="Tahoma" w:hAnsi="Tahoma" w:eastAsia="Tahoma" w:cs="Tahoma"/>
      <w:color w:val="000000"/>
      <w:spacing w:val="23"/>
      <w:w w:val="100"/>
      <w:position w:val="0"/>
      <w:sz w:val="19"/>
      <w:szCs w:val="19"/>
      <w:u w:val="none"/>
      <w:lang w:val="zh-CN"/>
    </w:rPr>
  </w:style>
  <w:style w:type="character" w:customStyle="1" w:styleId="206">
    <w:name w:val="正文文本 (2) + 间距 3 pt"/>
    <w:autoRedefine/>
    <w:qFormat/>
    <w:uiPriority w:val="0"/>
    <w:rPr>
      <w:rFonts w:ascii="MingLiU" w:hAnsi="MingLiU" w:eastAsia="MingLiU" w:cs="MingLiU"/>
      <w:color w:val="000000"/>
      <w:spacing w:val="73"/>
      <w:w w:val="100"/>
      <w:position w:val="0"/>
      <w:sz w:val="22"/>
      <w:szCs w:val="22"/>
      <w:u w:val="none"/>
      <w:lang w:val="zh-CN"/>
    </w:rPr>
  </w:style>
  <w:style w:type="character" w:customStyle="1" w:styleId="207">
    <w:name w:val="font5 Char"/>
    <w:link w:val="208"/>
    <w:autoRedefine/>
    <w:qFormat/>
    <w:uiPriority w:val="0"/>
    <w:rPr>
      <w:rFonts w:ascii="宋体" w:hAnsi="宋体"/>
      <w:sz w:val="24"/>
      <w:szCs w:val="24"/>
    </w:rPr>
  </w:style>
  <w:style w:type="paragraph" w:customStyle="1" w:styleId="208">
    <w:name w:val="font5"/>
    <w:basedOn w:val="1"/>
    <w:link w:val="207"/>
    <w:autoRedefine/>
    <w:qFormat/>
    <w:uiPriority w:val="0"/>
    <w:pPr>
      <w:widowControl/>
      <w:spacing w:before="100" w:beforeAutospacing="1" w:after="100" w:afterAutospacing="1"/>
      <w:jc w:val="left"/>
    </w:pPr>
    <w:rPr>
      <w:rFonts w:ascii="宋体" w:hAnsi="宋体"/>
      <w:kern w:val="0"/>
      <w:sz w:val="24"/>
      <w:szCs w:val="24"/>
    </w:rPr>
  </w:style>
  <w:style w:type="character" w:customStyle="1" w:styleId="209">
    <w:name w:val="标题 3 Char Char"/>
    <w:autoRedefine/>
    <w:qFormat/>
    <w:uiPriority w:val="0"/>
    <w:rPr>
      <w:rFonts w:eastAsia="宋体"/>
      <w:b/>
      <w:kern w:val="2"/>
      <w:sz w:val="32"/>
      <w:lang w:val="en-US" w:eastAsia="zh-CN"/>
    </w:rPr>
  </w:style>
  <w:style w:type="character" w:customStyle="1" w:styleId="210">
    <w:name w:val="正文缩进 Char1 Char"/>
    <w:autoRedefine/>
    <w:qFormat/>
    <w:uiPriority w:val="0"/>
    <w:rPr>
      <w:rFonts w:eastAsia="宋体"/>
      <w:kern w:val="2"/>
      <w:sz w:val="24"/>
      <w:szCs w:val="24"/>
      <w:lang w:val="en-US" w:eastAsia="zh-CN" w:bidi="ar-SA"/>
    </w:rPr>
  </w:style>
  <w:style w:type="character" w:customStyle="1" w:styleId="211">
    <w:name w:val="font01"/>
    <w:autoRedefine/>
    <w:qFormat/>
    <w:uiPriority w:val="0"/>
    <w:rPr>
      <w:rFonts w:hint="eastAsia" w:ascii="宋体" w:hAnsi="宋体" w:eastAsia="宋体" w:cs="宋体"/>
      <w:color w:val="000000"/>
      <w:sz w:val="21"/>
      <w:szCs w:val="21"/>
      <w:u w:val="none"/>
    </w:rPr>
  </w:style>
  <w:style w:type="character" w:customStyle="1" w:styleId="212">
    <w:name w:val="font11"/>
    <w:autoRedefine/>
    <w:qFormat/>
    <w:uiPriority w:val="0"/>
    <w:rPr>
      <w:rFonts w:hint="default" w:ascii="Times New Roman" w:hAnsi="Times New Roman" w:cs="Times New Roman"/>
      <w:color w:val="FF0000"/>
      <w:sz w:val="21"/>
      <w:szCs w:val="21"/>
      <w:u w:val="none"/>
    </w:rPr>
  </w:style>
  <w:style w:type="paragraph" w:customStyle="1" w:styleId="213">
    <w:name w:val="样式 样式 样式 公正文 + 首行缩进:  2 字符2 + 首行缩进:  2 字符 + 首行缩进:  2 字符"/>
    <w:basedOn w:val="214"/>
    <w:autoRedefine/>
    <w:qFormat/>
    <w:uiPriority w:val="0"/>
  </w:style>
  <w:style w:type="paragraph" w:customStyle="1" w:styleId="214">
    <w:name w:val="样式 样式 公正文 + 首行缩进:  2 字符2 + 首行缩进:  2 字符"/>
    <w:basedOn w:val="215"/>
    <w:autoRedefine/>
    <w:qFormat/>
    <w:uiPriority w:val="0"/>
  </w:style>
  <w:style w:type="paragraph" w:customStyle="1" w:styleId="215">
    <w:name w:val="样式 公正文 + 首行缩进:  2 字符2"/>
    <w:basedOn w:val="216"/>
    <w:autoRedefine/>
    <w:qFormat/>
    <w:uiPriority w:val="0"/>
    <w:rPr>
      <w:rFonts w:cs="宋体"/>
    </w:rPr>
  </w:style>
  <w:style w:type="paragraph" w:customStyle="1" w:styleId="216">
    <w:name w:val="公正文"/>
    <w:basedOn w:val="6"/>
    <w:autoRedefine/>
    <w:qFormat/>
    <w:uiPriority w:val="99"/>
    <w:pPr>
      <w:adjustRightInd w:val="0"/>
      <w:snapToGrid w:val="0"/>
      <w:spacing w:line="560" w:lineRule="exact"/>
      <w:ind w:firstLine="200"/>
    </w:pPr>
    <w:rPr>
      <w:rFonts w:ascii="仿宋_GB2312" w:hAnsi="宋体" w:eastAsia="仿宋_GB2312"/>
      <w:sz w:val="28"/>
    </w:rPr>
  </w:style>
  <w:style w:type="paragraph" w:customStyle="1" w:styleId="217">
    <w:name w:val="样式 样式 样式 样式 公正文 + 首行缩进:  2 字符2 + 首行缩进:  2 字符 + 首行缩进:  2 字符 + 首行缩...1"/>
    <w:basedOn w:val="213"/>
    <w:autoRedefine/>
    <w:qFormat/>
    <w:uiPriority w:val="0"/>
    <w:pPr>
      <w:adjustRightInd/>
      <w:snapToGrid/>
    </w:pPr>
  </w:style>
  <w:style w:type="paragraph" w:customStyle="1" w:styleId="218">
    <w:name w:val="表二"/>
    <w:basedOn w:val="1"/>
    <w:autoRedefine/>
    <w:qFormat/>
    <w:uiPriority w:val="99"/>
    <w:pPr>
      <w:adjustRightInd w:val="0"/>
      <w:snapToGrid w:val="0"/>
    </w:pPr>
    <w:rPr>
      <w:snapToGrid w:val="0"/>
      <w:kern w:val="0"/>
    </w:rPr>
  </w:style>
  <w:style w:type="character" w:customStyle="1" w:styleId="219">
    <w:name w:val="标题 字符"/>
    <w:basedOn w:val="58"/>
    <w:link w:val="52"/>
    <w:autoRedefine/>
    <w:qFormat/>
    <w:uiPriority w:val="99"/>
    <w:rPr>
      <w:rFonts w:ascii="Arial" w:hAnsi="Arial"/>
      <w:b/>
      <w:sz w:val="32"/>
    </w:rPr>
  </w:style>
  <w:style w:type="paragraph" w:customStyle="1" w:styleId="220">
    <w:name w:val="表三"/>
    <w:basedOn w:val="218"/>
    <w:autoRedefine/>
    <w:qFormat/>
    <w:uiPriority w:val="99"/>
    <w:pPr>
      <w:ind w:right="-34" w:rightChars="-34"/>
      <w:jc w:val="right"/>
    </w:pPr>
  </w:style>
  <w:style w:type="paragraph" w:customStyle="1" w:styleId="221">
    <w:name w:val="样式 样式 样式 样式 样式 公正文 + 首行缩进:  2 字符2 + 首行缩进:  2 字符 + 首行缩进:  2 字符 + ..."/>
    <w:basedOn w:val="217"/>
    <w:autoRedefine/>
    <w:qFormat/>
    <w:uiPriority w:val="0"/>
  </w:style>
  <w:style w:type="paragraph" w:customStyle="1" w:styleId="222">
    <w:name w:val="contentartic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23">
    <w:name w:val="样式 标题 2标题 2 Char章章1章2章3章11章21章4章12章22章5章6章7章8章9章..."/>
    <w:basedOn w:val="4"/>
    <w:autoRedefine/>
    <w:qFormat/>
    <w:uiPriority w:val="99"/>
    <w:pPr>
      <w:jc w:val="left"/>
    </w:pPr>
    <w:rPr>
      <w:rFonts w:ascii="宋体" w:hAnsi="宋体" w:cs="宋体"/>
      <w:bCs/>
      <w:color w:val="FF0000"/>
      <w:sz w:val="21"/>
    </w:rPr>
  </w:style>
  <w:style w:type="paragraph" w:customStyle="1" w:styleId="224">
    <w:name w:val="样式 样式 样式 样式 样式 样式 公正文 + 首行缩进:  2 字符2 + 首行缩进:  2 字符 + 首行缩进:  2 字符..."/>
    <w:basedOn w:val="221"/>
    <w:autoRedefine/>
    <w:qFormat/>
    <w:uiPriority w:val="0"/>
  </w:style>
  <w:style w:type="paragraph" w:customStyle="1" w:styleId="225">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spacing w:val="0"/>
    </w:rPr>
  </w:style>
  <w:style w:type="paragraph" w:customStyle="1" w:styleId="226">
    <w:name w:val="xl31"/>
    <w:basedOn w:val="1"/>
    <w:autoRedefine/>
    <w:qFormat/>
    <w:uiPriority w:val="99"/>
    <w:pPr>
      <w:widowControl/>
      <w:spacing w:before="100" w:beforeAutospacing="1" w:after="100" w:afterAutospacing="1"/>
      <w:jc w:val="center"/>
    </w:pPr>
    <w:rPr>
      <w:rFonts w:ascii="宋体" w:hAnsi="宋体"/>
      <w:kern w:val="0"/>
      <w:sz w:val="24"/>
      <w:szCs w:val="24"/>
    </w:rPr>
  </w:style>
  <w:style w:type="paragraph" w:customStyle="1" w:styleId="227">
    <w:name w:val="表格文字"/>
    <w:basedOn w:val="1"/>
    <w:autoRedefine/>
    <w:qFormat/>
    <w:uiPriority w:val="99"/>
    <w:pPr>
      <w:adjustRightInd w:val="0"/>
      <w:spacing w:line="420" w:lineRule="atLeast"/>
      <w:jc w:val="left"/>
      <w:textAlignment w:val="baseline"/>
    </w:pPr>
    <w:rPr>
      <w:kern w:val="0"/>
    </w:rPr>
  </w:style>
  <w:style w:type="paragraph" w:customStyle="1" w:styleId="228">
    <w:name w:val="样式 首行缩进:  2 字符"/>
    <w:basedOn w:val="1"/>
    <w:autoRedefine/>
    <w:qFormat/>
    <w:uiPriority w:val="99"/>
    <w:pPr>
      <w:widowControl/>
      <w:spacing w:line="400" w:lineRule="exact"/>
      <w:ind w:firstLine="200" w:firstLineChars="200"/>
      <w:jc w:val="left"/>
    </w:pPr>
    <w:rPr>
      <w:rFonts w:cs="宋体"/>
      <w:kern w:val="0"/>
    </w:rPr>
  </w:style>
  <w:style w:type="paragraph" w:customStyle="1" w:styleId="229">
    <w:name w:val="Char1"/>
    <w:basedOn w:val="1"/>
    <w:autoRedefine/>
    <w:qFormat/>
    <w:uiPriority w:val="99"/>
    <w:pPr>
      <w:pageBreakBefore/>
      <w:spacing w:line="360" w:lineRule="auto"/>
    </w:pPr>
    <w:rPr>
      <w:sz w:val="28"/>
    </w:rPr>
  </w:style>
  <w:style w:type="paragraph" w:customStyle="1" w:styleId="230">
    <w:name w:val="标题2"/>
    <w:basedOn w:val="4"/>
    <w:next w:val="1"/>
    <w:autoRedefine/>
    <w:qFormat/>
    <w:uiPriority w:val="99"/>
    <w:pPr>
      <w:snapToGrid w:val="0"/>
      <w:spacing w:after="120" w:line="240" w:lineRule="auto"/>
      <w:jc w:val="left"/>
    </w:pPr>
    <w:rPr>
      <w:rFonts w:ascii="Times New Roman" w:hAnsi="Times New Roman"/>
      <w:b w:val="0"/>
      <w:sz w:val="21"/>
      <w:szCs w:val="21"/>
    </w:rPr>
  </w:style>
  <w:style w:type="paragraph" w:customStyle="1" w:styleId="231">
    <w:name w:val="表格2"/>
    <w:basedOn w:val="1"/>
    <w:autoRedefine/>
    <w:qFormat/>
    <w:uiPriority w:val="99"/>
    <w:pPr>
      <w:adjustRightInd w:val="0"/>
      <w:spacing w:before="60" w:after="60"/>
      <w:jc w:val="center"/>
    </w:pPr>
    <w:rPr>
      <w:rFonts w:ascii="宋体"/>
      <w:color w:val="000000"/>
      <w:kern w:val="0"/>
      <w:sz w:val="24"/>
    </w:rPr>
  </w:style>
  <w:style w:type="paragraph" w:customStyle="1" w:styleId="232">
    <w:name w:val="font7"/>
    <w:basedOn w:val="1"/>
    <w:autoRedefine/>
    <w:qFormat/>
    <w:uiPriority w:val="99"/>
    <w:pPr>
      <w:widowControl/>
      <w:spacing w:before="100" w:beforeAutospacing="1" w:after="100" w:afterAutospacing="1"/>
      <w:jc w:val="left"/>
    </w:pPr>
    <w:rPr>
      <w:rFonts w:hint="eastAsia" w:ascii="宋体" w:hAnsi="宋体"/>
      <w:kern w:val="0"/>
      <w:sz w:val="28"/>
      <w:szCs w:val="28"/>
    </w:rPr>
  </w:style>
  <w:style w:type="paragraph" w:customStyle="1" w:styleId="233">
    <w:name w:val="XW正文"/>
    <w:basedOn w:val="22"/>
    <w:autoRedefine/>
    <w:qFormat/>
    <w:uiPriority w:val="99"/>
    <w:pPr>
      <w:adjustRightInd w:val="0"/>
      <w:snapToGrid w:val="0"/>
      <w:spacing w:line="300" w:lineRule="auto"/>
      <w:ind w:firstLine="520" w:firstLineChars="200"/>
      <w:jc w:val="left"/>
    </w:pPr>
    <w:rPr>
      <w:kern w:val="0"/>
      <w:szCs w:val="24"/>
    </w:rPr>
  </w:style>
  <w:style w:type="paragraph" w:customStyle="1" w:styleId="234">
    <w:name w:val="样式 样式 标题 3小标题 1一、标题 3XW标题 3 Char Char Char Char Char Char Char....."/>
    <w:basedOn w:val="1"/>
    <w:autoRedefine/>
    <w:qFormat/>
    <w:uiPriority w:val="99"/>
    <w:pPr>
      <w:keepNext/>
      <w:keepLines/>
      <w:spacing w:line="360" w:lineRule="auto"/>
      <w:jc w:val="left"/>
      <w:outlineLvl w:val="2"/>
    </w:pPr>
    <w:rPr>
      <w:rFonts w:ascii="宋体" w:hAnsi="宋体" w:cs="宋体"/>
      <w:b/>
      <w:bCs/>
      <w:color w:val="0000FF"/>
    </w:rPr>
  </w:style>
  <w:style w:type="paragraph" w:customStyle="1" w:styleId="235">
    <w:name w:val="xl47"/>
    <w:basedOn w:val="1"/>
    <w:autoRedefine/>
    <w:qFormat/>
    <w:uiPriority w:val="99"/>
    <w:pPr>
      <w:widowControl/>
      <w:spacing w:before="100" w:beforeAutospacing="1" w:after="100" w:afterAutospacing="1"/>
      <w:jc w:val="center"/>
    </w:pPr>
    <w:rPr>
      <w:rFonts w:ascii="宋体" w:hAnsi="宋体"/>
      <w:kern w:val="0"/>
      <w:sz w:val="28"/>
      <w:szCs w:val="28"/>
    </w:rPr>
  </w:style>
  <w:style w:type="paragraph" w:customStyle="1" w:styleId="236">
    <w:name w:val="xl27"/>
    <w:basedOn w:val="1"/>
    <w:autoRedefine/>
    <w:qFormat/>
    <w:uiPriority w:val="99"/>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37">
    <w:name w:val="表格"/>
    <w:basedOn w:val="1"/>
    <w:autoRedefine/>
    <w:qFormat/>
    <w:uiPriority w:val="99"/>
    <w:pPr>
      <w:jc w:val="center"/>
      <w:textAlignment w:val="center"/>
    </w:pPr>
    <w:rPr>
      <w:rFonts w:ascii="华文细黑" w:hAnsi="华文细黑"/>
      <w:kern w:val="0"/>
    </w:rPr>
  </w:style>
  <w:style w:type="paragraph" w:customStyle="1" w:styleId="238">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239">
    <w:name w:val="_Style 12"/>
    <w:basedOn w:val="1"/>
    <w:autoRedefine/>
    <w:qFormat/>
    <w:uiPriority w:val="99"/>
    <w:rPr>
      <w:sz w:val="28"/>
      <w:szCs w:val="28"/>
    </w:rPr>
  </w:style>
  <w:style w:type="paragraph" w:customStyle="1" w:styleId="240">
    <w:name w:val="样式"/>
    <w:autoRedefine/>
    <w:qFormat/>
    <w:uiPriority w:val="99"/>
    <w:pPr>
      <w:widowControl w:val="0"/>
      <w:autoSpaceDE w:val="0"/>
      <w:autoSpaceDN w:val="0"/>
      <w:adjustRightInd w:val="0"/>
    </w:pPr>
    <w:rPr>
      <w:rFonts w:ascii="宋体" w:hAnsi="宋体" w:eastAsia="宋体" w:cs="Times New Roman"/>
      <w:sz w:val="24"/>
      <w:lang w:val="en-US" w:eastAsia="zh-CN" w:bidi="ar-SA"/>
    </w:rPr>
  </w:style>
  <w:style w:type="paragraph" w:customStyle="1" w:styleId="241">
    <w:name w:val="Char2"/>
    <w:basedOn w:val="1"/>
    <w:autoRedefine/>
    <w:qFormat/>
    <w:uiPriority w:val="99"/>
    <w:pPr>
      <w:ind w:left="432" w:hanging="432"/>
    </w:pPr>
    <w:rPr>
      <w:sz w:val="24"/>
    </w:rPr>
  </w:style>
  <w:style w:type="paragraph" w:customStyle="1" w:styleId="242">
    <w:name w:val="样式 标题 1 + 首行缩进:  2 字符"/>
    <w:basedOn w:val="2"/>
    <w:autoRedefine/>
    <w:qFormat/>
    <w:uiPriority w:val="99"/>
    <w:pPr>
      <w:spacing w:before="0" w:after="0" w:line="576" w:lineRule="auto"/>
      <w:jc w:val="left"/>
    </w:pPr>
    <w:rPr>
      <w:rFonts w:cs="宋体"/>
      <w:spacing w:val="0"/>
      <w:sz w:val="44"/>
    </w:rPr>
  </w:style>
  <w:style w:type="paragraph" w:customStyle="1" w:styleId="243">
    <w:name w:val="_Style 7"/>
    <w:basedOn w:val="1"/>
    <w:autoRedefine/>
    <w:qFormat/>
    <w:uiPriority w:val="99"/>
    <w:pPr>
      <w:pageBreakBefore/>
      <w:spacing w:line="360" w:lineRule="auto"/>
    </w:pPr>
  </w:style>
  <w:style w:type="paragraph" w:customStyle="1" w:styleId="244">
    <w:name w:val="正文1"/>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245">
    <w:name w:val="Char Char Char Char Char Char Char Char Char Char"/>
    <w:basedOn w:val="1"/>
    <w:autoRedefine/>
    <w:qFormat/>
    <w:uiPriority w:val="99"/>
  </w:style>
  <w:style w:type="paragraph" w:customStyle="1" w:styleId="246">
    <w:name w:val="t_black_12_b"/>
    <w:basedOn w:val="1"/>
    <w:autoRedefine/>
    <w:qFormat/>
    <w:uiPriority w:val="99"/>
    <w:pPr>
      <w:widowControl/>
      <w:jc w:val="left"/>
    </w:pPr>
    <w:rPr>
      <w:rFonts w:ascii="宋体" w:hAnsi="宋体" w:cs="宋体"/>
      <w:b/>
      <w:bCs/>
      <w:color w:val="212121"/>
      <w:kern w:val="0"/>
      <w:sz w:val="9"/>
      <w:szCs w:val="9"/>
    </w:rPr>
  </w:style>
  <w:style w:type="paragraph" w:customStyle="1" w:styleId="247">
    <w:name w:val="4 Char Char Char Char Char Char Char Char Char Char Char Char Char Char Char Char Char Char Char Char Char Char"/>
    <w:basedOn w:val="1"/>
    <w:autoRedefine/>
    <w:qFormat/>
    <w:uiPriority w:val="99"/>
  </w:style>
  <w:style w:type="paragraph" w:customStyle="1" w:styleId="248">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49">
    <w:name w:val="Char Char Char Char Char Char Char Char Char Char Char Char Char"/>
    <w:basedOn w:val="1"/>
    <w:autoRedefine/>
    <w:qFormat/>
    <w:uiPriority w:val="99"/>
    <w:rPr>
      <w:szCs w:val="24"/>
    </w:rPr>
  </w:style>
  <w:style w:type="character" w:customStyle="1" w:styleId="250">
    <w:name w:val="脚注文本 字符"/>
    <w:basedOn w:val="58"/>
    <w:link w:val="41"/>
    <w:autoRedefine/>
    <w:qFormat/>
    <w:uiPriority w:val="99"/>
    <w:rPr>
      <w:kern w:val="2"/>
      <w:sz w:val="18"/>
      <w:szCs w:val="18"/>
    </w:rPr>
  </w:style>
  <w:style w:type="character" w:customStyle="1" w:styleId="251">
    <w:name w:val="样式 粉红 下划线"/>
    <w:autoRedefine/>
    <w:qFormat/>
    <w:uiPriority w:val="0"/>
    <w:rPr>
      <w:color w:val="auto"/>
      <w:u w:val="none"/>
    </w:rPr>
  </w:style>
  <w:style w:type="character" w:customStyle="1" w:styleId="252">
    <w:name w:val="样式 粉红"/>
    <w:autoRedefine/>
    <w:qFormat/>
    <w:uiPriority w:val="0"/>
    <w:rPr>
      <w:color w:val="auto"/>
      <w:u w:val="none"/>
    </w:rPr>
  </w:style>
  <w:style w:type="character" w:customStyle="1" w:styleId="253">
    <w:name w:val="正文首行缩进 字符"/>
    <w:basedOn w:val="127"/>
    <w:link w:val="54"/>
    <w:autoRedefine/>
    <w:qFormat/>
    <w:uiPriority w:val="99"/>
    <w:rPr>
      <w:rFonts w:ascii="宋体" w:hAnsi="宋体"/>
      <w:color w:val="000000"/>
      <w:kern w:val="28"/>
      <w:sz w:val="21"/>
      <w:szCs w:val="21"/>
    </w:rPr>
  </w:style>
  <w:style w:type="paragraph" w:customStyle="1" w:styleId="254">
    <w:name w:val="范本-正文"/>
    <w:autoRedefine/>
    <w:qFormat/>
    <w:uiPriority w:val="99"/>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255">
    <w:name w:val="金安桥正文"/>
    <w:basedOn w:val="22"/>
    <w:autoRedefine/>
    <w:qFormat/>
    <w:uiPriority w:val="99"/>
    <w:pPr>
      <w:adjustRightInd w:val="0"/>
      <w:spacing w:line="300" w:lineRule="auto"/>
      <w:ind w:firstLine="200" w:firstLineChars="200"/>
      <w:jc w:val="left"/>
    </w:pPr>
    <w:rPr>
      <w:kern w:val="0"/>
      <w:sz w:val="24"/>
    </w:rPr>
  </w:style>
  <w:style w:type="paragraph" w:customStyle="1" w:styleId="256">
    <w:name w:val="正  文"/>
    <w:basedOn w:val="1"/>
    <w:autoRedefine/>
    <w:qFormat/>
    <w:uiPriority w:val="99"/>
    <w:pPr>
      <w:spacing w:line="360" w:lineRule="auto"/>
      <w:ind w:firstLine="200" w:firstLineChars="200"/>
    </w:pPr>
    <w:rPr>
      <w:rFonts w:ascii="宋体"/>
      <w:sz w:val="24"/>
      <w:szCs w:val="24"/>
    </w:rPr>
  </w:style>
  <w:style w:type="paragraph" w:customStyle="1" w:styleId="257">
    <w:name w:val="XW标题3"/>
    <w:basedOn w:val="233"/>
    <w:next w:val="233"/>
    <w:autoRedefine/>
    <w:qFormat/>
    <w:uiPriority w:val="99"/>
    <w:pPr>
      <w:snapToGrid/>
      <w:spacing w:before="200" w:line="360" w:lineRule="auto"/>
      <w:ind w:firstLine="0" w:firstLineChars="0"/>
      <w:outlineLvl w:val="2"/>
    </w:pPr>
    <w:rPr>
      <w:rFonts w:ascii="Arial" w:hAnsi="Arial" w:eastAsia="黑体"/>
      <w:sz w:val="30"/>
      <w:szCs w:val="20"/>
    </w:rPr>
  </w:style>
  <w:style w:type="paragraph" w:customStyle="1" w:styleId="258">
    <w:name w:val="XW悬挂正文"/>
    <w:basedOn w:val="233"/>
    <w:autoRedefine/>
    <w:qFormat/>
    <w:uiPriority w:val="99"/>
    <w:pPr>
      <w:snapToGrid/>
      <w:spacing w:line="360" w:lineRule="auto"/>
      <w:ind w:left="1474" w:hanging="340" w:firstLineChars="0"/>
    </w:pPr>
    <w:rPr>
      <w:rFonts w:hAnsi="宋体"/>
      <w:sz w:val="24"/>
      <w:szCs w:val="20"/>
    </w:rPr>
  </w:style>
  <w:style w:type="paragraph" w:customStyle="1" w:styleId="259">
    <w:name w:val="XW标题1"/>
    <w:basedOn w:val="233"/>
    <w:next w:val="233"/>
    <w:autoRedefine/>
    <w:qFormat/>
    <w:uiPriority w:val="99"/>
    <w:pPr>
      <w:snapToGrid/>
      <w:spacing w:before="5000" w:line="360" w:lineRule="auto"/>
      <w:ind w:left="425" w:hanging="425" w:firstLineChars="0"/>
      <w:jc w:val="center"/>
      <w:outlineLvl w:val="0"/>
    </w:pPr>
    <w:rPr>
      <w:rFonts w:ascii="Arial" w:hAnsi="Arial" w:eastAsia="黑体"/>
      <w:sz w:val="44"/>
      <w:szCs w:val="20"/>
    </w:rPr>
  </w:style>
  <w:style w:type="paragraph" w:customStyle="1" w:styleId="260">
    <w:name w:val="首页脚样式"/>
    <w:basedOn w:val="33"/>
    <w:autoRedefine/>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1">
    <w:name w:val="标题3"/>
    <w:basedOn w:val="230"/>
    <w:autoRedefine/>
    <w:qFormat/>
    <w:uiPriority w:val="99"/>
    <w:pPr>
      <w:snapToGrid/>
      <w:spacing w:before="0" w:after="0" w:line="360" w:lineRule="auto"/>
      <w:jc w:val="both"/>
      <w:outlineLvl w:val="0"/>
    </w:pPr>
    <w:rPr>
      <w:b/>
      <w:kern w:val="44"/>
    </w:rPr>
  </w:style>
  <w:style w:type="paragraph" w:customStyle="1" w:styleId="262">
    <w:name w:val="正文小标题"/>
    <w:basedOn w:val="1"/>
    <w:next w:val="21"/>
    <w:autoRedefine/>
    <w:qFormat/>
    <w:uiPriority w:val="99"/>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263">
    <w:name w:val="基准标题"/>
    <w:basedOn w:val="21"/>
    <w:next w:val="21"/>
    <w:autoRedefine/>
    <w:qFormat/>
    <w:uiPriority w:val="99"/>
    <w:pPr>
      <w:widowControl/>
      <w:tabs>
        <w:tab w:val="left" w:pos="6000"/>
        <w:tab w:val="left" w:pos="7680"/>
      </w:tabs>
      <w:adjustRightInd/>
      <w:spacing w:line="360" w:lineRule="auto"/>
      <w:ind w:firstLine="422" w:firstLineChars="200"/>
      <w:jc w:val="left"/>
    </w:pPr>
    <w:rPr>
      <w:rFonts w:ascii="Garamond" w:hAnsi="Garamond"/>
      <w:bCs w:val="0"/>
      <w:color w:val="auto"/>
      <w:kern w:val="0"/>
      <w:sz w:val="21"/>
    </w:rPr>
  </w:style>
  <w:style w:type="paragraph" w:customStyle="1" w:styleId="264">
    <w:name w:val="XW标题2"/>
    <w:basedOn w:val="233"/>
    <w:next w:val="233"/>
    <w:autoRedefine/>
    <w:qFormat/>
    <w:uiPriority w:val="99"/>
    <w:pPr>
      <w:snapToGrid/>
      <w:spacing w:before="300" w:line="360" w:lineRule="auto"/>
      <w:ind w:firstLine="0" w:firstLineChars="0"/>
      <w:outlineLvl w:val="1"/>
    </w:pPr>
    <w:rPr>
      <w:rFonts w:ascii="Arial" w:hAnsi="Arial" w:eastAsia="黑体"/>
      <w:sz w:val="32"/>
      <w:szCs w:val="20"/>
    </w:rPr>
  </w:style>
  <w:style w:type="paragraph" w:customStyle="1" w:styleId="265">
    <w:name w:val="奇页脚样式"/>
    <w:basedOn w:val="33"/>
    <w:autoRedefine/>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6">
    <w:name w:val="XW标题4"/>
    <w:basedOn w:val="233"/>
    <w:next w:val="233"/>
    <w:autoRedefine/>
    <w:qFormat/>
    <w:uiPriority w:val="99"/>
    <w:pPr>
      <w:snapToGrid/>
      <w:spacing w:before="200" w:line="360" w:lineRule="auto"/>
      <w:ind w:firstLine="0" w:firstLineChars="0"/>
      <w:outlineLvl w:val="3"/>
    </w:pPr>
    <w:rPr>
      <w:rFonts w:hAnsi="宋体" w:eastAsia="仿宋_GB2312"/>
      <w:b/>
      <w:sz w:val="28"/>
      <w:szCs w:val="20"/>
    </w:rPr>
  </w:style>
  <w:style w:type="paragraph" w:customStyle="1" w:styleId="267">
    <w:name w:val="XW表名"/>
    <w:basedOn w:val="2"/>
    <w:autoRedefine/>
    <w:qFormat/>
    <w:uiPriority w:val="99"/>
    <w:pPr>
      <w:keepNext w:val="0"/>
      <w:keepLines w:val="0"/>
      <w:adjustRightInd w:val="0"/>
      <w:spacing w:before="300" w:after="80"/>
      <w:outlineLvl w:val="9"/>
    </w:pPr>
    <w:rPr>
      <w:rFonts w:eastAsia="黑体"/>
      <w:b w:val="0"/>
      <w:spacing w:val="0"/>
      <w:sz w:val="24"/>
    </w:rPr>
  </w:style>
  <w:style w:type="paragraph" w:customStyle="1" w:styleId="268">
    <w:name w:val="XW表内文字"/>
    <w:basedOn w:val="1"/>
    <w:autoRedefine/>
    <w:qFormat/>
    <w:uiPriority w:val="99"/>
    <w:pPr>
      <w:adjustRightInd w:val="0"/>
      <w:spacing w:before="60" w:after="60" w:line="300" w:lineRule="exact"/>
      <w:ind w:firstLine="422" w:firstLineChars="200"/>
      <w:jc w:val="center"/>
    </w:pPr>
    <w:rPr>
      <w:rFonts w:hAnsi="宋体"/>
      <w:kern w:val="0"/>
    </w:rPr>
  </w:style>
  <w:style w:type="paragraph" w:customStyle="1" w:styleId="269">
    <w:name w:val="XW图名表名"/>
    <w:basedOn w:val="1"/>
    <w:autoRedefine/>
    <w:qFormat/>
    <w:uiPriority w:val="99"/>
    <w:pPr>
      <w:adjustRightInd w:val="0"/>
      <w:spacing w:before="120" w:after="60"/>
      <w:ind w:firstLine="422" w:firstLineChars="200"/>
      <w:jc w:val="center"/>
    </w:pPr>
    <w:rPr>
      <w:rFonts w:hAnsi="宋体" w:eastAsia="黑体"/>
      <w:kern w:val="0"/>
      <w:sz w:val="24"/>
    </w:rPr>
  </w:style>
  <w:style w:type="paragraph" w:customStyle="1" w:styleId="270">
    <w:name w:val="正文2"/>
    <w:basedOn w:val="1"/>
    <w:next w:val="1"/>
    <w:autoRedefine/>
    <w:qFormat/>
    <w:uiPriority w:val="99"/>
    <w:pPr>
      <w:tabs>
        <w:tab w:val="left" w:pos="4025"/>
      </w:tabs>
      <w:spacing w:line="360" w:lineRule="auto"/>
      <w:ind w:left="4025" w:hanging="425" w:firstLineChars="200"/>
    </w:pPr>
    <w:rPr>
      <w:rFonts w:hAnsi="宋体"/>
      <w:sz w:val="24"/>
    </w:rPr>
  </w:style>
  <w:style w:type="paragraph" w:customStyle="1" w:styleId="271">
    <w:name w:val="目录"/>
    <w:basedOn w:val="1"/>
    <w:autoRedefine/>
    <w:qFormat/>
    <w:uiPriority w:val="99"/>
    <w:pPr>
      <w:spacing w:before="240" w:after="600" w:line="560" w:lineRule="exact"/>
      <w:jc w:val="center"/>
    </w:pPr>
    <w:rPr>
      <w:rFonts w:eastAsia="黑体"/>
      <w:sz w:val="32"/>
      <w:szCs w:val="32"/>
    </w:rPr>
  </w:style>
  <w:style w:type="paragraph" w:customStyle="1" w:styleId="272">
    <w:name w:val="简单回函地址"/>
    <w:basedOn w:val="1"/>
    <w:autoRedefine/>
    <w:qFormat/>
    <w:uiPriority w:val="99"/>
    <w:rPr>
      <w:szCs w:val="24"/>
    </w:rPr>
  </w:style>
  <w:style w:type="paragraph" w:customStyle="1" w:styleId="273">
    <w:name w:val="条款正文（三级标题）"/>
    <w:basedOn w:val="5"/>
    <w:autoRedefine/>
    <w:qFormat/>
    <w:uiPriority w:val="99"/>
    <w:pPr>
      <w:keepNext w:val="0"/>
      <w:keepLines w:val="0"/>
      <w:tabs>
        <w:tab w:val="left" w:pos="720"/>
      </w:tabs>
      <w:autoSpaceDE w:val="0"/>
      <w:autoSpaceDN w:val="0"/>
      <w:adjustRightInd w:val="0"/>
      <w:ind w:firstLine="416" w:firstLineChars="198"/>
    </w:pPr>
    <w:rPr>
      <w:rFonts w:ascii="Times New Roman"/>
      <w:b w:val="0"/>
      <w:color w:val="000000"/>
      <w:kern w:val="24"/>
      <w:sz w:val="21"/>
    </w:rPr>
  </w:style>
  <w:style w:type="paragraph" w:customStyle="1" w:styleId="274">
    <w:name w:val="正文3"/>
    <w:basedOn w:val="1"/>
    <w:next w:val="1"/>
    <w:autoRedefine/>
    <w:qFormat/>
    <w:uiPriority w:val="99"/>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275">
    <w:name w:val="标题一"/>
    <w:basedOn w:val="1"/>
    <w:autoRedefine/>
    <w:qFormat/>
    <w:uiPriority w:val="99"/>
    <w:rPr>
      <w:b/>
      <w:sz w:val="30"/>
      <w:szCs w:val="24"/>
    </w:rPr>
  </w:style>
  <w:style w:type="character" w:customStyle="1" w:styleId="276">
    <w:name w:val="标题 1 Char1"/>
    <w:autoRedefine/>
    <w:qFormat/>
    <w:uiPriority w:val="0"/>
    <w:rPr>
      <w:rFonts w:eastAsia="宋体"/>
      <w:b/>
      <w:bCs/>
      <w:kern w:val="44"/>
      <w:sz w:val="44"/>
      <w:szCs w:val="44"/>
      <w:lang w:val="en-US" w:eastAsia="zh-CN" w:bidi="ar-SA"/>
    </w:rPr>
  </w:style>
  <w:style w:type="character" w:customStyle="1" w:styleId="277">
    <w:name w:val="question-title2"/>
    <w:basedOn w:val="58"/>
    <w:autoRedefine/>
    <w:qFormat/>
    <w:uiPriority w:val="0"/>
  </w:style>
  <w:style w:type="paragraph" w:customStyle="1" w:styleId="278">
    <w:name w:val="Char Char Char Char Char Char1 Char1"/>
    <w:basedOn w:val="1"/>
    <w:autoRedefine/>
    <w:qFormat/>
    <w:uiPriority w:val="99"/>
    <w:pPr>
      <w:ind w:left="510"/>
    </w:pPr>
    <w:rPr>
      <w:szCs w:val="24"/>
    </w:rPr>
  </w:style>
  <w:style w:type="paragraph" w:customStyle="1" w:styleId="279">
    <w:name w:val="Char Char Char Char Char Char Char"/>
    <w:basedOn w:val="1"/>
    <w:next w:val="3"/>
    <w:autoRedefine/>
    <w:qFormat/>
    <w:uiPriority w:val="99"/>
    <w:rPr>
      <w:sz w:val="28"/>
      <w:szCs w:val="28"/>
    </w:rPr>
  </w:style>
  <w:style w:type="paragraph" w:customStyle="1" w:styleId="280">
    <w:name w:val="Char Char Char Char Char Char"/>
    <w:basedOn w:val="1"/>
    <w:next w:val="3"/>
    <w:autoRedefine/>
    <w:qFormat/>
    <w:uiPriority w:val="99"/>
    <w:rPr>
      <w:szCs w:val="24"/>
    </w:rPr>
  </w:style>
  <w:style w:type="paragraph" w:customStyle="1" w:styleId="281">
    <w:name w:val="正文4"/>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282">
    <w:name w:val="Char Char Char Char Char Char1 Char Char Char Char Char Char Char Char Char Char Char Char Char"/>
    <w:basedOn w:val="1"/>
    <w:autoRedefine/>
    <w:qFormat/>
    <w:uiPriority w:val="99"/>
    <w:rPr>
      <w:szCs w:val="24"/>
    </w:rPr>
  </w:style>
  <w:style w:type="character" w:customStyle="1" w:styleId="283">
    <w:name w:val="正文文本 Char1"/>
    <w:autoRedefine/>
    <w:qFormat/>
    <w:uiPriority w:val="0"/>
    <w:rPr>
      <w:kern w:val="2"/>
      <w:sz w:val="21"/>
      <w:szCs w:val="22"/>
    </w:rPr>
  </w:style>
  <w:style w:type="character" w:customStyle="1" w:styleId="284">
    <w:name w:val="明显强调1"/>
    <w:autoRedefine/>
    <w:qFormat/>
    <w:uiPriority w:val="0"/>
    <w:rPr>
      <w:b/>
      <w:bCs/>
      <w:i/>
      <w:iCs/>
      <w:color w:val="4F81BD"/>
    </w:rPr>
  </w:style>
  <w:style w:type="character" w:customStyle="1" w:styleId="285">
    <w:name w:val="批注主题 Char1"/>
    <w:autoRedefine/>
    <w:qFormat/>
    <w:uiPriority w:val="0"/>
    <w:rPr>
      <w:b/>
      <w:bCs/>
      <w:kern w:val="2"/>
      <w:sz w:val="21"/>
      <w:szCs w:val="22"/>
    </w:rPr>
  </w:style>
  <w:style w:type="character" w:customStyle="1" w:styleId="286">
    <w:name w:val="批注框文本 Char1"/>
    <w:autoRedefine/>
    <w:qFormat/>
    <w:uiPriority w:val="0"/>
    <w:rPr>
      <w:kern w:val="2"/>
      <w:sz w:val="18"/>
      <w:szCs w:val="18"/>
    </w:rPr>
  </w:style>
  <w:style w:type="character" w:customStyle="1" w:styleId="287">
    <w:name w:val="书籍标题1"/>
    <w:autoRedefine/>
    <w:qFormat/>
    <w:uiPriority w:val="0"/>
    <w:rPr>
      <w:b/>
      <w:bCs/>
      <w:smallCaps/>
      <w:spacing w:val="5"/>
    </w:rPr>
  </w:style>
  <w:style w:type="character" w:customStyle="1" w:styleId="288">
    <w:name w:val="副标题 字符"/>
    <w:link w:val="39"/>
    <w:autoRedefine/>
    <w:qFormat/>
    <w:uiPriority w:val="99"/>
    <w:rPr>
      <w:rFonts w:ascii="Cambria" w:hAnsi="Cambria"/>
      <w:b/>
      <w:bCs/>
      <w:kern w:val="28"/>
      <w:sz w:val="32"/>
      <w:szCs w:val="32"/>
    </w:rPr>
  </w:style>
  <w:style w:type="character" w:customStyle="1" w:styleId="289">
    <w:name w:val="副标题 Char1"/>
    <w:basedOn w:val="58"/>
    <w:autoRedefine/>
    <w:qFormat/>
    <w:uiPriority w:val="0"/>
    <w:rPr>
      <w:rFonts w:asciiTheme="majorHAnsi" w:hAnsiTheme="majorHAnsi" w:cstheme="majorBidi"/>
      <w:b/>
      <w:bCs/>
      <w:kern w:val="28"/>
      <w:sz w:val="32"/>
      <w:szCs w:val="32"/>
    </w:rPr>
  </w:style>
  <w:style w:type="character" w:customStyle="1" w:styleId="290">
    <w:name w:val="批注文字 Char Char"/>
    <w:autoRedefine/>
    <w:qFormat/>
    <w:uiPriority w:val="0"/>
    <w:rPr>
      <w:rFonts w:ascii="宋体" w:hAnsi="Times New Roman" w:eastAsia="宋体" w:cs="Times New Roman"/>
      <w:sz w:val="28"/>
      <w:szCs w:val="20"/>
    </w:rPr>
  </w:style>
  <w:style w:type="character" w:customStyle="1" w:styleId="291">
    <w:name w:val="不明显强调1"/>
    <w:autoRedefine/>
    <w:qFormat/>
    <w:uiPriority w:val="0"/>
    <w:rPr>
      <w:i/>
      <w:iCs/>
      <w:color w:val="808080"/>
    </w:rPr>
  </w:style>
  <w:style w:type="character" w:customStyle="1" w:styleId="292">
    <w:name w:val="不明显参考1"/>
    <w:autoRedefine/>
    <w:qFormat/>
    <w:uiPriority w:val="0"/>
    <w:rPr>
      <w:smallCaps/>
      <w:color w:val="C0504D"/>
      <w:u w:val="single"/>
    </w:rPr>
  </w:style>
  <w:style w:type="character" w:customStyle="1" w:styleId="293">
    <w:name w:val="明显参考1"/>
    <w:autoRedefine/>
    <w:qFormat/>
    <w:uiPriority w:val="0"/>
    <w:rPr>
      <w:b/>
      <w:bCs/>
      <w:smallCaps/>
      <w:color w:val="C0504D"/>
      <w:spacing w:val="5"/>
      <w:u w:val="single"/>
    </w:rPr>
  </w:style>
  <w:style w:type="character" w:customStyle="1" w:styleId="294">
    <w:name w:val="标题5 Char Char"/>
    <w:link w:val="295"/>
    <w:autoRedefine/>
    <w:qFormat/>
    <w:uiPriority w:val="0"/>
    <w:rPr>
      <w:rFonts w:ascii="Arial" w:hAnsi="Arial"/>
      <w:b/>
      <w:bCs/>
      <w:sz w:val="24"/>
      <w:szCs w:val="32"/>
    </w:rPr>
  </w:style>
  <w:style w:type="paragraph" w:customStyle="1" w:styleId="295">
    <w:name w:val="标题5"/>
    <w:basedOn w:val="5"/>
    <w:link w:val="294"/>
    <w:autoRedefine/>
    <w:qFormat/>
    <w:uiPriority w:val="0"/>
    <w:pPr>
      <w:spacing w:before="260" w:after="260" w:line="413" w:lineRule="auto"/>
      <w:ind w:firstLine="0"/>
    </w:pPr>
    <w:rPr>
      <w:rFonts w:ascii="Arial" w:hAnsi="Arial"/>
      <w:bCs/>
      <w:kern w:val="0"/>
      <w:szCs w:val="32"/>
    </w:rPr>
  </w:style>
  <w:style w:type="character" w:customStyle="1" w:styleId="296">
    <w:name w:val="明显引用 字符"/>
    <w:link w:val="297"/>
    <w:autoRedefine/>
    <w:qFormat/>
    <w:uiPriority w:val="99"/>
    <w:rPr>
      <w:b/>
      <w:bCs/>
      <w:i/>
      <w:iCs/>
      <w:color w:val="4F81BD"/>
    </w:rPr>
  </w:style>
  <w:style w:type="paragraph" w:styleId="297">
    <w:name w:val="Intense Quote"/>
    <w:basedOn w:val="1"/>
    <w:next w:val="1"/>
    <w:link w:val="296"/>
    <w:autoRedefine/>
    <w:qFormat/>
    <w:uiPriority w:val="99"/>
    <w:pPr>
      <w:pBdr>
        <w:bottom w:val="single" w:color="4F81BD" w:sz="4" w:space="4"/>
      </w:pBdr>
      <w:spacing w:before="200" w:after="280"/>
      <w:ind w:left="936" w:right="936"/>
    </w:pPr>
    <w:rPr>
      <w:b/>
      <w:bCs/>
      <w:i/>
      <w:iCs/>
      <w:color w:val="4F81BD"/>
      <w:kern w:val="0"/>
      <w:sz w:val="20"/>
    </w:rPr>
  </w:style>
  <w:style w:type="character" w:customStyle="1" w:styleId="298">
    <w:name w:val="明显引用 Char1"/>
    <w:basedOn w:val="58"/>
    <w:autoRedefine/>
    <w:qFormat/>
    <w:uiPriority w:val="0"/>
    <w:rPr>
      <w:b/>
      <w:bCs/>
      <w:i/>
      <w:iCs/>
      <w:color w:val="4F81BD" w:themeColor="accent1"/>
      <w:kern w:val="2"/>
      <w:sz w:val="21"/>
      <w14:textFill>
        <w14:solidFill>
          <w14:schemeClr w14:val="accent1"/>
        </w14:solidFill>
      </w14:textFill>
    </w:rPr>
  </w:style>
  <w:style w:type="character" w:customStyle="1" w:styleId="299">
    <w:name w:val="日期 Char1"/>
    <w:autoRedefine/>
    <w:qFormat/>
    <w:uiPriority w:val="0"/>
    <w:rPr>
      <w:kern w:val="2"/>
      <w:sz w:val="21"/>
      <w:szCs w:val="22"/>
    </w:rPr>
  </w:style>
  <w:style w:type="character" w:customStyle="1" w:styleId="300">
    <w:name w:val="文档结构图 Char1"/>
    <w:autoRedefine/>
    <w:qFormat/>
    <w:uiPriority w:val="0"/>
    <w:rPr>
      <w:rFonts w:ascii="宋体"/>
      <w:kern w:val="2"/>
      <w:sz w:val="18"/>
      <w:szCs w:val="18"/>
    </w:rPr>
  </w:style>
  <w:style w:type="character" w:customStyle="1" w:styleId="301">
    <w:name w:val="textcontents"/>
    <w:autoRedefine/>
    <w:qFormat/>
    <w:uiPriority w:val="0"/>
    <w:rPr>
      <w:rFonts w:cs="Times New Roman"/>
    </w:rPr>
  </w:style>
  <w:style w:type="character" w:customStyle="1" w:styleId="302">
    <w:name w:val="引用 字符"/>
    <w:link w:val="303"/>
    <w:autoRedefine/>
    <w:qFormat/>
    <w:uiPriority w:val="99"/>
    <w:rPr>
      <w:i/>
      <w:iCs/>
      <w:color w:val="000000"/>
    </w:rPr>
  </w:style>
  <w:style w:type="paragraph" w:styleId="303">
    <w:name w:val="Quote"/>
    <w:basedOn w:val="1"/>
    <w:next w:val="1"/>
    <w:link w:val="302"/>
    <w:autoRedefine/>
    <w:qFormat/>
    <w:uiPriority w:val="99"/>
    <w:rPr>
      <w:i/>
      <w:iCs/>
      <w:color w:val="000000"/>
      <w:kern w:val="0"/>
      <w:sz w:val="20"/>
    </w:rPr>
  </w:style>
  <w:style w:type="character" w:customStyle="1" w:styleId="304">
    <w:name w:val="引用 Char1"/>
    <w:basedOn w:val="58"/>
    <w:autoRedefine/>
    <w:qFormat/>
    <w:uiPriority w:val="0"/>
    <w:rPr>
      <w:i/>
      <w:iCs/>
      <w:color w:val="000000" w:themeColor="text1"/>
      <w:kern w:val="2"/>
      <w:sz w:val="21"/>
      <w14:textFill>
        <w14:solidFill>
          <w14:schemeClr w14:val="tx1"/>
        </w14:solidFill>
      </w14:textFill>
    </w:rPr>
  </w:style>
  <w:style w:type="character" w:customStyle="1" w:styleId="305">
    <w:name w:val="Char Char Char1"/>
    <w:autoRedefine/>
    <w:qFormat/>
    <w:uiPriority w:val="0"/>
    <w:rPr>
      <w:rFonts w:ascii="Verdana" w:hAnsi="Verdana" w:eastAsia="黑体"/>
      <w:lang w:eastAsia="en-US"/>
    </w:rPr>
  </w:style>
  <w:style w:type="character" w:customStyle="1" w:styleId="306">
    <w:name w:val="副标题 Char2"/>
    <w:basedOn w:val="58"/>
    <w:autoRedefine/>
    <w:qFormat/>
    <w:uiPriority w:val="0"/>
    <w:rPr>
      <w:rFonts w:ascii="Cambria" w:hAnsi="Cambria" w:cs="Times New Roman"/>
      <w:b/>
      <w:bCs/>
      <w:kern w:val="28"/>
      <w:sz w:val="32"/>
      <w:szCs w:val="32"/>
    </w:rPr>
  </w:style>
  <w:style w:type="character" w:customStyle="1" w:styleId="307">
    <w:name w:val="明显引用 Char2"/>
    <w:basedOn w:val="58"/>
    <w:autoRedefine/>
    <w:qFormat/>
    <w:uiPriority w:val="30"/>
    <w:rPr>
      <w:b/>
      <w:bCs/>
      <w:i/>
      <w:iCs/>
      <w:color w:val="4F81BD"/>
    </w:rPr>
  </w:style>
  <w:style w:type="paragraph" w:styleId="308">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9">
    <w:name w:val="Char Char Char Char Char Char Char1"/>
    <w:basedOn w:val="1"/>
    <w:autoRedefine/>
    <w:qFormat/>
    <w:uiPriority w:val="99"/>
    <w:pPr>
      <w:jc w:val="left"/>
    </w:pPr>
    <w:rPr>
      <w:rFonts w:ascii="宋体" w:hAnsi="宋体" w:cs="宋体"/>
      <w:kern w:val="0"/>
      <w:sz w:val="24"/>
      <w:szCs w:val="24"/>
    </w:rPr>
  </w:style>
  <w:style w:type="character" w:customStyle="1" w:styleId="310">
    <w:name w:val="引用 Char2"/>
    <w:basedOn w:val="58"/>
    <w:autoRedefine/>
    <w:qFormat/>
    <w:uiPriority w:val="29"/>
    <w:rPr>
      <w:i/>
      <w:iCs/>
      <w:color w:val="000000"/>
    </w:rPr>
  </w:style>
  <w:style w:type="paragraph" w:customStyle="1" w:styleId="311">
    <w:name w:val="Char11"/>
    <w:basedOn w:val="1"/>
    <w:autoRedefine/>
    <w:qFormat/>
    <w:uiPriority w:val="99"/>
    <w:rPr>
      <w:rFonts w:ascii="仿宋_GB2312" w:eastAsia="仿宋_GB2312"/>
      <w:b/>
      <w:sz w:val="32"/>
      <w:szCs w:val="32"/>
    </w:rPr>
  </w:style>
  <w:style w:type="paragraph" w:customStyle="1" w:styleId="312">
    <w:name w:val="Char12"/>
    <w:basedOn w:val="1"/>
    <w:autoRedefine/>
    <w:qFormat/>
    <w:uiPriority w:val="99"/>
    <w:pPr>
      <w:pageBreakBefore/>
      <w:spacing w:line="360" w:lineRule="auto"/>
    </w:pPr>
    <w:rPr>
      <w:sz w:val="28"/>
    </w:rPr>
  </w:style>
  <w:style w:type="paragraph" w:customStyle="1" w:styleId="313">
    <w:name w:val="flNote"/>
    <w:basedOn w:val="1"/>
    <w:autoRedefine/>
    <w:qFormat/>
    <w:uiPriority w:val="99"/>
    <w:pPr>
      <w:adjustRightInd w:val="0"/>
      <w:spacing w:before="320" w:after="160" w:line="360" w:lineRule="atLeast"/>
      <w:jc w:val="center"/>
    </w:pPr>
    <w:rPr>
      <w:rFonts w:ascii="Arial" w:eastAsia="黑体"/>
      <w:kern w:val="0"/>
      <w:sz w:val="30"/>
    </w:rPr>
  </w:style>
  <w:style w:type="paragraph" w:customStyle="1" w:styleId="314">
    <w:name w:val="空半行"/>
    <w:basedOn w:val="1"/>
    <w:autoRedefine/>
    <w:qFormat/>
    <w:uiPriority w:val="99"/>
    <w:pPr>
      <w:adjustRightInd w:val="0"/>
      <w:spacing w:line="120" w:lineRule="exact"/>
    </w:pPr>
    <w:rPr>
      <w:rFonts w:eastAsia="仿宋_GB2312"/>
      <w:color w:val="FFFFFF"/>
      <w:kern w:val="0"/>
      <w:sz w:val="30"/>
    </w:rPr>
  </w:style>
  <w:style w:type="character" w:customStyle="1" w:styleId="315">
    <w:name w:val="标题 Char1"/>
    <w:basedOn w:val="58"/>
    <w:autoRedefine/>
    <w:qFormat/>
    <w:locked/>
    <w:uiPriority w:val="0"/>
    <w:rPr>
      <w:rFonts w:ascii="Cambria" w:hAnsi="Cambria"/>
      <w:b/>
      <w:bCs/>
      <w:kern w:val="2"/>
      <w:sz w:val="32"/>
      <w:szCs w:val="32"/>
    </w:rPr>
  </w:style>
  <w:style w:type="character" w:customStyle="1" w:styleId="316">
    <w:name w:val="正文文本 Char2"/>
    <w:basedOn w:val="58"/>
    <w:autoRedefine/>
    <w:qFormat/>
    <w:locked/>
    <w:uiPriority w:val="0"/>
  </w:style>
  <w:style w:type="paragraph" w:customStyle="1" w:styleId="317">
    <w:name w:val="Normal_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8">
    <w:name w:val="标题 1 字符1"/>
    <w:basedOn w:val="58"/>
    <w:autoRedefine/>
    <w:qFormat/>
    <w:uiPriority w:val="0"/>
    <w:rPr>
      <w:b/>
      <w:bCs/>
      <w:kern w:val="44"/>
      <w:sz w:val="44"/>
      <w:szCs w:val="44"/>
    </w:rPr>
  </w:style>
  <w:style w:type="paragraph" w:customStyle="1" w:styleId="319">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320">
    <w:name w:val="副标题 字符1"/>
    <w:basedOn w:val="58"/>
    <w:autoRedefine/>
    <w:qFormat/>
    <w:uiPriority w:val="11"/>
    <w:rPr>
      <w:rFonts w:hint="default" w:asciiTheme="minorHAnsi" w:hAnsiTheme="minorHAnsi" w:eastAsiaTheme="minorEastAsia" w:cstheme="minorBidi"/>
      <w:b/>
      <w:bCs/>
      <w:kern w:val="28"/>
      <w:sz w:val="32"/>
      <w:szCs w:val="32"/>
    </w:rPr>
  </w:style>
  <w:style w:type="character" w:customStyle="1" w:styleId="321">
    <w:name w:val="明显引用 字符1"/>
    <w:basedOn w:val="58"/>
    <w:autoRedefine/>
    <w:qFormat/>
    <w:uiPriority w:val="30"/>
    <w:rPr>
      <w:i/>
      <w:iCs/>
      <w:color w:val="4F81BD" w:themeColor="accent1"/>
      <w14:textFill>
        <w14:solidFill>
          <w14:schemeClr w14:val="accent1"/>
        </w14:solidFill>
      </w14:textFill>
    </w:rPr>
  </w:style>
  <w:style w:type="character" w:customStyle="1" w:styleId="322">
    <w:name w:val="引用 字符1"/>
    <w:basedOn w:val="58"/>
    <w:autoRedefine/>
    <w:qFormat/>
    <w:uiPriority w:val="29"/>
    <w:rPr>
      <w:i/>
      <w:iCs/>
      <w:color w:val="404040" w:themeColor="text1" w:themeTint="BF"/>
      <w14:textFill>
        <w14:solidFill>
          <w14:schemeClr w14:val="tx1">
            <w14:lumMod w14:val="75000"/>
            <w14:lumOff w14:val="25000"/>
          </w14:schemeClr>
        </w14:solidFill>
      </w14:textFill>
    </w:rPr>
  </w:style>
  <w:style w:type="paragraph" w:customStyle="1" w:styleId="323">
    <w:name w:val="正文_5_0"/>
    <w:autoRedefine/>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24">
    <w:name w:val="Normal_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5">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6">
    <w:name w:val="10"/>
    <w:basedOn w:val="58"/>
    <w:autoRedefine/>
    <w:qFormat/>
    <w:uiPriority w:val="0"/>
    <w:rPr>
      <w:rFonts w:hint="default" w:ascii="Times New Roman" w:hAnsi="Times New Roman" w:cs="Times New Roman"/>
    </w:rPr>
  </w:style>
  <w:style w:type="character" w:customStyle="1" w:styleId="327">
    <w:name w:val="p0 Char"/>
    <w:link w:val="68"/>
    <w:autoRedefine/>
    <w:qFormat/>
    <w:uiPriority w:val="0"/>
    <w:rPr>
      <w:sz w:val="21"/>
      <w:szCs w:val="21"/>
    </w:rPr>
  </w:style>
  <w:style w:type="character" w:customStyle="1" w:styleId="328">
    <w:name w:val="未处理的提及1"/>
    <w:basedOn w:val="58"/>
    <w:autoRedefine/>
    <w:semiHidden/>
    <w:unhideWhenUsed/>
    <w:qFormat/>
    <w:uiPriority w:val="99"/>
    <w:rPr>
      <w:color w:val="605E5C"/>
      <w:shd w:val="clear" w:color="auto" w:fill="E1DFDD"/>
    </w:rPr>
  </w:style>
  <w:style w:type="character" w:customStyle="1" w:styleId="329">
    <w:name w:val="Char Char8"/>
    <w:autoRedefine/>
    <w:qFormat/>
    <w:uiPriority w:val="0"/>
    <w:rPr>
      <w:rFonts w:hint="default" w:ascii="Arial" w:hAnsi="Arial" w:eastAsia="黑体" w:cs="Arial"/>
      <w:b/>
      <w:bCs/>
      <w:kern w:val="2"/>
      <w:sz w:val="32"/>
      <w:szCs w:val="32"/>
      <w:lang w:val="en-US" w:eastAsia="zh-CN" w:bidi="ar-SA"/>
    </w:rPr>
  </w:style>
  <w:style w:type="paragraph" w:customStyle="1" w:styleId="330">
    <w:name w:val="Table Paragraph"/>
    <w:basedOn w:val="1"/>
    <w:autoRedefine/>
    <w:qFormat/>
    <w:uiPriority w:val="1"/>
    <w:pPr>
      <w:autoSpaceDE w:val="0"/>
      <w:autoSpaceDN w:val="0"/>
      <w:spacing w:before="2"/>
      <w:jc w:val="left"/>
    </w:pPr>
    <w:rPr>
      <w:rFonts w:ascii="宋体" w:hAnsi="宋体" w:cs="宋体"/>
      <w:kern w:val="0"/>
      <w:sz w:val="22"/>
      <w:szCs w:val="22"/>
      <w:lang w:eastAsia="en-US"/>
    </w:rPr>
  </w:style>
  <w:style w:type="character" w:customStyle="1" w:styleId="331">
    <w:name w:val="日期 字符1"/>
    <w:basedOn w:val="58"/>
    <w:autoRedefine/>
    <w:semiHidden/>
    <w:qFormat/>
    <w:uiPriority w:val="99"/>
    <w:rPr>
      <w:rFonts w:ascii="Times New Roman" w:hAnsi="Times New Roman" w:eastAsia="宋体" w:cs="Times New Roman"/>
      <w:szCs w:val="20"/>
    </w:rPr>
  </w:style>
  <w:style w:type="character" w:customStyle="1" w:styleId="332">
    <w:name w:val="宏文本 字符1"/>
    <w:basedOn w:val="58"/>
    <w:autoRedefine/>
    <w:semiHidden/>
    <w:qFormat/>
    <w:uiPriority w:val="99"/>
    <w:rPr>
      <w:rFonts w:ascii="Courier New" w:hAnsi="Courier New" w:eastAsia="宋体" w:cs="Courier New"/>
      <w:sz w:val="24"/>
      <w:szCs w:val="24"/>
    </w:rPr>
  </w:style>
  <w:style w:type="character" w:customStyle="1" w:styleId="333">
    <w:name w:val="正文文本首行缩进 2 字符1"/>
    <w:basedOn w:val="129"/>
    <w:autoRedefine/>
    <w:semiHidden/>
    <w:qFormat/>
    <w:uiPriority w:val="99"/>
    <w:rPr>
      <w:rFonts w:ascii="Times New Roman" w:hAnsi="Times New Roman" w:eastAsia="宋体" w:cs="Times New Roman"/>
      <w:kern w:val="2"/>
      <w:sz w:val="21"/>
      <w:szCs w:val="20"/>
    </w:rPr>
  </w:style>
  <w:style w:type="character" w:customStyle="1" w:styleId="334">
    <w:name w:val="未处理的提及2"/>
    <w:basedOn w:val="58"/>
    <w:autoRedefine/>
    <w:semiHidden/>
    <w:unhideWhenUsed/>
    <w:qFormat/>
    <w:uiPriority w:val="99"/>
    <w:rPr>
      <w:color w:val="605E5C"/>
      <w:shd w:val="clear" w:color="auto" w:fill="E1DFDD"/>
    </w:rPr>
  </w:style>
  <w:style w:type="table" w:customStyle="1" w:styleId="335">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6">
    <w:name w:val="p16"/>
    <w:basedOn w:val="1"/>
    <w:autoRedefine/>
    <w:qFormat/>
    <w:uiPriority w:val="0"/>
    <w:pPr>
      <w:widowControl/>
    </w:pPr>
    <w:rPr>
      <w:rFonts w:ascii="Calibri" w:hAnsi="Calibri" w:cs="宋体"/>
      <w:kern w:val="0"/>
      <w:szCs w:val="21"/>
    </w:rPr>
  </w:style>
  <w:style w:type="character" w:customStyle="1" w:styleId="337">
    <w:name w:val="正文文本缩进 字符1"/>
    <w:basedOn w:val="58"/>
    <w:autoRedefine/>
    <w:qFormat/>
    <w:uiPriority w:val="0"/>
  </w:style>
  <w:style w:type="character" w:customStyle="1" w:styleId="338">
    <w:name w:val="未处理的提及3"/>
    <w:basedOn w:val="58"/>
    <w:autoRedefine/>
    <w:semiHidden/>
    <w:unhideWhenUsed/>
    <w:qFormat/>
    <w:uiPriority w:val="99"/>
    <w:rPr>
      <w:color w:val="605E5C"/>
      <w:shd w:val="clear" w:color="auto" w:fill="E1DFDD"/>
    </w:rPr>
  </w:style>
  <w:style w:type="paragraph" w:customStyle="1" w:styleId="339">
    <w:name w:val="tiaonoa"/>
    <w:basedOn w:val="1"/>
    <w:autoRedefine/>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340">
    <w:name w:val="节标题"/>
    <w:basedOn w:val="1"/>
    <w:autoRedefine/>
    <w:qFormat/>
    <w:uiPriority w:val="0"/>
    <w:pPr>
      <w:widowControl/>
      <w:spacing w:line="289" w:lineRule="atLeast"/>
      <w:jc w:val="center"/>
      <w:textAlignment w:val="baseline"/>
    </w:pPr>
    <w:rPr>
      <w:color w:val="000000"/>
      <w:kern w:val="0"/>
      <w:sz w:val="28"/>
      <w:u w:color="000000"/>
    </w:rPr>
  </w:style>
  <w:style w:type="character" w:customStyle="1" w:styleId="341">
    <w:name w:val="未处理的提及4"/>
    <w:basedOn w:val="58"/>
    <w:autoRedefine/>
    <w:semiHidden/>
    <w:unhideWhenUsed/>
    <w:qFormat/>
    <w:uiPriority w:val="99"/>
    <w:rPr>
      <w:color w:val="605E5C"/>
      <w:shd w:val="clear" w:color="auto" w:fill="E1DFDD"/>
    </w:rPr>
  </w:style>
  <w:style w:type="paragraph" w:customStyle="1" w:styleId="3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3">
    <w:name w:val="列出段落1"/>
    <w:basedOn w:val="1"/>
    <w:qFormat/>
    <w:uiPriority w:val="0"/>
    <w:pPr>
      <w:ind w:firstLine="420" w:firstLineChars="200"/>
    </w:pPr>
    <w:rPr>
      <w:szCs w:val="21"/>
    </w:rPr>
  </w:style>
  <w:style w:type="paragraph" w:customStyle="1" w:styleId="34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346">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347">
    <w:name w:val="Table Text"/>
    <w:basedOn w:val="1"/>
    <w:semiHidden/>
    <w:qFormat/>
    <w:uiPriority w:val="0"/>
    <w:rPr>
      <w:rFonts w:ascii="宋体" w:hAnsi="宋体" w:cs="宋体"/>
      <w:sz w:val="23"/>
      <w:szCs w:val="23"/>
      <w:lang w:eastAsia="en-US"/>
    </w:rPr>
  </w:style>
  <w:style w:type="paragraph" w:customStyle="1" w:styleId="348">
    <w:name w:val="正文-段落"/>
    <w:qFormat/>
    <w:uiPriority w:val="0"/>
    <w:pPr>
      <w:spacing w:line="360" w:lineRule="auto"/>
      <w:ind w:firstLine="200" w:firstLineChars="200"/>
      <w:jc w:val="both"/>
    </w:pPr>
    <w:rPr>
      <w:rFonts w:ascii="Times New Roman" w:hAnsi="Times New Roman" w:eastAsia="宋体" w:cs="宋体"/>
      <w:sz w:val="24"/>
      <w:szCs w:val="24"/>
      <w:lang w:val="en-GB" w:eastAsia="zh-CN" w:bidi="ar-SA"/>
    </w:rPr>
  </w:style>
  <w:style w:type="paragraph" w:customStyle="1" w:styleId="349">
    <w:name w:val="*正文"/>
    <w:basedOn w:val="1"/>
    <w:qFormat/>
    <w:uiPriority w:val="0"/>
    <w:pPr>
      <w:spacing w:line="360" w:lineRule="auto"/>
      <w:ind w:firstLine="200" w:firstLineChars="200"/>
    </w:pPr>
    <w:rPr>
      <w:rFonts w:ascii="宋体" w:hAnsi="宋体"/>
      <w:sz w:val="22"/>
    </w:rPr>
  </w:style>
  <w:style w:type="character" w:customStyle="1" w:styleId="350">
    <w:name w:val="font41"/>
    <w:basedOn w:val="5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7DD67-83A3-483A-9EDC-EE1BE9C86E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3347</Words>
  <Characters>3975</Characters>
  <Lines>500</Lines>
  <Paragraphs>140</Paragraphs>
  <TotalTime>36</TotalTime>
  <ScaleCrop>false</ScaleCrop>
  <LinksUpToDate>false</LinksUpToDate>
  <CharactersWithSpaces>4023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2024-08-02T02:35:00Z</dcterms:created>
  <dc:creator>五华区采购中心</dc:creator>
  <cp:lastModifiedBy>吉云草</cp:lastModifiedBy>
  <cp:lastPrinted>2024-08-02T03:18:00Z</cp:lastPrinted>
  <dcterms:modified xsi:type="dcterms:W3CDTF">2026-05-14T03:38:53Z</dcterms:modified>
  <dc:title>五华区区委办</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17C2DB9BF5FA4F8487B5E409291AED67_13</vt:lpwstr>
  </property>
  <property fmtid="{D5CDD505-2E9C-101B-9397-08002B2CF9AE}" pid="4" name="KSOTemplateDocerSaveRecord">
    <vt:lpwstr>eyJoZGlkIjoiYjJjOTQxYzhjODMyMDAzZmE0MDJkMWFkNmJlNDkwYTUiLCJ1c2VySWQiOiIzNjE2NzE4NzEifQ==</vt:lpwstr>
  </property>
</Properties>
</file>