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F9CB1">
      <w:pPr>
        <w:jc w:val="center"/>
        <w:rPr>
          <w:b/>
          <w:bCs/>
          <w:sz w:val="44"/>
          <w:szCs w:val="44"/>
          <w:highlight w:val="none"/>
          <w:lang w:eastAsia="zh-CN"/>
        </w:rPr>
      </w:pPr>
    </w:p>
    <w:p w14:paraId="06BBA5BC">
      <w:pPr>
        <w:jc w:val="center"/>
        <w:rPr>
          <w:b/>
          <w:bCs/>
          <w:sz w:val="36"/>
          <w:szCs w:val="36"/>
          <w:highlight w:val="none"/>
          <w:lang w:eastAsia="zh-CN"/>
        </w:rPr>
      </w:pPr>
    </w:p>
    <w:p w14:paraId="04829AAA">
      <w:pPr>
        <w:jc w:val="center"/>
        <w:rPr>
          <w:sz w:val="36"/>
          <w:szCs w:val="36"/>
          <w:highlight w:val="none"/>
          <w:lang w:eastAsia="zh-CN"/>
        </w:rPr>
      </w:pPr>
      <w:r>
        <w:rPr>
          <w:rFonts w:hint="eastAsia"/>
          <w:b/>
          <w:bCs/>
          <w:sz w:val="60"/>
          <w:szCs w:val="60"/>
          <w:highlight w:val="none"/>
          <w:lang w:eastAsia="zh-CN"/>
        </w:rPr>
        <w:t>2026年乒乓球场采购项目</w:t>
      </w:r>
    </w:p>
    <w:p w14:paraId="76FB8504">
      <w:pPr>
        <w:pStyle w:val="3"/>
        <w:rPr>
          <w:highlight w:val="none"/>
          <w:lang w:eastAsia="zh-CN"/>
        </w:rPr>
      </w:pPr>
    </w:p>
    <w:p w14:paraId="49709381">
      <w:pPr>
        <w:pStyle w:val="3"/>
        <w:ind w:left="0"/>
        <w:rPr>
          <w:highlight w:val="none"/>
          <w:lang w:eastAsia="zh-CN"/>
        </w:rPr>
      </w:pPr>
    </w:p>
    <w:p w14:paraId="30105DC9">
      <w:pPr>
        <w:rPr>
          <w:highlight w:val="none"/>
          <w:lang w:eastAsia="zh-CN"/>
        </w:rPr>
      </w:pPr>
    </w:p>
    <w:p w14:paraId="32E16FCA">
      <w:pPr>
        <w:rPr>
          <w:highlight w:val="none"/>
          <w:lang w:eastAsia="zh-CN"/>
        </w:rPr>
      </w:pPr>
    </w:p>
    <w:p w14:paraId="357A318E">
      <w:pPr>
        <w:jc w:val="center"/>
        <w:rPr>
          <w:b/>
          <w:bCs/>
          <w:sz w:val="84"/>
          <w:szCs w:val="84"/>
          <w:highlight w:val="none"/>
          <w:lang w:eastAsia="zh-CN"/>
        </w:rPr>
      </w:pPr>
      <w:r>
        <w:rPr>
          <w:rFonts w:hint="eastAsia"/>
          <w:b/>
          <w:bCs/>
          <w:sz w:val="84"/>
          <w:szCs w:val="84"/>
          <w:highlight w:val="none"/>
          <w:lang w:eastAsia="zh-CN"/>
        </w:rPr>
        <w:t>竞争性磋商文件</w:t>
      </w:r>
    </w:p>
    <w:p w14:paraId="22566F83">
      <w:pPr>
        <w:jc w:val="center"/>
        <w:rPr>
          <w:b/>
          <w:bCs/>
          <w:sz w:val="28"/>
          <w:szCs w:val="28"/>
          <w:highlight w:val="none"/>
          <w:lang w:eastAsia="zh-CN"/>
        </w:rPr>
      </w:pPr>
    </w:p>
    <w:p w14:paraId="4472D929">
      <w:pPr>
        <w:tabs>
          <w:tab w:val="left" w:pos="5834"/>
        </w:tabs>
        <w:wordWrap w:val="0"/>
        <w:jc w:val="center"/>
        <w:rPr>
          <w:rFonts w:hint="default"/>
          <w:b/>
          <w:bCs/>
          <w:sz w:val="28"/>
          <w:szCs w:val="28"/>
          <w:highlight w:val="none"/>
          <w:lang w:val="en-US" w:eastAsia="zh-CN"/>
        </w:rPr>
      </w:pPr>
      <w:r>
        <w:rPr>
          <w:rFonts w:hint="eastAsia"/>
          <w:b/>
          <w:bCs/>
          <w:sz w:val="28"/>
          <w:szCs w:val="28"/>
          <w:highlight w:val="none"/>
          <w:lang w:val="en-US" w:eastAsia="zh-CN"/>
        </w:rPr>
        <w:t>项目</w:t>
      </w:r>
      <w:r>
        <w:rPr>
          <w:rFonts w:hint="eastAsia"/>
          <w:b/>
          <w:bCs/>
          <w:sz w:val="28"/>
          <w:szCs w:val="28"/>
          <w:highlight w:val="none"/>
          <w:lang w:eastAsia="zh-CN"/>
        </w:rPr>
        <w:t>编号：JM-2026-04-02285-2026ZCZB0605（2026ZCZB0605）</w:t>
      </w:r>
    </w:p>
    <w:p w14:paraId="75283A30">
      <w:pPr>
        <w:tabs>
          <w:tab w:val="left" w:pos="5834"/>
        </w:tabs>
        <w:wordWrap w:val="0"/>
        <w:jc w:val="center"/>
        <w:rPr>
          <w:rFonts w:hint="default"/>
          <w:b/>
          <w:bCs/>
          <w:sz w:val="28"/>
          <w:szCs w:val="28"/>
          <w:highlight w:val="none"/>
          <w:lang w:val="en-US" w:eastAsia="zh-CN"/>
        </w:rPr>
      </w:pPr>
    </w:p>
    <w:p w14:paraId="25389662">
      <w:pPr>
        <w:tabs>
          <w:tab w:val="left" w:pos="5834"/>
        </w:tabs>
        <w:wordWrap w:val="0"/>
        <w:jc w:val="center"/>
        <w:rPr>
          <w:rFonts w:asciiTheme="minorEastAsia" w:hAnsiTheme="minorEastAsia" w:eastAsiaTheme="minorEastAsia" w:cstheme="minorEastAsia"/>
          <w:b/>
          <w:bCs/>
          <w:color w:val="000000" w:themeColor="text1"/>
          <w:sz w:val="24"/>
          <w:szCs w:val="21"/>
          <w:highlight w:val="none"/>
          <w:lang w:eastAsia="zh-CN"/>
          <w14:textFill>
            <w14:solidFill>
              <w14:schemeClr w14:val="tx1"/>
            </w14:solidFill>
          </w14:textFill>
        </w:rPr>
      </w:pPr>
    </w:p>
    <w:p w14:paraId="1FBFC974">
      <w:pPr>
        <w:jc w:val="center"/>
        <w:rPr>
          <w:b/>
          <w:bCs/>
          <w:sz w:val="28"/>
          <w:szCs w:val="28"/>
          <w:highlight w:val="none"/>
          <w:lang w:eastAsia="zh-CN"/>
        </w:rPr>
      </w:pPr>
    </w:p>
    <w:p w14:paraId="701193BA">
      <w:pPr>
        <w:spacing w:line="400" w:lineRule="exact"/>
        <w:rPr>
          <w:b/>
          <w:bCs/>
          <w:highlight w:val="none"/>
          <w:lang w:eastAsia="zh-CN"/>
        </w:rPr>
      </w:pPr>
    </w:p>
    <w:p w14:paraId="58F3595F">
      <w:pPr>
        <w:spacing w:line="400" w:lineRule="exact"/>
        <w:rPr>
          <w:b/>
          <w:bCs/>
          <w:highlight w:val="none"/>
          <w:lang w:eastAsia="zh-CN"/>
        </w:rPr>
      </w:pPr>
    </w:p>
    <w:p w14:paraId="1B115479">
      <w:pPr>
        <w:rPr>
          <w:b/>
          <w:bCs/>
          <w:highlight w:val="none"/>
          <w:lang w:eastAsia="zh-CN"/>
        </w:rPr>
      </w:pPr>
    </w:p>
    <w:p w14:paraId="5FAD6CF8">
      <w:pPr>
        <w:rPr>
          <w:highlight w:val="none"/>
          <w:lang w:eastAsia="zh-CN"/>
        </w:rPr>
      </w:pPr>
    </w:p>
    <w:p w14:paraId="186F6D1D">
      <w:pPr>
        <w:rPr>
          <w:highlight w:val="none"/>
          <w:lang w:eastAsia="zh-CN"/>
        </w:rPr>
      </w:pPr>
    </w:p>
    <w:p w14:paraId="5F255E40">
      <w:pPr>
        <w:rPr>
          <w:highlight w:val="none"/>
          <w:lang w:eastAsia="zh-CN"/>
        </w:rPr>
      </w:pPr>
    </w:p>
    <w:p w14:paraId="58788E2C">
      <w:pPr>
        <w:pStyle w:val="3"/>
        <w:rPr>
          <w:highlight w:val="none"/>
          <w:lang w:eastAsia="zh-CN"/>
        </w:rPr>
      </w:pPr>
    </w:p>
    <w:p w14:paraId="65FC4041">
      <w:pPr>
        <w:spacing w:line="400" w:lineRule="exact"/>
        <w:rPr>
          <w:b/>
          <w:bCs/>
          <w:highlight w:val="none"/>
          <w:lang w:eastAsia="zh-CN"/>
        </w:rPr>
      </w:pPr>
    </w:p>
    <w:p w14:paraId="00E871F6">
      <w:pPr>
        <w:ind w:left="1100" w:leftChars="500" w:firstLine="1124" w:firstLineChars="400"/>
        <w:rPr>
          <w:rFonts w:hint="eastAsia"/>
          <w:b/>
          <w:bCs/>
          <w:sz w:val="28"/>
          <w:szCs w:val="28"/>
          <w:highlight w:val="none"/>
          <w:lang w:eastAsia="zh-CN"/>
        </w:rPr>
      </w:pPr>
    </w:p>
    <w:p w14:paraId="23A4B14E">
      <w:pPr>
        <w:ind w:left="1100" w:leftChars="500" w:firstLine="1124" w:firstLineChars="400"/>
        <w:rPr>
          <w:rFonts w:hint="eastAsia"/>
          <w:b/>
          <w:bCs/>
          <w:sz w:val="28"/>
          <w:szCs w:val="28"/>
          <w:highlight w:val="none"/>
          <w:lang w:eastAsia="zh-CN"/>
        </w:rPr>
      </w:pPr>
    </w:p>
    <w:p w14:paraId="7C4CAB9E">
      <w:pPr>
        <w:ind w:left="1100" w:leftChars="500" w:firstLine="1124" w:firstLineChars="400"/>
        <w:rPr>
          <w:b/>
          <w:bCs/>
          <w:sz w:val="28"/>
          <w:szCs w:val="28"/>
          <w:highlight w:val="none"/>
          <w:lang w:eastAsia="zh-CN"/>
        </w:rPr>
      </w:pPr>
      <w:r>
        <w:rPr>
          <w:rFonts w:hint="eastAsia"/>
          <w:b/>
          <w:bCs/>
          <w:sz w:val="28"/>
          <w:szCs w:val="28"/>
          <w:highlight w:val="none"/>
          <w:lang w:eastAsia="zh-CN"/>
        </w:rPr>
        <w:t xml:space="preserve">采   购   人：长春市体育局 </w:t>
      </w:r>
    </w:p>
    <w:p w14:paraId="2CDE013C">
      <w:pPr>
        <w:pStyle w:val="10"/>
        <w:ind w:left="1002" w:hanging="562"/>
        <w:jc w:val="center"/>
        <w:rPr>
          <w:highlight w:val="none"/>
          <w:lang w:eastAsia="zh-CN"/>
        </w:rPr>
      </w:pPr>
      <w:r>
        <w:rPr>
          <w:rFonts w:hint="eastAsia"/>
          <w:b/>
          <w:bCs/>
          <w:sz w:val="28"/>
          <w:szCs w:val="28"/>
          <w:highlight w:val="none"/>
          <w:lang w:eastAsia="zh-CN"/>
        </w:rPr>
        <w:t xml:space="preserve">   </w:t>
      </w:r>
    </w:p>
    <w:p w14:paraId="14C405E1">
      <w:pPr>
        <w:ind w:left="1100" w:leftChars="500" w:firstLine="1124" w:firstLineChars="400"/>
        <w:rPr>
          <w:b/>
          <w:bCs/>
          <w:sz w:val="28"/>
          <w:szCs w:val="28"/>
          <w:highlight w:val="none"/>
          <w:lang w:eastAsia="zh-CN"/>
        </w:rPr>
      </w:pPr>
      <w:r>
        <w:rPr>
          <w:rFonts w:hint="eastAsia"/>
          <w:b/>
          <w:bCs/>
          <w:sz w:val="28"/>
          <w:szCs w:val="28"/>
          <w:highlight w:val="none"/>
          <w:lang w:eastAsia="zh-CN"/>
        </w:rPr>
        <w:t>采购代理机构：</w:t>
      </w:r>
      <w:r>
        <w:rPr>
          <w:rFonts w:hint="eastAsia"/>
          <w:b/>
          <w:bCs/>
          <w:sz w:val="28"/>
          <w:szCs w:val="28"/>
          <w:highlight w:val="none"/>
          <w:lang w:val="zh-CN" w:eastAsia="zh-CN"/>
        </w:rPr>
        <w:t>吉林省致诚项目管理有限公司</w:t>
      </w:r>
    </w:p>
    <w:p w14:paraId="31429EC6">
      <w:pPr>
        <w:ind w:left="1100" w:leftChars="500" w:firstLine="1124" w:firstLineChars="400"/>
        <w:rPr>
          <w:rFonts w:hint="eastAsia"/>
          <w:b/>
          <w:bCs/>
          <w:sz w:val="28"/>
          <w:szCs w:val="28"/>
          <w:highlight w:val="none"/>
          <w:lang w:eastAsia="zh-CN"/>
        </w:rPr>
      </w:pPr>
    </w:p>
    <w:p w14:paraId="24EAC6ED">
      <w:pPr>
        <w:ind w:left="1100" w:leftChars="500" w:firstLine="1124" w:firstLineChars="400"/>
        <w:rPr>
          <w:highlight w:val="none"/>
        </w:rPr>
      </w:pPr>
      <w:r>
        <w:rPr>
          <w:rFonts w:hint="eastAsia"/>
          <w:b/>
          <w:bCs/>
          <w:sz w:val="28"/>
          <w:szCs w:val="28"/>
          <w:highlight w:val="none"/>
          <w:lang w:eastAsia="zh-CN"/>
        </w:rPr>
        <w:t>日        期：202</w:t>
      </w:r>
      <w:r>
        <w:rPr>
          <w:rFonts w:hint="eastAsia"/>
          <w:b/>
          <w:bCs/>
          <w:sz w:val="28"/>
          <w:szCs w:val="28"/>
          <w:highlight w:val="none"/>
          <w:lang w:val="en-US" w:eastAsia="zh-CN"/>
        </w:rPr>
        <w:t>6</w:t>
      </w:r>
      <w:r>
        <w:rPr>
          <w:rFonts w:hint="eastAsia"/>
          <w:b/>
          <w:bCs/>
          <w:sz w:val="28"/>
          <w:szCs w:val="28"/>
          <w:highlight w:val="none"/>
        </w:rPr>
        <w:t>年</w:t>
      </w:r>
      <w:r>
        <w:rPr>
          <w:rFonts w:hint="eastAsia"/>
          <w:b/>
          <w:bCs/>
          <w:sz w:val="28"/>
          <w:szCs w:val="28"/>
          <w:highlight w:val="none"/>
          <w:lang w:val="en-US" w:eastAsia="zh-CN"/>
        </w:rPr>
        <w:t>06</w:t>
      </w:r>
      <w:r>
        <w:rPr>
          <w:rFonts w:hint="eastAsia"/>
          <w:b/>
          <w:bCs/>
          <w:sz w:val="28"/>
          <w:szCs w:val="28"/>
          <w:highlight w:val="none"/>
        </w:rPr>
        <w:t>月</w:t>
      </w:r>
    </w:p>
    <w:p w14:paraId="6A91D328">
      <w:pPr>
        <w:rPr>
          <w:rFonts w:asciiTheme="minorEastAsia" w:hAnsiTheme="minorEastAsia" w:eastAsia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br w:type="page"/>
      </w:r>
    </w:p>
    <w:p w14:paraId="11EA49AD">
      <w:pPr>
        <w:tabs>
          <w:tab w:val="left" w:pos="561"/>
        </w:tabs>
        <w:wordWrap w:val="0"/>
        <w:jc w:val="center"/>
        <w:rPr>
          <w:rFonts w:asciiTheme="minorEastAsia" w:hAnsiTheme="minorEastAsia" w:eastAsia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目</w:t>
      </w: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录</w:t>
      </w:r>
    </w:p>
    <w:p w14:paraId="7E2E9493">
      <w:pPr>
        <w:wordWrap w:val="0"/>
        <w:spacing w:line="358" w:lineRule="exact"/>
        <w:jc w:val="center"/>
        <w:rPr>
          <w:rFonts w:asciiTheme="minorEastAsia" w:hAnsiTheme="minorEastAsia" w:eastAsiaTheme="minorEastAsia" w:cstheme="minorEastAsia"/>
          <w:color w:val="000000" w:themeColor="text1"/>
          <w:sz w:val="28"/>
          <w:highlight w:val="none"/>
          <w14:textFill>
            <w14:solidFill>
              <w14:schemeClr w14:val="tx1"/>
            </w14:solidFill>
          </w14:textFill>
        </w:rPr>
      </w:pPr>
    </w:p>
    <w:p w14:paraId="7A8D035C">
      <w:pPr>
        <w:pStyle w:val="19"/>
        <w:rPr>
          <w:highlight w:val="none"/>
        </w:rPr>
      </w:pPr>
      <w:r>
        <w:rPr>
          <w:rFonts w:hint="eastAsia"/>
          <w:sz w:val="24"/>
          <w:highlight w:val="none"/>
        </w:rPr>
        <w:fldChar w:fldCharType="begin"/>
      </w:r>
      <w:r>
        <w:rPr>
          <w:rFonts w:hint="eastAsia"/>
          <w:sz w:val="24"/>
          <w:highlight w:val="none"/>
        </w:rPr>
        <w:instrText xml:space="preserve">TOC \o "1-3" \h \u </w:instrText>
      </w:r>
      <w:r>
        <w:rPr>
          <w:rFonts w:hint="eastAsia"/>
          <w:sz w:val="24"/>
          <w:highlight w:val="none"/>
        </w:rPr>
        <w:fldChar w:fldCharType="separate"/>
      </w:r>
      <w:r>
        <w:rPr>
          <w:highlight w:val="none"/>
        </w:rPr>
        <w:fldChar w:fldCharType="begin"/>
      </w:r>
      <w:r>
        <w:rPr>
          <w:highlight w:val="none"/>
        </w:rPr>
        <w:instrText xml:space="preserve"> HYPERLINK \l "_Toc23802" </w:instrText>
      </w:r>
      <w:r>
        <w:rPr>
          <w:highlight w:val="none"/>
        </w:rPr>
        <w:fldChar w:fldCharType="separate"/>
      </w:r>
      <w:r>
        <w:rPr>
          <w:highlight w:val="none"/>
        </w:rPr>
        <w:fldChar w:fldCharType="end"/>
      </w:r>
    </w:p>
    <w:p w14:paraId="54243B65">
      <w:pPr>
        <w:pStyle w:val="19"/>
        <w:rPr>
          <w:highlight w:val="none"/>
        </w:rPr>
      </w:pPr>
      <w:r>
        <w:rPr>
          <w:highlight w:val="none"/>
        </w:rPr>
        <w:fldChar w:fldCharType="begin"/>
      </w:r>
      <w:r>
        <w:rPr>
          <w:highlight w:val="none"/>
        </w:rPr>
        <w:instrText xml:space="preserve"> HYPERLINK \l "_Toc2164" </w:instrText>
      </w:r>
      <w:r>
        <w:rPr>
          <w:highlight w:val="none"/>
        </w:rPr>
        <w:fldChar w:fldCharType="separate"/>
      </w:r>
      <w:r>
        <w:rPr>
          <w:rFonts w:hint="eastAsia" w:asciiTheme="minorEastAsia" w:hAnsiTheme="minorEastAsia" w:eastAsiaTheme="minorEastAsia" w:cstheme="minorEastAsia"/>
          <w:szCs w:val="32"/>
          <w:highlight w:val="none"/>
          <w:lang w:eastAsia="zh-CN"/>
        </w:rPr>
        <w:t xml:space="preserve">第一章  竞争性磋商公告 </w:t>
      </w:r>
      <w:r>
        <w:rPr>
          <w:highlight w:val="none"/>
        </w:rPr>
        <w:tab/>
      </w:r>
      <w:r>
        <w:rPr>
          <w:rFonts w:hint="eastAsia"/>
          <w:highlight w:val="none"/>
          <w:lang w:eastAsia="zh-CN"/>
        </w:rPr>
        <w:t>1</w:t>
      </w:r>
      <w:r>
        <w:rPr>
          <w:rFonts w:hint="eastAsia"/>
          <w:highlight w:val="none"/>
          <w:lang w:eastAsia="zh-CN"/>
        </w:rPr>
        <w:fldChar w:fldCharType="end"/>
      </w:r>
    </w:p>
    <w:p w14:paraId="1BF7C850">
      <w:pPr>
        <w:pStyle w:val="19"/>
        <w:rPr>
          <w:highlight w:val="none"/>
        </w:rPr>
      </w:pPr>
      <w:r>
        <w:rPr>
          <w:highlight w:val="none"/>
        </w:rPr>
        <w:fldChar w:fldCharType="begin"/>
      </w:r>
      <w:r>
        <w:rPr>
          <w:highlight w:val="none"/>
        </w:rPr>
        <w:instrText xml:space="preserve"> HYPERLINK \l "_Toc6697" </w:instrText>
      </w:r>
      <w:r>
        <w:rPr>
          <w:highlight w:val="none"/>
        </w:rPr>
        <w:fldChar w:fldCharType="separate"/>
      </w:r>
      <w:r>
        <w:rPr>
          <w:rFonts w:hint="eastAsia" w:asciiTheme="minorEastAsia" w:hAnsiTheme="minorEastAsia" w:eastAsiaTheme="minorEastAsia" w:cstheme="minorEastAsia"/>
          <w:bCs/>
          <w:szCs w:val="32"/>
          <w:highlight w:val="none"/>
          <w:lang w:eastAsia="zh-CN"/>
        </w:rPr>
        <w:t>第二章  供应商须知</w:t>
      </w:r>
      <w:r>
        <w:rPr>
          <w:highlight w:val="none"/>
        </w:rPr>
        <w:tab/>
      </w:r>
      <w:r>
        <w:rPr>
          <w:rFonts w:hint="eastAsia"/>
          <w:highlight w:val="none"/>
          <w:lang w:eastAsia="zh-CN"/>
        </w:rPr>
        <w:t>4</w:t>
      </w:r>
      <w:r>
        <w:rPr>
          <w:rFonts w:hint="eastAsia"/>
          <w:highlight w:val="none"/>
          <w:lang w:eastAsia="zh-CN"/>
        </w:rPr>
        <w:fldChar w:fldCharType="end"/>
      </w:r>
    </w:p>
    <w:p w14:paraId="5C1B1501">
      <w:pPr>
        <w:pStyle w:val="19"/>
        <w:rPr>
          <w:highlight w:val="none"/>
        </w:rPr>
      </w:pPr>
      <w:r>
        <w:rPr>
          <w:highlight w:val="none"/>
        </w:rPr>
        <w:fldChar w:fldCharType="begin"/>
      </w:r>
      <w:r>
        <w:rPr>
          <w:highlight w:val="none"/>
        </w:rPr>
        <w:instrText xml:space="preserve"> HYPERLINK \l "_Toc18510" </w:instrText>
      </w:r>
      <w:r>
        <w:rPr>
          <w:highlight w:val="none"/>
        </w:rPr>
        <w:fldChar w:fldCharType="separate"/>
      </w:r>
      <w:r>
        <w:rPr>
          <w:rFonts w:hint="eastAsia" w:asciiTheme="minorEastAsia" w:hAnsiTheme="minorEastAsia" w:eastAsiaTheme="minorEastAsia" w:cstheme="minorEastAsia"/>
          <w:szCs w:val="32"/>
          <w:highlight w:val="none"/>
          <w:lang w:eastAsia="zh-CN"/>
        </w:rPr>
        <w:t>第三章  评审办法（综合评分法）</w:t>
      </w:r>
      <w:r>
        <w:rPr>
          <w:highlight w:val="none"/>
        </w:rPr>
        <w:tab/>
      </w:r>
      <w:r>
        <w:rPr>
          <w:rFonts w:hint="eastAsia"/>
          <w:highlight w:val="none"/>
          <w:lang w:eastAsia="zh-CN"/>
        </w:rPr>
        <w:t>18</w:t>
      </w:r>
      <w:r>
        <w:rPr>
          <w:rFonts w:hint="eastAsia"/>
          <w:highlight w:val="none"/>
          <w:lang w:eastAsia="zh-CN"/>
        </w:rPr>
        <w:fldChar w:fldCharType="end"/>
      </w:r>
    </w:p>
    <w:p w14:paraId="560B4A4B">
      <w:pPr>
        <w:pStyle w:val="19"/>
        <w:rPr>
          <w:highlight w:val="none"/>
        </w:rPr>
      </w:pPr>
      <w:r>
        <w:rPr>
          <w:highlight w:val="none"/>
        </w:rPr>
        <w:fldChar w:fldCharType="begin"/>
      </w:r>
      <w:r>
        <w:rPr>
          <w:highlight w:val="none"/>
        </w:rPr>
        <w:instrText xml:space="preserve"> HYPERLINK \l "_Toc29955" </w:instrText>
      </w:r>
      <w:r>
        <w:rPr>
          <w:highlight w:val="none"/>
        </w:rPr>
        <w:fldChar w:fldCharType="separate"/>
      </w:r>
      <w:r>
        <w:rPr>
          <w:rFonts w:hint="eastAsia" w:asciiTheme="minorEastAsia" w:hAnsiTheme="minorEastAsia" w:eastAsiaTheme="minorEastAsia" w:cstheme="minorEastAsia"/>
          <w:szCs w:val="32"/>
          <w:highlight w:val="none"/>
          <w:lang w:eastAsia="zh-CN"/>
        </w:rPr>
        <w:t>第四章  合同条款及格式</w:t>
      </w:r>
      <w:r>
        <w:rPr>
          <w:highlight w:val="none"/>
        </w:rPr>
        <w:tab/>
      </w:r>
      <w:r>
        <w:rPr>
          <w:highlight w:val="none"/>
        </w:rPr>
        <w:fldChar w:fldCharType="begin"/>
      </w:r>
      <w:r>
        <w:rPr>
          <w:highlight w:val="none"/>
        </w:rPr>
        <w:instrText xml:space="preserve"> PAGEREF _Toc29955 \h </w:instrText>
      </w:r>
      <w:r>
        <w:rPr>
          <w:highlight w:val="none"/>
        </w:rPr>
        <w:fldChar w:fldCharType="separate"/>
      </w:r>
      <w:r>
        <w:rPr>
          <w:highlight w:val="none"/>
        </w:rPr>
        <w:t>26</w:t>
      </w:r>
      <w:r>
        <w:rPr>
          <w:highlight w:val="none"/>
        </w:rPr>
        <w:fldChar w:fldCharType="end"/>
      </w:r>
      <w:r>
        <w:rPr>
          <w:highlight w:val="none"/>
        </w:rPr>
        <w:fldChar w:fldCharType="end"/>
      </w:r>
    </w:p>
    <w:p w14:paraId="2C75282F">
      <w:pPr>
        <w:pStyle w:val="19"/>
        <w:rPr>
          <w:rFonts w:hint="default"/>
          <w:highlight w:val="none"/>
          <w:lang w:val="en-US"/>
        </w:rPr>
      </w:pPr>
      <w:r>
        <w:rPr>
          <w:highlight w:val="none"/>
        </w:rPr>
        <w:fldChar w:fldCharType="begin"/>
      </w:r>
      <w:r>
        <w:rPr>
          <w:highlight w:val="none"/>
        </w:rPr>
        <w:instrText xml:space="preserve"> HYPERLINK \l "_Toc4851" </w:instrText>
      </w:r>
      <w:r>
        <w:rPr>
          <w:highlight w:val="none"/>
        </w:rPr>
        <w:fldChar w:fldCharType="separate"/>
      </w:r>
      <w:r>
        <w:rPr>
          <w:rFonts w:hint="eastAsia" w:asciiTheme="minorEastAsia" w:hAnsiTheme="minorEastAsia" w:eastAsiaTheme="minorEastAsia" w:cstheme="minorEastAsia"/>
          <w:szCs w:val="32"/>
          <w:highlight w:val="none"/>
          <w:lang w:eastAsia="zh-CN"/>
        </w:rPr>
        <w:t>第五章  采购需求</w:t>
      </w:r>
      <w:r>
        <w:rPr>
          <w:highlight w:val="none"/>
        </w:rPr>
        <w:tab/>
      </w:r>
      <w:r>
        <w:rPr>
          <w:rFonts w:hint="eastAsia"/>
          <w:highlight w:val="none"/>
          <w:lang w:eastAsia="zh-CN"/>
        </w:rPr>
        <w:fldChar w:fldCharType="end"/>
      </w:r>
      <w:r>
        <w:rPr>
          <w:rFonts w:hint="eastAsia"/>
          <w:highlight w:val="none"/>
          <w:lang w:val="en-US" w:eastAsia="zh-CN"/>
        </w:rPr>
        <w:t>42</w:t>
      </w:r>
    </w:p>
    <w:p w14:paraId="2FC64277">
      <w:pPr>
        <w:pStyle w:val="19"/>
        <w:rPr>
          <w:rFonts w:hint="default"/>
          <w:highlight w:val="none"/>
          <w:lang w:val="en-US" w:eastAsia="zh-CN"/>
        </w:rPr>
      </w:pPr>
      <w:r>
        <w:rPr>
          <w:highlight w:val="none"/>
        </w:rPr>
        <w:fldChar w:fldCharType="begin"/>
      </w:r>
      <w:r>
        <w:rPr>
          <w:highlight w:val="none"/>
        </w:rPr>
        <w:instrText xml:space="preserve"> HYPERLINK \l "_Toc14651" </w:instrText>
      </w:r>
      <w:r>
        <w:rPr>
          <w:highlight w:val="none"/>
        </w:rPr>
        <w:fldChar w:fldCharType="separate"/>
      </w:r>
      <w:r>
        <w:rPr>
          <w:rFonts w:hint="eastAsia" w:asciiTheme="minorEastAsia" w:hAnsiTheme="minorEastAsia" w:eastAsiaTheme="minorEastAsia" w:cstheme="minorEastAsia"/>
          <w:szCs w:val="32"/>
          <w:highlight w:val="none"/>
          <w:lang w:eastAsia="zh-CN"/>
        </w:rPr>
        <w:t>第六章  响应文件格式</w:t>
      </w:r>
      <w:r>
        <w:rPr>
          <w:highlight w:val="none"/>
          <w:lang w:eastAsia="zh-CN"/>
        </w:rPr>
        <w:tab/>
      </w:r>
      <w:r>
        <w:rPr>
          <w:rFonts w:hint="eastAsia"/>
          <w:highlight w:val="none"/>
          <w:lang w:eastAsia="zh-CN"/>
        </w:rPr>
        <w:fldChar w:fldCharType="end"/>
      </w:r>
      <w:r>
        <w:rPr>
          <w:rFonts w:hint="eastAsia"/>
          <w:highlight w:val="none"/>
          <w:lang w:val="en-US" w:eastAsia="zh-CN"/>
        </w:rPr>
        <w:t>46</w:t>
      </w:r>
    </w:p>
    <w:p w14:paraId="3134D87D">
      <w:pPr>
        <w:pStyle w:val="8"/>
        <w:wordWrap w:val="0"/>
        <w:spacing w:line="480" w:lineRule="auto"/>
        <w:rPr>
          <w:color w:val="000000" w:themeColor="text1"/>
          <w:highlight w:val="none"/>
          <w:lang w:eastAsia="zh-CN"/>
          <w14:textFill>
            <w14:solidFill>
              <w14:schemeClr w14:val="tx1"/>
            </w14:solidFill>
          </w14:textFill>
        </w:rPr>
        <w:sectPr>
          <w:pgSz w:w="12240" w:h="15840"/>
          <w:pgMar w:top="1440" w:right="1080" w:bottom="1440" w:left="1080" w:header="720" w:footer="720" w:gutter="0"/>
          <w:pgBorders>
            <w:top w:val="none" w:sz="0" w:space="0"/>
            <w:left w:val="none" w:sz="0" w:space="0"/>
            <w:bottom w:val="none" w:sz="0" w:space="0"/>
            <w:right w:val="none" w:sz="0" w:space="0"/>
          </w:pgBorders>
          <w:cols w:space="0" w:num="1"/>
        </w:sectPr>
      </w:pPr>
      <w:r>
        <w:rPr>
          <w:rFonts w:hint="eastAsia"/>
          <w:color w:val="000000" w:themeColor="text1"/>
          <w:szCs w:val="24"/>
          <w:highlight w:val="none"/>
          <w14:textFill>
            <w14:solidFill>
              <w14:schemeClr w14:val="tx1"/>
            </w14:solidFill>
          </w14:textFill>
        </w:rPr>
        <w:fldChar w:fldCharType="end"/>
      </w:r>
      <w:bookmarkStart w:id="0" w:name="_bookmark0"/>
      <w:bookmarkEnd w:id="0"/>
      <w:bookmarkStart w:id="1" w:name="_Toc2164"/>
    </w:p>
    <w:p w14:paraId="2D27D9AC">
      <w:pPr>
        <w:pStyle w:val="2"/>
        <w:wordWrap w:val="0"/>
        <w:spacing w:after="240" w:afterLines="100" w:line="240" w:lineRule="auto"/>
        <w:ind w:left="0"/>
        <w:rPr>
          <w:rFonts w:ascii="宋体" w:hAnsi="宋体" w:eastAsia="宋体" w:cs="宋体"/>
          <w:color w:val="000000"/>
          <w:sz w:val="24"/>
          <w:szCs w:val="24"/>
          <w:highlight w:val="none"/>
          <w:lang w:eastAsia="zh-CN"/>
        </w:rPr>
      </w:pPr>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 xml:space="preserve">第一章  </w:t>
      </w:r>
      <w:bookmarkEnd w:id="1"/>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竞争性磋商公告</w:t>
      </w:r>
    </w:p>
    <w:p w14:paraId="7651283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exact"/>
        <w:ind w:firstLine="420" w:firstLineChars="200"/>
        <w:jc w:val="both"/>
        <w:textAlignment w:val="auto"/>
        <w:rPr>
          <w:color w:val="000000"/>
          <w:sz w:val="21"/>
          <w:szCs w:val="21"/>
          <w:highlight w:val="none"/>
          <w:lang w:eastAsia="zh-CN"/>
        </w:rPr>
      </w:pPr>
      <w:r>
        <w:rPr>
          <w:rFonts w:hint="eastAsia"/>
          <w:color w:val="000000"/>
          <w:sz w:val="21"/>
          <w:szCs w:val="21"/>
          <w:highlight w:val="none"/>
          <w:lang w:eastAsia="zh-CN"/>
        </w:rPr>
        <w:t>项目概况</w:t>
      </w:r>
    </w:p>
    <w:p w14:paraId="7E0F3B9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exact"/>
        <w:ind w:firstLine="420" w:firstLineChars="200"/>
        <w:jc w:val="both"/>
        <w:textAlignment w:val="auto"/>
        <w:rPr>
          <w:sz w:val="21"/>
          <w:szCs w:val="21"/>
          <w:highlight w:val="none"/>
          <w:lang w:eastAsia="zh-CN"/>
        </w:rPr>
      </w:pPr>
      <w:r>
        <w:rPr>
          <w:rFonts w:hint="eastAsia"/>
          <w:color w:val="000000"/>
          <w:sz w:val="21"/>
          <w:szCs w:val="21"/>
          <w:highlight w:val="none"/>
          <w:lang w:eastAsia="zh-CN"/>
        </w:rPr>
        <w:t>2026年乒乓球场采购项目的潜在供应商应在政府采购云平台（https://www.zcygov.cn）获取竞争性磋商文件，</w:t>
      </w:r>
      <w:r>
        <w:rPr>
          <w:rFonts w:hint="eastAsia"/>
          <w:sz w:val="21"/>
          <w:szCs w:val="21"/>
          <w:highlight w:val="none"/>
          <w:lang w:eastAsia="zh-CN"/>
        </w:rPr>
        <w:t>并于2026年</w:t>
      </w:r>
      <w:r>
        <w:rPr>
          <w:rFonts w:hint="eastAsia"/>
          <w:sz w:val="21"/>
          <w:szCs w:val="21"/>
          <w:highlight w:val="none"/>
          <w:lang w:val="en-US" w:eastAsia="zh-CN"/>
        </w:rPr>
        <w:t>7</w:t>
      </w:r>
      <w:r>
        <w:rPr>
          <w:rFonts w:hint="eastAsia"/>
          <w:sz w:val="21"/>
          <w:szCs w:val="21"/>
          <w:highlight w:val="none"/>
          <w:lang w:eastAsia="zh-CN"/>
        </w:rPr>
        <w:t>月</w:t>
      </w:r>
      <w:r>
        <w:rPr>
          <w:rFonts w:hint="eastAsia"/>
          <w:sz w:val="21"/>
          <w:szCs w:val="21"/>
          <w:highlight w:val="none"/>
          <w:lang w:val="en-US" w:eastAsia="zh-CN"/>
        </w:rPr>
        <w:t>23 日9时30</w:t>
      </w:r>
      <w:r>
        <w:rPr>
          <w:rFonts w:hint="eastAsia"/>
          <w:sz w:val="21"/>
          <w:szCs w:val="21"/>
          <w:highlight w:val="none"/>
          <w:lang w:eastAsia="zh-CN"/>
        </w:rPr>
        <w:t>分</w:t>
      </w:r>
      <w:r>
        <w:rPr>
          <w:rFonts w:hint="eastAsia"/>
          <w:bCs/>
          <w:sz w:val="21"/>
          <w:szCs w:val="21"/>
          <w:highlight w:val="none"/>
          <w:lang w:eastAsia="zh-CN"/>
        </w:rPr>
        <w:t>（北京时间）前提交响应文件</w:t>
      </w:r>
      <w:r>
        <w:rPr>
          <w:rFonts w:hint="eastAsia"/>
          <w:sz w:val="21"/>
          <w:szCs w:val="21"/>
          <w:highlight w:val="none"/>
          <w:lang w:eastAsia="zh-CN"/>
        </w:rPr>
        <w:t>。</w:t>
      </w:r>
    </w:p>
    <w:p w14:paraId="16938A2D">
      <w:pPr>
        <w:keepNext w:val="0"/>
        <w:keepLines w:val="0"/>
        <w:pageBreakBefore w:val="0"/>
        <w:widowControl w:val="0"/>
        <w:kinsoku/>
        <w:wordWrap w:val="0"/>
        <w:overflowPunct/>
        <w:topLinePunct w:val="0"/>
        <w:autoSpaceDE/>
        <w:autoSpaceDN/>
        <w:bidi w:val="0"/>
        <w:adjustRightInd/>
        <w:snapToGrid/>
        <w:spacing w:line="360" w:lineRule="exact"/>
        <w:textAlignment w:val="auto"/>
        <w:rPr>
          <w:b/>
          <w:bCs/>
          <w:sz w:val="21"/>
          <w:szCs w:val="21"/>
          <w:highlight w:val="none"/>
          <w:lang w:eastAsia="zh-CN"/>
        </w:rPr>
      </w:pPr>
      <w:bookmarkStart w:id="2" w:name="_Toc28359089"/>
      <w:bookmarkStart w:id="3" w:name="_Toc35393629"/>
      <w:bookmarkStart w:id="4" w:name="_Toc35393798"/>
      <w:bookmarkStart w:id="5" w:name="_Toc28359012"/>
      <w:r>
        <w:rPr>
          <w:rFonts w:hint="eastAsia"/>
          <w:b/>
          <w:bCs/>
          <w:sz w:val="21"/>
          <w:szCs w:val="21"/>
          <w:highlight w:val="none"/>
          <w:lang w:eastAsia="zh-CN"/>
        </w:rPr>
        <w:t>一、项目基本情况</w:t>
      </w:r>
      <w:bookmarkEnd w:id="2"/>
      <w:bookmarkEnd w:id="3"/>
      <w:bookmarkEnd w:id="4"/>
      <w:bookmarkEnd w:id="5"/>
    </w:p>
    <w:p w14:paraId="187EF8A5">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sz w:val="21"/>
          <w:szCs w:val="21"/>
          <w:highlight w:val="none"/>
          <w:lang w:eastAsia="zh-CN"/>
        </w:rPr>
      </w:pPr>
      <w:r>
        <w:rPr>
          <w:rFonts w:hint="eastAsia"/>
          <w:sz w:val="21"/>
          <w:szCs w:val="21"/>
          <w:highlight w:val="none"/>
          <w:lang w:eastAsia="zh-CN"/>
        </w:rPr>
        <w:t>1.项目编号：</w:t>
      </w:r>
      <w:r>
        <w:rPr>
          <w:rFonts w:hint="eastAsia"/>
          <w:sz w:val="21"/>
          <w:szCs w:val="21"/>
          <w:highlight w:val="none"/>
          <w:lang w:eastAsia="zh-CN"/>
        </w:rPr>
        <w:fldChar w:fldCharType="begin"/>
      </w:r>
      <w:r>
        <w:rPr>
          <w:rFonts w:hint="eastAsia"/>
          <w:sz w:val="21"/>
          <w:szCs w:val="21"/>
          <w:highlight w:val="none"/>
          <w:lang w:eastAsia="zh-CN"/>
        </w:rPr>
        <w:instrText xml:space="preserve"> HYPERLINK "javascript:;" \t "https://www.zcygov.cn/project-center/_procurement_/purchasePlans/" </w:instrText>
      </w:r>
      <w:r>
        <w:rPr>
          <w:rFonts w:hint="eastAsia"/>
          <w:sz w:val="21"/>
          <w:szCs w:val="21"/>
          <w:highlight w:val="none"/>
          <w:lang w:eastAsia="zh-CN"/>
        </w:rPr>
        <w:fldChar w:fldCharType="separate"/>
      </w:r>
      <w:r>
        <w:rPr>
          <w:rFonts w:hint="eastAsia"/>
          <w:sz w:val="21"/>
          <w:szCs w:val="21"/>
          <w:highlight w:val="none"/>
          <w:lang w:eastAsia="zh-CN"/>
        </w:rPr>
        <w:t>JM-2026-04-02285-2026ZCZB0605（2026ZCZB0605）</w:t>
      </w:r>
      <w:r>
        <w:rPr>
          <w:rFonts w:hint="eastAsia"/>
          <w:sz w:val="21"/>
          <w:szCs w:val="21"/>
          <w:highlight w:val="none"/>
          <w:lang w:eastAsia="zh-CN"/>
        </w:rPr>
        <w:fldChar w:fldCharType="end"/>
      </w:r>
      <w:r>
        <w:rPr>
          <w:rFonts w:hint="eastAsia"/>
          <w:sz w:val="21"/>
          <w:szCs w:val="21"/>
          <w:highlight w:val="none"/>
          <w:lang w:eastAsia="zh-CN"/>
        </w:rPr>
        <w:t>；</w:t>
      </w:r>
    </w:p>
    <w:p w14:paraId="3F652CBE">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sz w:val="21"/>
          <w:szCs w:val="21"/>
          <w:highlight w:val="none"/>
          <w:lang w:eastAsia="zh-CN"/>
        </w:rPr>
      </w:pPr>
      <w:r>
        <w:rPr>
          <w:rFonts w:hint="eastAsia"/>
          <w:sz w:val="21"/>
          <w:szCs w:val="21"/>
          <w:highlight w:val="none"/>
          <w:lang w:eastAsia="zh-CN"/>
        </w:rPr>
        <w:t>2.项目名称：2026年乒乓球场采购项目；</w:t>
      </w:r>
    </w:p>
    <w:p w14:paraId="13EC1BC2">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sz w:val="21"/>
          <w:szCs w:val="21"/>
          <w:highlight w:val="none"/>
          <w:lang w:eastAsia="zh-CN"/>
        </w:rPr>
      </w:pPr>
      <w:r>
        <w:rPr>
          <w:rFonts w:hint="eastAsia"/>
          <w:sz w:val="21"/>
          <w:szCs w:val="21"/>
          <w:highlight w:val="none"/>
          <w:lang w:eastAsia="zh-CN"/>
        </w:rPr>
        <w:t xml:space="preserve">3.采购方式：竞争性磋商； </w:t>
      </w:r>
    </w:p>
    <w:p w14:paraId="20CA7DC2">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sz w:val="21"/>
          <w:szCs w:val="21"/>
          <w:highlight w:val="none"/>
          <w:lang w:eastAsia="zh-CN"/>
        </w:rPr>
      </w:pPr>
      <w:r>
        <w:rPr>
          <w:rFonts w:hint="eastAsia"/>
          <w:sz w:val="21"/>
          <w:szCs w:val="21"/>
          <w:highlight w:val="none"/>
          <w:lang w:eastAsia="zh-CN"/>
        </w:rPr>
        <w:t>4.</w:t>
      </w:r>
      <w:r>
        <w:rPr>
          <w:rFonts w:hint="eastAsia" w:ascii="宋体" w:hAnsi="宋体"/>
          <w:color w:val="000000" w:themeColor="text1"/>
          <w:sz w:val="21"/>
          <w:szCs w:val="21"/>
          <w:highlight w:val="none"/>
          <w14:textFill>
            <w14:solidFill>
              <w14:schemeClr w14:val="tx1"/>
            </w14:solidFill>
          </w14:textFill>
        </w:rPr>
        <w:t>预算</w:t>
      </w:r>
      <w:r>
        <w:rPr>
          <w:rFonts w:hint="eastAsia"/>
          <w:color w:val="000000" w:themeColor="text1"/>
          <w:sz w:val="21"/>
          <w:szCs w:val="21"/>
          <w:highlight w:val="none"/>
          <w:lang w:val="en-US" w:eastAsia="zh-CN"/>
          <w14:textFill>
            <w14:solidFill>
              <w14:schemeClr w14:val="tx1"/>
            </w14:solidFill>
          </w14:textFill>
        </w:rPr>
        <w:t>总</w:t>
      </w:r>
      <w:r>
        <w:rPr>
          <w:rFonts w:hint="eastAsia" w:ascii="宋体" w:hAnsi="宋体"/>
          <w:color w:val="000000" w:themeColor="text1"/>
          <w:sz w:val="21"/>
          <w:szCs w:val="21"/>
          <w:highlight w:val="none"/>
          <w14:textFill>
            <w14:solidFill>
              <w14:schemeClr w14:val="tx1"/>
            </w14:solidFill>
          </w14:textFill>
        </w:rPr>
        <w:t>金额：</w:t>
      </w:r>
      <w:r>
        <w:rPr>
          <w:rFonts w:hint="eastAsia"/>
          <w:color w:val="000000" w:themeColor="text1"/>
          <w:sz w:val="21"/>
          <w:szCs w:val="21"/>
          <w:highlight w:val="none"/>
          <w:lang w:val="en-US" w:eastAsia="zh-CN"/>
          <w14:textFill>
            <w14:solidFill>
              <w14:schemeClr w14:val="tx1"/>
            </w14:solidFill>
          </w14:textFill>
        </w:rPr>
        <w:t>500000</w:t>
      </w:r>
      <w:r>
        <w:rPr>
          <w:rFonts w:hint="eastAsia" w:ascii="宋体" w:hAnsi="宋体"/>
          <w:color w:val="000000" w:themeColor="text1"/>
          <w:sz w:val="21"/>
          <w:szCs w:val="21"/>
          <w:highlight w:val="none"/>
          <w14:textFill>
            <w14:solidFill>
              <w14:schemeClr w14:val="tx1"/>
            </w14:solidFill>
          </w14:textFill>
        </w:rPr>
        <w:t>元</w:t>
      </w:r>
      <w:r>
        <w:rPr>
          <w:rFonts w:hint="eastAsia"/>
          <w:sz w:val="21"/>
          <w:szCs w:val="21"/>
          <w:highlight w:val="none"/>
          <w:lang w:eastAsia="zh-CN"/>
        </w:rPr>
        <w:t>；</w:t>
      </w:r>
    </w:p>
    <w:p w14:paraId="26B3F25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default"/>
          <w:sz w:val="21"/>
          <w:szCs w:val="21"/>
          <w:highlight w:val="none"/>
          <w:lang w:val="en-US" w:eastAsia="zh-CN"/>
        </w:rPr>
      </w:pPr>
      <w:r>
        <w:rPr>
          <w:rFonts w:hint="eastAsia"/>
          <w:sz w:val="21"/>
          <w:szCs w:val="21"/>
          <w:highlight w:val="none"/>
          <w:lang w:val="en-US" w:eastAsia="zh-CN"/>
        </w:rPr>
        <w:t>5.采购需求：</w:t>
      </w:r>
    </w:p>
    <w:tbl>
      <w:tblPr>
        <w:tblStyle w:val="28"/>
        <w:tblpPr w:leftFromText="180" w:rightFromText="180" w:vertAnchor="text" w:horzAnchor="page" w:tblpX="1630" w:tblpY="118"/>
        <w:tblOverlap w:val="never"/>
        <w:tblW w:w="8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4169"/>
        <w:gridCol w:w="2775"/>
      </w:tblGrid>
      <w:tr w14:paraId="7471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689" w:type="dxa"/>
            <w:vAlign w:val="center"/>
          </w:tcPr>
          <w:p w14:paraId="6F75D9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序号</w:t>
            </w:r>
          </w:p>
        </w:tc>
        <w:tc>
          <w:tcPr>
            <w:tcW w:w="4169" w:type="dxa"/>
            <w:shd w:val="clear" w:color="auto" w:fill="auto"/>
            <w:vAlign w:val="center"/>
          </w:tcPr>
          <w:p w14:paraId="032327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bidi="ar-SA"/>
                <w14:textFill>
                  <w14:solidFill>
                    <w14:schemeClr w14:val="tx1"/>
                  </w14:solidFill>
                </w14:textFill>
              </w:rPr>
              <w:t>采购需求</w:t>
            </w:r>
          </w:p>
        </w:tc>
        <w:tc>
          <w:tcPr>
            <w:tcW w:w="2775" w:type="dxa"/>
            <w:vAlign w:val="center"/>
          </w:tcPr>
          <w:p w14:paraId="77CBDA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数量</w:t>
            </w:r>
          </w:p>
        </w:tc>
      </w:tr>
      <w:tr w14:paraId="2523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89" w:type="dxa"/>
            <w:shd w:val="clear" w:color="auto" w:fill="auto"/>
            <w:vAlign w:val="center"/>
          </w:tcPr>
          <w:p w14:paraId="2EFDE4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1</w:t>
            </w:r>
          </w:p>
        </w:tc>
        <w:tc>
          <w:tcPr>
            <w:tcW w:w="4169" w:type="dxa"/>
            <w:shd w:val="clear" w:color="auto" w:fill="auto"/>
            <w:vAlign w:val="center"/>
          </w:tcPr>
          <w:p w14:paraId="353670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cs="宋体" w:asciiTheme="majorEastAsia" w:hAnsiTheme="majorEastAsia" w:eastAsiaTheme="majorEastAsia"/>
                <w:color w:val="000000"/>
                <w:sz w:val="21"/>
                <w:szCs w:val="21"/>
                <w:highlight w:val="none"/>
                <w:lang w:bidi="ar"/>
              </w:rPr>
              <w:t>室外乒乓球台</w:t>
            </w:r>
            <w:r>
              <w:rPr>
                <w:rFonts w:hint="eastAsia" w:ascii="宋体" w:hAnsi="宋体" w:cs="宋体"/>
                <w:b w:val="0"/>
                <w:bCs w:val="0"/>
                <w:color w:val="000000" w:themeColor="text1"/>
                <w:sz w:val="21"/>
                <w:szCs w:val="21"/>
                <w:highlight w:val="none"/>
                <w:vertAlign w:val="baseline"/>
                <w:lang w:val="en-US" w:eastAsia="zh-CN" w:bidi="ar-SA"/>
                <w14:textFill>
                  <w14:solidFill>
                    <w14:schemeClr w14:val="tx1"/>
                  </w14:solidFill>
                </w14:textFill>
              </w:rPr>
              <w:t>2</w:t>
            </w:r>
            <w:r>
              <w:rPr>
                <w:rFonts w:hint="default" w:ascii="宋体" w:hAnsi="宋体" w:eastAsia="宋体" w:cs="宋体"/>
                <w:b w:val="0"/>
                <w:bCs w:val="0"/>
                <w:color w:val="000000" w:themeColor="text1"/>
                <w:sz w:val="21"/>
                <w:szCs w:val="21"/>
                <w:highlight w:val="none"/>
                <w:vertAlign w:val="baseline"/>
                <w:lang w:val="en-US" w:eastAsia="zh-CN" w:bidi="ar-SA"/>
                <w14:textFill>
                  <w14:solidFill>
                    <w14:schemeClr w14:val="tx1"/>
                  </w14:solidFill>
                </w14:textFill>
              </w:rPr>
              <w:t>台</w:t>
            </w:r>
          </w:p>
        </w:tc>
        <w:tc>
          <w:tcPr>
            <w:tcW w:w="2775" w:type="dxa"/>
            <w:vMerge w:val="restart"/>
            <w:shd w:val="clear" w:color="auto" w:fill="auto"/>
            <w:vAlign w:val="center"/>
          </w:tcPr>
          <w:p w14:paraId="3D303050">
            <w:pPr>
              <w:pStyle w:val="35"/>
              <w:keepNext w:val="0"/>
              <w:keepLines w:val="0"/>
              <w:pageBreakBefore w:val="0"/>
              <w:kinsoku/>
              <w:overflowPunct/>
              <w:topLinePunct w:val="0"/>
              <w:bidi w:val="0"/>
              <w:snapToGrid/>
              <w:spacing w:line="360" w:lineRule="exact"/>
              <w:jc w:val="center"/>
              <w:textAlignment w:val="auto"/>
              <w:rPr>
                <w:rFonts w:hint="default" w:ascii="宋体" w:hAnsi="宋体" w:cs="宋体" w:eastAsiaTheme="majorEastAsia"/>
                <w:b w:val="0"/>
                <w:bCs w:val="0"/>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cs="宋体"/>
                <w:b w:val="0"/>
                <w:bCs w:val="0"/>
                <w:color w:val="000000" w:themeColor="text1"/>
                <w:sz w:val="21"/>
                <w:szCs w:val="21"/>
                <w:highlight w:val="none"/>
                <w:vertAlign w:val="baseline"/>
                <w:lang w:val="en-US" w:eastAsia="zh-CN" w:bidi="ar-SA"/>
                <w14:textFill>
                  <w14:solidFill>
                    <w14:schemeClr w14:val="tx1"/>
                  </w14:solidFill>
                </w14:textFill>
              </w:rPr>
              <w:t>50套</w:t>
            </w:r>
          </w:p>
        </w:tc>
      </w:tr>
      <w:tr w14:paraId="07E1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89" w:type="dxa"/>
            <w:shd w:val="clear" w:color="auto" w:fill="auto"/>
            <w:vAlign w:val="center"/>
          </w:tcPr>
          <w:p w14:paraId="0D9F758E">
            <w:pPr>
              <w:pStyle w:val="35"/>
              <w:keepNext w:val="0"/>
              <w:keepLines w:val="0"/>
              <w:pageBreakBefore w:val="0"/>
              <w:kinsoku/>
              <w:overflowPunct/>
              <w:topLinePunct w:val="0"/>
              <w:bidi w:val="0"/>
              <w:snapToGrid/>
              <w:spacing w:line="360" w:lineRule="exact"/>
              <w:jc w:val="center"/>
              <w:textAlignment w:val="auto"/>
              <w:rPr>
                <w:rFonts w:hint="default" w:ascii="宋体" w:hAnsi="宋体" w:eastAsia="宋体" w:cs="宋体"/>
                <w:b w:val="0"/>
                <w:bCs w:val="0"/>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bidi="ar-SA"/>
                <w14:textFill>
                  <w14:solidFill>
                    <w14:schemeClr w14:val="tx1"/>
                  </w14:solidFill>
                </w14:textFill>
              </w:rPr>
              <w:t>2</w:t>
            </w:r>
          </w:p>
        </w:tc>
        <w:tc>
          <w:tcPr>
            <w:tcW w:w="4169" w:type="dxa"/>
            <w:shd w:val="clear" w:color="auto" w:fill="auto"/>
            <w:vAlign w:val="center"/>
          </w:tcPr>
          <w:p w14:paraId="23640FED">
            <w:pPr>
              <w:pStyle w:val="35"/>
              <w:keepNext w:val="0"/>
              <w:keepLines w:val="0"/>
              <w:pageBreakBefore w:val="0"/>
              <w:kinsoku/>
              <w:overflowPunct/>
              <w:topLinePunct w:val="0"/>
              <w:bidi w:val="0"/>
              <w:snapToGrid/>
              <w:spacing w:line="360" w:lineRule="exact"/>
              <w:jc w:val="center"/>
              <w:textAlignment w:val="auto"/>
              <w:rPr>
                <w:rFonts w:hint="default" w:ascii="宋体" w:hAnsi="宋体" w:eastAsia="宋体" w:cs="宋体"/>
                <w:b w:val="0"/>
                <w:bCs w:val="0"/>
                <w:color w:val="000000" w:themeColor="text1"/>
                <w:sz w:val="21"/>
                <w:szCs w:val="21"/>
                <w:highlight w:val="none"/>
                <w:vertAlign w:val="baseline"/>
                <w:lang w:val="en-US" w:eastAsia="zh-CN" w:bidi="ar-SA"/>
                <w14:textFill>
                  <w14:solidFill>
                    <w14:schemeClr w14:val="tx1"/>
                  </w14:solidFill>
                </w14:textFill>
              </w:rPr>
            </w:pPr>
            <w:r>
              <w:rPr>
                <w:rFonts w:hint="eastAsia" w:cs="宋体" w:asciiTheme="majorEastAsia" w:hAnsiTheme="majorEastAsia" w:eastAsiaTheme="majorEastAsia"/>
                <w:color w:val="000000"/>
                <w:sz w:val="21"/>
                <w:szCs w:val="21"/>
                <w:highlight w:val="none"/>
                <w:lang w:bidi="ar"/>
              </w:rPr>
              <w:t>悬浮地板</w:t>
            </w:r>
            <w:r>
              <w:rPr>
                <w:rFonts w:hint="eastAsia" w:cs="宋体" w:asciiTheme="majorEastAsia" w:hAnsiTheme="majorEastAsia" w:eastAsiaTheme="majorEastAsia"/>
                <w:color w:val="000000"/>
                <w:sz w:val="21"/>
                <w:szCs w:val="21"/>
                <w:highlight w:val="none"/>
              </w:rPr>
              <w:t>60</w:t>
            </w:r>
            <w:r>
              <w:rPr>
                <w:rFonts w:hint="eastAsia" w:cs="宋体" w:asciiTheme="majorEastAsia" w:hAnsiTheme="majorEastAsia" w:eastAsiaTheme="majorEastAsia"/>
                <w:color w:val="000000"/>
                <w:sz w:val="21"/>
                <w:szCs w:val="21"/>
                <w:highlight w:val="none"/>
                <w:lang w:val="en-US" w:eastAsia="zh-CN"/>
              </w:rPr>
              <w:t>平方米</w:t>
            </w:r>
          </w:p>
        </w:tc>
        <w:tc>
          <w:tcPr>
            <w:tcW w:w="2775" w:type="dxa"/>
            <w:vMerge w:val="continue"/>
            <w:shd w:val="clear" w:color="auto" w:fill="auto"/>
            <w:vAlign w:val="center"/>
          </w:tcPr>
          <w:p w14:paraId="415B3D90">
            <w:pPr>
              <w:pStyle w:val="35"/>
              <w:keepNext w:val="0"/>
              <w:keepLines w:val="0"/>
              <w:pageBreakBefore w:val="0"/>
              <w:kinsoku/>
              <w:overflowPunct/>
              <w:topLinePunct w:val="0"/>
              <w:bidi w:val="0"/>
              <w:snapToGrid/>
              <w:spacing w:line="360" w:lineRule="exact"/>
              <w:jc w:val="center"/>
              <w:textAlignment w:val="auto"/>
              <w:rPr>
                <w:rFonts w:hint="eastAsia" w:ascii="宋体" w:hAnsi="宋体" w:cs="宋体" w:eastAsiaTheme="majorEastAsia"/>
                <w:b w:val="0"/>
                <w:bCs w:val="0"/>
                <w:color w:val="000000" w:themeColor="text1"/>
                <w:sz w:val="21"/>
                <w:szCs w:val="21"/>
                <w:highlight w:val="none"/>
                <w:vertAlign w:val="baseline"/>
                <w:lang w:val="en-US" w:eastAsia="zh-CN" w:bidi="ar-SA"/>
                <w14:textFill>
                  <w14:solidFill>
                    <w14:schemeClr w14:val="tx1"/>
                  </w14:solidFill>
                </w14:textFill>
              </w:rPr>
            </w:pPr>
          </w:p>
        </w:tc>
      </w:tr>
    </w:tbl>
    <w:p w14:paraId="2A9A1C5B">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sz w:val="21"/>
          <w:szCs w:val="21"/>
          <w:highlight w:val="none"/>
          <w:lang w:val="en-US" w:eastAsia="zh-CN"/>
        </w:rPr>
      </w:pPr>
    </w:p>
    <w:p w14:paraId="34BB11A5">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sz w:val="21"/>
          <w:szCs w:val="21"/>
          <w:highlight w:val="none"/>
          <w:lang w:val="en-US" w:eastAsia="zh-CN"/>
        </w:rPr>
      </w:pPr>
    </w:p>
    <w:p w14:paraId="5FD6F485">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sz w:val="21"/>
          <w:szCs w:val="21"/>
          <w:highlight w:val="none"/>
          <w:lang w:val="en-US" w:eastAsia="zh-CN"/>
        </w:rPr>
      </w:pPr>
    </w:p>
    <w:p w14:paraId="7AFC28E8">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sz w:val="21"/>
          <w:szCs w:val="21"/>
          <w:highlight w:val="none"/>
          <w:lang w:val="en-US" w:eastAsia="zh-CN"/>
        </w:rPr>
      </w:pPr>
    </w:p>
    <w:p w14:paraId="77A8DA4F">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sz w:val="21"/>
          <w:szCs w:val="21"/>
          <w:highlight w:val="none"/>
          <w:lang w:val="en-US" w:eastAsia="zh-CN"/>
        </w:rPr>
      </w:pPr>
    </w:p>
    <w:p w14:paraId="65E7759D">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default"/>
          <w:sz w:val="21"/>
          <w:szCs w:val="21"/>
          <w:highlight w:val="none"/>
          <w:lang w:val="en-US" w:eastAsia="zh-CN"/>
        </w:rPr>
      </w:pPr>
      <w:r>
        <w:rPr>
          <w:rFonts w:hint="eastAsia"/>
          <w:sz w:val="21"/>
          <w:szCs w:val="21"/>
          <w:highlight w:val="none"/>
          <w:lang w:val="en-US" w:eastAsia="zh-CN"/>
        </w:rPr>
        <w:t>具体内容详见磋商文件第五章采购需求；</w:t>
      </w:r>
    </w:p>
    <w:p w14:paraId="34F53832">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sz w:val="21"/>
          <w:szCs w:val="21"/>
          <w:highlight w:val="none"/>
          <w:lang w:eastAsia="zh-CN"/>
        </w:rPr>
      </w:pPr>
      <w:r>
        <w:rPr>
          <w:rFonts w:hint="eastAsia"/>
          <w:sz w:val="21"/>
          <w:szCs w:val="21"/>
          <w:highlight w:val="none"/>
          <w:lang w:val="en-US" w:eastAsia="zh-CN"/>
        </w:rPr>
        <w:t>6</w:t>
      </w:r>
      <w:r>
        <w:rPr>
          <w:rFonts w:hint="eastAsia"/>
          <w:sz w:val="21"/>
          <w:szCs w:val="21"/>
          <w:highlight w:val="none"/>
          <w:lang w:eastAsia="zh-CN"/>
        </w:rPr>
        <w:t>.合同履行期限（供货期）：签订合同后</w:t>
      </w:r>
      <w:r>
        <w:rPr>
          <w:rFonts w:hint="eastAsia"/>
          <w:sz w:val="21"/>
          <w:szCs w:val="21"/>
          <w:highlight w:val="none"/>
          <w:lang w:val="en-US" w:eastAsia="zh-CN"/>
        </w:rPr>
        <w:t>15</w:t>
      </w:r>
      <w:r>
        <w:rPr>
          <w:rFonts w:hint="eastAsia"/>
          <w:sz w:val="21"/>
          <w:szCs w:val="21"/>
          <w:highlight w:val="none"/>
          <w:lang w:eastAsia="zh-CN"/>
        </w:rPr>
        <w:t>天之内交货；</w:t>
      </w:r>
    </w:p>
    <w:p w14:paraId="15862075">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sz w:val="21"/>
          <w:szCs w:val="21"/>
          <w:highlight w:val="none"/>
          <w:lang w:eastAsia="zh-CN"/>
        </w:rPr>
      </w:pPr>
      <w:r>
        <w:rPr>
          <w:rFonts w:hint="eastAsia"/>
          <w:sz w:val="21"/>
          <w:szCs w:val="21"/>
          <w:highlight w:val="none"/>
          <w:lang w:val="en-US" w:eastAsia="zh-CN"/>
        </w:rPr>
        <w:t>7</w:t>
      </w:r>
      <w:r>
        <w:rPr>
          <w:rFonts w:hint="eastAsia"/>
          <w:sz w:val="21"/>
          <w:szCs w:val="21"/>
          <w:highlight w:val="none"/>
          <w:lang w:eastAsia="zh-CN"/>
        </w:rPr>
        <w:t>.供货地点：采购人指定地点；</w:t>
      </w:r>
    </w:p>
    <w:p w14:paraId="0B4E7C3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sz w:val="21"/>
          <w:szCs w:val="21"/>
          <w:highlight w:val="none"/>
          <w:lang w:eastAsia="zh-CN"/>
        </w:rPr>
      </w:pPr>
      <w:r>
        <w:rPr>
          <w:rFonts w:hint="eastAsia"/>
          <w:sz w:val="21"/>
          <w:szCs w:val="21"/>
          <w:highlight w:val="none"/>
          <w:lang w:val="en-US" w:eastAsia="zh-CN"/>
        </w:rPr>
        <w:t>8</w:t>
      </w:r>
      <w:r>
        <w:rPr>
          <w:rFonts w:hint="eastAsia"/>
          <w:sz w:val="21"/>
          <w:szCs w:val="21"/>
          <w:highlight w:val="none"/>
          <w:lang w:eastAsia="zh-CN"/>
        </w:rPr>
        <w:t>.质量标准：符合国家及行业相关合格标准；</w:t>
      </w:r>
    </w:p>
    <w:p w14:paraId="7AFE6B3A">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sz w:val="21"/>
          <w:szCs w:val="21"/>
          <w:highlight w:val="none"/>
          <w:lang w:eastAsia="zh-CN"/>
        </w:rPr>
      </w:pPr>
      <w:r>
        <w:rPr>
          <w:rFonts w:hint="eastAsia"/>
          <w:sz w:val="21"/>
          <w:szCs w:val="21"/>
          <w:highlight w:val="none"/>
          <w:lang w:val="en-US" w:eastAsia="zh-CN"/>
        </w:rPr>
        <w:t>9</w:t>
      </w:r>
      <w:r>
        <w:rPr>
          <w:rFonts w:hint="eastAsia"/>
          <w:sz w:val="21"/>
          <w:szCs w:val="21"/>
          <w:highlight w:val="none"/>
          <w:lang w:eastAsia="zh-CN"/>
        </w:rPr>
        <w:t>.本项目不接受联合体投标。</w:t>
      </w:r>
    </w:p>
    <w:p w14:paraId="11837F08">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b/>
          <w:bCs/>
          <w:color w:val="000000"/>
          <w:sz w:val="21"/>
          <w:szCs w:val="21"/>
          <w:highlight w:val="none"/>
          <w:lang w:eastAsia="zh-CN"/>
        </w:rPr>
      </w:pPr>
      <w:bookmarkStart w:id="6" w:name="_Toc35393630"/>
      <w:bookmarkStart w:id="7" w:name="_Toc28359090"/>
      <w:bookmarkStart w:id="8" w:name="_Toc28359013"/>
      <w:bookmarkStart w:id="9" w:name="_Toc35393799"/>
      <w:r>
        <w:rPr>
          <w:rFonts w:hint="eastAsia"/>
          <w:b/>
          <w:bCs/>
          <w:color w:val="000000"/>
          <w:sz w:val="21"/>
          <w:szCs w:val="21"/>
          <w:highlight w:val="none"/>
          <w:lang w:eastAsia="zh-CN"/>
        </w:rPr>
        <w:t>二、申请人的资格要求</w:t>
      </w:r>
      <w:bookmarkEnd w:id="6"/>
      <w:bookmarkEnd w:id="7"/>
      <w:bookmarkEnd w:id="8"/>
      <w:bookmarkEnd w:id="9"/>
    </w:p>
    <w:p w14:paraId="1F077380">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1.满足《中华人民共和国政府采购法》第二十二条规定；</w:t>
      </w:r>
    </w:p>
    <w:p w14:paraId="1C9E92DF">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 w:val="21"/>
          <w:szCs w:val="21"/>
          <w:highlight w:val="none"/>
          <w:lang w:eastAsia="zh-CN"/>
        </w:rPr>
      </w:pPr>
      <w:bookmarkStart w:id="10" w:name="_Toc28359091"/>
      <w:bookmarkStart w:id="11" w:name="_Toc28359014"/>
      <w:r>
        <w:rPr>
          <w:rFonts w:hint="eastAsia" w:ascii="宋体" w:hAnsi="宋体" w:eastAsia="宋体" w:cs="宋体"/>
          <w:sz w:val="21"/>
          <w:szCs w:val="21"/>
          <w:highlight w:val="none"/>
          <w:lang w:eastAsia="zh-CN"/>
        </w:rPr>
        <w:t>2.落实政府采购政策需满足的资格要求：</w:t>
      </w:r>
      <w:r>
        <w:rPr>
          <w:rFonts w:hint="eastAsia" w:ascii="宋体" w:hAnsi="宋体" w:eastAsia="宋体" w:cs="宋体"/>
          <w:color w:val="auto"/>
          <w:sz w:val="21"/>
          <w:szCs w:val="21"/>
          <w:highlight w:val="none"/>
          <w:lang w:eastAsia="zh-CN"/>
        </w:rPr>
        <w:t>本项目专门面向中小企业；</w:t>
      </w:r>
    </w:p>
    <w:p w14:paraId="07D1339C">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3.本项目的特定资格要求：</w:t>
      </w:r>
    </w:p>
    <w:p w14:paraId="74A7979F">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highlight w:val="none"/>
          <w:lang w:eastAsia="zh-CN"/>
        </w:rPr>
      </w:pPr>
      <w:bookmarkStart w:id="12" w:name="_Toc35393631"/>
      <w:bookmarkStart w:id="13" w:name="_Toc35393800"/>
      <w:r>
        <w:rPr>
          <w:rFonts w:hint="eastAsia" w:ascii="宋体" w:hAnsi="宋体" w:eastAsia="宋体" w:cs="宋体"/>
          <w:sz w:val="21"/>
          <w:szCs w:val="21"/>
          <w:highlight w:val="none"/>
          <w:lang w:eastAsia="zh-CN"/>
        </w:rPr>
        <w:t>（1）</w:t>
      </w:r>
      <w:bookmarkEnd w:id="10"/>
      <w:bookmarkEnd w:id="11"/>
      <w:bookmarkEnd w:id="12"/>
      <w:bookmarkEnd w:id="13"/>
      <w:bookmarkStart w:id="14" w:name="_Toc35393804"/>
      <w:bookmarkStart w:id="15" w:name="_Toc35393635"/>
      <w:r>
        <w:rPr>
          <w:rFonts w:hint="eastAsia" w:ascii="宋体" w:hAnsi="宋体" w:eastAsia="宋体" w:cs="宋体"/>
          <w:sz w:val="21"/>
          <w:szCs w:val="21"/>
          <w:highlight w:val="none"/>
          <w:lang w:eastAsia="zh-CN"/>
        </w:rPr>
        <w:t>供应商须是具有独立的法人资格的企业或其他组织，具有有效的营业执照，并在人员、设备、资金等方面具有相应的能力；</w:t>
      </w:r>
    </w:p>
    <w:p w14:paraId="71B26AE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cs="宋体"/>
          <w:sz w:val="21"/>
          <w:szCs w:val="21"/>
          <w:highlight w:val="none"/>
          <w:lang w:val="en-US" w:eastAsia="zh-CN"/>
        </w:rPr>
        <w:t>2</w:t>
      </w:r>
      <w:r>
        <w:rPr>
          <w:rFonts w:hint="eastAsia" w:ascii="宋体" w:hAnsi="宋体" w:eastAsia="宋体" w:cs="宋体"/>
          <w:sz w:val="21"/>
          <w:szCs w:val="21"/>
          <w:highlight w:val="none"/>
          <w:lang w:eastAsia="zh-CN"/>
        </w:rPr>
        <w:t>）供应商应按照《长春市财政局关于加强政府采购信用体系建设简化供应商资格条件有关事项的通知》（长财采购〔2022〕2066号）文件要求在响应文件中提供反映其财务状况、依法缴纳税收和社保保障资金等情况的资格条件承诺函，并对资格条件承诺函有关内容的真实性、有效性、合法性负责；</w:t>
      </w:r>
    </w:p>
    <w:p w14:paraId="6D795C32">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cs="宋体"/>
          <w:sz w:val="21"/>
          <w:szCs w:val="21"/>
          <w:highlight w:val="none"/>
          <w:lang w:eastAsia="zh-CN"/>
        </w:rPr>
        <w:t>拒绝列入政府取消投标资格记录期间的企业或个人磋商</w:t>
      </w:r>
      <w:r>
        <w:rPr>
          <w:rFonts w:hint="eastAsia" w:ascii="宋体" w:hAnsi="宋体" w:eastAsia="宋体" w:cs="宋体"/>
          <w:sz w:val="21"/>
          <w:szCs w:val="21"/>
          <w:highlight w:val="none"/>
          <w:lang w:eastAsia="zh-CN"/>
        </w:rPr>
        <w:t>；</w:t>
      </w:r>
    </w:p>
    <w:p w14:paraId="0B4E8D3A">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cs="宋体"/>
          <w:sz w:val="21"/>
          <w:szCs w:val="21"/>
          <w:highlight w:val="none"/>
          <w:lang w:val="en-US" w:eastAsia="zh-CN"/>
        </w:rPr>
        <w:t>4</w:t>
      </w:r>
      <w:r>
        <w:rPr>
          <w:rFonts w:hint="eastAsia" w:ascii="宋体" w:hAnsi="宋体" w:eastAsia="宋体" w:cs="宋体"/>
          <w:sz w:val="21"/>
          <w:szCs w:val="21"/>
          <w:highlight w:val="none"/>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4B06A0FE">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cs="宋体"/>
          <w:sz w:val="21"/>
          <w:szCs w:val="21"/>
          <w:highlight w:val="none"/>
          <w:lang w:val="en-US" w:eastAsia="zh-CN"/>
        </w:rPr>
        <w:t>5</w:t>
      </w:r>
      <w:r>
        <w:rPr>
          <w:rFonts w:hint="eastAsia" w:ascii="宋体" w:hAnsi="宋体" w:eastAsia="宋体" w:cs="宋体"/>
          <w:sz w:val="21"/>
          <w:szCs w:val="21"/>
          <w:highlight w:val="none"/>
          <w:lang w:eastAsia="zh-CN"/>
        </w:rPr>
        <w:t>）供应商不得为“信用中国”网站（</w:t>
      </w:r>
      <w:r>
        <w:rPr>
          <w:rFonts w:hint="eastAsia" w:cs="宋体"/>
          <w:sz w:val="21"/>
          <w:szCs w:val="21"/>
          <w:highlight w:val="none"/>
          <w:lang w:eastAsia="zh-CN"/>
        </w:rPr>
        <w:t>https://www.creditchina.gov.cn</w:t>
      </w:r>
      <w:r>
        <w:rPr>
          <w:rFonts w:hint="eastAsia" w:ascii="宋体" w:hAnsi="宋体" w:eastAsia="宋体" w:cs="宋体"/>
          <w:sz w:val="21"/>
          <w:szCs w:val="21"/>
          <w:highlight w:val="none"/>
          <w:lang w:eastAsia="zh-CN"/>
        </w:rPr>
        <w:t>）中列入失信被执行人和重大税收违法失信主体；不得为中国政府采购网（</w:t>
      </w:r>
      <w:r>
        <w:rPr>
          <w:rFonts w:hint="eastAsia" w:cs="宋体"/>
          <w:sz w:val="21"/>
          <w:szCs w:val="21"/>
          <w:highlight w:val="none"/>
          <w:lang w:eastAsia="zh-CN"/>
        </w:rPr>
        <w:t>http://www.ccgp.gov.cn</w:t>
      </w:r>
      <w:r>
        <w:rPr>
          <w:rFonts w:hint="eastAsia" w:ascii="宋体" w:hAnsi="宋体" w:eastAsia="宋体" w:cs="宋体"/>
          <w:sz w:val="21"/>
          <w:szCs w:val="21"/>
          <w:highlight w:val="none"/>
          <w:lang w:eastAsia="zh-CN"/>
        </w:rPr>
        <w:t>）政府采购严重违法失信行为记录名单中被财政部门禁止参加政府采购活动的供应商（在处罚决定规定的时间和地域范围内）（详见财库[2016]125号）；</w:t>
      </w:r>
    </w:p>
    <w:p w14:paraId="48CB9608">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cs="宋体"/>
          <w:sz w:val="21"/>
          <w:szCs w:val="21"/>
          <w:highlight w:val="none"/>
          <w:lang w:val="en-US" w:eastAsia="zh-CN"/>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zh-CN" w:eastAsia="zh-CN"/>
        </w:rPr>
        <w:t>参加政府采购活动前3年内在经营活动中没有重大违法记录。</w:t>
      </w:r>
    </w:p>
    <w:p w14:paraId="3CC9AC28">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三、获取竞争性磋商文件</w:t>
      </w:r>
    </w:p>
    <w:p w14:paraId="4B40D41E">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highlight w:val="none"/>
          <w:lang w:eastAsia="zh-CN"/>
        </w:rPr>
      </w:pPr>
      <w:bookmarkStart w:id="16" w:name="_Toc28359015"/>
      <w:bookmarkStart w:id="17" w:name="_Toc28359092"/>
      <w:bookmarkStart w:id="18" w:name="_Toc35393801"/>
      <w:bookmarkStart w:id="19" w:name="_Toc35393632"/>
      <w:r>
        <w:rPr>
          <w:rFonts w:hint="eastAsia" w:ascii="宋体" w:hAnsi="宋体" w:eastAsia="宋体" w:cs="宋体"/>
          <w:sz w:val="21"/>
          <w:szCs w:val="21"/>
          <w:highlight w:val="none"/>
          <w:lang w:eastAsia="zh-CN"/>
        </w:rPr>
        <w:t>1.时间：</w:t>
      </w:r>
      <w:r>
        <w:rPr>
          <w:rFonts w:hint="eastAsia" w:ascii="宋体" w:hAnsi="宋体"/>
          <w:sz w:val="21"/>
          <w:szCs w:val="21"/>
          <w:highlight w:val="none"/>
        </w:rPr>
        <w:t>202</w:t>
      </w:r>
      <w:r>
        <w:rPr>
          <w:rFonts w:hint="eastAsia" w:ascii="宋体" w:hAnsi="宋体"/>
          <w:sz w:val="21"/>
          <w:szCs w:val="21"/>
          <w:highlight w:val="none"/>
          <w:lang w:val="en-US" w:eastAsia="zh-CN"/>
        </w:rPr>
        <w:t>6</w:t>
      </w:r>
      <w:r>
        <w:rPr>
          <w:rFonts w:hint="eastAsia" w:ascii="宋体" w:hAnsi="宋体"/>
          <w:sz w:val="21"/>
          <w:szCs w:val="21"/>
          <w:highlight w:val="none"/>
        </w:rPr>
        <w:t>年</w:t>
      </w:r>
      <w:r>
        <w:rPr>
          <w:rFonts w:hint="eastAsia"/>
          <w:sz w:val="21"/>
          <w:szCs w:val="21"/>
          <w:highlight w:val="none"/>
          <w:lang w:val="en-US" w:eastAsia="zh-CN"/>
        </w:rPr>
        <w:t>7</w:t>
      </w:r>
      <w:r>
        <w:rPr>
          <w:rFonts w:hint="eastAsia" w:ascii="宋体" w:hAnsi="宋体"/>
          <w:sz w:val="21"/>
          <w:szCs w:val="21"/>
          <w:highlight w:val="none"/>
        </w:rPr>
        <w:t>月</w:t>
      </w:r>
      <w:r>
        <w:rPr>
          <w:rFonts w:hint="eastAsia"/>
          <w:sz w:val="21"/>
          <w:szCs w:val="21"/>
          <w:highlight w:val="none"/>
          <w:lang w:val="en-US" w:eastAsia="zh-CN"/>
        </w:rPr>
        <w:t>10</w:t>
      </w:r>
      <w:r>
        <w:rPr>
          <w:rFonts w:hint="eastAsia" w:ascii="宋体" w:hAnsi="宋体"/>
          <w:sz w:val="21"/>
          <w:szCs w:val="21"/>
          <w:highlight w:val="none"/>
        </w:rPr>
        <w:t>日上午8时30分起至202</w:t>
      </w:r>
      <w:r>
        <w:rPr>
          <w:rFonts w:hint="eastAsia" w:ascii="宋体" w:hAnsi="宋体"/>
          <w:sz w:val="21"/>
          <w:szCs w:val="21"/>
          <w:highlight w:val="none"/>
          <w:lang w:val="en-US" w:eastAsia="zh-CN"/>
        </w:rPr>
        <w:t>6</w:t>
      </w:r>
      <w:r>
        <w:rPr>
          <w:rFonts w:hint="eastAsia" w:ascii="宋体" w:hAnsi="宋体"/>
          <w:sz w:val="21"/>
          <w:szCs w:val="21"/>
          <w:highlight w:val="none"/>
        </w:rPr>
        <w:t>年</w:t>
      </w:r>
      <w:r>
        <w:rPr>
          <w:rFonts w:hint="eastAsia"/>
          <w:sz w:val="21"/>
          <w:szCs w:val="21"/>
          <w:highlight w:val="none"/>
          <w:lang w:val="en-US" w:eastAsia="zh-CN"/>
        </w:rPr>
        <w:t>7</w:t>
      </w:r>
      <w:r>
        <w:rPr>
          <w:rFonts w:hint="eastAsia" w:ascii="宋体" w:hAnsi="宋体"/>
          <w:sz w:val="21"/>
          <w:szCs w:val="21"/>
          <w:highlight w:val="none"/>
        </w:rPr>
        <w:t>月</w:t>
      </w:r>
      <w:r>
        <w:rPr>
          <w:rFonts w:hint="eastAsia"/>
          <w:sz w:val="21"/>
          <w:szCs w:val="21"/>
          <w:highlight w:val="none"/>
          <w:lang w:val="en-US" w:eastAsia="zh-CN"/>
        </w:rPr>
        <w:t xml:space="preserve"> 16 </w:t>
      </w:r>
      <w:r>
        <w:rPr>
          <w:rFonts w:hint="eastAsia" w:ascii="宋体" w:hAnsi="宋体"/>
          <w:sz w:val="21"/>
          <w:szCs w:val="21"/>
          <w:highlight w:val="none"/>
        </w:rPr>
        <w:t>日16时00分止</w:t>
      </w:r>
      <w:r>
        <w:rPr>
          <w:rFonts w:hint="eastAsia" w:ascii="宋体" w:hAnsi="宋体" w:eastAsia="宋体" w:cs="宋体"/>
          <w:sz w:val="21"/>
          <w:szCs w:val="21"/>
          <w:highlight w:val="none"/>
          <w:lang w:eastAsia="zh-CN"/>
        </w:rPr>
        <w:t>（北京时间）；</w:t>
      </w:r>
    </w:p>
    <w:p w14:paraId="70D8781B">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2.地点：政府采购云平台（网址：</w:t>
      </w:r>
      <w:r>
        <w:rPr>
          <w:rFonts w:hint="eastAsia" w:cs="宋体"/>
          <w:sz w:val="21"/>
          <w:szCs w:val="21"/>
          <w:highlight w:val="none"/>
          <w:lang w:eastAsia="zh-CN"/>
        </w:rPr>
        <w:t>https://www.zcygov.cn</w:t>
      </w:r>
      <w:r>
        <w:rPr>
          <w:rFonts w:hint="eastAsia" w:ascii="宋体" w:hAnsi="宋体" w:eastAsia="宋体" w:cs="宋体"/>
          <w:sz w:val="21"/>
          <w:szCs w:val="21"/>
          <w:highlight w:val="none"/>
          <w:lang w:eastAsia="zh-CN"/>
        </w:rPr>
        <w:t>）；</w:t>
      </w:r>
    </w:p>
    <w:p w14:paraId="689DFDDA">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3.方式：</w:t>
      </w:r>
      <w:r>
        <w:rPr>
          <w:rFonts w:hint="eastAsia" w:ascii="宋体" w:hAnsi="宋体"/>
          <w:sz w:val="21"/>
          <w:szCs w:val="21"/>
          <w:highlight w:val="none"/>
        </w:rPr>
        <w:t>网上免费获取（潜在供应商自行登录政府采购云平台（网址：</w:t>
      </w:r>
      <w:r>
        <w:rPr>
          <w:rFonts w:hint="eastAsia"/>
          <w:sz w:val="21"/>
          <w:szCs w:val="21"/>
          <w:highlight w:val="none"/>
          <w:lang w:eastAsia="zh-CN"/>
        </w:rPr>
        <w:t>https://www.zcygov.cn</w:t>
      </w:r>
      <w:r>
        <w:rPr>
          <w:rFonts w:hint="eastAsia" w:ascii="宋体" w:hAnsi="宋体"/>
          <w:sz w:val="21"/>
          <w:szCs w:val="21"/>
          <w:highlight w:val="none"/>
        </w:rPr>
        <w:t>）网上注册（</w:t>
      </w:r>
      <w:r>
        <w:rPr>
          <w:rFonts w:ascii="宋体" w:hAnsi="宋体"/>
          <w:sz w:val="21"/>
          <w:szCs w:val="21"/>
          <w:highlight w:val="none"/>
        </w:rPr>
        <w:t>https://middle.zcygov.cn/v-settle-front/registry</w:t>
      </w:r>
      <w:r>
        <w:rPr>
          <w:rFonts w:hint="eastAsia" w:ascii="宋体" w:hAnsi="宋体"/>
          <w:sz w:val="21"/>
          <w:szCs w:val="21"/>
          <w:highlight w:val="none"/>
        </w:rPr>
        <w:t>）并下载</w:t>
      </w:r>
      <w:r>
        <w:rPr>
          <w:rFonts w:hint="eastAsia"/>
          <w:sz w:val="21"/>
          <w:szCs w:val="21"/>
          <w:highlight w:val="none"/>
          <w:lang w:eastAsia="zh-CN"/>
        </w:rPr>
        <w:t>磋商文件</w:t>
      </w:r>
      <w:r>
        <w:rPr>
          <w:rFonts w:hint="eastAsia" w:ascii="宋体" w:hAnsi="宋体"/>
          <w:sz w:val="21"/>
          <w:szCs w:val="21"/>
          <w:highlight w:val="none"/>
        </w:rPr>
        <w:t>，其他途径获取的</w:t>
      </w:r>
      <w:r>
        <w:rPr>
          <w:rFonts w:hint="eastAsia"/>
          <w:sz w:val="21"/>
          <w:szCs w:val="21"/>
          <w:highlight w:val="none"/>
          <w:lang w:eastAsia="zh-CN"/>
        </w:rPr>
        <w:t>磋商文件</w:t>
      </w:r>
      <w:r>
        <w:rPr>
          <w:rFonts w:hint="eastAsia" w:ascii="宋体" w:hAnsi="宋体"/>
          <w:sz w:val="21"/>
          <w:szCs w:val="21"/>
          <w:highlight w:val="none"/>
        </w:rPr>
        <w:t>开标时一律按</w:t>
      </w:r>
      <w:r>
        <w:rPr>
          <w:rFonts w:hint="eastAsia"/>
          <w:sz w:val="21"/>
          <w:szCs w:val="21"/>
          <w:highlight w:val="none"/>
          <w:lang w:eastAsia="zh-CN"/>
        </w:rPr>
        <w:t>无效响应处理</w:t>
      </w:r>
      <w:r>
        <w:rPr>
          <w:rFonts w:hint="eastAsia" w:ascii="宋体" w:hAnsi="宋体"/>
          <w:sz w:val="21"/>
          <w:szCs w:val="21"/>
          <w:highlight w:val="none"/>
        </w:rPr>
        <w:t>）；未进行网上注册并办理CA认证的供应商将无法参与本次采购活动</w:t>
      </w:r>
      <w:r>
        <w:rPr>
          <w:rFonts w:hint="eastAsia" w:ascii="宋体" w:hAnsi="宋体" w:eastAsia="宋体" w:cs="宋体"/>
          <w:sz w:val="21"/>
          <w:szCs w:val="21"/>
          <w:highlight w:val="none"/>
          <w:lang w:eastAsia="zh-CN"/>
        </w:rPr>
        <w:t>；</w:t>
      </w:r>
    </w:p>
    <w:p w14:paraId="285C2D5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eastAsia="zh-CN"/>
        </w:rPr>
        <w:t>4.售价：0元。</w:t>
      </w:r>
    </w:p>
    <w:p w14:paraId="7BDA4692">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b/>
          <w:bCs/>
          <w:sz w:val="21"/>
          <w:szCs w:val="21"/>
          <w:highlight w:val="none"/>
          <w:lang w:eastAsia="zh-CN"/>
        </w:rPr>
      </w:pPr>
      <w:r>
        <w:rPr>
          <w:rFonts w:hint="eastAsia"/>
          <w:b/>
          <w:bCs/>
          <w:sz w:val="21"/>
          <w:szCs w:val="21"/>
          <w:highlight w:val="none"/>
          <w:lang w:eastAsia="zh-CN"/>
        </w:rPr>
        <w:t>四、响应文件提交</w:t>
      </w:r>
      <w:bookmarkEnd w:id="16"/>
      <w:bookmarkEnd w:id="17"/>
      <w:bookmarkEnd w:id="18"/>
      <w:bookmarkEnd w:id="19"/>
    </w:p>
    <w:p w14:paraId="799D0231">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sz w:val="21"/>
          <w:szCs w:val="21"/>
          <w:highlight w:val="none"/>
          <w:lang w:eastAsia="zh-CN"/>
        </w:rPr>
      </w:pPr>
      <w:bookmarkStart w:id="20" w:name="_Toc28359016"/>
      <w:bookmarkStart w:id="21" w:name="_Toc28359093"/>
      <w:bookmarkStart w:id="22" w:name="_Toc35393633"/>
      <w:bookmarkStart w:id="23" w:name="_Toc35393802"/>
      <w:r>
        <w:rPr>
          <w:rFonts w:hint="eastAsia"/>
          <w:sz w:val="21"/>
          <w:szCs w:val="21"/>
          <w:highlight w:val="none"/>
          <w:lang w:eastAsia="zh-CN"/>
        </w:rPr>
        <w:t>1.截止时间：2026年</w:t>
      </w:r>
      <w:r>
        <w:rPr>
          <w:rFonts w:hint="eastAsia"/>
          <w:sz w:val="21"/>
          <w:szCs w:val="21"/>
          <w:highlight w:val="none"/>
          <w:lang w:val="en-US" w:eastAsia="zh-CN"/>
        </w:rPr>
        <w:t>7</w:t>
      </w:r>
      <w:r>
        <w:rPr>
          <w:rFonts w:hint="eastAsia"/>
          <w:sz w:val="21"/>
          <w:szCs w:val="21"/>
          <w:highlight w:val="none"/>
          <w:lang w:eastAsia="zh-CN"/>
        </w:rPr>
        <w:t>月</w:t>
      </w:r>
      <w:r>
        <w:rPr>
          <w:rFonts w:hint="eastAsia"/>
          <w:sz w:val="21"/>
          <w:szCs w:val="21"/>
          <w:highlight w:val="none"/>
          <w:lang w:val="en-US" w:eastAsia="zh-CN"/>
        </w:rPr>
        <w:t>23 日9时30</w:t>
      </w:r>
      <w:r>
        <w:rPr>
          <w:rFonts w:hint="eastAsia"/>
          <w:sz w:val="21"/>
          <w:szCs w:val="21"/>
          <w:highlight w:val="none"/>
          <w:lang w:eastAsia="zh-CN"/>
        </w:rPr>
        <w:t>分（北京时间）；</w:t>
      </w:r>
    </w:p>
    <w:p w14:paraId="1BCFF331">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sz w:val="21"/>
          <w:szCs w:val="21"/>
          <w:highlight w:val="none"/>
          <w:lang w:eastAsia="zh-CN"/>
        </w:rPr>
      </w:pPr>
      <w:r>
        <w:rPr>
          <w:rFonts w:hint="eastAsia"/>
          <w:sz w:val="21"/>
          <w:szCs w:val="21"/>
          <w:highlight w:val="none"/>
          <w:lang w:eastAsia="zh-CN"/>
        </w:rPr>
        <w:t>2.地点：本项目执行电子化招投标，须通过政府采购云平台（网址：http://www.zcygov.cn）递交电子版响应文件（开标时间后30分钟内，由供应商持制作该电子响应文件的同一数字证书（CA锁）及电脑进行解密）。</w:t>
      </w:r>
    </w:p>
    <w:p w14:paraId="5073A07C">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sz w:val="21"/>
          <w:szCs w:val="21"/>
          <w:highlight w:val="none"/>
          <w:lang w:eastAsia="zh-CN"/>
        </w:rPr>
      </w:pPr>
      <w:r>
        <w:rPr>
          <w:rFonts w:hint="eastAsia"/>
          <w:sz w:val="21"/>
          <w:szCs w:val="21"/>
          <w:highlight w:val="none"/>
          <w:lang w:eastAsia="zh-CN"/>
        </w:rPr>
        <w:t>投标操作流程：投标人在政府采购云平台网注册入库成为正式供应商后，在平台上按《政府采购项目电子交易管理操作指南-供应商》进行投标操作；投标人须办理数字证书方可参加投标。</w:t>
      </w:r>
    </w:p>
    <w:p w14:paraId="6D9A26A5">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b/>
          <w:bCs/>
          <w:sz w:val="21"/>
          <w:szCs w:val="21"/>
          <w:highlight w:val="none"/>
          <w:lang w:eastAsia="zh-CN"/>
        </w:rPr>
      </w:pPr>
      <w:r>
        <w:rPr>
          <w:rFonts w:hint="eastAsia"/>
          <w:b/>
          <w:bCs/>
          <w:sz w:val="21"/>
          <w:szCs w:val="21"/>
          <w:highlight w:val="none"/>
          <w:lang w:eastAsia="zh-CN"/>
        </w:rPr>
        <w:t>五、开启</w:t>
      </w:r>
      <w:bookmarkEnd w:id="20"/>
      <w:bookmarkEnd w:id="21"/>
      <w:bookmarkEnd w:id="22"/>
      <w:bookmarkEnd w:id="23"/>
    </w:p>
    <w:p w14:paraId="0FA79010">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bCs/>
          <w:sz w:val="21"/>
          <w:szCs w:val="21"/>
          <w:highlight w:val="none"/>
          <w:lang w:eastAsia="zh-CN"/>
        </w:rPr>
      </w:pPr>
      <w:r>
        <w:rPr>
          <w:rFonts w:hint="eastAsia"/>
          <w:sz w:val="21"/>
          <w:szCs w:val="21"/>
          <w:highlight w:val="none"/>
          <w:lang w:eastAsia="zh-CN"/>
        </w:rPr>
        <w:t>1.时  间：2026年</w:t>
      </w:r>
      <w:r>
        <w:rPr>
          <w:rFonts w:hint="eastAsia"/>
          <w:sz w:val="21"/>
          <w:szCs w:val="21"/>
          <w:highlight w:val="none"/>
          <w:lang w:val="en-US" w:eastAsia="zh-CN"/>
        </w:rPr>
        <w:t>7</w:t>
      </w:r>
      <w:r>
        <w:rPr>
          <w:rFonts w:hint="eastAsia"/>
          <w:sz w:val="21"/>
          <w:szCs w:val="21"/>
          <w:highlight w:val="none"/>
          <w:lang w:eastAsia="zh-CN"/>
        </w:rPr>
        <w:t>月</w:t>
      </w:r>
      <w:r>
        <w:rPr>
          <w:rFonts w:hint="eastAsia"/>
          <w:sz w:val="21"/>
          <w:szCs w:val="21"/>
          <w:highlight w:val="none"/>
          <w:lang w:val="en-US" w:eastAsia="zh-CN"/>
        </w:rPr>
        <w:t>23 日9时30</w:t>
      </w:r>
      <w:r>
        <w:rPr>
          <w:rFonts w:hint="eastAsia"/>
          <w:sz w:val="21"/>
          <w:szCs w:val="21"/>
          <w:highlight w:val="none"/>
          <w:lang w:eastAsia="zh-CN"/>
        </w:rPr>
        <w:t>分</w:t>
      </w:r>
      <w:r>
        <w:rPr>
          <w:rFonts w:hint="eastAsia"/>
          <w:bCs/>
          <w:sz w:val="21"/>
          <w:szCs w:val="21"/>
          <w:highlight w:val="none"/>
          <w:lang w:eastAsia="zh-CN"/>
        </w:rPr>
        <w:t>（北京时间）</w:t>
      </w:r>
    </w:p>
    <w:p w14:paraId="0C022164">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2.地  点：政采云平台（https://www.zcygov.cn/）</w:t>
      </w:r>
      <w:r>
        <w:rPr>
          <w:rFonts w:hint="eastAsia" w:cs="宋体"/>
          <w:sz w:val="21"/>
          <w:szCs w:val="21"/>
          <w:highlight w:val="none"/>
          <w:lang w:eastAsia="zh-CN"/>
        </w:rPr>
        <w:t>（地点：长春经济技术开发区[长春经开采购中心]长春经济技术开发区公共资源交易中心2楼开标室，本项目实行全流程电子化，供应商无需到达现场）。</w:t>
      </w:r>
    </w:p>
    <w:p w14:paraId="61E24461">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b/>
          <w:bCs/>
          <w:color w:val="000000"/>
          <w:sz w:val="21"/>
          <w:szCs w:val="21"/>
          <w:highlight w:val="none"/>
          <w:lang w:eastAsia="zh-CN"/>
        </w:rPr>
      </w:pPr>
      <w:bookmarkStart w:id="24" w:name="_Toc35393634"/>
      <w:bookmarkStart w:id="25" w:name="_Toc28359094"/>
      <w:bookmarkStart w:id="26" w:name="_Toc28359017"/>
      <w:bookmarkStart w:id="27" w:name="_Toc35393803"/>
      <w:r>
        <w:rPr>
          <w:rFonts w:hint="eastAsia"/>
          <w:b/>
          <w:bCs/>
          <w:color w:val="000000"/>
          <w:sz w:val="21"/>
          <w:szCs w:val="21"/>
          <w:highlight w:val="none"/>
          <w:lang w:eastAsia="zh-CN"/>
        </w:rPr>
        <w:t>六、公告期限</w:t>
      </w:r>
      <w:bookmarkEnd w:id="24"/>
      <w:bookmarkEnd w:id="25"/>
      <w:bookmarkEnd w:id="26"/>
      <w:bookmarkEnd w:id="27"/>
    </w:p>
    <w:p w14:paraId="540C8313">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color w:val="000000"/>
          <w:sz w:val="21"/>
          <w:szCs w:val="21"/>
          <w:highlight w:val="none"/>
          <w:lang w:eastAsia="zh-CN"/>
        </w:rPr>
      </w:pPr>
      <w:r>
        <w:rPr>
          <w:rFonts w:hint="eastAsia"/>
          <w:color w:val="000000"/>
          <w:sz w:val="21"/>
          <w:szCs w:val="21"/>
          <w:highlight w:val="none"/>
          <w:lang w:eastAsia="zh-CN"/>
        </w:rPr>
        <w:t>自本公告发布之日起5个工作日。</w:t>
      </w:r>
    </w:p>
    <w:p w14:paraId="12E86DF3">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b/>
          <w:bCs/>
          <w:color w:val="000000"/>
          <w:sz w:val="21"/>
          <w:szCs w:val="21"/>
          <w:highlight w:val="none"/>
          <w:lang w:eastAsia="zh-CN"/>
        </w:rPr>
      </w:pPr>
      <w:r>
        <w:rPr>
          <w:rFonts w:hint="eastAsia"/>
          <w:b/>
          <w:bCs/>
          <w:color w:val="000000"/>
          <w:sz w:val="21"/>
          <w:szCs w:val="21"/>
          <w:highlight w:val="none"/>
          <w:lang w:eastAsia="zh-CN"/>
        </w:rPr>
        <w:t>七、其他补充事宜</w:t>
      </w:r>
    </w:p>
    <w:p w14:paraId="67D45854">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1.公告发布媒体：在政府采购云平台（</w:t>
      </w:r>
      <w:r>
        <w:rPr>
          <w:rFonts w:hint="eastAsia" w:cs="宋体"/>
          <w:sz w:val="21"/>
          <w:szCs w:val="21"/>
          <w:highlight w:val="none"/>
          <w:lang w:eastAsia="zh-CN"/>
        </w:rPr>
        <w:t>https://www.zcygov.cn</w:t>
      </w:r>
      <w:r>
        <w:rPr>
          <w:rFonts w:hint="eastAsia" w:ascii="宋体" w:hAnsi="宋体" w:eastAsia="宋体" w:cs="宋体"/>
          <w:sz w:val="21"/>
          <w:szCs w:val="21"/>
          <w:highlight w:val="none"/>
          <w:lang w:eastAsia="zh-CN"/>
        </w:rPr>
        <w:t>）(同步推送到吉林省政府采购网（http://www.ccgp-jilin.gov.cn）、中国政府采购网</w:t>
      </w:r>
      <w:r>
        <w:rPr>
          <w:rFonts w:hint="eastAsia" w:cs="宋体"/>
          <w:sz w:val="21"/>
          <w:szCs w:val="21"/>
          <w:highlight w:val="none"/>
          <w:lang w:eastAsia="zh-CN"/>
        </w:rPr>
        <w:t>、长春市公共资源交易网</w:t>
      </w:r>
      <w:r>
        <w:rPr>
          <w:rFonts w:hint="eastAsia" w:ascii="宋体" w:hAnsi="宋体" w:eastAsia="宋体" w:cs="宋体"/>
          <w:sz w:val="21"/>
          <w:szCs w:val="21"/>
          <w:highlight w:val="none"/>
          <w:lang w:eastAsia="zh-CN"/>
        </w:rPr>
        <w:t>）上发布；</w:t>
      </w:r>
    </w:p>
    <w:p w14:paraId="59058B54">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2.若对项目采购电子交易系统操作有疑问，可登录政府采购云平台（https://www.zcygov.cn）点击右侧咨询小采，获取采小蜜智能服务管家帮助，或拨打政采云服务热线95763获取热线服务帮助。</w:t>
      </w:r>
    </w:p>
    <w:bookmarkEnd w:id="14"/>
    <w:bookmarkEnd w:id="15"/>
    <w:p w14:paraId="3CB96F02">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b/>
          <w:bCs/>
          <w:color w:val="000000"/>
          <w:sz w:val="21"/>
          <w:szCs w:val="21"/>
          <w:highlight w:val="none"/>
          <w:lang w:eastAsia="zh-CN"/>
        </w:rPr>
      </w:pPr>
      <w:bookmarkStart w:id="28" w:name="_Toc28359095"/>
      <w:bookmarkStart w:id="29" w:name="_Toc28359018"/>
      <w:bookmarkStart w:id="30" w:name="_Toc35393636"/>
      <w:bookmarkStart w:id="31" w:name="_Toc35393805"/>
      <w:r>
        <w:rPr>
          <w:rFonts w:hint="eastAsia"/>
          <w:b/>
          <w:bCs/>
          <w:color w:val="000000"/>
          <w:sz w:val="21"/>
          <w:szCs w:val="21"/>
          <w:highlight w:val="none"/>
          <w:lang w:eastAsia="zh-CN"/>
        </w:rPr>
        <w:t>八、凡对本次采购提出询问，请按以下方式联系</w:t>
      </w:r>
      <w:bookmarkEnd w:id="28"/>
      <w:bookmarkEnd w:id="29"/>
      <w:bookmarkEnd w:id="30"/>
      <w:bookmarkEnd w:id="31"/>
    </w:p>
    <w:p w14:paraId="695BB18A">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000000" w:themeColor="text1"/>
          <w:sz w:val="21"/>
          <w:szCs w:val="21"/>
          <w:highlight w:val="none"/>
          <w14:textFill>
            <w14:solidFill>
              <w14:schemeClr w14:val="tx1"/>
            </w14:solidFill>
          </w14:textFill>
        </w:rPr>
      </w:pPr>
      <w:bookmarkStart w:id="32" w:name="_Toc35393806"/>
      <w:bookmarkStart w:id="33" w:name="_Toc28359096"/>
      <w:bookmarkStart w:id="34" w:name="_Toc28359019"/>
      <w:bookmarkStart w:id="35" w:name="_Toc35393637"/>
      <w:r>
        <w:rPr>
          <w:rFonts w:hint="eastAsia" w:ascii="宋体" w:hAnsi="宋体"/>
          <w:color w:val="000000" w:themeColor="text1"/>
          <w:sz w:val="21"/>
          <w:szCs w:val="21"/>
          <w:highlight w:val="none"/>
          <w14:textFill>
            <w14:solidFill>
              <w14:schemeClr w14:val="tx1"/>
            </w14:solidFill>
          </w14:textFill>
        </w:rPr>
        <w:t>1.采购人信息</w:t>
      </w:r>
      <w:bookmarkEnd w:id="32"/>
      <w:bookmarkEnd w:id="33"/>
      <w:bookmarkEnd w:id="34"/>
      <w:bookmarkEnd w:id="35"/>
    </w:p>
    <w:p w14:paraId="0C3040C5">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r>
        <w:rPr>
          <w:rFonts w:hint="eastAsia"/>
          <w:color w:val="000000" w:themeColor="text1"/>
          <w:sz w:val="21"/>
          <w:szCs w:val="21"/>
          <w:highlight w:val="none"/>
          <w:lang w:eastAsia="zh-CN"/>
          <w14:textFill>
            <w14:solidFill>
              <w14:schemeClr w14:val="tx1"/>
            </w14:solidFill>
          </w14:textFill>
        </w:rPr>
        <w:t>长春市体育局</w:t>
      </w:r>
    </w:p>
    <w:p w14:paraId="2CBD3BA7">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地  址：</w:t>
      </w:r>
      <w:r>
        <w:rPr>
          <w:rFonts w:hint="eastAsia"/>
          <w:color w:val="000000" w:themeColor="text1"/>
          <w:sz w:val="21"/>
          <w:szCs w:val="21"/>
          <w:highlight w:val="none"/>
          <w:lang w:eastAsia="zh-CN"/>
          <w14:textFill>
            <w14:solidFill>
              <w14:schemeClr w14:val="tx1"/>
            </w14:solidFill>
          </w14:textFill>
        </w:rPr>
        <w:t>长春市朝阳区东朝阳路88号</w:t>
      </w:r>
    </w:p>
    <w:p w14:paraId="03A59E7D">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000000" w:themeColor="text1"/>
          <w:sz w:val="21"/>
          <w:szCs w:val="21"/>
          <w:highlight w:val="none"/>
          <w14:textFill>
            <w14:solidFill>
              <w14:schemeClr w14:val="tx1"/>
            </w14:solidFill>
          </w14:textFill>
        </w:rPr>
      </w:pPr>
      <w:bookmarkStart w:id="36" w:name="_Toc28359020"/>
      <w:bookmarkStart w:id="37" w:name="_Toc35393807"/>
      <w:bookmarkStart w:id="38" w:name="_Toc28359097"/>
      <w:bookmarkStart w:id="39" w:name="_Toc35393638"/>
      <w:r>
        <w:rPr>
          <w:rFonts w:hint="eastAsia" w:ascii="宋体" w:hAnsi="宋体"/>
          <w:color w:val="000000" w:themeColor="text1"/>
          <w:sz w:val="21"/>
          <w:szCs w:val="21"/>
          <w:highlight w:val="none"/>
          <w14:textFill>
            <w14:solidFill>
              <w14:schemeClr w14:val="tx1"/>
            </w14:solidFill>
          </w14:textFill>
        </w:rPr>
        <w:t>联系人：</w:t>
      </w:r>
      <w:r>
        <w:rPr>
          <w:rFonts w:hint="eastAsia"/>
          <w:color w:val="000000" w:themeColor="text1"/>
          <w:sz w:val="21"/>
          <w:szCs w:val="21"/>
          <w:highlight w:val="none"/>
          <w:lang w:eastAsia="zh-CN"/>
          <w14:textFill>
            <w14:solidFill>
              <w14:schemeClr w14:val="tx1"/>
            </w14:solidFill>
          </w14:textFill>
        </w:rPr>
        <w:t>王震宇</w:t>
      </w:r>
      <w:r>
        <w:rPr>
          <w:rFonts w:hint="eastAsia" w:ascii="宋体" w:hAnsi="宋体"/>
          <w:color w:val="000000" w:themeColor="text1"/>
          <w:sz w:val="21"/>
          <w:szCs w:val="21"/>
          <w:highlight w:val="none"/>
          <w14:textFill>
            <w14:solidFill>
              <w14:schemeClr w14:val="tx1"/>
            </w14:solidFill>
          </w14:textFill>
        </w:rPr>
        <w:t xml:space="preserve">      </w:t>
      </w:r>
    </w:p>
    <w:p w14:paraId="497D012D">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联系方式：</w:t>
      </w:r>
      <w:r>
        <w:rPr>
          <w:rFonts w:hint="eastAsia"/>
          <w:color w:val="000000" w:themeColor="text1"/>
          <w:sz w:val="21"/>
          <w:szCs w:val="21"/>
          <w:highlight w:val="none"/>
          <w:lang w:eastAsia="zh-CN"/>
          <w14:textFill>
            <w14:solidFill>
              <w14:schemeClr w14:val="tx1"/>
            </w14:solidFill>
          </w14:textFill>
        </w:rPr>
        <w:t>0431-88466657</w:t>
      </w:r>
    </w:p>
    <w:p w14:paraId="5741D807">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2.采购代理机构信息</w:t>
      </w:r>
      <w:bookmarkEnd w:id="36"/>
      <w:bookmarkEnd w:id="37"/>
      <w:bookmarkEnd w:id="38"/>
      <w:bookmarkEnd w:id="39"/>
    </w:p>
    <w:p w14:paraId="7C4AC42F">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称：吉林省致诚项目管理有限公司</w:t>
      </w:r>
    </w:p>
    <w:p w14:paraId="41F16AD9">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地  址：</w:t>
      </w:r>
      <w:r>
        <w:rPr>
          <w:rFonts w:hint="eastAsia"/>
          <w:color w:val="000000" w:themeColor="text1"/>
          <w:sz w:val="21"/>
          <w:szCs w:val="21"/>
          <w:highlight w:val="none"/>
          <w:lang w:eastAsia="zh-CN"/>
          <w14:textFill>
            <w14:solidFill>
              <w14:schemeClr w14:val="tx1"/>
            </w14:solidFill>
          </w14:textFill>
        </w:rPr>
        <w:t xml:space="preserve">长春市南关区华庆南路钜城上景A3-2栋806室 </w:t>
      </w:r>
      <w:r>
        <w:rPr>
          <w:rFonts w:hint="eastAsia" w:ascii="宋体" w:hAnsi="宋体"/>
          <w:color w:val="000000" w:themeColor="text1"/>
          <w:sz w:val="21"/>
          <w:szCs w:val="21"/>
          <w:highlight w:val="none"/>
          <w14:textFill>
            <w14:solidFill>
              <w14:schemeClr w14:val="tx1"/>
            </w14:solidFill>
          </w14:textFill>
        </w:rPr>
        <w:t xml:space="preserve">    </w:t>
      </w:r>
    </w:p>
    <w:p w14:paraId="4773E6C6">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联系方式：</w:t>
      </w:r>
      <w:r>
        <w:rPr>
          <w:rFonts w:hint="eastAsia"/>
          <w:color w:val="000000" w:themeColor="text1"/>
          <w:sz w:val="21"/>
          <w:szCs w:val="21"/>
          <w:highlight w:val="none"/>
          <w:lang w:eastAsia="zh-CN"/>
          <w14:textFill>
            <w14:solidFill>
              <w14:schemeClr w14:val="tx1"/>
            </w14:solidFill>
          </w14:textFill>
        </w:rPr>
        <w:t>0431-85598838</w:t>
      </w:r>
      <w:r>
        <w:rPr>
          <w:rFonts w:hint="eastAsia" w:ascii="宋体" w:hAnsi="宋体"/>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周贺、李洪梅</w:t>
      </w:r>
      <w:r>
        <w:rPr>
          <w:rFonts w:hint="eastAsia" w:ascii="宋体" w:hAnsi="宋体"/>
          <w:color w:val="000000" w:themeColor="text1"/>
          <w:sz w:val="21"/>
          <w:szCs w:val="21"/>
          <w:highlight w:val="none"/>
          <w14:textFill>
            <w14:solidFill>
              <w14:schemeClr w14:val="tx1"/>
            </w14:solidFill>
          </w14:textFill>
        </w:rPr>
        <w:t>）</w:t>
      </w:r>
      <w:bookmarkStart w:id="40" w:name="_Toc28359098"/>
      <w:bookmarkStart w:id="41" w:name="_Toc35393639"/>
      <w:bookmarkStart w:id="42" w:name="_Toc35393808"/>
      <w:bookmarkStart w:id="43" w:name="_Toc28359021"/>
    </w:p>
    <w:p w14:paraId="77BAA71B">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3.项目联系方式</w:t>
      </w:r>
      <w:bookmarkEnd w:id="40"/>
      <w:bookmarkEnd w:id="41"/>
      <w:bookmarkEnd w:id="42"/>
      <w:bookmarkEnd w:id="43"/>
    </w:p>
    <w:p w14:paraId="6947AF82">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项目联系人：</w:t>
      </w:r>
      <w:r>
        <w:rPr>
          <w:rFonts w:hint="eastAsia"/>
          <w:color w:val="000000" w:themeColor="text1"/>
          <w:sz w:val="21"/>
          <w:szCs w:val="21"/>
          <w:highlight w:val="none"/>
          <w:lang w:val="en-US" w:eastAsia="zh-CN"/>
          <w14:textFill>
            <w14:solidFill>
              <w14:schemeClr w14:val="tx1"/>
            </w14:solidFill>
          </w14:textFill>
        </w:rPr>
        <w:t>周贺、李洪梅</w:t>
      </w:r>
    </w:p>
    <w:p w14:paraId="2AE234AD">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电    　话：</w:t>
      </w:r>
      <w:r>
        <w:rPr>
          <w:rFonts w:hint="eastAsia"/>
          <w:color w:val="000000" w:themeColor="text1"/>
          <w:sz w:val="21"/>
          <w:szCs w:val="21"/>
          <w:highlight w:val="none"/>
          <w:lang w:eastAsia="zh-CN"/>
          <w14:textFill>
            <w14:solidFill>
              <w14:schemeClr w14:val="tx1"/>
            </w14:solidFill>
          </w14:textFill>
        </w:rPr>
        <w:t>0431-85598838</w:t>
      </w:r>
    </w:p>
    <w:p w14:paraId="3EEB0EFE">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监督部门：长春市财政局政府采购管理工作办公室</w:t>
      </w:r>
    </w:p>
    <w:p w14:paraId="4FEF14E1">
      <w:pPr>
        <w:keepNext w:val="0"/>
        <w:keepLines w:val="0"/>
        <w:pageBreakBefore w:val="0"/>
        <w:widowControl w:val="0"/>
        <w:kinsoku/>
        <w:overflowPunct/>
        <w:topLinePunct w:val="0"/>
        <w:autoSpaceDE/>
        <w:autoSpaceDN/>
        <w:bidi w:val="0"/>
        <w:adjustRightInd/>
        <w:snapToGrid/>
        <w:spacing w:line="360" w:lineRule="exact"/>
        <w:textAlignment w:val="auto"/>
        <w:rPr>
          <w:color w:val="000000" w:themeColor="text1"/>
          <w:highlight w:val="none"/>
          <w14:textFill>
            <w14:solidFill>
              <w14:schemeClr w14:val="tx1"/>
            </w14:solidFill>
          </w14:textFill>
        </w:rPr>
      </w:pPr>
    </w:p>
    <w:p w14:paraId="10487134">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来源：吉林省致诚项目管理有限公司</w:t>
      </w:r>
    </w:p>
    <w:p w14:paraId="7D288585">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初审：</w:t>
      </w:r>
      <w:r>
        <w:rPr>
          <w:rFonts w:hint="eastAsia"/>
          <w:color w:val="000000" w:themeColor="text1"/>
          <w:sz w:val="21"/>
          <w:szCs w:val="21"/>
          <w:highlight w:val="none"/>
          <w:lang w:val="en-US" w:eastAsia="zh-CN"/>
          <w14:textFill>
            <w14:solidFill>
              <w14:schemeClr w14:val="tx1"/>
            </w14:solidFill>
          </w14:textFill>
        </w:rPr>
        <w:t>周贺</w:t>
      </w:r>
      <w:r>
        <w:rPr>
          <w:rFonts w:hint="eastAsia" w:ascii="宋体" w:hAnsi="宋体"/>
          <w:color w:val="000000" w:themeColor="text1"/>
          <w:sz w:val="21"/>
          <w:szCs w:val="21"/>
          <w:highlight w:val="none"/>
          <w14:textFill>
            <w14:solidFill>
              <w14:schemeClr w14:val="tx1"/>
            </w14:solidFill>
          </w14:textFill>
        </w:rPr>
        <w:t xml:space="preserve">          </w:t>
      </w:r>
    </w:p>
    <w:p w14:paraId="18306E80">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复审：</w:t>
      </w:r>
      <w:r>
        <w:rPr>
          <w:rFonts w:hint="eastAsia"/>
          <w:color w:val="000000" w:themeColor="text1"/>
          <w:sz w:val="21"/>
          <w:szCs w:val="21"/>
          <w:highlight w:val="none"/>
          <w:lang w:val="en-US" w:eastAsia="zh-CN"/>
          <w14:textFill>
            <w14:solidFill>
              <w14:schemeClr w14:val="tx1"/>
            </w14:solidFill>
          </w14:textFill>
        </w:rPr>
        <w:t>曹波</w:t>
      </w:r>
    </w:p>
    <w:p w14:paraId="64A80D6E">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highlight w:val="none"/>
        </w:rPr>
      </w:pPr>
      <w:r>
        <w:rPr>
          <w:rFonts w:hint="eastAsia" w:ascii="宋体" w:hAnsi="宋体"/>
          <w:color w:val="000000" w:themeColor="text1"/>
          <w:sz w:val="21"/>
          <w:szCs w:val="21"/>
          <w:highlight w:val="none"/>
          <w14:textFill>
            <w14:solidFill>
              <w14:schemeClr w14:val="tx1"/>
            </w14:solidFill>
          </w14:textFill>
        </w:rPr>
        <w:t>终审：</w:t>
      </w:r>
      <w:r>
        <w:rPr>
          <w:rFonts w:hint="eastAsia"/>
          <w:color w:val="000000" w:themeColor="text1"/>
          <w:sz w:val="21"/>
          <w:szCs w:val="21"/>
          <w:highlight w:val="none"/>
          <w:lang w:val="en-US" w:eastAsia="zh-CN"/>
          <w14:textFill>
            <w14:solidFill>
              <w14:schemeClr w14:val="tx1"/>
            </w14:solidFill>
          </w14:textFill>
        </w:rPr>
        <w:t>李洪梅</w:t>
      </w:r>
      <w:r>
        <w:rPr>
          <w:highlight w:val="none"/>
        </w:rPr>
        <w:br w:type="page"/>
      </w:r>
    </w:p>
    <w:p w14:paraId="0E3B314E">
      <w:pPr>
        <w:spacing w:line="360" w:lineRule="auto"/>
        <w:jc w:val="center"/>
        <w:rPr>
          <w:rFonts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bookmarkStart w:id="44" w:name="_bookmark20"/>
      <w:bookmarkEnd w:id="44"/>
      <w:bookmarkStart w:id="45" w:name="_bookmark10"/>
      <w:bookmarkEnd w:id="45"/>
      <w:bookmarkStart w:id="46" w:name="_Toc6697"/>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第二章  供应商须知</w:t>
      </w:r>
      <w:bookmarkEnd w:id="46"/>
    </w:p>
    <w:p w14:paraId="1CE5498D">
      <w:pPr>
        <w:wordWrap w:val="0"/>
        <w:spacing w:after="240" w:afterLines="100"/>
        <w:jc w:val="center"/>
        <w:rPr>
          <w:rFonts w:asciiTheme="minorEastAsia" w:hAnsiTheme="minorEastAsia" w:eastAsiaTheme="minorEastAsia" w:cstheme="minorEastAsia"/>
          <w:b/>
          <w:bCs/>
          <w:color w:val="000000" w:themeColor="text1"/>
          <w:sz w:val="28"/>
          <w:szCs w:val="28"/>
          <w:highlight w:val="none"/>
          <w14:textFill>
            <w14:solidFill>
              <w14:schemeClr w14:val="tx1"/>
            </w14:solidFill>
          </w14:textFill>
        </w:rPr>
      </w:pPr>
      <w:bookmarkStart w:id="47" w:name="_bookmark21"/>
      <w:bookmarkEnd w:id="47"/>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须知前附表</w:t>
      </w:r>
    </w:p>
    <w:tbl>
      <w:tblPr>
        <w:tblStyle w:val="27"/>
        <w:tblW w:w="535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1"/>
        <w:gridCol w:w="2341"/>
        <w:gridCol w:w="7632"/>
      </w:tblGrid>
      <w:tr w14:paraId="0A6BF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384" w:type="pct"/>
            <w:vAlign w:val="center"/>
          </w:tcPr>
          <w:p w14:paraId="11AEB081">
            <w:pPr>
              <w:pStyle w:val="39"/>
              <w:wordWrap w:val="0"/>
              <w:spacing w:line="38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条款号</w:t>
            </w:r>
          </w:p>
        </w:tc>
        <w:tc>
          <w:tcPr>
            <w:tcW w:w="1083" w:type="pct"/>
            <w:vAlign w:val="center"/>
          </w:tcPr>
          <w:p w14:paraId="2488B58B">
            <w:pPr>
              <w:pStyle w:val="39"/>
              <w:wordWrap w:val="0"/>
              <w:spacing w:line="38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条款名称</w:t>
            </w:r>
          </w:p>
        </w:tc>
        <w:tc>
          <w:tcPr>
            <w:tcW w:w="3532" w:type="pct"/>
            <w:vAlign w:val="center"/>
          </w:tcPr>
          <w:p w14:paraId="3C2CD783">
            <w:pPr>
              <w:pStyle w:val="39"/>
              <w:wordWrap w:val="0"/>
              <w:spacing w:line="38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编列内容</w:t>
            </w:r>
          </w:p>
        </w:tc>
      </w:tr>
      <w:tr w14:paraId="5F6F7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jc w:val="center"/>
        </w:trPr>
        <w:tc>
          <w:tcPr>
            <w:tcW w:w="384" w:type="pct"/>
            <w:vAlign w:val="center"/>
          </w:tcPr>
          <w:p w14:paraId="33B95608">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1.1.2</w:t>
            </w:r>
          </w:p>
        </w:tc>
        <w:tc>
          <w:tcPr>
            <w:tcW w:w="1083" w:type="pct"/>
            <w:vAlign w:val="center"/>
          </w:tcPr>
          <w:p w14:paraId="076B86F2">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采购</w:t>
            </w:r>
            <w:r>
              <w:rPr>
                <w:rFonts w:hint="eastAsia"/>
                <w:color w:val="000000" w:themeColor="text1"/>
                <w:sz w:val="21"/>
                <w:szCs w:val="21"/>
                <w:highlight w:val="none"/>
                <w14:textFill>
                  <w14:solidFill>
                    <w14:schemeClr w14:val="tx1"/>
                  </w14:solidFill>
                </w14:textFill>
              </w:rPr>
              <w:t>人</w:t>
            </w:r>
          </w:p>
        </w:tc>
        <w:tc>
          <w:tcPr>
            <w:tcW w:w="3532" w:type="pct"/>
            <w:vAlign w:val="center"/>
          </w:tcPr>
          <w:p w14:paraId="6A9D224D">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名    称：长春市体育局</w:t>
            </w:r>
          </w:p>
          <w:p w14:paraId="2DA56FE0">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地    址：</w:t>
            </w:r>
            <w:r>
              <w:rPr>
                <w:rFonts w:hint="eastAsia"/>
                <w:color w:val="000000"/>
                <w:sz w:val="21"/>
                <w:szCs w:val="21"/>
                <w:highlight w:val="none"/>
                <w:lang w:eastAsia="zh-CN"/>
              </w:rPr>
              <w:t>长春市朝阳区东朝阳路88号</w:t>
            </w:r>
          </w:p>
          <w:p w14:paraId="46BEC73E">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联 系 人：</w:t>
            </w:r>
            <w:r>
              <w:rPr>
                <w:rFonts w:hint="eastAsia"/>
                <w:color w:val="000000"/>
                <w:sz w:val="21"/>
                <w:szCs w:val="21"/>
                <w:highlight w:val="none"/>
                <w:lang w:eastAsia="zh-CN"/>
              </w:rPr>
              <w:t>王震宇</w:t>
            </w:r>
          </w:p>
          <w:p w14:paraId="759B1342">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联系方式：</w:t>
            </w:r>
            <w:r>
              <w:rPr>
                <w:rFonts w:hint="eastAsia"/>
                <w:color w:val="000000"/>
                <w:sz w:val="21"/>
                <w:szCs w:val="21"/>
                <w:highlight w:val="none"/>
                <w:lang w:eastAsia="zh-CN"/>
              </w:rPr>
              <w:t>0431-88466657</w:t>
            </w:r>
          </w:p>
        </w:tc>
      </w:tr>
      <w:tr w14:paraId="319ED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1AF58B57">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1.1.3</w:t>
            </w:r>
          </w:p>
        </w:tc>
        <w:tc>
          <w:tcPr>
            <w:tcW w:w="1083" w:type="pct"/>
            <w:vAlign w:val="center"/>
          </w:tcPr>
          <w:p w14:paraId="079509C4">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采购</w:t>
            </w:r>
            <w:r>
              <w:rPr>
                <w:rFonts w:hint="eastAsia"/>
                <w:color w:val="000000" w:themeColor="text1"/>
                <w:sz w:val="21"/>
                <w:szCs w:val="21"/>
                <w:highlight w:val="none"/>
                <w14:textFill>
                  <w14:solidFill>
                    <w14:schemeClr w14:val="tx1"/>
                  </w14:solidFill>
                </w14:textFill>
              </w:rPr>
              <w:t>代理机构</w:t>
            </w:r>
          </w:p>
        </w:tc>
        <w:tc>
          <w:tcPr>
            <w:tcW w:w="3532" w:type="pct"/>
            <w:vAlign w:val="center"/>
          </w:tcPr>
          <w:p w14:paraId="22655B27">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名    称：吉林省致诚项目管理有限公司</w:t>
            </w:r>
          </w:p>
          <w:p w14:paraId="3924C234">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 xml:space="preserve">地    址：长春市南关区华庆南路钜城上景A3-2栋806室      </w:t>
            </w:r>
          </w:p>
          <w:p w14:paraId="3298B21A">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联系方式：</w:t>
            </w:r>
            <w:r>
              <w:rPr>
                <w:rFonts w:hint="eastAsia"/>
                <w:color w:val="000000"/>
                <w:sz w:val="21"/>
                <w:szCs w:val="21"/>
                <w:highlight w:val="none"/>
                <w:lang w:eastAsia="zh-CN"/>
              </w:rPr>
              <w:t>0431-85598838（</w:t>
            </w:r>
            <w:r>
              <w:rPr>
                <w:rFonts w:hint="eastAsia"/>
                <w:color w:val="000000"/>
                <w:sz w:val="21"/>
                <w:szCs w:val="21"/>
                <w:highlight w:val="none"/>
                <w:lang w:val="en-US" w:eastAsia="zh-CN"/>
              </w:rPr>
              <w:t>周贺、李洪梅</w:t>
            </w:r>
            <w:r>
              <w:rPr>
                <w:rFonts w:hint="eastAsia"/>
                <w:color w:val="000000"/>
                <w:sz w:val="21"/>
                <w:szCs w:val="21"/>
                <w:highlight w:val="none"/>
                <w:lang w:eastAsia="zh-CN"/>
              </w:rPr>
              <w:t>）</w:t>
            </w:r>
          </w:p>
        </w:tc>
      </w:tr>
      <w:tr w14:paraId="139D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02152B42">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1.1.4</w:t>
            </w:r>
          </w:p>
        </w:tc>
        <w:tc>
          <w:tcPr>
            <w:tcW w:w="1083" w:type="pct"/>
            <w:vAlign w:val="center"/>
          </w:tcPr>
          <w:p w14:paraId="159C7B43">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项目名称</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及项目</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编号</w:t>
            </w:r>
          </w:p>
        </w:tc>
        <w:tc>
          <w:tcPr>
            <w:tcW w:w="3532" w:type="pct"/>
            <w:vAlign w:val="center"/>
          </w:tcPr>
          <w:p w14:paraId="086E3BDD">
            <w:pPr>
              <w:pStyle w:val="39"/>
              <w:wordWrap w:val="0"/>
              <w:spacing w:line="380" w:lineRule="exact"/>
              <w:ind w:left="99" w:leftChars="43" w:hanging="4"/>
              <w:jc w:val="both"/>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项目名称：2026年乒乓球场采购项目</w:t>
            </w:r>
          </w:p>
          <w:p w14:paraId="370679DA">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项目</w:t>
            </w:r>
            <w:r>
              <w:rPr>
                <w:rFonts w:hint="eastAsia"/>
                <w:color w:val="000000" w:themeColor="text1"/>
                <w:sz w:val="21"/>
                <w:szCs w:val="21"/>
                <w:highlight w:val="none"/>
                <w:lang w:eastAsia="zh-CN"/>
                <w14:textFill>
                  <w14:solidFill>
                    <w14:schemeClr w14:val="tx1"/>
                  </w14:solidFill>
                </w14:textFill>
              </w:rPr>
              <w:t>编号：JM-2026-04-02285-2026ZCZB0605（2026ZCZB0605）</w:t>
            </w:r>
          </w:p>
        </w:tc>
      </w:tr>
      <w:tr w14:paraId="7AAED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384" w:type="pct"/>
            <w:vAlign w:val="center"/>
          </w:tcPr>
          <w:p w14:paraId="0FCCC9A8">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1.1.5</w:t>
            </w:r>
          </w:p>
        </w:tc>
        <w:tc>
          <w:tcPr>
            <w:tcW w:w="1083" w:type="pct"/>
            <w:vAlign w:val="center"/>
          </w:tcPr>
          <w:p w14:paraId="2556BA13">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供货地点</w:t>
            </w:r>
          </w:p>
        </w:tc>
        <w:tc>
          <w:tcPr>
            <w:tcW w:w="3532" w:type="pct"/>
            <w:vAlign w:val="center"/>
          </w:tcPr>
          <w:p w14:paraId="2ED400D1">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sz w:val="21"/>
                <w:szCs w:val="21"/>
                <w:highlight w:val="none"/>
                <w:lang w:eastAsia="zh-CN"/>
              </w:rPr>
              <w:t>采购人指定地点</w:t>
            </w:r>
          </w:p>
        </w:tc>
      </w:tr>
      <w:tr w14:paraId="11EC1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384" w:type="pct"/>
            <w:vAlign w:val="center"/>
          </w:tcPr>
          <w:p w14:paraId="0CB6E284">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1.1.</w:t>
            </w:r>
            <w:r>
              <w:rPr>
                <w:rFonts w:hint="eastAsia"/>
                <w:color w:val="000000" w:themeColor="text1"/>
                <w:sz w:val="21"/>
                <w:szCs w:val="21"/>
                <w:highlight w:val="none"/>
                <w:lang w:eastAsia="zh-CN"/>
                <w14:textFill>
                  <w14:solidFill>
                    <w14:schemeClr w14:val="tx1"/>
                  </w14:solidFill>
                </w14:textFill>
              </w:rPr>
              <w:t>6</w:t>
            </w:r>
          </w:p>
        </w:tc>
        <w:tc>
          <w:tcPr>
            <w:tcW w:w="1083" w:type="pct"/>
            <w:vAlign w:val="center"/>
          </w:tcPr>
          <w:p w14:paraId="6BD41A9E">
            <w:pPr>
              <w:pStyle w:val="39"/>
              <w:wordWrap w:val="0"/>
              <w:spacing w:line="380" w:lineRule="exact"/>
              <w:jc w:val="center"/>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预算总金额</w:t>
            </w:r>
          </w:p>
          <w:p w14:paraId="7BFDB3DA">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（最高限价）</w:t>
            </w:r>
          </w:p>
        </w:tc>
        <w:tc>
          <w:tcPr>
            <w:tcW w:w="3532" w:type="pct"/>
            <w:vAlign w:val="center"/>
          </w:tcPr>
          <w:p w14:paraId="43622DFD">
            <w:pPr>
              <w:wordWrap w:val="0"/>
              <w:spacing w:line="380" w:lineRule="exact"/>
              <w:ind w:left="99" w:leftChars="43" w:hanging="4"/>
              <w:jc w:val="both"/>
              <w:rPr>
                <w:rFonts w:hint="eastAsia" w:asciiTheme="minorEastAsia" w:hAnsiTheme="minorEastAsia" w:eastAsia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sz w:val="21"/>
                <w:szCs w:val="21"/>
                <w:highlight w:val="none"/>
                <w:lang w:val="en-US" w:eastAsia="zh-CN"/>
                <w14:textFill>
                  <w14:solidFill>
                    <w14:schemeClr w14:val="tx1"/>
                  </w14:solidFill>
                </w14:textFill>
              </w:rPr>
              <w:t>预算总金额：500000元</w:t>
            </w:r>
          </w:p>
          <w:p w14:paraId="0B5FFD1E">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b/>
                <w:bCs/>
                <w:color w:val="000000" w:themeColor="text1"/>
                <w:sz w:val="21"/>
                <w:szCs w:val="21"/>
                <w:highlight w:val="none"/>
                <w:lang w:eastAsia="zh-CN"/>
                <w14:textFill>
                  <w14:solidFill>
                    <w14:schemeClr w14:val="tx1"/>
                  </w14:solidFill>
                </w14:textFill>
              </w:rPr>
              <w:t>注：</w:t>
            </w:r>
            <w:r>
              <w:rPr>
                <w:rFonts w:hint="eastAsia" w:asciiTheme="minorEastAsia" w:hAnsiTheme="minorEastAsia" w:eastAsiaTheme="minorEastAsia"/>
                <w:b/>
                <w:bCs/>
                <w:color w:val="000000" w:themeColor="text1"/>
                <w:sz w:val="21"/>
                <w:szCs w:val="21"/>
                <w:highlight w:val="none"/>
                <w:lang w:val="zh-CN" w:eastAsia="zh-CN"/>
                <w14:textFill>
                  <w14:solidFill>
                    <w14:schemeClr w14:val="tx1"/>
                  </w14:solidFill>
                </w14:textFill>
              </w:rPr>
              <w:t>供应商</w:t>
            </w:r>
            <w:r>
              <w:rPr>
                <w:rFonts w:hint="eastAsia" w:asciiTheme="minorEastAsia" w:hAnsiTheme="minorEastAsia" w:eastAsiaTheme="minorEastAsia"/>
                <w:b/>
                <w:bCs/>
                <w:color w:val="000000" w:themeColor="text1"/>
                <w:sz w:val="21"/>
                <w:szCs w:val="21"/>
                <w:highlight w:val="none"/>
                <w:lang w:val="en-US" w:eastAsia="zh-CN"/>
                <w14:textFill>
                  <w14:solidFill>
                    <w14:schemeClr w14:val="tx1"/>
                  </w14:solidFill>
                </w14:textFill>
              </w:rPr>
              <w:t>首次</w:t>
            </w:r>
            <w:r>
              <w:rPr>
                <w:rFonts w:hint="eastAsia" w:asciiTheme="minorEastAsia" w:hAnsiTheme="minorEastAsia" w:eastAsiaTheme="minorEastAsia"/>
                <w:b/>
                <w:bCs/>
                <w:color w:val="000000" w:themeColor="text1"/>
                <w:sz w:val="21"/>
                <w:szCs w:val="21"/>
                <w:highlight w:val="none"/>
                <w:lang w:val="zh-CN" w:eastAsia="zh-CN"/>
                <w14:textFill>
                  <w14:solidFill>
                    <w14:schemeClr w14:val="tx1"/>
                  </w14:solidFill>
                </w14:textFill>
              </w:rPr>
              <w:t>报价</w:t>
            </w:r>
            <w:r>
              <w:rPr>
                <w:rFonts w:hint="eastAsia" w:asciiTheme="minorEastAsia" w:hAnsiTheme="minorEastAsia" w:eastAsiaTheme="minorEastAsia"/>
                <w:b/>
                <w:bCs/>
                <w:color w:val="000000" w:themeColor="text1"/>
                <w:sz w:val="21"/>
                <w:szCs w:val="21"/>
                <w:highlight w:val="none"/>
                <w:lang w:val="en-US" w:eastAsia="zh-CN"/>
                <w14:textFill>
                  <w14:solidFill>
                    <w14:schemeClr w14:val="tx1"/>
                  </w14:solidFill>
                </w14:textFill>
              </w:rPr>
              <w:t>和最后报价均</w:t>
            </w:r>
            <w:r>
              <w:rPr>
                <w:rFonts w:hint="eastAsia" w:asciiTheme="minorEastAsia" w:hAnsiTheme="minorEastAsia" w:eastAsiaTheme="minorEastAsia"/>
                <w:b/>
                <w:bCs/>
                <w:color w:val="000000" w:themeColor="text1"/>
                <w:sz w:val="21"/>
                <w:szCs w:val="21"/>
                <w:highlight w:val="none"/>
                <w:lang w:val="zh-CN" w:eastAsia="zh-CN"/>
                <w14:textFill>
                  <w14:solidFill>
                    <w14:schemeClr w14:val="tx1"/>
                  </w14:solidFill>
                </w14:textFill>
              </w:rPr>
              <w:t>不得超过</w:t>
            </w:r>
            <w:r>
              <w:rPr>
                <w:rFonts w:hint="eastAsia" w:asciiTheme="minorEastAsia" w:hAnsiTheme="minorEastAsia" w:eastAsiaTheme="minorEastAsia"/>
                <w:b/>
                <w:bCs/>
                <w:color w:val="000000" w:themeColor="text1"/>
                <w:sz w:val="21"/>
                <w:szCs w:val="21"/>
                <w:highlight w:val="none"/>
                <w:lang w:val="en-US" w:eastAsia="zh-CN"/>
                <w14:textFill>
                  <w14:solidFill>
                    <w14:schemeClr w14:val="tx1"/>
                  </w14:solidFill>
                </w14:textFill>
              </w:rPr>
              <w:t>最高限价</w:t>
            </w:r>
            <w:r>
              <w:rPr>
                <w:rFonts w:hint="eastAsia" w:asciiTheme="minorEastAsia" w:hAnsiTheme="minorEastAsia" w:eastAsiaTheme="minorEastAsia"/>
                <w:b/>
                <w:bCs/>
                <w:color w:val="000000" w:themeColor="text1"/>
                <w:sz w:val="21"/>
                <w:szCs w:val="21"/>
                <w:highlight w:val="none"/>
                <w:lang w:val="zh-CN" w:eastAsia="zh-CN"/>
                <w14:textFill>
                  <w14:solidFill>
                    <w14:schemeClr w14:val="tx1"/>
                  </w14:solidFill>
                </w14:textFill>
              </w:rPr>
              <w:t>，否则按废标处理</w:t>
            </w:r>
          </w:p>
        </w:tc>
      </w:tr>
      <w:tr w14:paraId="5ACF9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302E5F94">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1.2.1</w:t>
            </w:r>
          </w:p>
        </w:tc>
        <w:tc>
          <w:tcPr>
            <w:tcW w:w="1083" w:type="pct"/>
            <w:vAlign w:val="center"/>
          </w:tcPr>
          <w:p w14:paraId="78437506">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资金来源及比例</w:t>
            </w:r>
          </w:p>
        </w:tc>
        <w:tc>
          <w:tcPr>
            <w:tcW w:w="3532" w:type="pct"/>
            <w:vAlign w:val="center"/>
          </w:tcPr>
          <w:p w14:paraId="3A340175">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财政资金100%</w:t>
            </w:r>
          </w:p>
        </w:tc>
      </w:tr>
      <w:tr w14:paraId="2827F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0604E49A">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1.2.2</w:t>
            </w:r>
          </w:p>
        </w:tc>
        <w:tc>
          <w:tcPr>
            <w:tcW w:w="1083" w:type="pct"/>
            <w:vAlign w:val="center"/>
          </w:tcPr>
          <w:p w14:paraId="536CD8B8">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资金落实情况</w:t>
            </w:r>
          </w:p>
        </w:tc>
        <w:tc>
          <w:tcPr>
            <w:tcW w:w="3532" w:type="pct"/>
            <w:vAlign w:val="center"/>
          </w:tcPr>
          <w:p w14:paraId="56E9CB0A">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已落实</w:t>
            </w:r>
          </w:p>
        </w:tc>
      </w:tr>
      <w:tr w14:paraId="13F09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384" w:type="pct"/>
            <w:vAlign w:val="center"/>
          </w:tcPr>
          <w:p w14:paraId="300D0FCD">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1.3.1</w:t>
            </w:r>
          </w:p>
        </w:tc>
        <w:tc>
          <w:tcPr>
            <w:tcW w:w="1083" w:type="pct"/>
            <w:vAlign w:val="center"/>
          </w:tcPr>
          <w:p w14:paraId="7D85AAEA">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采购需求</w:t>
            </w:r>
          </w:p>
        </w:tc>
        <w:tc>
          <w:tcPr>
            <w:tcW w:w="3532" w:type="pct"/>
            <w:vAlign w:val="center"/>
          </w:tcPr>
          <w:tbl>
            <w:tblPr>
              <w:tblStyle w:val="28"/>
              <w:tblpPr w:leftFromText="180" w:rightFromText="180" w:vertAnchor="text" w:horzAnchor="page" w:tblpX="286" w:tblpY="69"/>
              <w:tblOverlap w:val="never"/>
              <w:tblW w:w="6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686"/>
              <w:gridCol w:w="2062"/>
            </w:tblGrid>
            <w:tr w14:paraId="2B48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30" w:type="dxa"/>
                  <w:vAlign w:val="center"/>
                </w:tcPr>
                <w:p w14:paraId="286948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序号</w:t>
                  </w:r>
                </w:p>
              </w:tc>
              <w:tc>
                <w:tcPr>
                  <w:tcW w:w="3686" w:type="dxa"/>
                  <w:shd w:val="clear" w:color="auto" w:fill="auto"/>
                  <w:vAlign w:val="center"/>
                </w:tcPr>
                <w:p w14:paraId="36579C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bidi="ar-SA"/>
                      <w14:textFill>
                        <w14:solidFill>
                          <w14:schemeClr w14:val="tx1"/>
                        </w14:solidFill>
                      </w14:textFill>
                    </w:rPr>
                    <w:t>采购需求</w:t>
                  </w:r>
                </w:p>
              </w:tc>
              <w:tc>
                <w:tcPr>
                  <w:tcW w:w="2062" w:type="dxa"/>
                  <w:vAlign w:val="center"/>
                </w:tcPr>
                <w:p w14:paraId="46DD00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数量</w:t>
                  </w:r>
                </w:p>
              </w:tc>
            </w:tr>
            <w:tr w14:paraId="4F5C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30" w:type="dxa"/>
                  <w:shd w:val="clear" w:color="auto" w:fill="auto"/>
                  <w:vAlign w:val="center"/>
                </w:tcPr>
                <w:p w14:paraId="2CAF75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1</w:t>
                  </w:r>
                </w:p>
              </w:tc>
              <w:tc>
                <w:tcPr>
                  <w:tcW w:w="3686" w:type="dxa"/>
                  <w:shd w:val="clear" w:color="auto" w:fill="auto"/>
                  <w:vAlign w:val="center"/>
                </w:tcPr>
                <w:p w14:paraId="34A55E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cs="宋体" w:asciiTheme="majorEastAsia" w:hAnsiTheme="majorEastAsia" w:eastAsiaTheme="majorEastAsia"/>
                      <w:color w:val="000000"/>
                      <w:sz w:val="21"/>
                      <w:szCs w:val="21"/>
                      <w:highlight w:val="none"/>
                      <w:lang w:bidi="ar"/>
                    </w:rPr>
                    <w:t>室外乒乓球台</w:t>
                  </w:r>
                  <w:r>
                    <w:rPr>
                      <w:rFonts w:hint="eastAsia" w:ascii="宋体" w:hAnsi="宋体" w:cs="宋体"/>
                      <w:b w:val="0"/>
                      <w:bCs w:val="0"/>
                      <w:color w:val="000000" w:themeColor="text1"/>
                      <w:sz w:val="21"/>
                      <w:szCs w:val="21"/>
                      <w:highlight w:val="none"/>
                      <w:vertAlign w:val="baseline"/>
                      <w:lang w:val="en-US" w:eastAsia="zh-CN" w:bidi="ar-SA"/>
                      <w14:textFill>
                        <w14:solidFill>
                          <w14:schemeClr w14:val="tx1"/>
                        </w14:solidFill>
                      </w14:textFill>
                    </w:rPr>
                    <w:t>2</w:t>
                  </w:r>
                  <w:r>
                    <w:rPr>
                      <w:rFonts w:hint="default" w:ascii="宋体" w:hAnsi="宋体" w:eastAsia="宋体" w:cs="宋体"/>
                      <w:b w:val="0"/>
                      <w:bCs w:val="0"/>
                      <w:color w:val="000000" w:themeColor="text1"/>
                      <w:sz w:val="21"/>
                      <w:szCs w:val="21"/>
                      <w:highlight w:val="none"/>
                      <w:vertAlign w:val="baseline"/>
                      <w:lang w:val="en-US" w:eastAsia="zh-CN" w:bidi="ar-SA"/>
                      <w14:textFill>
                        <w14:solidFill>
                          <w14:schemeClr w14:val="tx1"/>
                        </w14:solidFill>
                      </w14:textFill>
                    </w:rPr>
                    <w:t>台</w:t>
                  </w:r>
                </w:p>
              </w:tc>
              <w:tc>
                <w:tcPr>
                  <w:tcW w:w="2062" w:type="dxa"/>
                  <w:vMerge w:val="restart"/>
                  <w:shd w:val="clear" w:color="auto" w:fill="auto"/>
                  <w:vAlign w:val="center"/>
                </w:tcPr>
                <w:p w14:paraId="74F76BB2">
                  <w:pPr>
                    <w:pStyle w:val="35"/>
                    <w:keepNext w:val="0"/>
                    <w:keepLines w:val="0"/>
                    <w:pageBreakBefore w:val="0"/>
                    <w:kinsoku/>
                    <w:overflowPunct/>
                    <w:topLinePunct w:val="0"/>
                    <w:bidi w:val="0"/>
                    <w:snapToGrid/>
                    <w:spacing w:line="360" w:lineRule="exact"/>
                    <w:jc w:val="center"/>
                    <w:textAlignment w:val="auto"/>
                    <w:rPr>
                      <w:rFonts w:hint="default" w:ascii="宋体" w:hAnsi="宋体" w:cs="宋体" w:eastAsiaTheme="majorEastAsia"/>
                      <w:b w:val="0"/>
                      <w:bCs w:val="0"/>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cs="宋体"/>
                      <w:b w:val="0"/>
                      <w:bCs w:val="0"/>
                      <w:color w:val="000000" w:themeColor="text1"/>
                      <w:sz w:val="21"/>
                      <w:szCs w:val="21"/>
                      <w:highlight w:val="none"/>
                      <w:vertAlign w:val="baseline"/>
                      <w:lang w:val="en-US" w:eastAsia="zh-CN" w:bidi="ar-SA"/>
                      <w14:textFill>
                        <w14:solidFill>
                          <w14:schemeClr w14:val="tx1"/>
                        </w14:solidFill>
                      </w14:textFill>
                    </w:rPr>
                    <w:t>50套</w:t>
                  </w:r>
                </w:p>
              </w:tc>
            </w:tr>
            <w:tr w14:paraId="4798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30" w:type="dxa"/>
                  <w:shd w:val="clear" w:color="auto" w:fill="auto"/>
                  <w:vAlign w:val="center"/>
                </w:tcPr>
                <w:p w14:paraId="1AA21441">
                  <w:pPr>
                    <w:pStyle w:val="35"/>
                    <w:keepNext w:val="0"/>
                    <w:keepLines w:val="0"/>
                    <w:pageBreakBefore w:val="0"/>
                    <w:kinsoku/>
                    <w:overflowPunct/>
                    <w:topLinePunct w:val="0"/>
                    <w:bidi w:val="0"/>
                    <w:snapToGrid/>
                    <w:spacing w:line="360" w:lineRule="exact"/>
                    <w:jc w:val="center"/>
                    <w:textAlignment w:val="auto"/>
                    <w:rPr>
                      <w:rFonts w:hint="default" w:ascii="宋体" w:hAnsi="宋体" w:eastAsia="宋体" w:cs="宋体"/>
                      <w:b w:val="0"/>
                      <w:bCs w:val="0"/>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bidi="ar-SA"/>
                      <w14:textFill>
                        <w14:solidFill>
                          <w14:schemeClr w14:val="tx1"/>
                        </w14:solidFill>
                      </w14:textFill>
                    </w:rPr>
                    <w:t>2</w:t>
                  </w:r>
                </w:p>
              </w:tc>
              <w:tc>
                <w:tcPr>
                  <w:tcW w:w="3686" w:type="dxa"/>
                  <w:shd w:val="clear" w:color="auto" w:fill="auto"/>
                  <w:vAlign w:val="center"/>
                </w:tcPr>
                <w:p w14:paraId="4920A26D">
                  <w:pPr>
                    <w:pStyle w:val="35"/>
                    <w:keepNext w:val="0"/>
                    <w:keepLines w:val="0"/>
                    <w:pageBreakBefore w:val="0"/>
                    <w:kinsoku/>
                    <w:overflowPunct/>
                    <w:topLinePunct w:val="0"/>
                    <w:bidi w:val="0"/>
                    <w:snapToGrid/>
                    <w:spacing w:line="360" w:lineRule="exact"/>
                    <w:jc w:val="center"/>
                    <w:textAlignment w:val="auto"/>
                    <w:rPr>
                      <w:rFonts w:hint="default" w:ascii="宋体" w:hAnsi="宋体" w:eastAsia="宋体" w:cs="宋体"/>
                      <w:b w:val="0"/>
                      <w:bCs w:val="0"/>
                      <w:color w:val="000000" w:themeColor="text1"/>
                      <w:sz w:val="21"/>
                      <w:szCs w:val="21"/>
                      <w:highlight w:val="none"/>
                      <w:vertAlign w:val="baseline"/>
                      <w:lang w:val="en-US" w:eastAsia="zh-CN" w:bidi="ar-SA"/>
                      <w14:textFill>
                        <w14:solidFill>
                          <w14:schemeClr w14:val="tx1"/>
                        </w14:solidFill>
                      </w14:textFill>
                    </w:rPr>
                  </w:pPr>
                  <w:r>
                    <w:rPr>
                      <w:rFonts w:hint="eastAsia" w:cs="宋体" w:asciiTheme="majorEastAsia" w:hAnsiTheme="majorEastAsia" w:eastAsiaTheme="majorEastAsia"/>
                      <w:color w:val="000000"/>
                      <w:sz w:val="21"/>
                      <w:szCs w:val="21"/>
                      <w:highlight w:val="none"/>
                      <w:lang w:bidi="ar"/>
                    </w:rPr>
                    <w:t>悬浮地板</w:t>
                  </w:r>
                  <w:r>
                    <w:rPr>
                      <w:rFonts w:hint="eastAsia" w:cs="宋体" w:asciiTheme="majorEastAsia" w:hAnsiTheme="majorEastAsia" w:eastAsiaTheme="majorEastAsia"/>
                      <w:color w:val="000000"/>
                      <w:sz w:val="21"/>
                      <w:szCs w:val="21"/>
                      <w:highlight w:val="none"/>
                    </w:rPr>
                    <w:t>60</w:t>
                  </w:r>
                  <w:r>
                    <w:rPr>
                      <w:rFonts w:hint="eastAsia" w:cs="宋体" w:asciiTheme="majorEastAsia" w:hAnsiTheme="majorEastAsia" w:eastAsiaTheme="majorEastAsia"/>
                      <w:color w:val="000000"/>
                      <w:sz w:val="21"/>
                      <w:szCs w:val="21"/>
                      <w:highlight w:val="none"/>
                      <w:lang w:val="en-US" w:eastAsia="zh-CN"/>
                    </w:rPr>
                    <w:t>平方米</w:t>
                  </w:r>
                </w:p>
              </w:tc>
              <w:tc>
                <w:tcPr>
                  <w:tcW w:w="2062" w:type="dxa"/>
                  <w:vMerge w:val="continue"/>
                  <w:shd w:val="clear" w:color="auto" w:fill="auto"/>
                  <w:vAlign w:val="center"/>
                </w:tcPr>
                <w:p w14:paraId="4320A1AF">
                  <w:pPr>
                    <w:pStyle w:val="35"/>
                    <w:keepNext w:val="0"/>
                    <w:keepLines w:val="0"/>
                    <w:pageBreakBefore w:val="0"/>
                    <w:kinsoku/>
                    <w:overflowPunct/>
                    <w:topLinePunct w:val="0"/>
                    <w:bidi w:val="0"/>
                    <w:snapToGrid/>
                    <w:spacing w:line="360" w:lineRule="exact"/>
                    <w:jc w:val="center"/>
                    <w:textAlignment w:val="auto"/>
                    <w:rPr>
                      <w:rFonts w:hint="eastAsia" w:ascii="宋体" w:hAnsi="宋体" w:cs="宋体" w:eastAsiaTheme="majorEastAsia"/>
                      <w:b w:val="0"/>
                      <w:bCs w:val="0"/>
                      <w:color w:val="000000" w:themeColor="text1"/>
                      <w:sz w:val="21"/>
                      <w:szCs w:val="21"/>
                      <w:highlight w:val="none"/>
                      <w:vertAlign w:val="baseline"/>
                      <w:lang w:val="en-US" w:eastAsia="zh-CN" w:bidi="ar-SA"/>
                      <w14:textFill>
                        <w14:solidFill>
                          <w14:schemeClr w14:val="tx1"/>
                        </w14:solidFill>
                      </w14:textFill>
                    </w:rPr>
                  </w:pPr>
                </w:p>
              </w:tc>
            </w:tr>
          </w:tbl>
          <w:p w14:paraId="2B52C193">
            <w:pPr>
              <w:wordWrap w:val="0"/>
              <w:spacing w:line="380" w:lineRule="exact"/>
              <w:ind w:left="99" w:leftChars="43" w:hanging="4"/>
              <w:jc w:val="both"/>
              <w:rPr>
                <w:rFonts w:hint="default"/>
                <w:color w:val="000000" w:themeColor="text1"/>
                <w:sz w:val="21"/>
                <w:szCs w:val="21"/>
                <w:highlight w:val="none"/>
                <w:lang w:val="en-US" w:eastAsia="zh-CN"/>
                <w14:textFill>
                  <w14:solidFill>
                    <w14:schemeClr w14:val="tx1"/>
                  </w14:solidFill>
                </w14:textFill>
              </w:rPr>
            </w:pPr>
            <w:r>
              <w:rPr>
                <w:rFonts w:hint="eastAsia"/>
                <w:sz w:val="21"/>
                <w:szCs w:val="21"/>
                <w:highlight w:val="none"/>
                <w:lang w:val="en-US" w:eastAsia="zh-CN"/>
              </w:rPr>
              <w:t>具体内容详见磋商文件第五章采购需求。</w:t>
            </w:r>
          </w:p>
        </w:tc>
      </w:tr>
      <w:tr w14:paraId="76735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384" w:type="pct"/>
            <w:vAlign w:val="center"/>
          </w:tcPr>
          <w:p w14:paraId="12D7C7F8">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1.3.2</w:t>
            </w:r>
          </w:p>
        </w:tc>
        <w:tc>
          <w:tcPr>
            <w:tcW w:w="1083" w:type="pct"/>
            <w:vAlign w:val="center"/>
          </w:tcPr>
          <w:p w14:paraId="245F735C">
            <w:pPr>
              <w:pStyle w:val="39"/>
              <w:wordWrap w:val="0"/>
              <w:spacing w:line="380" w:lineRule="exact"/>
              <w:jc w:val="center"/>
              <w:rPr>
                <w:rFonts w:hint="eastAsia"/>
                <w:sz w:val="21"/>
                <w:szCs w:val="21"/>
                <w:highlight w:val="none"/>
                <w:lang w:eastAsia="zh-CN"/>
              </w:rPr>
            </w:pPr>
            <w:r>
              <w:rPr>
                <w:rFonts w:hint="eastAsia"/>
                <w:sz w:val="21"/>
                <w:szCs w:val="21"/>
                <w:highlight w:val="none"/>
                <w:lang w:eastAsia="zh-CN"/>
              </w:rPr>
              <w:t>合同履行期限</w:t>
            </w:r>
          </w:p>
          <w:p w14:paraId="6C9BB0F4">
            <w:pPr>
              <w:pStyle w:val="39"/>
              <w:wordWrap w:val="0"/>
              <w:spacing w:line="380" w:lineRule="exact"/>
              <w:jc w:val="center"/>
              <w:rPr>
                <w:sz w:val="21"/>
                <w:szCs w:val="21"/>
                <w:highlight w:val="none"/>
                <w:lang w:eastAsia="zh-CN"/>
              </w:rPr>
            </w:pPr>
            <w:r>
              <w:rPr>
                <w:rFonts w:hint="eastAsia"/>
                <w:sz w:val="21"/>
                <w:szCs w:val="21"/>
                <w:highlight w:val="none"/>
                <w:lang w:eastAsia="zh-CN"/>
              </w:rPr>
              <w:t>（供货期）</w:t>
            </w:r>
          </w:p>
        </w:tc>
        <w:tc>
          <w:tcPr>
            <w:tcW w:w="3532" w:type="pct"/>
            <w:vAlign w:val="center"/>
          </w:tcPr>
          <w:p w14:paraId="05D5229F">
            <w:pPr>
              <w:wordWrap w:val="0"/>
              <w:spacing w:line="380" w:lineRule="exact"/>
              <w:ind w:left="99" w:leftChars="43" w:hanging="4"/>
              <w:jc w:val="both"/>
              <w:rPr>
                <w:sz w:val="21"/>
                <w:szCs w:val="21"/>
                <w:highlight w:val="none"/>
                <w:lang w:eastAsia="zh-CN"/>
              </w:rPr>
            </w:pPr>
            <w:r>
              <w:rPr>
                <w:rFonts w:hint="eastAsia"/>
                <w:sz w:val="21"/>
                <w:szCs w:val="21"/>
                <w:highlight w:val="none"/>
                <w:lang w:eastAsia="zh-CN"/>
              </w:rPr>
              <w:t>签订合同后</w:t>
            </w:r>
            <w:r>
              <w:rPr>
                <w:rFonts w:hint="eastAsia"/>
                <w:sz w:val="21"/>
                <w:szCs w:val="21"/>
                <w:highlight w:val="none"/>
                <w:lang w:val="en-US" w:eastAsia="zh-CN"/>
              </w:rPr>
              <w:t>15</w:t>
            </w:r>
            <w:r>
              <w:rPr>
                <w:rFonts w:hint="eastAsia"/>
                <w:sz w:val="21"/>
                <w:szCs w:val="21"/>
                <w:highlight w:val="none"/>
                <w:lang w:eastAsia="zh-CN"/>
              </w:rPr>
              <w:t>天之内交货</w:t>
            </w:r>
          </w:p>
        </w:tc>
      </w:tr>
      <w:tr w14:paraId="04EA1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384" w:type="pct"/>
            <w:vAlign w:val="center"/>
          </w:tcPr>
          <w:p w14:paraId="1BFACF02">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1.3.3</w:t>
            </w:r>
          </w:p>
        </w:tc>
        <w:tc>
          <w:tcPr>
            <w:tcW w:w="1083" w:type="pct"/>
            <w:vAlign w:val="center"/>
          </w:tcPr>
          <w:p w14:paraId="1B14E5AC">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sz w:val="21"/>
                <w:szCs w:val="21"/>
                <w:highlight w:val="none"/>
                <w:lang w:eastAsia="zh-CN"/>
              </w:rPr>
              <w:t>质量标准</w:t>
            </w:r>
          </w:p>
        </w:tc>
        <w:tc>
          <w:tcPr>
            <w:tcW w:w="3532" w:type="pct"/>
            <w:vAlign w:val="center"/>
          </w:tcPr>
          <w:p w14:paraId="0997F3C6">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sz w:val="21"/>
                <w:szCs w:val="21"/>
                <w:highlight w:val="none"/>
                <w:lang w:eastAsia="zh-CN"/>
              </w:rPr>
              <w:t>符合国家及行业相关合格标准</w:t>
            </w:r>
          </w:p>
        </w:tc>
      </w:tr>
      <w:tr w14:paraId="73B06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1846E6D6">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1.4.1</w:t>
            </w:r>
          </w:p>
        </w:tc>
        <w:tc>
          <w:tcPr>
            <w:tcW w:w="1083" w:type="pct"/>
            <w:vAlign w:val="center"/>
          </w:tcPr>
          <w:p w14:paraId="53ED61C6">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供应商资质条件、能力、信誉</w:t>
            </w:r>
          </w:p>
        </w:tc>
        <w:tc>
          <w:tcPr>
            <w:tcW w:w="3532" w:type="pct"/>
            <w:vAlign w:val="center"/>
          </w:tcPr>
          <w:p w14:paraId="2973702F">
            <w:pPr>
              <w:pStyle w:val="39"/>
              <w:wordWrap w:val="0"/>
              <w:spacing w:line="380" w:lineRule="exact"/>
              <w:ind w:left="99" w:leftChars="43" w:hanging="4"/>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1.满足《中华人民共和国政府采购法》第二十二条规定；</w:t>
            </w:r>
          </w:p>
          <w:p w14:paraId="34FDC6E1">
            <w:pPr>
              <w:pStyle w:val="39"/>
              <w:wordWrap w:val="0"/>
              <w:spacing w:line="380" w:lineRule="exact"/>
              <w:ind w:left="99" w:leftChars="43" w:hanging="4"/>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2.落实政府采购政策需满足的资格要求：本项目专门面向中小企业；</w:t>
            </w:r>
          </w:p>
          <w:p w14:paraId="5757D67D">
            <w:pPr>
              <w:pStyle w:val="39"/>
              <w:wordWrap w:val="0"/>
              <w:spacing w:line="380" w:lineRule="exact"/>
              <w:ind w:left="99" w:leftChars="43" w:hanging="4"/>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3.本项目的特定资格要求：</w:t>
            </w:r>
          </w:p>
          <w:p w14:paraId="54E35C55">
            <w:pPr>
              <w:pStyle w:val="39"/>
              <w:wordWrap w:val="0"/>
              <w:spacing w:line="380" w:lineRule="exact"/>
              <w:ind w:left="99" w:leftChars="43" w:hanging="4"/>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（1）供应商须是具有独立的法人资格的企业或其他组织，具有有效的营业执照，并在人员、设备、资金等方面具有相应的能力；</w:t>
            </w:r>
          </w:p>
          <w:p w14:paraId="4539BE3A">
            <w:pPr>
              <w:pStyle w:val="39"/>
              <w:wordWrap w:val="0"/>
              <w:spacing w:line="380" w:lineRule="exact"/>
              <w:ind w:left="99" w:leftChars="43" w:hanging="4"/>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供应商应按照《长春市财政局关于加强政府采购信用体系建设简化供应商资格条件有关事项的通知》（长财采购〔2022〕2066号）文件要求在响应文件中提供反映其财务状况、依法缴纳税收和社保保障资金等情况的资格条件承诺函，并对资格条件承诺函有关内容的真实性、有效性、合法性负责；</w:t>
            </w:r>
          </w:p>
          <w:p w14:paraId="1EDE9934">
            <w:pPr>
              <w:pStyle w:val="39"/>
              <w:wordWrap w:val="0"/>
              <w:spacing w:line="380" w:lineRule="exact"/>
              <w:ind w:left="99" w:leftChars="43" w:hanging="4"/>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）拒绝列入政府取消投标资格记录期间的企业或个人磋商；</w:t>
            </w:r>
          </w:p>
          <w:p w14:paraId="093F3F17">
            <w:pPr>
              <w:pStyle w:val="39"/>
              <w:wordWrap w:val="0"/>
              <w:spacing w:line="380" w:lineRule="exact"/>
              <w:ind w:left="99" w:leftChars="43" w:hanging="4"/>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7DD66DA1">
            <w:pPr>
              <w:pStyle w:val="39"/>
              <w:wordWrap w:val="0"/>
              <w:spacing w:line="380" w:lineRule="exact"/>
              <w:ind w:left="99" w:leftChars="43" w:hanging="4"/>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供应商不得为“信用中国”网站（https://www.creditchina.gov.cn）中列入失信被执行人和重大税收违法失信主体；不得为中国政府采购网（http://www.ccgp.gov.cn）政府采购严重违法失信行为记录名单中被财政部门禁止参加政府采购活动的供应商（在处罚决定规定的时间和地域范围内）（详见财库[2016]125号）；</w:t>
            </w:r>
          </w:p>
          <w:p w14:paraId="7585BDBD">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zh-CN" w:eastAsia="zh-CN"/>
                <w14:textFill>
                  <w14:solidFill>
                    <w14:schemeClr w14:val="tx1"/>
                  </w14:solidFill>
                </w14:textFill>
              </w:rPr>
              <w:t>参加政府采购活动前3年内在经营活动中没有重大违法记录。</w:t>
            </w:r>
          </w:p>
        </w:tc>
      </w:tr>
      <w:tr w14:paraId="7A2F2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2B6A638F">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1.4.2</w:t>
            </w:r>
          </w:p>
        </w:tc>
        <w:tc>
          <w:tcPr>
            <w:tcW w:w="1083" w:type="pct"/>
            <w:vAlign w:val="center"/>
          </w:tcPr>
          <w:p w14:paraId="6221DF33">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是否接受联合体磋商</w:t>
            </w:r>
          </w:p>
        </w:tc>
        <w:tc>
          <w:tcPr>
            <w:tcW w:w="3532" w:type="pct"/>
            <w:vAlign w:val="center"/>
          </w:tcPr>
          <w:p w14:paraId="4EAD3770">
            <w:pPr>
              <w:pStyle w:val="39"/>
              <w:wordWrap w:val="0"/>
              <w:spacing w:line="380" w:lineRule="exact"/>
              <w:ind w:left="99" w:leftChars="43" w:hanging="4"/>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不接受</w:t>
            </w:r>
          </w:p>
          <w:p w14:paraId="63667FBF">
            <w:pPr>
              <w:pStyle w:val="39"/>
              <w:wordWrap w:val="0"/>
              <w:spacing w:line="380" w:lineRule="exact"/>
              <w:ind w:left="99" w:leftChars="43" w:hanging="4"/>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□接受</w:t>
            </w:r>
          </w:p>
        </w:tc>
      </w:tr>
      <w:tr w14:paraId="2500D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5DA55FDC">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1.4.3</w:t>
            </w:r>
          </w:p>
        </w:tc>
        <w:tc>
          <w:tcPr>
            <w:tcW w:w="1083" w:type="pct"/>
            <w:vAlign w:val="center"/>
          </w:tcPr>
          <w:p w14:paraId="238F0702">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供应商不得存在的其他情形</w:t>
            </w:r>
          </w:p>
        </w:tc>
        <w:tc>
          <w:tcPr>
            <w:tcW w:w="3532" w:type="pct"/>
            <w:vAlign w:val="center"/>
          </w:tcPr>
          <w:p w14:paraId="4AF1647C">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供应商不得存在下列情形之一：</w:t>
            </w:r>
          </w:p>
          <w:p w14:paraId="3E45390F">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（1）为采购人不具有独立法人资格的附属机构（单位）；</w:t>
            </w:r>
          </w:p>
          <w:p w14:paraId="1684B36A">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（2）与采购人存在利害关系且可能影响招标公正性；</w:t>
            </w:r>
          </w:p>
          <w:p w14:paraId="27AB0610">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（3）与本采购项目的其他供应商为同一个单位负责人；</w:t>
            </w:r>
          </w:p>
          <w:p w14:paraId="1BEB06EC">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（4）与本采购项目的其他供应商存在控股、管理关系；</w:t>
            </w:r>
          </w:p>
          <w:p w14:paraId="6B322CA8">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（5）为本采购项目的采购代理机构；</w:t>
            </w:r>
          </w:p>
          <w:p w14:paraId="417F1D24">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（6）与本采购项目的采购代理机构同为一个法定代表人；</w:t>
            </w:r>
          </w:p>
          <w:p w14:paraId="1C11ABC0">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（7）与本采购项目的采购代理机构存在控股或参股关系；</w:t>
            </w:r>
          </w:p>
          <w:p w14:paraId="38318678">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（8）被依法暂停或者取消投标资格；</w:t>
            </w:r>
          </w:p>
          <w:p w14:paraId="149DCF02">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（9）被责令停产停业、暂扣或者吊销许可证、暂扣或者吊销执照；</w:t>
            </w:r>
          </w:p>
          <w:p w14:paraId="64AAA3CC">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（10）进入清算程序，或被宣告破产，或其他丧失履约能力的情形；</w:t>
            </w:r>
          </w:p>
          <w:p w14:paraId="6C59F00D">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（11）在最近三年内发生重大项目质量问题（以相关行业主管部门的行政处罚决定或司法机关出具的有关法律文书为准）；</w:t>
            </w:r>
          </w:p>
          <w:p w14:paraId="0AE0B722">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（12）法律法规或供应商须知前附表规定的其他情形。</w:t>
            </w:r>
          </w:p>
        </w:tc>
      </w:tr>
      <w:tr w14:paraId="65B40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32157969">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1.9.1</w:t>
            </w:r>
          </w:p>
        </w:tc>
        <w:tc>
          <w:tcPr>
            <w:tcW w:w="1083" w:type="pct"/>
            <w:vAlign w:val="center"/>
          </w:tcPr>
          <w:p w14:paraId="1716DC9B">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踏勘现场</w:t>
            </w:r>
          </w:p>
        </w:tc>
        <w:tc>
          <w:tcPr>
            <w:tcW w:w="3532" w:type="pct"/>
            <w:vAlign w:val="center"/>
          </w:tcPr>
          <w:p w14:paraId="752BA428">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☑不组织，自行踏勘</w:t>
            </w:r>
          </w:p>
          <w:p w14:paraId="5C75C7F2">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□组织</w:t>
            </w:r>
          </w:p>
        </w:tc>
      </w:tr>
      <w:tr w14:paraId="094FA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1E8DB34F">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1.10.1</w:t>
            </w:r>
          </w:p>
        </w:tc>
        <w:tc>
          <w:tcPr>
            <w:tcW w:w="1083" w:type="pct"/>
            <w:vAlign w:val="center"/>
          </w:tcPr>
          <w:p w14:paraId="45726BAB">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磋商</w:t>
            </w:r>
            <w:r>
              <w:rPr>
                <w:rFonts w:hint="eastAsia"/>
                <w:color w:val="000000" w:themeColor="text1"/>
                <w:sz w:val="21"/>
                <w:szCs w:val="21"/>
                <w:highlight w:val="none"/>
                <w14:textFill>
                  <w14:solidFill>
                    <w14:schemeClr w14:val="tx1"/>
                  </w14:solidFill>
                </w14:textFill>
              </w:rPr>
              <w:t>预备会</w:t>
            </w:r>
          </w:p>
        </w:tc>
        <w:tc>
          <w:tcPr>
            <w:tcW w:w="3532" w:type="pct"/>
            <w:vAlign w:val="center"/>
          </w:tcPr>
          <w:p w14:paraId="7AEBCBD2">
            <w:pPr>
              <w:pStyle w:val="39"/>
              <w:wordWrap w:val="0"/>
              <w:spacing w:line="380" w:lineRule="exact"/>
              <w:ind w:left="99" w:leftChars="43" w:hanging="4"/>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不召开</w:t>
            </w:r>
          </w:p>
          <w:p w14:paraId="3C5547B0">
            <w:pPr>
              <w:pStyle w:val="39"/>
              <w:wordWrap w:val="0"/>
              <w:spacing w:line="380" w:lineRule="exact"/>
              <w:ind w:left="99" w:leftChars="43" w:hanging="4"/>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□召开</w:t>
            </w:r>
          </w:p>
        </w:tc>
      </w:tr>
      <w:tr w14:paraId="5AE27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6D194771">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1.11.1</w:t>
            </w:r>
          </w:p>
        </w:tc>
        <w:tc>
          <w:tcPr>
            <w:tcW w:w="1083" w:type="pct"/>
            <w:vAlign w:val="center"/>
          </w:tcPr>
          <w:p w14:paraId="7321264A">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分包</w:t>
            </w:r>
          </w:p>
        </w:tc>
        <w:tc>
          <w:tcPr>
            <w:tcW w:w="3532" w:type="pct"/>
            <w:vAlign w:val="center"/>
          </w:tcPr>
          <w:p w14:paraId="33D113B6">
            <w:pPr>
              <w:pStyle w:val="39"/>
              <w:wordWrap w:val="0"/>
              <w:spacing w:line="380" w:lineRule="exact"/>
              <w:ind w:left="99" w:leftChars="43" w:hanging="4"/>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不允许</w:t>
            </w:r>
          </w:p>
          <w:p w14:paraId="352016EC">
            <w:pPr>
              <w:pStyle w:val="39"/>
              <w:wordWrap w:val="0"/>
              <w:spacing w:line="380" w:lineRule="exact"/>
              <w:ind w:left="99" w:leftChars="43" w:hanging="4"/>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□允许</w:t>
            </w:r>
          </w:p>
        </w:tc>
      </w:tr>
      <w:tr w14:paraId="2062E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37BA7E14">
            <w:pPr>
              <w:pStyle w:val="39"/>
              <w:wordWrap w:val="0"/>
              <w:spacing w:line="380" w:lineRule="exact"/>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1.12</w:t>
            </w:r>
          </w:p>
        </w:tc>
        <w:tc>
          <w:tcPr>
            <w:tcW w:w="1083" w:type="pct"/>
            <w:vAlign w:val="center"/>
          </w:tcPr>
          <w:p w14:paraId="1BC01211">
            <w:pPr>
              <w:pStyle w:val="39"/>
              <w:wordWrap w:val="0"/>
              <w:spacing w:line="380" w:lineRule="exact"/>
              <w:jc w:val="center"/>
              <w:rPr>
                <w:rFonts w:hint="default" w:eastAsia="宋体"/>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安全使用年限</w:t>
            </w:r>
          </w:p>
        </w:tc>
        <w:tc>
          <w:tcPr>
            <w:tcW w:w="3532" w:type="pct"/>
            <w:vAlign w:val="center"/>
          </w:tcPr>
          <w:p w14:paraId="47EE0CCC">
            <w:pPr>
              <w:pStyle w:val="39"/>
              <w:wordWrap w:val="0"/>
              <w:spacing w:line="380" w:lineRule="exact"/>
              <w:ind w:left="99" w:leftChars="43" w:hanging="4"/>
              <w:jc w:val="both"/>
              <w:rPr>
                <w:rFonts w:hint="default" w:eastAsia="宋体"/>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 xml:space="preserve">8年 </w:t>
            </w:r>
          </w:p>
        </w:tc>
      </w:tr>
      <w:tr w14:paraId="43A9D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24A1CF85">
            <w:pPr>
              <w:pStyle w:val="39"/>
              <w:wordWrap w:val="0"/>
              <w:spacing w:line="380" w:lineRule="exact"/>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1.13</w:t>
            </w:r>
          </w:p>
        </w:tc>
        <w:tc>
          <w:tcPr>
            <w:tcW w:w="1083" w:type="pct"/>
            <w:vAlign w:val="center"/>
          </w:tcPr>
          <w:p w14:paraId="39CB1908">
            <w:pPr>
              <w:numPr>
                <w:ilvl w:val="0"/>
                <w:numId w:val="0"/>
              </w:numPr>
              <w:spacing w:line="300" w:lineRule="exact"/>
              <w:ind w:left="0" w:leftChars="0" w:firstLine="0" w:firstLineChars="0"/>
              <w:jc w:val="center"/>
              <w:rPr>
                <w:rFonts w:hint="eastAsia"/>
                <w:color w:val="000000" w:themeColor="text1"/>
                <w:sz w:val="21"/>
                <w:szCs w:val="21"/>
                <w:highlight w:val="none"/>
                <w:lang w:val="en-US" w:eastAsia="zh-CN"/>
                <w14:textFill>
                  <w14:solidFill>
                    <w14:schemeClr w14:val="tx1"/>
                  </w14:solidFill>
                </w14:textFill>
              </w:rPr>
            </w:pPr>
            <w:r>
              <w:rPr>
                <w:rFonts w:hint="eastAsia" w:cs="宋体"/>
                <w:b/>
                <w:bCs w:val="0"/>
                <w:kern w:val="15"/>
                <w:sz w:val="21"/>
                <w:szCs w:val="21"/>
                <w:highlight w:val="none"/>
                <w:lang w:val="en-US" w:eastAsia="zh-CN"/>
              </w:rPr>
              <w:t>售后服务</w:t>
            </w:r>
          </w:p>
        </w:tc>
        <w:tc>
          <w:tcPr>
            <w:tcW w:w="3532" w:type="pct"/>
            <w:vAlign w:val="center"/>
          </w:tcPr>
          <w:p w14:paraId="288A2D82">
            <w:pPr>
              <w:numPr>
                <w:ilvl w:val="0"/>
                <w:numId w:val="0"/>
              </w:numPr>
              <w:spacing w:line="300" w:lineRule="exact"/>
              <w:ind w:left="0" w:leftChars="0" w:firstLine="0" w:firstLineChars="0"/>
              <w:rPr>
                <w:rFonts w:hint="eastAsia"/>
                <w:color w:val="000000" w:themeColor="text1"/>
                <w:sz w:val="21"/>
                <w:szCs w:val="21"/>
                <w:highlight w:val="none"/>
                <w:lang w:val="en-US" w:eastAsia="zh-CN"/>
                <w14:textFill>
                  <w14:solidFill>
                    <w14:schemeClr w14:val="tx1"/>
                  </w14:solidFill>
                </w14:textFill>
              </w:rPr>
            </w:pPr>
            <w:r>
              <w:rPr>
                <w:rFonts w:hint="eastAsia" w:cs="宋体"/>
                <w:b/>
                <w:bCs w:val="0"/>
                <w:kern w:val="15"/>
                <w:sz w:val="21"/>
                <w:szCs w:val="21"/>
                <w:highlight w:val="none"/>
                <w:lang w:val="en-US" w:eastAsia="zh-CN"/>
              </w:rPr>
              <w:t>大众健身服务平台产生报修单后要6小时响应，并在平台回复，48小时到现场处理，7个工作日处理完毕。质保期5年。</w:t>
            </w:r>
          </w:p>
        </w:tc>
      </w:tr>
      <w:tr w14:paraId="36A33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384" w:type="pct"/>
            <w:vAlign w:val="center"/>
          </w:tcPr>
          <w:p w14:paraId="4E75C821">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2.1</w:t>
            </w:r>
          </w:p>
        </w:tc>
        <w:tc>
          <w:tcPr>
            <w:tcW w:w="1083" w:type="pct"/>
            <w:vAlign w:val="center"/>
          </w:tcPr>
          <w:p w14:paraId="295F8F47">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构成磋商文件的其他资料</w:t>
            </w:r>
          </w:p>
        </w:tc>
        <w:tc>
          <w:tcPr>
            <w:tcW w:w="3532" w:type="pct"/>
            <w:vAlign w:val="center"/>
          </w:tcPr>
          <w:p w14:paraId="075778DF">
            <w:pPr>
              <w:wordWrap w:val="0"/>
              <w:spacing w:line="380" w:lineRule="exact"/>
              <w:ind w:left="99" w:leftChars="43" w:hanging="4"/>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补遗文件（如有）</w:t>
            </w:r>
          </w:p>
        </w:tc>
      </w:tr>
      <w:tr w14:paraId="42FD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84" w:type="pct"/>
            <w:vAlign w:val="center"/>
          </w:tcPr>
          <w:p w14:paraId="405E079D">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2.2.1</w:t>
            </w:r>
          </w:p>
        </w:tc>
        <w:tc>
          <w:tcPr>
            <w:tcW w:w="1083" w:type="pct"/>
            <w:vAlign w:val="center"/>
          </w:tcPr>
          <w:p w14:paraId="5CC64249">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供应商要求澄清磋商文件</w:t>
            </w:r>
          </w:p>
        </w:tc>
        <w:tc>
          <w:tcPr>
            <w:tcW w:w="3532" w:type="pct"/>
            <w:vAlign w:val="center"/>
          </w:tcPr>
          <w:p w14:paraId="6C8F4D90">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时间：提交首次响应文件截止时间5日前</w:t>
            </w:r>
          </w:p>
        </w:tc>
      </w:tr>
      <w:tr w14:paraId="4C249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068FF5C5">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2.2.2</w:t>
            </w:r>
          </w:p>
        </w:tc>
        <w:tc>
          <w:tcPr>
            <w:tcW w:w="1083" w:type="pct"/>
            <w:vAlign w:val="center"/>
          </w:tcPr>
          <w:p w14:paraId="1986C4DD">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磋商文件澄清发出的形式</w:t>
            </w:r>
          </w:p>
        </w:tc>
        <w:tc>
          <w:tcPr>
            <w:tcW w:w="3532" w:type="pct"/>
            <w:vAlign w:val="center"/>
          </w:tcPr>
          <w:p w14:paraId="3F14444A">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sz w:val="21"/>
                <w:szCs w:val="21"/>
                <w:highlight w:val="none"/>
                <w:lang w:val="zh-CN" w:eastAsia="zh-CN"/>
              </w:rPr>
              <w:t>政府采购云平台</w:t>
            </w:r>
            <w:r>
              <w:rPr>
                <w:rFonts w:hint="eastAsia"/>
                <w:sz w:val="21"/>
                <w:szCs w:val="21"/>
                <w:highlight w:val="none"/>
                <w:lang w:eastAsia="zh-CN"/>
              </w:rPr>
              <w:t>（</w:t>
            </w:r>
            <w:r>
              <w:rPr>
                <w:rFonts w:hint="eastAsia"/>
                <w:sz w:val="21"/>
                <w:szCs w:val="21"/>
                <w:highlight w:val="none"/>
                <w:lang w:val="zh-CN" w:eastAsia="zh-CN"/>
              </w:rPr>
              <w:t>网址</w:t>
            </w:r>
            <w:r>
              <w:rPr>
                <w:rFonts w:hint="eastAsia"/>
                <w:sz w:val="21"/>
                <w:szCs w:val="21"/>
                <w:highlight w:val="none"/>
                <w:lang w:eastAsia="zh-CN"/>
              </w:rPr>
              <w:t>：https://www.zcygov.cn）</w:t>
            </w:r>
            <w:r>
              <w:rPr>
                <w:rFonts w:hint="eastAsia"/>
                <w:sz w:val="21"/>
                <w:szCs w:val="21"/>
                <w:highlight w:val="none"/>
                <w:lang w:val="zh-CN"/>
              </w:rPr>
              <w:t>发布</w:t>
            </w:r>
          </w:p>
        </w:tc>
      </w:tr>
      <w:tr w14:paraId="4C5FB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84" w:type="pct"/>
            <w:vAlign w:val="center"/>
          </w:tcPr>
          <w:p w14:paraId="3163067A">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2.2.3</w:t>
            </w:r>
          </w:p>
        </w:tc>
        <w:tc>
          <w:tcPr>
            <w:tcW w:w="1083" w:type="pct"/>
            <w:vAlign w:val="center"/>
          </w:tcPr>
          <w:p w14:paraId="11FC8AD0">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供应商确认收到磋商文件澄清</w:t>
            </w:r>
          </w:p>
        </w:tc>
        <w:tc>
          <w:tcPr>
            <w:tcW w:w="3532" w:type="pct"/>
            <w:vAlign w:val="center"/>
          </w:tcPr>
          <w:p w14:paraId="64F5F774">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sz w:val="21"/>
                <w:szCs w:val="21"/>
                <w:highlight w:val="none"/>
                <w:lang w:eastAsia="zh-CN"/>
              </w:rPr>
              <w:t>请潜在供应商在参加本项目活动期间关注政府采购云平台信息，所有有磋商意愿的供应商有义务在网上自行查询，无需书面回复。响应文件的澄清文件、答疑文件、补遗文件一经发布即视为已告知了所有已获取响应文件的供应商，且供应商也已经收到并明确了该澄清文件的内容。</w:t>
            </w:r>
            <w:r>
              <w:rPr>
                <w:rFonts w:hint="eastAsia"/>
                <w:sz w:val="21"/>
                <w:szCs w:val="21"/>
                <w:highlight w:val="none"/>
              </w:rPr>
              <w:t>供应商须主动阅知。</w:t>
            </w:r>
          </w:p>
        </w:tc>
      </w:tr>
      <w:tr w14:paraId="1FF7A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6DFE4DAE">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2.3.1</w:t>
            </w:r>
          </w:p>
        </w:tc>
        <w:tc>
          <w:tcPr>
            <w:tcW w:w="1083" w:type="pct"/>
            <w:vAlign w:val="center"/>
          </w:tcPr>
          <w:p w14:paraId="2509BBED">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磋商文件修改发出的形式</w:t>
            </w:r>
          </w:p>
        </w:tc>
        <w:tc>
          <w:tcPr>
            <w:tcW w:w="3532" w:type="pct"/>
            <w:vAlign w:val="center"/>
          </w:tcPr>
          <w:p w14:paraId="0F68CACF">
            <w:pPr>
              <w:wordWrap w:val="0"/>
              <w:spacing w:line="380" w:lineRule="exact"/>
              <w:ind w:left="99" w:leftChars="43" w:hanging="4"/>
              <w:jc w:val="both"/>
              <w:rPr>
                <w:color w:val="000000" w:themeColor="text1"/>
                <w:sz w:val="21"/>
                <w:szCs w:val="21"/>
                <w:highlight w:val="none"/>
                <w14:textFill>
                  <w14:solidFill>
                    <w14:schemeClr w14:val="tx1"/>
                  </w14:solidFill>
                </w14:textFill>
              </w:rPr>
            </w:pPr>
            <w:r>
              <w:rPr>
                <w:rFonts w:hint="eastAsia"/>
                <w:sz w:val="21"/>
                <w:szCs w:val="21"/>
                <w:highlight w:val="none"/>
                <w:lang w:val="zh-CN" w:eastAsia="zh-CN"/>
              </w:rPr>
              <w:t>政府采购云平台</w:t>
            </w:r>
            <w:r>
              <w:rPr>
                <w:rFonts w:hint="eastAsia"/>
                <w:sz w:val="21"/>
                <w:szCs w:val="21"/>
                <w:highlight w:val="none"/>
                <w:lang w:eastAsia="zh-CN"/>
              </w:rPr>
              <w:t>（</w:t>
            </w:r>
            <w:r>
              <w:rPr>
                <w:rFonts w:hint="eastAsia"/>
                <w:sz w:val="21"/>
                <w:szCs w:val="21"/>
                <w:highlight w:val="none"/>
                <w:lang w:val="zh-CN" w:eastAsia="zh-CN"/>
              </w:rPr>
              <w:t>网址</w:t>
            </w:r>
            <w:r>
              <w:rPr>
                <w:rFonts w:hint="eastAsia"/>
                <w:sz w:val="21"/>
                <w:szCs w:val="21"/>
                <w:highlight w:val="none"/>
                <w:lang w:eastAsia="zh-CN"/>
              </w:rPr>
              <w:t>：https://www.zcygov.cn）</w:t>
            </w:r>
            <w:r>
              <w:rPr>
                <w:rFonts w:hint="eastAsia"/>
                <w:sz w:val="21"/>
                <w:szCs w:val="21"/>
                <w:highlight w:val="none"/>
                <w:lang w:val="zh-CN"/>
              </w:rPr>
              <w:t>发布</w:t>
            </w:r>
          </w:p>
        </w:tc>
      </w:tr>
      <w:tr w14:paraId="25DEB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675B7549">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2.3.2</w:t>
            </w:r>
          </w:p>
        </w:tc>
        <w:tc>
          <w:tcPr>
            <w:tcW w:w="1083" w:type="pct"/>
            <w:vAlign w:val="center"/>
          </w:tcPr>
          <w:p w14:paraId="3BA34816">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供应商确认收到磋商文件修改</w:t>
            </w:r>
          </w:p>
        </w:tc>
        <w:tc>
          <w:tcPr>
            <w:tcW w:w="3532" w:type="pct"/>
            <w:vAlign w:val="center"/>
          </w:tcPr>
          <w:p w14:paraId="19DC12E1">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sz w:val="21"/>
                <w:szCs w:val="21"/>
                <w:highlight w:val="none"/>
                <w:lang w:eastAsia="zh-CN"/>
              </w:rPr>
              <w:t>请潜在供应商在参加本项目活动期间关注</w:t>
            </w:r>
            <w:r>
              <w:rPr>
                <w:rFonts w:hint="eastAsia"/>
                <w:sz w:val="21"/>
                <w:szCs w:val="21"/>
                <w:highlight w:val="none"/>
                <w:lang w:val="zh-CN" w:eastAsia="zh-CN"/>
              </w:rPr>
              <w:t>政府采购云平台</w:t>
            </w:r>
            <w:r>
              <w:rPr>
                <w:rFonts w:hint="eastAsia"/>
                <w:sz w:val="21"/>
                <w:szCs w:val="21"/>
                <w:highlight w:val="none"/>
                <w:lang w:eastAsia="zh-CN"/>
              </w:rPr>
              <w:t>信息，所有有磋商意愿的供应商有义务在网上自行查询，无需书面回复。响应文件的澄清文件、答疑文件、补遗文件一经发布即视为已告知了所有已获取响应文件的供应商，且供应商也已经收到并明确了该澄清文件的内容。</w:t>
            </w:r>
            <w:r>
              <w:rPr>
                <w:rFonts w:hint="eastAsia"/>
                <w:sz w:val="21"/>
                <w:szCs w:val="21"/>
                <w:highlight w:val="none"/>
              </w:rPr>
              <w:t>供应商须主动阅知。</w:t>
            </w:r>
          </w:p>
        </w:tc>
      </w:tr>
      <w:tr w14:paraId="7B81B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384" w:type="pct"/>
            <w:vAlign w:val="center"/>
          </w:tcPr>
          <w:p w14:paraId="7A1C03C7">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3.1.1</w:t>
            </w:r>
          </w:p>
        </w:tc>
        <w:tc>
          <w:tcPr>
            <w:tcW w:w="1083" w:type="pct"/>
            <w:vAlign w:val="center"/>
          </w:tcPr>
          <w:p w14:paraId="379C9DFF">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构成磋商文件的其他资料</w:t>
            </w:r>
          </w:p>
        </w:tc>
        <w:tc>
          <w:tcPr>
            <w:tcW w:w="3532" w:type="pct"/>
            <w:vAlign w:val="center"/>
          </w:tcPr>
          <w:p w14:paraId="236F2F3D">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zh-CN" w:eastAsia="zh-CN"/>
                <w14:textFill>
                  <w14:solidFill>
                    <w14:schemeClr w14:val="tx1"/>
                  </w14:solidFill>
                </w14:textFill>
              </w:rPr>
              <w:t>评审办法中提及的证明材料</w:t>
            </w:r>
          </w:p>
        </w:tc>
      </w:tr>
      <w:tr w14:paraId="1032D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42570080">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3.2.</w:t>
            </w:r>
            <w:r>
              <w:rPr>
                <w:rFonts w:hint="eastAsia"/>
                <w:color w:val="000000" w:themeColor="text1"/>
                <w:sz w:val="21"/>
                <w:szCs w:val="21"/>
                <w:highlight w:val="none"/>
                <w:lang w:eastAsia="zh-CN"/>
                <w14:textFill>
                  <w14:solidFill>
                    <w14:schemeClr w14:val="tx1"/>
                  </w14:solidFill>
                </w14:textFill>
              </w:rPr>
              <w:t>2</w:t>
            </w:r>
          </w:p>
        </w:tc>
        <w:tc>
          <w:tcPr>
            <w:tcW w:w="1083" w:type="pct"/>
            <w:vAlign w:val="center"/>
          </w:tcPr>
          <w:p w14:paraId="6733A48D">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报价方式</w:t>
            </w:r>
          </w:p>
        </w:tc>
        <w:tc>
          <w:tcPr>
            <w:tcW w:w="3532" w:type="pct"/>
            <w:vAlign w:val="center"/>
          </w:tcPr>
          <w:p w14:paraId="1560B3CA">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磋商小组将要求所有实质性响应的供应商在规定时间内提交最后报价，提交最后报价的供应商不得少于3家，最后报价是供应商响应文件的有效组成部分。</w:t>
            </w:r>
          </w:p>
        </w:tc>
      </w:tr>
      <w:tr w14:paraId="3F3BA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2DCAB49F">
            <w:pPr>
              <w:pStyle w:val="39"/>
              <w:wordWrap w:val="0"/>
              <w:spacing w:line="380" w:lineRule="exact"/>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3.2.3</w:t>
            </w:r>
          </w:p>
        </w:tc>
        <w:tc>
          <w:tcPr>
            <w:tcW w:w="1083" w:type="pct"/>
            <w:shd w:val="clear" w:color="auto" w:fill="auto"/>
            <w:vAlign w:val="center"/>
          </w:tcPr>
          <w:p w14:paraId="49D49956">
            <w:pPr>
              <w:keepNext w:val="0"/>
              <w:keepLines w:val="0"/>
              <w:pageBreakBefore w:val="0"/>
              <w:widowControl w:val="0"/>
              <w:kinsoku/>
              <w:overflowPunct/>
              <w:topLinePunct w:val="0"/>
              <w:bidi w:val="0"/>
              <w:spacing w:line="370" w:lineRule="exact"/>
              <w:jc w:val="center"/>
              <w:textAlignment w:val="auto"/>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报价的次数</w:t>
            </w:r>
          </w:p>
        </w:tc>
        <w:tc>
          <w:tcPr>
            <w:tcW w:w="3532" w:type="pct"/>
            <w:shd w:val="clear" w:color="auto" w:fill="auto"/>
            <w:vAlign w:val="center"/>
          </w:tcPr>
          <w:p w14:paraId="5DAB3E23">
            <w:pPr>
              <w:keepNext w:val="0"/>
              <w:keepLines w:val="0"/>
              <w:pageBreakBefore w:val="0"/>
              <w:widowControl w:val="0"/>
              <w:kinsoku/>
              <w:overflowPunct/>
              <w:topLinePunct w:val="0"/>
              <w:bidi w:val="0"/>
              <w:spacing w:line="370" w:lineRule="exact"/>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2次（含首次报价）</w:t>
            </w:r>
          </w:p>
        </w:tc>
      </w:tr>
      <w:tr w14:paraId="5BD98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384" w:type="pct"/>
            <w:vAlign w:val="center"/>
          </w:tcPr>
          <w:p w14:paraId="7CBE818D">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3.3.1</w:t>
            </w:r>
          </w:p>
        </w:tc>
        <w:tc>
          <w:tcPr>
            <w:tcW w:w="1083" w:type="pct"/>
            <w:vAlign w:val="center"/>
          </w:tcPr>
          <w:p w14:paraId="471007C3">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磋商</w:t>
            </w:r>
            <w:r>
              <w:rPr>
                <w:rFonts w:hint="eastAsia"/>
                <w:color w:val="000000" w:themeColor="text1"/>
                <w:sz w:val="21"/>
                <w:szCs w:val="21"/>
                <w:highlight w:val="none"/>
                <w14:textFill>
                  <w14:solidFill>
                    <w14:schemeClr w14:val="tx1"/>
                  </w14:solidFill>
                </w14:textFill>
              </w:rPr>
              <w:t>有效期</w:t>
            </w:r>
          </w:p>
        </w:tc>
        <w:tc>
          <w:tcPr>
            <w:tcW w:w="3532" w:type="pct"/>
            <w:vAlign w:val="center"/>
          </w:tcPr>
          <w:p w14:paraId="7EAC7FE9">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递交响应文件截止之日后90天（日历天）</w:t>
            </w:r>
          </w:p>
        </w:tc>
      </w:tr>
      <w:tr w14:paraId="1B773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388CB327">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3.4</w:t>
            </w:r>
          </w:p>
        </w:tc>
        <w:tc>
          <w:tcPr>
            <w:tcW w:w="1083" w:type="pct"/>
            <w:vAlign w:val="center"/>
          </w:tcPr>
          <w:p w14:paraId="62897188">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磋商</w:t>
            </w:r>
            <w:r>
              <w:rPr>
                <w:rFonts w:hint="eastAsia"/>
                <w:color w:val="000000" w:themeColor="text1"/>
                <w:sz w:val="21"/>
                <w:szCs w:val="21"/>
                <w:highlight w:val="none"/>
                <w14:textFill>
                  <w14:solidFill>
                    <w14:schemeClr w14:val="tx1"/>
                  </w14:solidFill>
                </w14:textFill>
              </w:rPr>
              <w:t>保证金</w:t>
            </w:r>
          </w:p>
        </w:tc>
        <w:tc>
          <w:tcPr>
            <w:tcW w:w="3532" w:type="pct"/>
            <w:vAlign w:val="center"/>
          </w:tcPr>
          <w:p w14:paraId="358FC83F">
            <w:pPr>
              <w:pStyle w:val="39"/>
              <w:wordWrap w:val="0"/>
              <w:spacing w:line="380" w:lineRule="exact"/>
              <w:ind w:left="99" w:leftChars="43" w:hanging="4"/>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1.根据长春市财政局关于取消政府采购磋商保证金及采购文件工本费等有关事项的通知《长财采购〔2021〕695 号》文件要求，经“信用中国”网站查询无行政处罚信息的供应商不收取保证金。符合要求的供应商可在响应文件中提供“信用中国”网站查询无行政处罚信息的证明材料；</w:t>
            </w:r>
          </w:p>
          <w:p w14:paraId="0E275E71">
            <w:pPr>
              <w:pStyle w:val="39"/>
              <w:wordWrap w:val="0"/>
              <w:spacing w:line="380" w:lineRule="exact"/>
              <w:ind w:left="99" w:leftChars="43" w:hanging="4"/>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2.对于满足《中华人民共和国政府采购法》第二十二条有关规定，经“信用中国”网站查询存在行政处罚信息的供应商，收取保证金。</w:t>
            </w:r>
          </w:p>
          <w:p w14:paraId="25EB0A75">
            <w:pPr>
              <w:pStyle w:val="39"/>
              <w:wordWrap w:val="0"/>
              <w:spacing w:line="380" w:lineRule="exact"/>
              <w:ind w:left="99" w:leftChars="43" w:hanging="4"/>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磋商保证金形式：磋商保证金应当以支票、汇票、本票或者金融机构、担保机构出具的保函等非现金形式提交。供应商未按照磋商文件要求提交磋商保证金的，磋商无效。以支票形式提交的磋商保证金应当从供应商的基本账户转出。</w:t>
            </w:r>
          </w:p>
          <w:p w14:paraId="2F613569">
            <w:pPr>
              <w:pStyle w:val="39"/>
              <w:wordWrap w:val="0"/>
              <w:spacing w:line="380" w:lineRule="exact"/>
              <w:ind w:left="99" w:leftChars="43" w:hanging="4"/>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磋商保证金截止时间：磋商保证金须在响应文件递交截止时间前到账，磋商保证金的确认以最终到账日期为准。</w:t>
            </w:r>
          </w:p>
          <w:p w14:paraId="7224904A">
            <w:pPr>
              <w:pStyle w:val="39"/>
              <w:wordWrap w:val="0"/>
              <w:spacing w:line="380" w:lineRule="exact"/>
              <w:ind w:left="99" w:leftChars="43" w:hanging="4"/>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保证金数额：人民币</w:t>
            </w:r>
            <w:r>
              <w:rPr>
                <w:rFonts w:hint="eastAsia" w:cs="宋体"/>
                <w:sz w:val="21"/>
                <w:szCs w:val="21"/>
                <w:highlight w:val="none"/>
                <w:lang w:val="en-US" w:eastAsia="zh-CN"/>
              </w:rPr>
              <w:t>5000</w:t>
            </w:r>
            <w:r>
              <w:rPr>
                <w:rFonts w:hint="eastAsia" w:ascii="宋体" w:hAnsi="宋体" w:eastAsia="宋体" w:cs="宋体"/>
                <w:sz w:val="21"/>
                <w:szCs w:val="21"/>
                <w:highlight w:val="none"/>
                <w:lang w:eastAsia="zh-CN"/>
              </w:rPr>
              <w:t>元；</w:t>
            </w:r>
          </w:p>
          <w:p w14:paraId="78B46D35">
            <w:pPr>
              <w:pStyle w:val="39"/>
              <w:wordWrap w:val="0"/>
              <w:spacing w:line="380" w:lineRule="exact"/>
              <w:ind w:left="99" w:leftChars="43" w:hanging="4"/>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收款人全称：吉林省致诚项目管理有限公司</w:t>
            </w:r>
          </w:p>
          <w:p w14:paraId="6B29F14B">
            <w:pPr>
              <w:pStyle w:val="39"/>
              <w:wordWrap w:val="0"/>
              <w:spacing w:line="380" w:lineRule="exact"/>
              <w:ind w:left="99" w:leftChars="43" w:hanging="4"/>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开户银行：中信银行股份有限公司幸福街支行</w:t>
            </w:r>
          </w:p>
          <w:p w14:paraId="068E33E0">
            <w:pPr>
              <w:pStyle w:val="39"/>
              <w:wordWrap w:val="0"/>
              <w:spacing w:line="380" w:lineRule="exact"/>
              <w:ind w:left="99" w:leftChars="43" w:hanging="4"/>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账    号：8113 6010 1260 0220 846</w:t>
            </w:r>
          </w:p>
          <w:p w14:paraId="019130CF">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ascii="宋体" w:hAnsi="宋体" w:eastAsia="宋体" w:cs="宋体"/>
                <w:sz w:val="21"/>
                <w:szCs w:val="21"/>
                <w:highlight w:val="none"/>
                <w:lang w:val="en-US" w:eastAsia="zh-CN"/>
              </w:rPr>
              <w:t>3.采购人或者采购代理机构应当自中标通知书发出之日起5个工作日内退还未中标人的</w:t>
            </w:r>
            <w:bookmarkStart w:id="48" w:name="OLE_LINK2"/>
            <w:bookmarkStart w:id="49" w:name="OLE_LINK3"/>
            <w:r>
              <w:rPr>
                <w:rFonts w:hint="eastAsia" w:ascii="宋体" w:hAnsi="宋体" w:eastAsia="宋体" w:cs="宋体"/>
                <w:sz w:val="21"/>
                <w:szCs w:val="21"/>
                <w:highlight w:val="none"/>
                <w:lang w:val="en-US" w:eastAsia="zh-CN"/>
              </w:rPr>
              <w:t>磋商</w:t>
            </w:r>
            <w:bookmarkEnd w:id="48"/>
            <w:bookmarkEnd w:id="49"/>
            <w:r>
              <w:rPr>
                <w:rFonts w:hint="eastAsia" w:ascii="宋体" w:hAnsi="宋体" w:eastAsia="宋体" w:cs="宋体"/>
                <w:sz w:val="21"/>
                <w:szCs w:val="21"/>
                <w:highlight w:val="none"/>
                <w:lang w:val="en-US" w:eastAsia="zh-CN"/>
              </w:rPr>
              <w:t>保证金，自采购合同签订之日起5个工作日内退还中标人的磋商保证金。</w:t>
            </w:r>
          </w:p>
        </w:tc>
      </w:tr>
      <w:tr w14:paraId="52EBA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1D2BD833">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3.5</w:t>
            </w:r>
          </w:p>
        </w:tc>
        <w:tc>
          <w:tcPr>
            <w:tcW w:w="1083" w:type="pct"/>
            <w:vAlign w:val="center"/>
          </w:tcPr>
          <w:p w14:paraId="1E6A55BB">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资格审查资料的特殊要求</w:t>
            </w:r>
          </w:p>
        </w:tc>
        <w:tc>
          <w:tcPr>
            <w:tcW w:w="3532" w:type="pct"/>
            <w:vAlign w:val="center"/>
          </w:tcPr>
          <w:p w14:paraId="67CDB085">
            <w:pPr>
              <w:pStyle w:val="39"/>
              <w:wordWrap w:val="0"/>
              <w:spacing w:line="380" w:lineRule="exact"/>
              <w:ind w:left="99" w:leftChars="43" w:hanging="4"/>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无</w:t>
            </w:r>
          </w:p>
          <w:p w14:paraId="7019B2DB">
            <w:pPr>
              <w:pStyle w:val="39"/>
              <w:wordWrap w:val="0"/>
              <w:spacing w:line="380" w:lineRule="exact"/>
              <w:ind w:left="99" w:leftChars="43" w:hanging="4"/>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□有</w:t>
            </w:r>
          </w:p>
        </w:tc>
      </w:tr>
      <w:tr w14:paraId="0A32F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84" w:type="pct"/>
            <w:vAlign w:val="center"/>
          </w:tcPr>
          <w:p w14:paraId="6CDD0AA9">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3.6.1</w:t>
            </w:r>
          </w:p>
        </w:tc>
        <w:tc>
          <w:tcPr>
            <w:tcW w:w="1083" w:type="pct"/>
            <w:vAlign w:val="center"/>
          </w:tcPr>
          <w:p w14:paraId="3CD958FD">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是否允许递交备选磋商方案</w:t>
            </w:r>
          </w:p>
        </w:tc>
        <w:tc>
          <w:tcPr>
            <w:tcW w:w="3532" w:type="pct"/>
            <w:vAlign w:val="center"/>
          </w:tcPr>
          <w:p w14:paraId="1F83C4A6">
            <w:pPr>
              <w:pStyle w:val="39"/>
              <w:wordWrap w:val="0"/>
              <w:spacing w:line="380" w:lineRule="exact"/>
              <w:ind w:left="99" w:leftChars="43" w:hanging="4"/>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不允许</w:t>
            </w:r>
          </w:p>
          <w:p w14:paraId="1A8C2E47">
            <w:pPr>
              <w:pStyle w:val="39"/>
              <w:wordWrap w:val="0"/>
              <w:spacing w:line="380" w:lineRule="exact"/>
              <w:ind w:left="99" w:leftChars="43" w:hanging="4"/>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□允许</w:t>
            </w:r>
          </w:p>
        </w:tc>
      </w:tr>
      <w:tr w14:paraId="0E637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384" w:type="pct"/>
            <w:vAlign w:val="center"/>
          </w:tcPr>
          <w:p w14:paraId="5D28E866">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3.7.3</w:t>
            </w:r>
          </w:p>
        </w:tc>
        <w:tc>
          <w:tcPr>
            <w:tcW w:w="1083" w:type="pct"/>
            <w:vAlign w:val="center"/>
          </w:tcPr>
          <w:p w14:paraId="60E486A1">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响应文件份数</w:t>
            </w:r>
          </w:p>
        </w:tc>
        <w:tc>
          <w:tcPr>
            <w:tcW w:w="3532" w:type="pct"/>
            <w:vAlign w:val="center"/>
          </w:tcPr>
          <w:p w14:paraId="69C91BA1">
            <w:pPr>
              <w:autoSpaceDE w:val="0"/>
              <w:autoSpaceDN w:val="0"/>
              <w:adjustRightInd w:val="0"/>
              <w:spacing w:line="400" w:lineRule="exact"/>
              <w:ind w:left="99" w:leftChars="43" w:hanging="4"/>
              <w:rPr>
                <w:color w:val="000000" w:themeColor="text1"/>
                <w:sz w:val="21"/>
                <w:szCs w:val="21"/>
                <w:highlight w:val="none"/>
                <w:lang w:eastAsia="zh-CN"/>
                <w14:textFill>
                  <w14:solidFill>
                    <w14:schemeClr w14:val="tx1"/>
                  </w14:solidFill>
                </w14:textFill>
              </w:rPr>
            </w:pPr>
            <w:r>
              <w:rPr>
                <w:rFonts w:hint="eastAsia"/>
                <w:sz w:val="21"/>
                <w:szCs w:val="21"/>
                <w:highlight w:val="none"/>
              </w:rPr>
              <w:t>供应商在</w:t>
            </w:r>
            <w:r>
              <w:rPr>
                <w:rFonts w:hint="eastAsia"/>
                <w:sz w:val="21"/>
                <w:szCs w:val="21"/>
                <w:highlight w:val="none"/>
                <w:lang w:eastAsia="zh-CN"/>
              </w:rPr>
              <w:t>政府采购云平台</w:t>
            </w:r>
            <w:r>
              <w:rPr>
                <w:rFonts w:hint="eastAsia"/>
                <w:sz w:val="21"/>
                <w:szCs w:val="21"/>
                <w:highlight w:val="none"/>
              </w:rPr>
              <w:t>（</w:t>
            </w:r>
            <w:r>
              <w:rPr>
                <w:rFonts w:hint="eastAsia"/>
                <w:sz w:val="21"/>
                <w:szCs w:val="21"/>
                <w:highlight w:val="none"/>
                <w:lang w:eastAsia="zh-CN"/>
              </w:rPr>
              <w:t>https://www.zcygov.cn</w:t>
            </w:r>
            <w:r>
              <w:rPr>
                <w:rFonts w:hint="eastAsia"/>
                <w:sz w:val="21"/>
                <w:szCs w:val="21"/>
                <w:highlight w:val="none"/>
              </w:rPr>
              <w:t>）上制作响应文件一份（此响应文件须上传至</w:t>
            </w:r>
            <w:r>
              <w:rPr>
                <w:rFonts w:hint="eastAsia"/>
                <w:sz w:val="21"/>
                <w:szCs w:val="21"/>
                <w:highlight w:val="none"/>
                <w:lang w:eastAsia="zh-CN"/>
              </w:rPr>
              <w:t>政府采购云平台</w:t>
            </w:r>
            <w:r>
              <w:rPr>
                <w:rFonts w:hint="eastAsia"/>
                <w:sz w:val="21"/>
                <w:szCs w:val="21"/>
                <w:highlight w:val="none"/>
              </w:rPr>
              <w:t xml:space="preserve">）。 </w:t>
            </w:r>
          </w:p>
        </w:tc>
      </w:tr>
      <w:tr w14:paraId="4D97B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7C623334">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4.2.1</w:t>
            </w:r>
          </w:p>
        </w:tc>
        <w:tc>
          <w:tcPr>
            <w:tcW w:w="1083" w:type="pct"/>
            <w:vAlign w:val="center"/>
          </w:tcPr>
          <w:p w14:paraId="5D0BEC2B">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提交响应文件截止时间</w:t>
            </w:r>
          </w:p>
        </w:tc>
        <w:tc>
          <w:tcPr>
            <w:tcW w:w="3532" w:type="pct"/>
            <w:vAlign w:val="center"/>
          </w:tcPr>
          <w:p w14:paraId="4C97FA32">
            <w:pPr>
              <w:pStyle w:val="39"/>
              <w:wordWrap w:val="0"/>
              <w:spacing w:line="380" w:lineRule="exact"/>
              <w:ind w:left="99" w:leftChars="43" w:hanging="4"/>
              <w:jc w:val="both"/>
              <w:rPr>
                <w:color w:val="000000" w:themeColor="text1"/>
                <w:sz w:val="21"/>
                <w:szCs w:val="21"/>
                <w:highlight w:val="none"/>
                <w:lang w:val="zh-CN" w:eastAsia="zh-CN"/>
                <w14:textFill>
                  <w14:solidFill>
                    <w14:schemeClr w14:val="tx1"/>
                  </w14:solidFill>
                </w14:textFill>
              </w:rPr>
            </w:pPr>
            <w:r>
              <w:rPr>
                <w:rFonts w:hint="eastAsia"/>
                <w:sz w:val="21"/>
                <w:szCs w:val="21"/>
                <w:highlight w:val="none"/>
                <w:lang w:eastAsia="zh-CN"/>
              </w:rPr>
              <w:t>2026年</w:t>
            </w:r>
            <w:r>
              <w:rPr>
                <w:rFonts w:hint="eastAsia"/>
                <w:sz w:val="21"/>
                <w:szCs w:val="21"/>
                <w:highlight w:val="none"/>
                <w:lang w:val="en-US" w:eastAsia="zh-CN"/>
              </w:rPr>
              <w:t>7</w:t>
            </w:r>
            <w:r>
              <w:rPr>
                <w:rFonts w:hint="eastAsia"/>
                <w:sz w:val="21"/>
                <w:szCs w:val="21"/>
                <w:highlight w:val="none"/>
                <w:lang w:eastAsia="zh-CN"/>
              </w:rPr>
              <w:t>月</w:t>
            </w:r>
            <w:r>
              <w:rPr>
                <w:rFonts w:hint="eastAsia"/>
                <w:sz w:val="21"/>
                <w:szCs w:val="21"/>
                <w:highlight w:val="none"/>
                <w:lang w:val="en-US" w:eastAsia="zh-CN"/>
              </w:rPr>
              <w:t>23 日9时30</w:t>
            </w:r>
            <w:r>
              <w:rPr>
                <w:rFonts w:hint="eastAsia"/>
                <w:sz w:val="21"/>
                <w:szCs w:val="21"/>
                <w:highlight w:val="none"/>
                <w:lang w:eastAsia="zh-CN"/>
              </w:rPr>
              <w:t>分</w:t>
            </w:r>
          </w:p>
        </w:tc>
      </w:tr>
      <w:tr w14:paraId="21437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84" w:type="pct"/>
            <w:vAlign w:val="center"/>
          </w:tcPr>
          <w:p w14:paraId="39D0BCA6">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4.2.2</w:t>
            </w:r>
          </w:p>
        </w:tc>
        <w:tc>
          <w:tcPr>
            <w:tcW w:w="1083" w:type="pct"/>
            <w:vAlign w:val="center"/>
          </w:tcPr>
          <w:p w14:paraId="679E5213">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递交</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文件地点</w:t>
            </w:r>
          </w:p>
        </w:tc>
        <w:tc>
          <w:tcPr>
            <w:tcW w:w="3532" w:type="pct"/>
            <w:vAlign w:val="center"/>
          </w:tcPr>
          <w:p w14:paraId="32A3287A">
            <w:pPr>
              <w:spacing w:line="400" w:lineRule="exact"/>
              <w:ind w:left="99" w:leftChars="43" w:hanging="4"/>
              <w:rPr>
                <w:sz w:val="21"/>
                <w:szCs w:val="21"/>
                <w:highlight w:val="none"/>
                <w:lang w:eastAsia="zh-CN"/>
              </w:rPr>
            </w:pPr>
            <w:r>
              <w:rPr>
                <w:rFonts w:hint="eastAsia"/>
                <w:sz w:val="21"/>
                <w:szCs w:val="21"/>
                <w:highlight w:val="none"/>
                <w:lang w:eastAsia="zh-CN"/>
              </w:rPr>
              <w:t>电子版上传至</w:t>
            </w:r>
            <w:r>
              <w:rPr>
                <w:rFonts w:hint="eastAsia"/>
                <w:sz w:val="21"/>
                <w:szCs w:val="21"/>
                <w:highlight w:val="none"/>
                <w:lang w:val="zh-CN"/>
              </w:rPr>
              <w:t>政府采购云平台</w:t>
            </w:r>
            <w:r>
              <w:rPr>
                <w:rFonts w:hint="eastAsia"/>
                <w:sz w:val="21"/>
                <w:szCs w:val="21"/>
                <w:highlight w:val="none"/>
              </w:rPr>
              <w:t>（</w:t>
            </w:r>
            <w:r>
              <w:rPr>
                <w:rFonts w:hint="eastAsia"/>
                <w:sz w:val="21"/>
                <w:szCs w:val="21"/>
                <w:highlight w:val="none"/>
                <w:lang w:val="zh-CN"/>
              </w:rPr>
              <w:t>网址</w:t>
            </w:r>
            <w:r>
              <w:rPr>
                <w:rFonts w:hint="eastAsia"/>
                <w:sz w:val="21"/>
                <w:szCs w:val="21"/>
                <w:highlight w:val="none"/>
              </w:rPr>
              <w:t xml:space="preserve">：http:// </w:t>
            </w:r>
            <w:r>
              <w:rPr>
                <w:highlight w:val="none"/>
              </w:rPr>
              <w:fldChar w:fldCharType="begin"/>
            </w:r>
            <w:r>
              <w:rPr>
                <w:highlight w:val="none"/>
              </w:rPr>
              <w:instrText xml:space="preserve"> HYPERLINK "http://www.zcygov.cn）" </w:instrText>
            </w:r>
            <w:r>
              <w:rPr>
                <w:highlight w:val="none"/>
              </w:rPr>
              <w:fldChar w:fldCharType="separate"/>
            </w:r>
            <w:r>
              <w:rPr>
                <w:rFonts w:hint="eastAsia"/>
                <w:sz w:val="21"/>
                <w:szCs w:val="21"/>
                <w:highlight w:val="none"/>
              </w:rPr>
              <w:t>www.zcygov.cn）</w:t>
            </w:r>
            <w:r>
              <w:rPr>
                <w:rFonts w:hint="eastAsia"/>
                <w:sz w:val="21"/>
                <w:szCs w:val="21"/>
                <w:highlight w:val="none"/>
              </w:rPr>
              <w:fldChar w:fldCharType="end"/>
            </w:r>
          </w:p>
        </w:tc>
      </w:tr>
      <w:tr w14:paraId="2A1F7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40C5E790">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4.2.3</w:t>
            </w:r>
          </w:p>
        </w:tc>
        <w:tc>
          <w:tcPr>
            <w:tcW w:w="1083" w:type="pct"/>
            <w:vAlign w:val="center"/>
          </w:tcPr>
          <w:p w14:paraId="682DEA74">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文件是否退还</w:t>
            </w:r>
          </w:p>
        </w:tc>
        <w:tc>
          <w:tcPr>
            <w:tcW w:w="3532" w:type="pct"/>
            <w:vAlign w:val="center"/>
          </w:tcPr>
          <w:p w14:paraId="5B9408A7">
            <w:pPr>
              <w:pStyle w:val="39"/>
              <w:wordWrap w:val="0"/>
              <w:spacing w:line="380" w:lineRule="exact"/>
              <w:ind w:left="99" w:leftChars="43" w:hanging="4"/>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否</w:t>
            </w:r>
          </w:p>
          <w:p w14:paraId="6CC485F2">
            <w:pPr>
              <w:pStyle w:val="39"/>
              <w:wordWrap w:val="0"/>
              <w:spacing w:line="380" w:lineRule="exact"/>
              <w:ind w:left="99" w:leftChars="43" w:hanging="4"/>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□是</w:t>
            </w:r>
          </w:p>
        </w:tc>
      </w:tr>
      <w:tr w14:paraId="33A13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42074FE9">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5.1</w:t>
            </w:r>
          </w:p>
        </w:tc>
        <w:tc>
          <w:tcPr>
            <w:tcW w:w="1083" w:type="pct"/>
            <w:vAlign w:val="center"/>
          </w:tcPr>
          <w:p w14:paraId="069B8E42">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磋商</w:t>
            </w:r>
            <w:r>
              <w:rPr>
                <w:rFonts w:hint="eastAsia"/>
                <w:color w:val="000000" w:themeColor="text1"/>
                <w:sz w:val="21"/>
                <w:szCs w:val="21"/>
                <w:highlight w:val="none"/>
                <w14:textFill>
                  <w14:solidFill>
                    <w14:schemeClr w14:val="tx1"/>
                  </w14:solidFill>
                </w14:textFill>
              </w:rPr>
              <w:t>时间和地点</w:t>
            </w:r>
          </w:p>
        </w:tc>
        <w:tc>
          <w:tcPr>
            <w:tcW w:w="3532" w:type="pct"/>
            <w:vAlign w:val="center"/>
          </w:tcPr>
          <w:p w14:paraId="624AFBF1">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磋商时间：同提交响应文件截止时间</w:t>
            </w:r>
          </w:p>
          <w:p w14:paraId="1E41AA63">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磋商地点：</w:t>
            </w:r>
            <w:r>
              <w:rPr>
                <w:rFonts w:hint="eastAsia" w:cs="宋体"/>
                <w:sz w:val="21"/>
                <w:szCs w:val="21"/>
                <w:highlight w:val="none"/>
                <w:lang w:eastAsia="zh-CN"/>
              </w:rPr>
              <w:t>长春经济技术开发区[长春经开采购中心]长春经济技术开发区公共资源交易中心2楼开标室</w:t>
            </w:r>
          </w:p>
        </w:tc>
      </w:tr>
      <w:tr w14:paraId="0DF89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5D1E29BA">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6.1.1</w:t>
            </w:r>
          </w:p>
        </w:tc>
        <w:tc>
          <w:tcPr>
            <w:tcW w:w="1083" w:type="pct"/>
            <w:vAlign w:val="center"/>
          </w:tcPr>
          <w:p w14:paraId="540E1781">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磋商小组</w:t>
            </w:r>
            <w:r>
              <w:rPr>
                <w:rFonts w:hint="eastAsia"/>
                <w:color w:val="000000" w:themeColor="text1"/>
                <w:sz w:val="21"/>
                <w:szCs w:val="21"/>
                <w:highlight w:val="none"/>
                <w14:textFill>
                  <w14:solidFill>
                    <w14:schemeClr w14:val="tx1"/>
                  </w14:solidFill>
                </w14:textFill>
              </w:rPr>
              <w:t>的组建</w:t>
            </w:r>
          </w:p>
        </w:tc>
        <w:tc>
          <w:tcPr>
            <w:tcW w:w="3532" w:type="pct"/>
            <w:vAlign w:val="center"/>
          </w:tcPr>
          <w:p w14:paraId="495B8538">
            <w:pPr>
              <w:pStyle w:val="39"/>
              <w:tabs>
                <w:tab w:val="left" w:pos="2309"/>
                <w:tab w:val="left" w:pos="2729"/>
                <w:tab w:val="left" w:pos="3826"/>
              </w:tabs>
              <w:wordWrap w:val="0"/>
              <w:spacing w:line="380" w:lineRule="exact"/>
              <w:ind w:left="99" w:leftChars="43" w:hanging="4"/>
              <w:jc w:val="both"/>
              <w:rPr>
                <w:color w:val="000000" w:themeColor="text1"/>
                <w:sz w:val="21"/>
                <w:szCs w:val="21"/>
                <w:highlight w:val="none"/>
                <w:lang w:val="zh-CN"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磋商小组构成：</w:t>
            </w:r>
            <w:r>
              <w:rPr>
                <w:rFonts w:hint="eastAsia"/>
                <w:color w:val="000000" w:themeColor="text1"/>
                <w:sz w:val="21"/>
                <w:szCs w:val="21"/>
                <w:highlight w:val="none"/>
                <w:lang w:val="zh-CN" w:eastAsia="zh-CN"/>
                <w14:textFill>
                  <w14:solidFill>
                    <w14:schemeClr w14:val="tx1"/>
                  </w14:solidFill>
                </w14:textFill>
              </w:rPr>
              <w:t>由有关技术、经济等方面的专家</w:t>
            </w:r>
            <w:r>
              <w:rPr>
                <w:rFonts w:hint="eastAsia"/>
                <w:color w:val="000000" w:themeColor="text1"/>
                <w:sz w:val="21"/>
                <w:szCs w:val="21"/>
                <w:highlight w:val="none"/>
                <w:lang w:val="en-US" w:eastAsia="zh-CN"/>
                <w14:textFill>
                  <w14:solidFill>
                    <w14:schemeClr w14:val="tx1"/>
                  </w14:solidFill>
                </w14:textFill>
              </w:rPr>
              <w:t>3人，共</w:t>
            </w:r>
            <w:r>
              <w:rPr>
                <w:rFonts w:hint="eastAsia"/>
                <w:color w:val="000000" w:themeColor="text1"/>
                <w:sz w:val="21"/>
                <w:szCs w:val="21"/>
                <w:highlight w:val="none"/>
                <w:lang w:eastAsia="zh-CN"/>
                <w14:textFill>
                  <w14:solidFill>
                    <w14:schemeClr w14:val="tx1"/>
                  </w14:solidFill>
                </w14:textFill>
              </w:rPr>
              <w:t>3</w:t>
            </w:r>
            <w:r>
              <w:rPr>
                <w:rFonts w:hint="eastAsia"/>
                <w:color w:val="000000" w:themeColor="text1"/>
                <w:sz w:val="21"/>
                <w:szCs w:val="21"/>
                <w:highlight w:val="none"/>
                <w:lang w:val="zh-CN" w:eastAsia="zh-CN"/>
                <w14:textFill>
                  <w14:solidFill>
                    <w14:schemeClr w14:val="tx1"/>
                  </w14:solidFill>
                </w14:textFill>
              </w:rPr>
              <w:t>人组成。</w:t>
            </w:r>
          </w:p>
          <w:p w14:paraId="2E3705B6">
            <w:pPr>
              <w:pStyle w:val="39"/>
              <w:tabs>
                <w:tab w:val="left" w:pos="2309"/>
                <w:tab w:val="left" w:pos="2729"/>
                <w:tab w:val="left" w:pos="3826"/>
              </w:tabs>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评审专家确定方式：</w:t>
            </w:r>
            <w:r>
              <w:rPr>
                <w:rFonts w:hint="eastAsia"/>
                <w:color w:val="000000" w:themeColor="text1"/>
                <w:sz w:val="21"/>
                <w:szCs w:val="21"/>
                <w:highlight w:val="none"/>
                <w:lang w:val="zh-CN" w:eastAsia="zh-CN"/>
                <w14:textFill>
                  <w14:solidFill>
                    <w14:schemeClr w14:val="tx1"/>
                  </w14:solidFill>
                </w14:textFill>
              </w:rPr>
              <w:t>从依法设立的专家库中随机抽取。</w:t>
            </w:r>
          </w:p>
        </w:tc>
      </w:tr>
      <w:tr w14:paraId="66E29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56DFF5A6">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6.3.2</w:t>
            </w:r>
          </w:p>
        </w:tc>
        <w:tc>
          <w:tcPr>
            <w:tcW w:w="1083" w:type="pct"/>
            <w:vAlign w:val="center"/>
          </w:tcPr>
          <w:p w14:paraId="3D39B563">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磋商小组推荐成交候选供应商的人数</w:t>
            </w:r>
          </w:p>
        </w:tc>
        <w:tc>
          <w:tcPr>
            <w:tcW w:w="3532" w:type="pct"/>
            <w:vAlign w:val="center"/>
          </w:tcPr>
          <w:p w14:paraId="2088BF4B">
            <w:pPr>
              <w:wordWrap w:val="0"/>
              <w:spacing w:line="380" w:lineRule="exact"/>
              <w:ind w:left="99" w:leftChars="43" w:hanging="4"/>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3名。</w:t>
            </w:r>
          </w:p>
        </w:tc>
      </w:tr>
      <w:tr w14:paraId="29DEF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7BD2300B">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7.1</w:t>
            </w:r>
          </w:p>
        </w:tc>
        <w:tc>
          <w:tcPr>
            <w:tcW w:w="1083" w:type="pct"/>
            <w:vAlign w:val="center"/>
          </w:tcPr>
          <w:p w14:paraId="487DAD7F">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成交供应商公示媒介及期限</w:t>
            </w:r>
          </w:p>
        </w:tc>
        <w:tc>
          <w:tcPr>
            <w:tcW w:w="3532" w:type="pct"/>
            <w:vAlign w:val="center"/>
          </w:tcPr>
          <w:p w14:paraId="3E8BB8E6">
            <w:pPr>
              <w:pStyle w:val="39"/>
              <w:tabs>
                <w:tab w:val="left" w:pos="2100"/>
              </w:tabs>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公示媒介：</w:t>
            </w:r>
            <w:r>
              <w:rPr>
                <w:rFonts w:hint="eastAsia" w:ascii="宋体" w:hAnsi="宋体" w:eastAsia="宋体" w:cs="宋体"/>
                <w:sz w:val="21"/>
                <w:szCs w:val="21"/>
                <w:highlight w:val="none"/>
                <w:lang w:eastAsia="zh-CN"/>
              </w:rPr>
              <w:t>政府采购云平台（</w:t>
            </w:r>
            <w:r>
              <w:rPr>
                <w:rFonts w:hint="eastAsia" w:cs="宋体"/>
                <w:sz w:val="21"/>
                <w:szCs w:val="21"/>
                <w:highlight w:val="none"/>
                <w:lang w:eastAsia="zh-CN"/>
              </w:rPr>
              <w:t>https://www.zcygov.cn</w:t>
            </w:r>
            <w:r>
              <w:rPr>
                <w:rFonts w:hint="eastAsia" w:ascii="宋体" w:hAnsi="宋体" w:eastAsia="宋体" w:cs="宋体"/>
                <w:sz w:val="21"/>
                <w:szCs w:val="21"/>
                <w:highlight w:val="none"/>
                <w:lang w:eastAsia="zh-CN"/>
              </w:rPr>
              <w:t>）(同步推送到吉林省政府采购网（http://www.ccgp-jilin.gov.cn）、中国政府采购网</w:t>
            </w:r>
            <w:r>
              <w:rPr>
                <w:rFonts w:hint="eastAsia" w:cs="宋体"/>
                <w:sz w:val="21"/>
                <w:szCs w:val="21"/>
                <w:highlight w:val="none"/>
                <w:lang w:eastAsia="zh-CN"/>
              </w:rPr>
              <w:t>、长春市公共资源交易网</w:t>
            </w:r>
            <w:r>
              <w:rPr>
                <w:rFonts w:hint="eastAsia" w:ascii="宋体" w:hAnsi="宋体" w:eastAsia="宋体" w:cs="宋体"/>
                <w:sz w:val="21"/>
                <w:szCs w:val="21"/>
                <w:highlight w:val="none"/>
                <w:lang w:eastAsia="zh-CN"/>
              </w:rPr>
              <w:t>）上发布</w:t>
            </w:r>
            <w:r>
              <w:rPr>
                <w:rFonts w:hint="eastAsia"/>
                <w:color w:val="000000" w:themeColor="text1"/>
                <w:sz w:val="21"/>
                <w:szCs w:val="21"/>
                <w:highlight w:val="none"/>
                <w:lang w:eastAsia="zh-CN"/>
                <w14:textFill>
                  <w14:solidFill>
                    <w14:schemeClr w14:val="tx1"/>
                  </w14:solidFill>
                </w14:textFill>
              </w:rPr>
              <w:t>；</w:t>
            </w:r>
          </w:p>
          <w:p w14:paraId="551388D2">
            <w:pPr>
              <w:pStyle w:val="39"/>
              <w:tabs>
                <w:tab w:val="left" w:pos="2100"/>
              </w:tabs>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公示期限：1个工作日。</w:t>
            </w:r>
          </w:p>
        </w:tc>
      </w:tr>
      <w:tr w14:paraId="7AB50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384" w:type="pct"/>
            <w:vAlign w:val="center"/>
          </w:tcPr>
          <w:p w14:paraId="0BE79378">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w:t>
            </w:r>
            <w:r>
              <w:rPr>
                <w:rFonts w:hint="eastAsia"/>
                <w:color w:val="000000" w:themeColor="text1"/>
                <w:sz w:val="21"/>
                <w:szCs w:val="21"/>
                <w:highlight w:val="none"/>
                <w:lang w:eastAsia="zh-CN"/>
                <w14:textFill>
                  <w14:solidFill>
                    <w14:schemeClr w14:val="tx1"/>
                  </w14:solidFill>
                </w14:textFill>
              </w:rPr>
              <w:t>2</w:t>
            </w:r>
          </w:p>
        </w:tc>
        <w:tc>
          <w:tcPr>
            <w:tcW w:w="1083" w:type="pct"/>
            <w:vAlign w:val="center"/>
          </w:tcPr>
          <w:p w14:paraId="4D38E8EA">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履约</w:t>
            </w:r>
            <w:r>
              <w:rPr>
                <w:rFonts w:hint="eastAsia"/>
                <w:color w:val="000000" w:themeColor="text1"/>
                <w:sz w:val="21"/>
                <w:szCs w:val="21"/>
                <w:highlight w:val="none"/>
                <w:lang w:eastAsia="zh-CN"/>
                <w14:textFill>
                  <w14:solidFill>
                    <w14:schemeClr w14:val="tx1"/>
                  </w14:solidFill>
                </w14:textFill>
              </w:rPr>
              <w:t>担保</w:t>
            </w:r>
          </w:p>
        </w:tc>
        <w:tc>
          <w:tcPr>
            <w:tcW w:w="3532" w:type="pct"/>
            <w:vAlign w:val="center"/>
          </w:tcPr>
          <w:p w14:paraId="525A0A05">
            <w:pPr>
              <w:pStyle w:val="39"/>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按合同约定</w:t>
            </w:r>
          </w:p>
        </w:tc>
      </w:tr>
      <w:tr w14:paraId="07285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170D6EDB">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w:t>
            </w:r>
          </w:p>
        </w:tc>
        <w:tc>
          <w:tcPr>
            <w:tcW w:w="1083" w:type="pct"/>
            <w:vAlign w:val="center"/>
          </w:tcPr>
          <w:p w14:paraId="345ADE9D">
            <w:pPr>
              <w:pStyle w:val="39"/>
              <w:wordWrap w:val="0"/>
              <w:spacing w:line="380" w:lineRule="exact"/>
              <w:jc w:val="center"/>
              <w:rPr>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bCs/>
                <w:kern w:val="15"/>
                <w:sz w:val="21"/>
                <w:szCs w:val="21"/>
                <w:highlight w:val="none"/>
              </w:rPr>
              <w:t>电子标说明</w:t>
            </w:r>
          </w:p>
        </w:tc>
        <w:tc>
          <w:tcPr>
            <w:tcW w:w="3532" w:type="pct"/>
            <w:vAlign w:val="center"/>
          </w:tcPr>
          <w:p w14:paraId="29BA2F9B">
            <w:pPr>
              <w:pStyle w:val="39"/>
              <w:tabs>
                <w:tab w:val="left" w:pos="2100"/>
              </w:tabs>
              <w:wordWrap w:val="0"/>
              <w:spacing w:line="380" w:lineRule="exact"/>
              <w:ind w:left="99" w:leftChars="43" w:hanging="4"/>
              <w:jc w:val="both"/>
              <w:rPr>
                <w:sz w:val="21"/>
                <w:szCs w:val="21"/>
                <w:highlight w:val="none"/>
                <w:lang w:eastAsia="zh-CN"/>
              </w:rPr>
            </w:pPr>
            <w:r>
              <w:rPr>
                <w:rFonts w:hint="eastAsia"/>
                <w:sz w:val="21"/>
                <w:szCs w:val="21"/>
                <w:highlight w:val="none"/>
                <w:lang w:eastAsia="zh-CN"/>
              </w:rPr>
              <w:t>1.上传的电子证件及资料均需按要求签字盖章上传，否则按未签章处理。</w:t>
            </w:r>
          </w:p>
          <w:p w14:paraId="09746DB4">
            <w:pPr>
              <w:pStyle w:val="39"/>
              <w:tabs>
                <w:tab w:val="left" w:pos="2100"/>
              </w:tabs>
              <w:wordWrap w:val="0"/>
              <w:spacing w:line="380" w:lineRule="exact"/>
              <w:ind w:left="99" w:leftChars="43" w:hanging="4"/>
              <w:jc w:val="both"/>
              <w:rPr>
                <w:sz w:val="21"/>
                <w:szCs w:val="21"/>
                <w:highlight w:val="none"/>
                <w:lang w:eastAsia="zh-CN"/>
              </w:rPr>
            </w:pPr>
            <w:r>
              <w:rPr>
                <w:rFonts w:hint="eastAsia"/>
                <w:sz w:val="21"/>
                <w:szCs w:val="21"/>
                <w:highlight w:val="none"/>
                <w:lang w:eastAsia="zh-CN"/>
              </w:rPr>
              <w:t>2.若对项目采购电子交易系统操作有疑问，可登录政府采购云平台（https://www.zcygov.cn）点击右侧咨询小采，获取采小蜜智能服务管家帮助，或拨打政采云服务热线95763获取热线服务帮助；</w:t>
            </w:r>
          </w:p>
          <w:p w14:paraId="76681E2E">
            <w:pPr>
              <w:pStyle w:val="39"/>
              <w:tabs>
                <w:tab w:val="left" w:pos="2100"/>
              </w:tabs>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sz w:val="21"/>
                <w:szCs w:val="21"/>
                <w:highlight w:val="none"/>
                <w:lang w:eastAsia="zh-CN"/>
              </w:rPr>
              <w:t>3.供应商在政府采购云平台（网址：https://www.zcygov.cn）通过数字证书制作响应文件1份（此响应文件需上传至政府采购云平台，并在开标时持编制响应文件的供应商数字证书进行远程解密）。</w:t>
            </w:r>
          </w:p>
        </w:tc>
      </w:tr>
      <w:tr w14:paraId="7BC45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5C6E67E0">
            <w:pPr>
              <w:pStyle w:val="39"/>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10</w:t>
            </w:r>
          </w:p>
        </w:tc>
        <w:tc>
          <w:tcPr>
            <w:tcW w:w="4615" w:type="pct"/>
            <w:gridSpan w:val="2"/>
            <w:vAlign w:val="center"/>
          </w:tcPr>
          <w:p w14:paraId="10AC0A55">
            <w:pPr>
              <w:wordWrap w:val="0"/>
              <w:spacing w:line="380" w:lineRule="exact"/>
              <w:ind w:left="99" w:leftChars="43" w:hanging="4"/>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需要补充的其他内容</w:t>
            </w:r>
          </w:p>
        </w:tc>
      </w:tr>
      <w:tr w14:paraId="45FAA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7DCE1ABB">
            <w:pPr>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10.1</w:t>
            </w:r>
          </w:p>
        </w:tc>
        <w:tc>
          <w:tcPr>
            <w:tcW w:w="1083" w:type="pct"/>
            <w:tcBorders>
              <w:right w:val="single" w:color="auto" w:sz="4" w:space="0"/>
            </w:tcBorders>
            <w:vAlign w:val="center"/>
          </w:tcPr>
          <w:p w14:paraId="7B12A641">
            <w:pPr>
              <w:wordWrap w:val="0"/>
              <w:spacing w:line="380" w:lineRule="exact"/>
              <w:jc w:val="center"/>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知识产权</w:t>
            </w:r>
          </w:p>
        </w:tc>
        <w:tc>
          <w:tcPr>
            <w:tcW w:w="3532" w:type="pct"/>
            <w:tcBorders>
              <w:left w:val="single" w:color="auto" w:sz="4" w:space="0"/>
            </w:tcBorders>
            <w:vAlign w:val="center"/>
          </w:tcPr>
          <w:p w14:paraId="1F1ABD3A">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bCs/>
                <w:color w:val="000000" w:themeColor="text1"/>
                <w:sz w:val="21"/>
                <w:szCs w:val="21"/>
                <w:highlight w:val="none"/>
                <w:lang w:val="zh-CN" w:eastAsia="zh-CN"/>
                <w14:textFill>
                  <w14:solidFill>
                    <w14:schemeClr w14:val="tx1"/>
                  </w14:solidFill>
                </w14:textFill>
              </w:rPr>
              <w:t>构成本</w:t>
            </w:r>
            <w:r>
              <w:rPr>
                <w:rFonts w:hint="eastAsia"/>
                <w:bCs/>
                <w:color w:val="000000" w:themeColor="text1"/>
                <w:sz w:val="21"/>
                <w:szCs w:val="21"/>
                <w:highlight w:val="none"/>
                <w:lang w:eastAsia="zh-CN"/>
                <w14:textFill>
                  <w14:solidFill>
                    <w14:schemeClr w14:val="tx1"/>
                  </w14:solidFill>
                </w14:textFill>
              </w:rPr>
              <w:t>磋商</w:t>
            </w:r>
            <w:r>
              <w:rPr>
                <w:rFonts w:hint="eastAsia"/>
                <w:bCs/>
                <w:color w:val="000000" w:themeColor="text1"/>
                <w:sz w:val="21"/>
                <w:szCs w:val="21"/>
                <w:highlight w:val="none"/>
                <w:lang w:val="zh-CN" w:eastAsia="zh-CN"/>
                <w14:textFill>
                  <w14:solidFill>
                    <w14:schemeClr w14:val="tx1"/>
                  </w14:solidFill>
                </w14:textFill>
              </w:rPr>
              <w:t>文件各个组成部分的文件，未经</w:t>
            </w:r>
            <w:r>
              <w:rPr>
                <w:rFonts w:hint="eastAsia"/>
                <w:bCs/>
                <w:color w:val="000000" w:themeColor="text1"/>
                <w:sz w:val="21"/>
                <w:szCs w:val="21"/>
                <w:highlight w:val="none"/>
                <w:lang w:eastAsia="zh-CN"/>
                <w14:textFill>
                  <w14:solidFill>
                    <w14:schemeClr w14:val="tx1"/>
                  </w14:solidFill>
                </w14:textFill>
              </w:rPr>
              <w:t>采购</w:t>
            </w:r>
            <w:r>
              <w:rPr>
                <w:rFonts w:hint="eastAsia"/>
                <w:bCs/>
                <w:color w:val="000000" w:themeColor="text1"/>
                <w:sz w:val="21"/>
                <w:szCs w:val="21"/>
                <w:highlight w:val="none"/>
                <w:lang w:val="zh-CN" w:eastAsia="zh-CN"/>
                <w14:textFill>
                  <w14:solidFill>
                    <w14:schemeClr w14:val="tx1"/>
                  </w14:solidFill>
                </w14:textFill>
              </w:rPr>
              <w:t>人书面同意，</w:t>
            </w:r>
            <w:r>
              <w:rPr>
                <w:rFonts w:hint="eastAsia"/>
                <w:bCs/>
                <w:color w:val="000000" w:themeColor="text1"/>
                <w:sz w:val="21"/>
                <w:szCs w:val="21"/>
                <w:highlight w:val="none"/>
                <w:lang w:eastAsia="zh-CN"/>
                <w14:textFill>
                  <w14:solidFill>
                    <w14:schemeClr w14:val="tx1"/>
                  </w14:solidFill>
                </w14:textFill>
              </w:rPr>
              <w:t>供应商</w:t>
            </w:r>
            <w:r>
              <w:rPr>
                <w:rFonts w:hint="eastAsia"/>
                <w:bCs/>
                <w:color w:val="000000" w:themeColor="text1"/>
                <w:sz w:val="21"/>
                <w:szCs w:val="21"/>
                <w:highlight w:val="none"/>
                <w:lang w:val="zh-CN" w:eastAsia="zh-CN"/>
                <w14:textFill>
                  <w14:solidFill>
                    <w14:schemeClr w14:val="tx1"/>
                  </w14:solidFill>
                </w14:textFill>
              </w:rPr>
              <w:t>不得擅自复印和用于非本</w:t>
            </w:r>
            <w:r>
              <w:rPr>
                <w:rFonts w:hint="eastAsia"/>
                <w:bCs/>
                <w:color w:val="000000" w:themeColor="text1"/>
                <w:sz w:val="21"/>
                <w:szCs w:val="21"/>
                <w:highlight w:val="none"/>
                <w:lang w:eastAsia="zh-CN"/>
                <w14:textFill>
                  <w14:solidFill>
                    <w14:schemeClr w14:val="tx1"/>
                  </w14:solidFill>
                </w14:textFill>
              </w:rPr>
              <w:t>采购</w:t>
            </w:r>
            <w:r>
              <w:rPr>
                <w:rFonts w:hint="eastAsia"/>
                <w:bCs/>
                <w:color w:val="000000" w:themeColor="text1"/>
                <w:sz w:val="21"/>
                <w:szCs w:val="21"/>
                <w:highlight w:val="none"/>
                <w:lang w:val="zh-CN" w:eastAsia="zh-CN"/>
                <w14:textFill>
                  <w14:solidFill>
                    <w14:schemeClr w14:val="tx1"/>
                  </w14:solidFill>
                </w14:textFill>
              </w:rPr>
              <w:t>项目所需的其他目的。</w:t>
            </w:r>
            <w:r>
              <w:rPr>
                <w:rFonts w:hint="eastAsia"/>
                <w:bCs/>
                <w:color w:val="000000" w:themeColor="text1"/>
                <w:sz w:val="21"/>
                <w:szCs w:val="21"/>
                <w:highlight w:val="none"/>
                <w:lang w:eastAsia="zh-CN"/>
                <w14:textFill>
                  <w14:solidFill>
                    <w14:schemeClr w14:val="tx1"/>
                  </w14:solidFill>
                </w14:textFill>
              </w:rPr>
              <w:t>采购</w:t>
            </w:r>
            <w:r>
              <w:rPr>
                <w:rFonts w:hint="eastAsia"/>
                <w:bCs/>
                <w:color w:val="000000" w:themeColor="text1"/>
                <w:sz w:val="21"/>
                <w:szCs w:val="21"/>
                <w:highlight w:val="none"/>
                <w:lang w:val="zh-CN" w:eastAsia="zh-CN"/>
                <w14:textFill>
                  <w14:solidFill>
                    <w14:schemeClr w14:val="tx1"/>
                  </w14:solidFill>
                </w14:textFill>
              </w:rPr>
              <w:t>人全部或者部分使用未</w:t>
            </w:r>
            <w:r>
              <w:rPr>
                <w:rFonts w:hint="eastAsia"/>
                <w:bCs/>
                <w:color w:val="000000" w:themeColor="text1"/>
                <w:sz w:val="21"/>
                <w:szCs w:val="21"/>
                <w:highlight w:val="none"/>
                <w:lang w:eastAsia="zh-CN"/>
                <w14:textFill>
                  <w14:solidFill>
                    <w14:schemeClr w14:val="tx1"/>
                  </w14:solidFill>
                </w14:textFill>
              </w:rPr>
              <w:t>成交供应商响应</w:t>
            </w:r>
            <w:r>
              <w:rPr>
                <w:rFonts w:hint="eastAsia"/>
                <w:bCs/>
                <w:color w:val="000000" w:themeColor="text1"/>
                <w:sz w:val="21"/>
                <w:szCs w:val="21"/>
                <w:highlight w:val="none"/>
                <w:lang w:val="zh-CN" w:eastAsia="zh-CN"/>
                <w14:textFill>
                  <w14:solidFill>
                    <w14:schemeClr w14:val="tx1"/>
                  </w14:solidFill>
                </w14:textFill>
              </w:rPr>
              <w:t>文件中的技术成果或技术方案时，需征得其书面同意，并不得擅自复印或提供给第三人。</w:t>
            </w:r>
          </w:p>
        </w:tc>
      </w:tr>
      <w:tr w14:paraId="4207A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47F18A66">
            <w:pPr>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10.2</w:t>
            </w:r>
          </w:p>
        </w:tc>
        <w:tc>
          <w:tcPr>
            <w:tcW w:w="1083" w:type="pct"/>
            <w:tcBorders>
              <w:right w:val="single" w:color="auto" w:sz="4" w:space="0"/>
            </w:tcBorders>
            <w:vAlign w:val="center"/>
          </w:tcPr>
          <w:p w14:paraId="458E6EFE">
            <w:pPr>
              <w:wordWrap w:val="0"/>
              <w:spacing w:line="380" w:lineRule="exact"/>
              <w:jc w:val="center"/>
              <w:rPr>
                <w:color w:val="000000" w:themeColor="text1"/>
                <w:sz w:val="21"/>
                <w:szCs w:val="21"/>
                <w:highlight w:val="none"/>
                <w:lang w:val="zh-CN" w:eastAsia="zh-CN"/>
                <w14:textFill>
                  <w14:solidFill>
                    <w14:schemeClr w14:val="tx1"/>
                  </w14:solidFill>
                </w14:textFill>
              </w:rPr>
            </w:pPr>
            <w:r>
              <w:rPr>
                <w:rFonts w:hint="eastAsia"/>
                <w:color w:val="000000" w:themeColor="text1"/>
                <w:sz w:val="21"/>
                <w:szCs w:val="21"/>
                <w:highlight w:val="none"/>
                <w:lang w:val="zh-CN" w:eastAsia="zh-CN"/>
                <w14:textFill>
                  <w14:solidFill>
                    <w14:schemeClr w14:val="tx1"/>
                  </w14:solidFill>
                </w14:textFill>
              </w:rPr>
              <w:t>重新开展采购活动的情形</w:t>
            </w:r>
          </w:p>
        </w:tc>
        <w:tc>
          <w:tcPr>
            <w:tcW w:w="3532" w:type="pct"/>
            <w:tcBorders>
              <w:left w:val="single" w:color="auto" w:sz="4" w:space="0"/>
            </w:tcBorders>
            <w:vAlign w:val="center"/>
          </w:tcPr>
          <w:p w14:paraId="4F336767">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（一）因情况变化，不再符合规定的竞争性磋商采购方式适用情形的；</w:t>
            </w:r>
          </w:p>
          <w:p w14:paraId="083EB2EA">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（二）出现影响采购公正的违法、违规行为的；</w:t>
            </w:r>
          </w:p>
          <w:p w14:paraId="61F79585">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（三）在采购过程中符合要求的供应商或者报价未超过采购预算的供应商不足3家的。</w:t>
            </w:r>
          </w:p>
        </w:tc>
      </w:tr>
      <w:tr w14:paraId="332B7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3671C082">
            <w:pPr>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10.3</w:t>
            </w:r>
          </w:p>
        </w:tc>
        <w:tc>
          <w:tcPr>
            <w:tcW w:w="1083" w:type="pct"/>
            <w:tcBorders>
              <w:right w:val="single" w:color="auto" w:sz="4" w:space="0"/>
            </w:tcBorders>
            <w:vAlign w:val="center"/>
          </w:tcPr>
          <w:p w14:paraId="53213473">
            <w:pPr>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同义词语</w:t>
            </w:r>
          </w:p>
        </w:tc>
        <w:tc>
          <w:tcPr>
            <w:tcW w:w="3532" w:type="pct"/>
            <w:tcBorders>
              <w:left w:val="single" w:color="auto" w:sz="4" w:space="0"/>
            </w:tcBorders>
            <w:vAlign w:val="center"/>
          </w:tcPr>
          <w:p w14:paraId="446CACF9">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bCs/>
                <w:color w:val="000000" w:themeColor="text1"/>
                <w:sz w:val="21"/>
                <w:szCs w:val="21"/>
                <w:highlight w:val="none"/>
                <w:lang w:val="zh-CN" w:eastAsia="zh-CN"/>
                <w14:textFill>
                  <w14:solidFill>
                    <w14:schemeClr w14:val="tx1"/>
                  </w14:solidFill>
                </w14:textFill>
              </w:rPr>
              <w:t>构成</w:t>
            </w:r>
            <w:r>
              <w:rPr>
                <w:rFonts w:hint="eastAsia"/>
                <w:bCs/>
                <w:color w:val="000000" w:themeColor="text1"/>
                <w:sz w:val="21"/>
                <w:szCs w:val="21"/>
                <w:highlight w:val="none"/>
                <w:lang w:eastAsia="zh-CN"/>
                <w14:textFill>
                  <w14:solidFill>
                    <w14:schemeClr w14:val="tx1"/>
                  </w14:solidFill>
                </w14:textFill>
              </w:rPr>
              <w:t>磋商</w:t>
            </w:r>
            <w:r>
              <w:rPr>
                <w:rFonts w:hint="eastAsia"/>
                <w:bCs/>
                <w:color w:val="000000" w:themeColor="text1"/>
                <w:sz w:val="21"/>
                <w:szCs w:val="21"/>
                <w:highlight w:val="none"/>
                <w:lang w:val="zh-CN" w:eastAsia="zh-CN"/>
                <w14:textFill>
                  <w14:solidFill>
                    <w14:schemeClr w14:val="tx1"/>
                  </w14:solidFill>
                </w14:textFill>
              </w:rPr>
              <w:t>文件组成部分的“通用合同条款”、“专用合同条款”、“技术标准和要求”等章节中出现的措辞“发包人”和 “承包人”，在</w:t>
            </w:r>
            <w:r>
              <w:rPr>
                <w:rFonts w:hint="eastAsia"/>
                <w:bCs/>
                <w:color w:val="000000" w:themeColor="text1"/>
                <w:sz w:val="21"/>
                <w:szCs w:val="21"/>
                <w:highlight w:val="none"/>
                <w:lang w:eastAsia="zh-CN"/>
                <w14:textFill>
                  <w14:solidFill>
                    <w14:schemeClr w14:val="tx1"/>
                  </w14:solidFill>
                </w14:textFill>
              </w:rPr>
              <w:t>采购活动中</w:t>
            </w:r>
            <w:r>
              <w:rPr>
                <w:rFonts w:hint="eastAsia"/>
                <w:bCs/>
                <w:color w:val="000000" w:themeColor="text1"/>
                <w:sz w:val="21"/>
                <w:szCs w:val="21"/>
                <w:highlight w:val="none"/>
                <w:lang w:val="zh-CN" w:eastAsia="zh-CN"/>
                <w14:textFill>
                  <w14:solidFill>
                    <w14:schemeClr w14:val="tx1"/>
                  </w14:solidFill>
                </w14:textFill>
              </w:rPr>
              <w:t>应当分别按“</w:t>
            </w:r>
            <w:r>
              <w:rPr>
                <w:rFonts w:hint="eastAsia"/>
                <w:bCs/>
                <w:color w:val="000000" w:themeColor="text1"/>
                <w:sz w:val="21"/>
                <w:szCs w:val="21"/>
                <w:highlight w:val="none"/>
                <w:lang w:eastAsia="zh-CN"/>
                <w14:textFill>
                  <w14:solidFill>
                    <w14:schemeClr w14:val="tx1"/>
                  </w14:solidFill>
                </w14:textFill>
              </w:rPr>
              <w:t>采购</w:t>
            </w:r>
            <w:r>
              <w:rPr>
                <w:rFonts w:hint="eastAsia"/>
                <w:bCs/>
                <w:color w:val="000000" w:themeColor="text1"/>
                <w:sz w:val="21"/>
                <w:szCs w:val="21"/>
                <w:highlight w:val="none"/>
                <w:lang w:val="zh-CN" w:eastAsia="zh-CN"/>
                <w14:textFill>
                  <w14:solidFill>
                    <w14:schemeClr w14:val="tx1"/>
                  </w14:solidFill>
                </w14:textFill>
              </w:rPr>
              <w:t>人”和“</w:t>
            </w:r>
            <w:r>
              <w:rPr>
                <w:rFonts w:hint="eastAsia"/>
                <w:bCs/>
                <w:color w:val="000000" w:themeColor="text1"/>
                <w:sz w:val="21"/>
                <w:szCs w:val="21"/>
                <w:highlight w:val="none"/>
                <w:lang w:eastAsia="zh-CN"/>
                <w14:textFill>
                  <w14:solidFill>
                    <w14:schemeClr w14:val="tx1"/>
                  </w14:solidFill>
                </w14:textFill>
              </w:rPr>
              <w:t>供应商</w:t>
            </w:r>
            <w:r>
              <w:rPr>
                <w:rFonts w:hint="eastAsia"/>
                <w:bCs/>
                <w:color w:val="000000" w:themeColor="text1"/>
                <w:sz w:val="21"/>
                <w:szCs w:val="21"/>
                <w:highlight w:val="none"/>
                <w:lang w:val="zh-CN" w:eastAsia="zh-CN"/>
                <w14:textFill>
                  <w14:solidFill>
                    <w14:schemeClr w14:val="tx1"/>
                  </w14:solidFill>
                </w14:textFill>
              </w:rPr>
              <w:t>”进行理解。</w:t>
            </w:r>
          </w:p>
        </w:tc>
      </w:tr>
      <w:tr w14:paraId="796CE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6AE2B36F">
            <w:pPr>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10.4</w:t>
            </w:r>
          </w:p>
        </w:tc>
        <w:tc>
          <w:tcPr>
            <w:tcW w:w="1083" w:type="pct"/>
            <w:tcBorders>
              <w:right w:val="single" w:color="auto" w:sz="4" w:space="0"/>
            </w:tcBorders>
            <w:vAlign w:val="center"/>
          </w:tcPr>
          <w:p w14:paraId="2FE4BB0A">
            <w:pPr>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解释权</w:t>
            </w:r>
          </w:p>
        </w:tc>
        <w:tc>
          <w:tcPr>
            <w:tcW w:w="3532" w:type="pct"/>
            <w:tcBorders>
              <w:left w:val="single" w:color="auto" w:sz="4" w:space="0"/>
            </w:tcBorders>
            <w:vAlign w:val="center"/>
          </w:tcPr>
          <w:p w14:paraId="665FE5F5">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bCs/>
                <w:color w:val="000000" w:themeColor="text1"/>
                <w:sz w:val="21"/>
                <w:szCs w:val="21"/>
                <w:highlight w:val="none"/>
                <w:lang w:val="zh-CN" w:eastAsia="zh-CN"/>
                <w14:textFill>
                  <w14:solidFill>
                    <w14:schemeClr w14:val="tx1"/>
                  </w14:solidFill>
                </w14:textFill>
              </w:rPr>
              <w:t>构成本</w:t>
            </w:r>
            <w:r>
              <w:rPr>
                <w:rFonts w:hint="eastAsia"/>
                <w:bCs/>
                <w:color w:val="000000" w:themeColor="text1"/>
                <w:sz w:val="21"/>
                <w:szCs w:val="21"/>
                <w:highlight w:val="none"/>
                <w:lang w:eastAsia="zh-CN"/>
                <w14:textFill>
                  <w14:solidFill>
                    <w14:schemeClr w14:val="tx1"/>
                  </w14:solidFill>
                </w14:textFill>
              </w:rPr>
              <w:t>磋商</w:t>
            </w:r>
            <w:r>
              <w:rPr>
                <w:rFonts w:hint="eastAsia"/>
                <w:bCs/>
                <w:color w:val="000000" w:themeColor="text1"/>
                <w:sz w:val="21"/>
                <w:szCs w:val="21"/>
                <w:highlight w:val="none"/>
                <w:lang w:val="zh-CN" w:eastAsia="zh-CN"/>
                <w14:textFill>
                  <w14:solidFill>
                    <w14:schemeClr w14:val="tx1"/>
                  </w14:solidFill>
                </w14:textFill>
              </w:rPr>
              <w:t>文件的各个组成文件应互为解释，互为说明；如有不明确或不一致，构成合同文件组成内容，以合同文件约定内容为准，且以专用合同条款约定的合同文件优先顺序解释；除</w:t>
            </w:r>
            <w:r>
              <w:rPr>
                <w:rFonts w:hint="eastAsia"/>
                <w:bCs/>
                <w:color w:val="000000" w:themeColor="text1"/>
                <w:sz w:val="21"/>
                <w:szCs w:val="21"/>
                <w:highlight w:val="none"/>
                <w:lang w:eastAsia="zh-CN"/>
                <w14:textFill>
                  <w14:solidFill>
                    <w14:schemeClr w14:val="tx1"/>
                  </w14:solidFill>
                </w14:textFill>
              </w:rPr>
              <w:t>磋商</w:t>
            </w:r>
            <w:r>
              <w:rPr>
                <w:rFonts w:hint="eastAsia"/>
                <w:bCs/>
                <w:color w:val="000000" w:themeColor="text1"/>
                <w:sz w:val="21"/>
                <w:szCs w:val="21"/>
                <w:highlight w:val="none"/>
                <w:lang w:val="zh-CN" w:eastAsia="zh-CN"/>
                <w14:textFill>
                  <w14:solidFill>
                    <w14:schemeClr w14:val="tx1"/>
                  </w14:solidFill>
                </w14:textFill>
              </w:rPr>
              <w:t>文件中有特别规定外，仅适用招标投标阶段的规定，按</w:t>
            </w:r>
            <w:r>
              <w:rPr>
                <w:rFonts w:hint="eastAsia"/>
                <w:bCs/>
                <w:color w:val="000000" w:themeColor="text1"/>
                <w:sz w:val="21"/>
                <w:szCs w:val="21"/>
                <w:highlight w:val="none"/>
                <w:lang w:eastAsia="zh-CN"/>
                <w14:textFill>
                  <w14:solidFill>
                    <w14:schemeClr w14:val="tx1"/>
                  </w14:solidFill>
                </w14:textFill>
              </w:rPr>
              <w:t>磋商</w:t>
            </w:r>
            <w:r>
              <w:rPr>
                <w:rFonts w:hint="eastAsia"/>
                <w:bCs/>
                <w:color w:val="000000" w:themeColor="text1"/>
                <w:sz w:val="21"/>
                <w:szCs w:val="21"/>
                <w:highlight w:val="none"/>
                <w:lang w:val="zh-CN" w:eastAsia="zh-CN"/>
                <w14:textFill>
                  <w14:solidFill>
                    <w14:schemeClr w14:val="tx1"/>
                  </w14:solidFill>
                </w14:textFill>
              </w:rPr>
              <w:t>公告、</w:t>
            </w:r>
            <w:r>
              <w:rPr>
                <w:rFonts w:hint="eastAsia"/>
                <w:bCs/>
                <w:color w:val="000000" w:themeColor="text1"/>
                <w:sz w:val="21"/>
                <w:szCs w:val="21"/>
                <w:highlight w:val="none"/>
                <w:lang w:eastAsia="zh-CN"/>
                <w14:textFill>
                  <w14:solidFill>
                    <w14:schemeClr w14:val="tx1"/>
                  </w14:solidFill>
                </w14:textFill>
              </w:rPr>
              <w:t>供应商</w:t>
            </w:r>
            <w:r>
              <w:rPr>
                <w:rFonts w:hint="eastAsia"/>
                <w:bCs/>
                <w:color w:val="000000" w:themeColor="text1"/>
                <w:sz w:val="21"/>
                <w:szCs w:val="21"/>
                <w:highlight w:val="none"/>
                <w:lang w:val="zh-CN" w:eastAsia="zh-CN"/>
                <w14:textFill>
                  <w14:solidFill>
                    <w14:schemeClr w14:val="tx1"/>
                  </w14:solidFill>
                </w14:textFill>
              </w:rPr>
              <w:t>须知、评审办法、</w:t>
            </w:r>
            <w:r>
              <w:rPr>
                <w:rFonts w:hint="eastAsia"/>
                <w:bCs/>
                <w:color w:val="000000" w:themeColor="text1"/>
                <w:sz w:val="21"/>
                <w:szCs w:val="21"/>
                <w:highlight w:val="none"/>
                <w:lang w:eastAsia="zh-CN"/>
                <w14:textFill>
                  <w14:solidFill>
                    <w14:schemeClr w14:val="tx1"/>
                  </w14:solidFill>
                </w14:textFill>
              </w:rPr>
              <w:t>响应</w:t>
            </w:r>
            <w:r>
              <w:rPr>
                <w:rFonts w:hint="eastAsia"/>
                <w:bCs/>
                <w:color w:val="000000" w:themeColor="text1"/>
                <w:sz w:val="21"/>
                <w:szCs w:val="21"/>
                <w:highlight w:val="none"/>
                <w:lang w:val="zh-CN" w:eastAsia="zh-CN"/>
                <w14:textFill>
                  <w14:solidFill>
                    <w14:schemeClr w14:val="tx1"/>
                  </w14:solidFill>
                </w14:textFill>
              </w:rPr>
              <w:t>文件格式的先后顺序解释；同一组成文件中就同一事项的规定或约定不一致的，以编排顺序在后者为准；同一组成文件中不同版本之间有不一致的，以形成时间在后者为准。按本款前述规定仍不能形成结论的，由</w:t>
            </w:r>
            <w:r>
              <w:rPr>
                <w:rFonts w:hint="eastAsia"/>
                <w:bCs/>
                <w:color w:val="000000" w:themeColor="text1"/>
                <w:sz w:val="21"/>
                <w:szCs w:val="21"/>
                <w:highlight w:val="none"/>
                <w:lang w:eastAsia="zh-CN"/>
                <w14:textFill>
                  <w14:solidFill>
                    <w14:schemeClr w14:val="tx1"/>
                  </w14:solidFill>
                </w14:textFill>
              </w:rPr>
              <w:t>采购</w:t>
            </w:r>
            <w:r>
              <w:rPr>
                <w:rFonts w:hint="eastAsia"/>
                <w:bCs/>
                <w:color w:val="000000" w:themeColor="text1"/>
                <w:sz w:val="21"/>
                <w:szCs w:val="21"/>
                <w:highlight w:val="none"/>
                <w:lang w:val="zh-CN" w:eastAsia="zh-CN"/>
                <w14:textFill>
                  <w14:solidFill>
                    <w14:schemeClr w14:val="tx1"/>
                  </w14:solidFill>
                </w14:textFill>
              </w:rPr>
              <w:t>人负责解释。</w:t>
            </w:r>
          </w:p>
        </w:tc>
      </w:tr>
      <w:tr w14:paraId="6A9B0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vAlign w:val="center"/>
          </w:tcPr>
          <w:p w14:paraId="552E89A8">
            <w:pPr>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10.5</w:t>
            </w:r>
          </w:p>
        </w:tc>
        <w:tc>
          <w:tcPr>
            <w:tcW w:w="1083" w:type="pct"/>
            <w:tcBorders>
              <w:right w:val="single" w:color="auto" w:sz="4" w:space="0"/>
            </w:tcBorders>
            <w:vAlign w:val="center"/>
          </w:tcPr>
          <w:p w14:paraId="7ADFA239">
            <w:pPr>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付款方式</w:t>
            </w:r>
          </w:p>
        </w:tc>
        <w:tc>
          <w:tcPr>
            <w:tcW w:w="3532" w:type="pct"/>
            <w:tcBorders>
              <w:left w:val="single" w:color="auto" w:sz="4" w:space="0"/>
            </w:tcBorders>
            <w:vAlign w:val="center"/>
          </w:tcPr>
          <w:p w14:paraId="37B4697F">
            <w:pPr>
              <w:wordWrap w:val="0"/>
              <w:spacing w:line="380" w:lineRule="exact"/>
              <w:ind w:left="99" w:leftChars="43" w:hanging="4"/>
              <w:jc w:val="both"/>
              <w:rPr>
                <w:rFonts w:hint="default"/>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bCs/>
                <w:color w:val="000000" w:themeColor="text1"/>
                <w:kern w:val="15"/>
                <w:sz w:val="21"/>
                <w:szCs w:val="21"/>
                <w:highlight w:val="none"/>
                <w:lang w:val="en-US" w:eastAsia="zh-CN"/>
                <w14:textFill>
                  <w14:solidFill>
                    <w14:schemeClr w14:val="tx1"/>
                  </w14:solidFill>
                </w14:textFill>
              </w:rPr>
              <w:t>预付款30%，安装验收合格后支付合同金额的70%一次性结清。</w:t>
            </w:r>
          </w:p>
        </w:tc>
      </w:tr>
      <w:tr w14:paraId="2C240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4" w:type="pct"/>
            <w:shd w:val="clear" w:color="auto" w:fill="auto"/>
            <w:vAlign w:val="center"/>
          </w:tcPr>
          <w:p w14:paraId="435100D4">
            <w:pPr>
              <w:wordWrap w:val="0"/>
              <w:spacing w:line="380" w:lineRule="exact"/>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10.6</w:t>
            </w:r>
          </w:p>
        </w:tc>
        <w:tc>
          <w:tcPr>
            <w:tcW w:w="1083" w:type="pct"/>
            <w:tcBorders>
              <w:right w:val="single" w:color="auto" w:sz="4" w:space="0"/>
            </w:tcBorders>
            <w:vAlign w:val="center"/>
          </w:tcPr>
          <w:p w14:paraId="7902FACC">
            <w:pPr>
              <w:wordWrap w:val="0"/>
              <w:spacing w:line="38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合同形式</w:t>
            </w:r>
          </w:p>
        </w:tc>
        <w:tc>
          <w:tcPr>
            <w:tcW w:w="3532" w:type="pct"/>
            <w:tcBorders>
              <w:left w:val="single" w:color="auto" w:sz="4" w:space="0"/>
            </w:tcBorders>
            <w:vAlign w:val="center"/>
          </w:tcPr>
          <w:p w14:paraId="7CCDC818">
            <w:pPr>
              <w:wordWrap w:val="0"/>
              <w:spacing w:line="380" w:lineRule="exact"/>
              <w:ind w:left="99" w:leftChars="43" w:hanging="4"/>
              <w:jc w:val="both"/>
              <w:rPr>
                <w:rFonts w:hint="eastAsia" w:asciiTheme="minorEastAsia" w:hAnsiTheme="minorEastAsia" w:eastAsiaTheme="minorEastAsia"/>
                <w:bCs/>
                <w:color w:val="000000" w:themeColor="text1"/>
                <w:kern w:val="15"/>
                <w:sz w:val="21"/>
                <w:szCs w:val="21"/>
                <w:highlight w:val="none"/>
                <w:lang w:eastAsia="zh-CN"/>
                <w14:textFill>
                  <w14:solidFill>
                    <w14:schemeClr w14:val="tx1"/>
                  </w14:solidFill>
                </w14:textFill>
              </w:rPr>
            </w:pPr>
            <w:r>
              <w:rPr>
                <w:rFonts w:hint="eastAsia" w:asciiTheme="minorEastAsia" w:hAnsiTheme="minorEastAsia" w:eastAsiaTheme="minorEastAsia"/>
                <w:bCs/>
                <w:color w:val="000000" w:themeColor="text1"/>
                <w:kern w:val="15"/>
                <w:sz w:val="21"/>
                <w:szCs w:val="21"/>
                <w:highlight w:val="none"/>
                <w:lang w:eastAsia="zh-CN"/>
                <w14:textFill>
                  <w14:solidFill>
                    <w14:schemeClr w14:val="tx1"/>
                  </w14:solidFill>
                </w14:textFill>
              </w:rPr>
              <w:t>固定总价</w:t>
            </w:r>
          </w:p>
        </w:tc>
      </w:tr>
      <w:tr w14:paraId="4EAE4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84" w:type="pct"/>
            <w:shd w:val="clear" w:color="auto" w:fill="auto"/>
            <w:vAlign w:val="center"/>
          </w:tcPr>
          <w:p w14:paraId="7BD7E8A9">
            <w:pPr>
              <w:wordWrap w:val="0"/>
              <w:spacing w:line="380" w:lineRule="exact"/>
              <w:jc w:val="center"/>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10.7</w:t>
            </w:r>
          </w:p>
        </w:tc>
        <w:tc>
          <w:tcPr>
            <w:tcW w:w="1083" w:type="pct"/>
            <w:tcBorders>
              <w:right w:val="single" w:color="auto" w:sz="4" w:space="0"/>
            </w:tcBorders>
            <w:vAlign w:val="center"/>
          </w:tcPr>
          <w:p w14:paraId="3EBC0F1F">
            <w:pPr>
              <w:wordWrap w:val="0"/>
              <w:spacing w:line="38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招标代理服务费</w:t>
            </w:r>
          </w:p>
        </w:tc>
        <w:tc>
          <w:tcPr>
            <w:tcW w:w="3532" w:type="pct"/>
            <w:tcBorders>
              <w:left w:val="single" w:color="auto" w:sz="4" w:space="0"/>
            </w:tcBorders>
            <w:vAlign w:val="center"/>
          </w:tcPr>
          <w:p w14:paraId="0C371F48">
            <w:pPr>
              <w:wordWrap w:val="0"/>
              <w:spacing w:line="380" w:lineRule="exact"/>
              <w:ind w:left="99" w:leftChars="43" w:hanging="4"/>
              <w:jc w:val="both"/>
              <w:rPr>
                <w:color w:val="000000" w:themeColor="text1"/>
                <w:sz w:val="21"/>
                <w:szCs w:val="21"/>
                <w:highlight w:val="none"/>
                <w:lang w:eastAsia="zh-CN"/>
                <w14:textFill>
                  <w14:solidFill>
                    <w14:schemeClr w14:val="tx1"/>
                  </w14:solidFill>
                </w14:textFill>
              </w:rPr>
            </w:pPr>
            <w:r>
              <w:rPr>
                <w:rFonts w:hint="eastAsia"/>
                <w:bCs/>
                <w:color w:val="000000" w:themeColor="text1"/>
                <w:sz w:val="21"/>
                <w:szCs w:val="21"/>
                <w:highlight w:val="none"/>
                <w:lang w:val="zh-CN" w:eastAsia="zh-CN"/>
                <w14:textFill>
                  <w14:solidFill>
                    <w14:schemeClr w14:val="tx1"/>
                  </w14:solidFill>
                </w14:textFill>
              </w:rPr>
              <w:t>执行国家发展改革委《关于进一步放开建设项目专业服务价格的通知》（发改价格〔2015〕299号）文件向中标（成交）供应商收取招标代理服务费</w:t>
            </w:r>
            <w:r>
              <w:rPr>
                <w:rFonts w:hint="eastAsia"/>
                <w:bCs/>
                <w:color w:val="000000" w:themeColor="text1"/>
                <w:sz w:val="21"/>
                <w:szCs w:val="21"/>
                <w:highlight w:val="none"/>
                <w:lang w:val="en-US" w:eastAsia="zh-CN"/>
                <w14:textFill>
                  <w14:solidFill>
                    <w14:schemeClr w14:val="tx1"/>
                  </w14:solidFill>
                </w14:textFill>
              </w:rPr>
              <w:t>10000元</w:t>
            </w:r>
            <w:r>
              <w:rPr>
                <w:rFonts w:hint="eastAsia"/>
                <w:bCs/>
                <w:color w:val="000000" w:themeColor="text1"/>
                <w:sz w:val="21"/>
                <w:szCs w:val="21"/>
                <w:highlight w:val="none"/>
                <w:lang w:val="zh-CN" w:eastAsia="zh-CN"/>
                <w14:textFill>
                  <w14:solidFill>
                    <w14:schemeClr w14:val="tx1"/>
                  </w14:solidFill>
                </w14:textFill>
              </w:rPr>
              <w:t>。</w:t>
            </w:r>
          </w:p>
        </w:tc>
      </w:tr>
      <w:tr w14:paraId="2FE8F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84" w:type="pct"/>
            <w:shd w:val="clear" w:color="auto" w:fill="auto"/>
            <w:vAlign w:val="center"/>
          </w:tcPr>
          <w:p w14:paraId="73A6757D">
            <w:pPr>
              <w:wordWrap w:val="0"/>
              <w:spacing w:line="380" w:lineRule="exact"/>
              <w:jc w:val="center"/>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10.8</w:t>
            </w:r>
          </w:p>
        </w:tc>
        <w:tc>
          <w:tcPr>
            <w:tcW w:w="1083" w:type="pct"/>
            <w:tcBorders>
              <w:right w:val="single" w:color="auto" w:sz="4" w:space="0"/>
            </w:tcBorders>
            <w:shd w:val="clear" w:color="auto" w:fill="auto"/>
            <w:vAlign w:val="center"/>
          </w:tcPr>
          <w:p w14:paraId="7EBD3203">
            <w:pPr>
              <w:adjustRightInd w:val="0"/>
              <w:snapToGrid w:val="0"/>
              <w:spacing w:before="60" w:beforeLines="25" w:after="60" w:afterLines="25" w:line="300" w:lineRule="exact"/>
              <w:jc w:val="center"/>
              <w:rPr>
                <w:rFonts w:hint="eastAsia" w:cs="宋体" w:asciiTheme="minorEastAsia" w:hAnsiTheme="minorEastAsia" w:eastAsiaTheme="minorEastAsia"/>
                <w:b/>
                <w:bCs w:val="0"/>
                <w:kern w:val="15"/>
                <w:sz w:val="21"/>
                <w:szCs w:val="21"/>
                <w:highlight w:val="none"/>
                <w:lang w:val="zh-CN" w:eastAsia="en-US" w:bidi="ar-SA"/>
              </w:rPr>
            </w:pPr>
            <w:r>
              <w:rPr>
                <w:rFonts w:hint="eastAsia" w:asciiTheme="minorEastAsia" w:hAnsiTheme="minorEastAsia" w:eastAsiaTheme="minorEastAsia"/>
                <w:b/>
                <w:bCs w:val="0"/>
                <w:kern w:val="15"/>
                <w:sz w:val="21"/>
                <w:szCs w:val="21"/>
                <w:highlight w:val="none"/>
              </w:rPr>
              <w:t>其他要求</w:t>
            </w:r>
          </w:p>
        </w:tc>
        <w:tc>
          <w:tcPr>
            <w:tcW w:w="3532" w:type="pct"/>
            <w:tcBorders>
              <w:left w:val="single" w:color="auto" w:sz="4" w:space="0"/>
            </w:tcBorders>
            <w:shd w:val="clear" w:color="auto" w:fill="auto"/>
            <w:vAlign w:val="center"/>
          </w:tcPr>
          <w:p w14:paraId="7016EAD5">
            <w:pPr>
              <w:numPr>
                <w:ilvl w:val="0"/>
                <w:numId w:val="0"/>
              </w:numPr>
              <w:spacing w:line="300" w:lineRule="exact"/>
              <w:rPr>
                <w:rFonts w:hint="eastAsia" w:ascii="宋体" w:hAnsi="宋体" w:eastAsia="宋体"/>
                <w:bCs/>
                <w:kern w:val="15"/>
                <w:sz w:val="21"/>
                <w:szCs w:val="21"/>
                <w:highlight w:val="none"/>
                <w:lang w:val="en-US" w:eastAsia="zh-CN"/>
              </w:rPr>
            </w:pPr>
            <w:r>
              <w:rPr>
                <w:rFonts w:hint="eastAsia" w:ascii="宋体" w:hAnsi="宋体" w:eastAsia="宋体"/>
                <w:bCs/>
                <w:kern w:val="15"/>
                <w:sz w:val="21"/>
                <w:szCs w:val="21"/>
                <w:highlight w:val="none"/>
                <w:lang w:val="en-US" w:eastAsia="zh-CN"/>
              </w:rPr>
              <w:t>（1）</w:t>
            </w:r>
            <w:r>
              <w:rPr>
                <w:rFonts w:hint="eastAsia"/>
                <w:bCs/>
                <w:kern w:val="15"/>
                <w:sz w:val="21"/>
                <w:szCs w:val="21"/>
                <w:highlight w:val="none"/>
                <w:lang w:val="en-US" w:eastAsia="zh-CN"/>
              </w:rPr>
              <w:t>响应</w:t>
            </w:r>
            <w:r>
              <w:rPr>
                <w:rFonts w:hint="eastAsia" w:ascii="宋体" w:hAnsi="宋体" w:eastAsia="宋体"/>
                <w:bCs/>
                <w:kern w:val="15"/>
                <w:sz w:val="21"/>
                <w:szCs w:val="21"/>
                <w:highlight w:val="none"/>
                <w:lang w:val="en-US" w:eastAsia="zh-CN"/>
              </w:rPr>
              <w:t>文件没有买方不能接受的条件，所投产品技术参数均真实有效，不存在任何造假或不实。</w:t>
            </w:r>
          </w:p>
          <w:p w14:paraId="28DE4B02">
            <w:pPr>
              <w:numPr>
                <w:ilvl w:val="0"/>
                <w:numId w:val="0"/>
              </w:numPr>
              <w:spacing w:line="300" w:lineRule="exact"/>
              <w:rPr>
                <w:rFonts w:hint="eastAsia" w:ascii="宋体" w:hAnsi="宋体" w:eastAsia="宋体"/>
                <w:b/>
                <w:bCs w:val="0"/>
                <w:kern w:val="15"/>
                <w:sz w:val="21"/>
                <w:szCs w:val="21"/>
                <w:highlight w:val="none"/>
                <w:lang w:val="en-US" w:eastAsia="zh-CN"/>
              </w:rPr>
            </w:pPr>
            <w:r>
              <w:rPr>
                <w:rFonts w:hint="eastAsia"/>
                <w:b/>
                <w:bCs w:val="0"/>
                <w:kern w:val="15"/>
                <w:sz w:val="21"/>
                <w:szCs w:val="21"/>
                <w:highlight w:val="none"/>
                <w:lang w:val="en-US" w:eastAsia="zh-CN"/>
              </w:rPr>
              <w:t>响应</w:t>
            </w:r>
            <w:r>
              <w:rPr>
                <w:rFonts w:hint="eastAsia" w:ascii="宋体" w:hAnsi="宋体" w:eastAsia="宋体"/>
                <w:b/>
                <w:bCs w:val="0"/>
                <w:kern w:val="15"/>
                <w:sz w:val="21"/>
                <w:szCs w:val="21"/>
                <w:highlight w:val="none"/>
                <w:lang w:val="en-US" w:eastAsia="zh-CN"/>
              </w:rPr>
              <w:t>文件内附由法定代表人或其委托代理人签字并加盖单位公章的承诺书。</w:t>
            </w:r>
          </w:p>
          <w:p w14:paraId="0C619D33">
            <w:pPr>
              <w:numPr>
                <w:ilvl w:val="0"/>
                <w:numId w:val="0"/>
              </w:numPr>
              <w:spacing w:line="300" w:lineRule="exact"/>
              <w:rPr>
                <w:rFonts w:hint="eastAsia" w:ascii="宋体" w:hAnsi="宋体" w:eastAsia="宋体"/>
                <w:bCs/>
                <w:kern w:val="15"/>
                <w:sz w:val="21"/>
                <w:szCs w:val="21"/>
                <w:highlight w:val="none"/>
                <w:lang w:val="en-US" w:eastAsia="zh-CN"/>
              </w:rPr>
            </w:pPr>
            <w:r>
              <w:rPr>
                <w:rFonts w:hint="eastAsia" w:ascii="宋体" w:hAnsi="宋体" w:eastAsia="宋体"/>
                <w:bCs/>
                <w:kern w:val="15"/>
                <w:sz w:val="21"/>
                <w:szCs w:val="21"/>
                <w:highlight w:val="none"/>
                <w:lang w:val="en-US" w:eastAsia="zh-CN"/>
              </w:rPr>
              <w:t>（2）售后服务承诺书</w:t>
            </w:r>
          </w:p>
          <w:p w14:paraId="14126E24">
            <w:pPr>
              <w:numPr>
                <w:ilvl w:val="0"/>
                <w:numId w:val="0"/>
              </w:numPr>
              <w:spacing w:line="300" w:lineRule="exact"/>
              <w:rPr>
                <w:rFonts w:hint="eastAsia" w:ascii="宋体" w:hAnsi="宋体" w:eastAsia="宋体"/>
                <w:b/>
                <w:bCs w:val="0"/>
                <w:kern w:val="15"/>
                <w:sz w:val="21"/>
                <w:szCs w:val="21"/>
                <w:highlight w:val="none"/>
                <w:lang w:val="en-US" w:eastAsia="zh-CN"/>
              </w:rPr>
            </w:pPr>
            <w:r>
              <w:rPr>
                <w:rFonts w:hint="eastAsia"/>
                <w:b/>
                <w:bCs w:val="0"/>
                <w:kern w:val="15"/>
                <w:sz w:val="21"/>
                <w:szCs w:val="21"/>
                <w:highlight w:val="none"/>
                <w:lang w:val="en-US" w:eastAsia="zh-CN"/>
              </w:rPr>
              <w:t>响应</w:t>
            </w:r>
            <w:r>
              <w:rPr>
                <w:rFonts w:hint="eastAsia" w:ascii="宋体" w:hAnsi="宋体" w:eastAsia="宋体"/>
                <w:b/>
                <w:bCs w:val="0"/>
                <w:kern w:val="15"/>
                <w:sz w:val="21"/>
                <w:szCs w:val="21"/>
                <w:highlight w:val="none"/>
                <w:lang w:val="en-US" w:eastAsia="zh-CN"/>
              </w:rPr>
              <w:t>文件内附由法定代表人或其委托代理人签字并加盖单位公章的承诺书。</w:t>
            </w:r>
          </w:p>
          <w:p w14:paraId="564E0ED3">
            <w:pPr>
              <w:numPr>
                <w:ilvl w:val="0"/>
                <w:numId w:val="0"/>
              </w:numPr>
              <w:spacing w:line="300" w:lineRule="exact"/>
              <w:rPr>
                <w:rFonts w:hint="eastAsia" w:ascii="宋体" w:hAnsi="宋体" w:eastAsia="宋体"/>
                <w:bCs/>
                <w:kern w:val="15"/>
                <w:sz w:val="21"/>
                <w:szCs w:val="21"/>
                <w:highlight w:val="none"/>
                <w:lang w:val="en-US" w:eastAsia="zh-CN"/>
              </w:rPr>
            </w:pPr>
            <w:r>
              <w:rPr>
                <w:rFonts w:hint="eastAsia" w:ascii="宋体" w:hAnsi="宋体" w:eastAsia="宋体"/>
                <w:bCs/>
                <w:kern w:val="15"/>
                <w:sz w:val="21"/>
                <w:szCs w:val="21"/>
                <w:highlight w:val="none"/>
                <w:lang w:val="en-US" w:eastAsia="zh-CN"/>
              </w:rPr>
              <w:t>（3）如虚假响应或提供虚假证明材料，采购人及评标委员会有权追究其法律责任，并将违法情况上报主管部门，申请将其失信行为公示于信用中国网站（www.creditchina.gov.cn）和 中国政府采购网（www.ccgp.gov.cn）。</w:t>
            </w:r>
          </w:p>
          <w:p w14:paraId="31700753">
            <w:pPr>
              <w:numPr>
                <w:ilvl w:val="0"/>
                <w:numId w:val="0"/>
              </w:numPr>
              <w:spacing w:line="300" w:lineRule="exact"/>
              <w:rPr>
                <w:rFonts w:hint="eastAsia" w:ascii="宋体" w:hAnsi="宋体" w:eastAsia="宋体" w:cs="宋体"/>
                <w:b/>
                <w:bCs w:val="0"/>
                <w:kern w:val="15"/>
                <w:sz w:val="21"/>
                <w:szCs w:val="21"/>
                <w:highlight w:val="none"/>
                <w:lang w:val="zh-CN" w:eastAsia="zh-CN" w:bidi="ar-SA"/>
              </w:rPr>
            </w:pPr>
            <w:r>
              <w:rPr>
                <w:rFonts w:hint="eastAsia"/>
                <w:b/>
                <w:bCs w:val="0"/>
                <w:kern w:val="15"/>
                <w:sz w:val="21"/>
                <w:szCs w:val="21"/>
                <w:highlight w:val="none"/>
                <w:lang w:val="en-US" w:eastAsia="zh-CN"/>
              </w:rPr>
              <w:t>响应</w:t>
            </w:r>
            <w:r>
              <w:rPr>
                <w:rFonts w:hint="eastAsia" w:ascii="宋体" w:hAnsi="宋体" w:eastAsia="宋体"/>
                <w:b/>
                <w:bCs w:val="0"/>
                <w:kern w:val="15"/>
                <w:sz w:val="21"/>
                <w:szCs w:val="21"/>
                <w:highlight w:val="none"/>
                <w:lang w:val="en-US" w:eastAsia="zh-CN"/>
              </w:rPr>
              <w:t>文件内附由法定代表人或其委托代理人签字并加盖单位公章的承诺书。</w:t>
            </w:r>
          </w:p>
        </w:tc>
      </w:tr>
      <w:tr w14:paraId="6DC9D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84" w:type="pct"/>
            <w:shd w:val="clear" w:color="auto" w:fill="auto"/>
            <w:vAlign w:val="center"/>
          </w:tcPr>
          <w:p w14:paraId="1159867F">
            <w:pPr>
              <w:wordWrap w:val="0"/>
              <w:spacing w:line="380" w:lineRule="exact"/>
              <w:jc w:val="center"/>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10.9</w:t>
            </w:r>
          </w:p>
        </w:tc>
        <w:tc>
          <w:tcPr>
            <w:tcW w:w="1083" w:type="pct"/>
            <w:tcBorders>
              <w:right w:val="single" w:color="auto" w:sz="4" w:space="0"/>
            </w:tcBorders>
            <w:shd w:val="clear" w:color="auto" w:fill="auto"/>
            <w:vAlign w:val="center"/>
          </w:tcPr>
          <w:p w14:paraId="532A38D6">
            <w:pPr>
              <w:adjustRightInd w:val="0"/>
              <w:snapToGrid w:val="0"/>
              <w:spacing w:before="60" w:beforeLines="25" w:after="60" w:afterLines="25" w:line="300" w:lineRule="exact"/>
              <w:jc w:val="center"/>
              <w:rPr>
                <w:rFonts w:hint="eastAsia" w:cs="宋体" w:asciiTheme="minorEastAsia" w:hAnsiTheme="minorEastAsia" w:eastAsiaTheme="minorEastAsia"/>
                <w:bCs/>
                <w:kern w:val="15"/>
                <w:sz w:val="21"/>
                <w:szCs w:val="21"/>
                <w:highlight w:val="none"/>
                <w:lang w:val="en-US" w:eastAsia="en-US" w:bidi="ar-SA"/>
              </w:rPr>
            </w:pPr>
            <w:r>
              <w:rPr>
                <w:rFonts w:hint="eastAsia" w:cs="宋体" w:asciiTheme="minorEastAsia" w:hAnsiTheme="minorEastAsia" w:eastAsiaTheme="minorEastAsia"/>
                <w:b/>
                <w:bCs w:val="0"/>
                <w:kern w:val="15"/>
                <w:sz w:val="21"/>
                <w:szCs w:val="21"/>
                <w:highlight w:val="none"/>
                <w:lang w:val="en-US" w:eastAsia="zh-CN"/>
              </w:rPr>
              <w:t>报价低于成本价不正当竞争措施</w:t>
            </w:r>
          </w:p>
        </w:tc>
        <w:tc>
          <w:tcPr>
            <w:tcW w:w="3532" w:type="pct"/>
            <w:tcBorders>
              <w:left w:val="single" w:color="auto" w:sz="4" w:space="0"/>
            </w:tcBorders>
            <w:shd w:val="clear" w:color="auto" w:fill="auto"/>
            <w:vAlign w:val="center"/>
          </w:tcPr>
          <w:p w14:paraId="4CA98C82">
            <w:pPr>
              <w:numPr>
                <w:ilvl w:val="0"/>
                <w:numId w:val="0"/>
              </w:numPr>
              <w:spacing w:line="300" w:lineRule="exact"/>
              <w:ind w:left="0" w:leftChars="0" w:firstLine="0" w:firstLineChars="0"/>
              <w:rPr>
                <w:rFonts w:hint="eastAsia" w:ascii="宋体" w:hAnsi="宋体" w:eastAsia="宋体" w:cs="宋体"/>
                <w:bCs/>
                <w:kern w:val="15"/>
                <w:sz w:val="21"/>
                <w:szCs w:val="21"/>
                <w:highlight w:val="none"/>
                <w:lang w:val="en-US" w:eastAsia="en-US" w:bidi="ar-SA"/>
              </w:rPr>
            </w:pPr>
            <w:r>
              <w:rPr>
                <w:rFonts w:hint="eastAsia" w:ascii="宋体" w:hAnsi="宋体" w:eastAsia="宋体" w:cs="宋体"/>
                <w:bCs/>
                <w:kern w:val="15"/>
                <w:sz w:val="21"/>
                <w:szCs w:val="21"/>
                <w:highlight w:val="none"/>
                <w:lang w:val="en-US" w:eastAsia="en-US" w:bidi="ar-SA"/>
              </w:rPr>
              <w:t>执行关于推动解决政府采购异常低价问题的通知（财库〔2026〕2号），启动异常低价投标（响应）审查程序：</w:t>
            </w:r>
          </w:p>
          <w:p w14:paraId="0A0948A5">
            <w:pPr>
              <w:numPr>
                <w:ilvl w:val="0"/>
                <w:numId w:val="0"/>
              </w:numPr>
              <w:spacing w:line="300" w:lineRule="exact"/>
              <w:ind w:left="0" w:leftChars="0" w:firstLine="0" w:firstLineChars="0"/>
              <w:rPr>
                <w:rFonts w:hint="eastAsia" w:ascii="宋体" w:hAnsi="宋体" w:eastAsia="宋体" w:cs="宋体"/>
                <w:bCs/>
                <w:kern w:val="15"/>
                <w:sz w:val="21"/>
                <w:szCs w:val="21"/>
                <w:highlight w:val="none"/>
                <w:lang w:val="en-US" w:eastAsia="en-US" w:bidi="ar-SA"/>
              </w:rPr>
            </w:pPr>
            <w:r>
              <w:rPr>
                <w:rFonts w:hint="eastAsia" w:ascii="宋体" w:hAnsi="宋体" w:eastAsia="宋体" w:cs="宋体"/>
                <w:bCs/>
                <w:kern w:val="15"/>
                <w:sz w:val="21"/>
                <w:szCs w:val="21"/>
                <w:highlight w:val="none"/>
                <w:lang w:val="en-US" w:eastAsia="en-US" w:bidi="ar-SA"/>
              </w:rPr>
              <w:t>1.投标（响应）报价低于全部通过符合性审查供应商投标（响应）报价平均值65%的，即投标（响应）报价&lt;全部通过符合性审查供应商投标（响应）报价平均值×65%；</w:t>
            </w:r>
          </w:p>
          <w:p w14:paraId="7CB4FCAE">
            <w:pPr>
              <w:numPr>
                <w:ilvl w:val="0"/>
                <w:numId w:val="0"/>
              </w:numPr>
              <w:spacing w:line="300" w:lineRule="exact"/>
              <w:ind w:left="0" w:leftChars="0" w:firstLine="0" w:firstLineChars="0"/>
              <w:rPr>
                <w:rFonts w:hint="eastAsia" w:ascii="宋体" w:hAnsi="宋体" w:eastAsia="宋体" w:cs="宋体"/>
                <w:bCs/>
                <w:kern w:val="15"/>
                <w:sz w:val="21"/>
                <w:szCs w:val="21"/>
                <w:highlight w:val="none"/>
                <w:lang w:val="en-US" w:eastAsia="en-US" w:bidi="ar-SA"/>
              </w:rPr>
            </w:pPr>
            <w:r>
              <w:rPr>
                <w:rFonts w:hint="eastAsia" w:ascii="宋体" w:hAnsi="宋体" w:eastAsia="宋体" w:cs="宋体"/>
                <w:bCs/>
                <w:kern w:val="15"/>
                <w:sz w:val="21"/>
                <w:szCs w:val="21"/>
                <w:highlight w:val="none"/>
                <w:lang w:val="en-US" w:eastAsia="en-US" w:bidi="ar-SA"/>
              </w:rPr>
              <w:t>2.投标（响应）报价低于通过符合性审查的次低报价供应商投标（响应）报价65%的，即投标（响应）报价&lt;通过符合性审查的次低报价供应商投标（响应）报价×65%；</w:t>
            </w:r>
          </w:p>
          <w:p w14:paraId="48D4799B">
            <w:pPr>
              <w:numPr>
                <w:ilvl w:val="0"/>
                <w:numId w:val="0"/>
              </w:numPr>
              <w:spacing w:line="300" w:lineRule="exact"/>
              <w:ind w:left="0" w:leftChars="0" w:firstLine="0" w:firstLineChars="0"/>
              <w:rPr>
                <w:rFonts w:hint="eastAsia" w:ascii="宋体" w:hAnsi="宋体" w:eastAsia="宋体" w:cs="宋体"/>
                <w:bCs/>
                <w:kern w:val="15"/>
                <w:sz w:val="21"/>
                <w:szCs w:val="21"/>
                <w:highlight w:val="none"/>
                <w:lang w:val="en-US" w:eastAsia="en-US" w:bidi="ar-SA"/>
              </w:rPr>
            </w:pPr>
            <w:r>
              <w:rPr>
                <w:rFonts w:hint="eastAsia" w:ascii="宋体" w:hAnsi="宋体" w:eastAsia="宋体" w:cs="宋体"/>
                <w:bCs/>
                <w:kern w:val="15"/>
                <w:sz w:val="21"/>
                <w:szCs w:val="21"/>
                <w:highlight w:val="none"/>
                <w:lang w:val="en-US" w:eastAsia="en-US" w:bidi="ar-SA"/>
              </w:rPr>
              <w:t>3.投标（响应）报价低于采购项目最高限价65%的，即投标（响应）报价&lt;采购项目最高限价×65%；</w:t>
            </w:r>
          </w:p>
          <w:p w14:paraId="08341993">
            <w:pPr>
              <w:numPr>
                <w:ilvl w:val="0"/>
                <w:numId w:val="0"/>
              </w:numPr>
              <w:spacing w:line="300" w:lineRule="exact"/>
              <w:ind w:left="0" w:leftChars="0" w:firstLine="0" w:firstLineChars="0"/>
              <w:rPr>
                <w:rFonts w:hint="eastAsia" w:ascii="宋体" w:hAnsi="宋体" w:eastAsia="宋体" w:cs="宋体"/>
                <w:bCs/>
                <w:kern w:val="15"/>
                <w:sz w:val="21"/>
                <w:szCs w:val="21"/>
                <w:highlight w:val="none"/>
                <w:lang w:val="en-US" w:eastAsia="en-US" w:bidi="ar-SA"/>
              </w:rPr>
            </w:pPr>
            <w:r>
              <w:rPr>
                <w:rFonts w:hint="eastAsia" w:ascii="宋体" w:hAnsi="宋体" w:eastAsia="宋体" w:cs="宋体"/>
                <w:bCs/>
                <w:kern w:val="15"/>
                <w:sz w:val="21"/>
                <w:szCs w:val="21"/>
                <w:highlight w:val="none"/>
                <w:lang w:val="en-US" w:eastAsia="en-US" w:bidi="ar-SA"/>
              </w:rPr>
              <w:t>4.评审委员会基于专业判断，认为供应商报价过低，有可能影响产品质量或者不能诚信履约的其他情形。</w:t>
            </w:r>
          </w:p>
          <w:p w14:paraId="05EACBA3">
            <w:pPr>
              <w:numPr>
                <w:ilvl w:val="0"/>
                <w:numId w:val="0"/>
              </w:numPr>
              <w:spacing w:line="300" w:lineRule="exact"/>
              <w:ind w:left="0" w:leftChars="0" w:firstLine="0" w:firstLineChars="0"/>
              <w:rPr>
                <w:rFonts w:hint="eastAsia" w:ascii="宋体" w:hAnsi="宋体" w:eastAsia="宋体" w:cs="宋体"/>
                <w:bCs/>
                <w:kern w:val="15"/>
                <w:sz w:val="21"/>
                <w:szCs w:val="21"/>
                <w:highlight w:val="none"/>
                <w:lang w:val="en-US" w:eastAsia="en-US" w:bidi="ar-SA"/>
              </w:rPr>
            </w:pPr>
            <w:r>
              <w:rPr>
                <w:rFonts w:hint="eastAsia" w:ascii="宋体" w:hAnsi="宋体" w:eastAsia="宋体" w:cs="宋体"/>
                <w:bCs/>
                <w:kern w:val="15"/>
                <w:sz w:val="21"/>
                <w:szCs w:val="21"/>
                <w:highlight w:val="none"/>
                <w:lang w:val="en-US" w:eastAsia="en-US" w:bidi="ar-SA"/>
              </w:rPr>
              <w:t>供应商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01B4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0" w:hRule="atLeast"/>
          <w:jc w:val="center"/>
        </w:trPr>
        <w:tc>
          <w:tcPr>
            <w:tcW w:w="384" w:type="pct"/>
            <w:shd w:val="clear" w:color="auto" w:fill="auto"/>
            <w:vAlign w:val="center"/>
          </w:tcPr>
          <w:p w14:paraId="5F844999">
            <w:pPr>
              <w:wordWrap w:val="0"/>
              <w:spacing w:line="380" w:lineRule="exact"/>
              <w:jc w:val="center"/>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10.10</w:t>
            </w:r>
          </w:p>
        </w:tc>
        <w:tc>
          <w:tcPr>
            <w:tcW w:w="1083" w:type="pct"/>
            <w:tcBorders>
              <w:right w:val="single" w:color="auto" w:sz="4" w:space="0"/>
            </w:tcBorders>
            <w:shd w:val="clear" w:color="auto" w:fill="auto"/>
            <w:vAlign w:val="center"/>
          </w:tcPr>
          <w:p w14:paraId="3DFACDE6">
            <w:pPr>
              <w:adjustRightInd w:val="0"/>
              <w:snapToGrid w:val="0"/>
              <w:spacing w:before="60" w:beforeLines="25" w:after="60" w:afterLines="25" w:line="300" w:lineRule="exact"/>
              <w:jc w:val="center"/>
              <w:rPr>
                <w:rFonts w:hint="eastAsia" w:cs="宋体" w:asciiTheme="minorEastAsia" w:hAnsiTheme="minorEastAsia" w:eastAsiaTheme="minorEastAsia"/>
                <w:bCs/>
                <w:kern w:val="15"/>
                <w:sz w:val="21"/>
                <w:szCs w:val="21"/>
                <w:highlight w:val="none"/>
                <w:lang w:val="zh-CN" w:eastAsia="en-US" w:bidi="ar-SA"/>
              </w:rPr>
            </w:pPr>
            <w:r>
              <w:rPr>
                <w:rFonts w:hint="eastAsia" w:asciiTheme="minorEastAsia" w:hAnsiTheme="minorEastAsia" w:eastAsiaTheme="minorEastAsia"/>
                <w:b/>
                <w:bCs w:val="0"/>
                <w:kern w:val="15"/>
                <w:sz w:val="21"/>
                <w:szCs w:val="21"/>
                <w:highlight w:val="none"/>
                <w:lang w:val="en-US" w:eastAsia="zh-CN"/>
              </w:rPr>
              <w:t>技术部分暗标说明</w:t>
            </w:r>
          </w:p>
        </w:tc>
        <w:tc>
          <w:tcPr>
            <w:tcW w:w="3532" w:type="pct"/>
            <w:tcBorders>
              <w:left w:val="single" w:color="auto" w:sz="4" w:space="0"/>
            </w:tcBorders>
            <w:shd w:val="clear" w:color="auto" w:fill="auto"/>
            <w:vAlign w:val="center"/>
          </w:tcPr>
          <w:p w14:paraId="56820AD0">
            <w:pPr>
              <w:numPr>
                <w:ilvl w:val="0"/>
                <w:numId w:val="0"/>
              </w:numPr>
              <w:spacing w:line="300" w:lineRule="exact"/>
              <w:ind w:left="0" w:leftChars="0" w:firstLine="0" w:firstLineChars="0"/>
              <w:rPr>
                <w:rFonts w:hint="eastAsia" w:ascii="宋体" w:hAnsi="宋体" w:eastAsia="宋体" w:cs="宋体"/>
                <w:b/>
                <w:bCs w:val="0"/>
                <w:kern w:val="15"/>
                <w:sz w:val="21"/>
                <w:szCs w:val="21"/>
                <w:highlight w:val="none"/>
                <w:lang w:val="zh-CN" w:eastAsia="zh-CN" w:bidi="ar-SA"/>
              </w:rPr>
            </w:pPr>
            <mc:AlternateContent>
              <mc:Choice Requires="wpsCustomData">
                <wpsCustomData:docfieldStart id="0" docfieldname="标题_1" hidden="0" print="1" readonly="0" index="1"/>
              </mc:Choice>
            </mc:AlternateContent>
            <w:r>
              <w:rPr>
                <w:rFonts w:hint="eastAsia" w:cs="宋体"/>
                <w:b/>
                <w:bCs w:val="0"/>
                <w:kern w:val="15"/>
                <w:sz w:val="21"/>
                <w:szCs w:val="21"/>
                <w:highlight w:val="none"/>
                <w:lang w:val="zh-CN" w:eastAsia="zh-CN" w:bidi="ar-SA"/>
              </w:rPr>
              <w:t>响应文件</w:t>
            </w:r>
            <w:r>
              <w:rPr>
                <w:rFonts w:hint="eastAsia" w:ascii="宋体" w:hAnsi="宋体" w:eastAsia="宋体" w:cs="宋体"/>
                <w:b/>
                <w:bCs w:val="0"/>
                <w:kern w:val="15"/>
                <w:sz w:val="21"/>
                <w:szCs w:val="21"/>
                <w:highlight w:val="none"/>
                <w:lang w:val="zh-CN" w:eastAsia="zh-CN" w:bidi="ar-SA"/>
              </w:rPr>
              <w:t>技术标必须遵守的统一格式和规范</w:t>
            </w:r>
            <mc:AlternateContent>
              <mc:Choice Requires="wpsCustomData">
                <wpsCustomData:docfieldEnd id="0"/>
              </mc:Choice>
            </mc:AlternateContent>
          </w:p>
          <w:p w14:paraId="499B896C">
            <w:pPr>
              <w:numPr>
                <w:ilvl w:val="0"/>
                <w:numId w:val="0"/>
              </w:numPr>
              <w:spacing w:line="300" w:lineRule="exact"/>
              <w:ind w:left="0" w:leftChars="0" w:firstLine="0" w:firstLineChars="0"/>
              <w:rPr>
                <w:rFonts w:hint="eastAsia" w:ascii="宋体" w:hAnsi="宋体" w:eastAsia="宋体" w:cs="宋体"/>
                <w:b/>
                <w:bCs w:val="0"/>
                <w:kern w:val="15"/>
                <w:sz w:val="21"/>
                <w:szCs w:val="21"/>
                <w:highlight w:val="none"/>
                <w:lang w:val="zh-CN" w:eastAsia="zh-CN" w:bidi="ar-SA"/>
              </w:rPr>
            </w:pPr>
            <w:r>
              <w:rPr>
                <w:rFonts w:hint="eastAsia" w:ascii="宋体" w:hAnsi="宋体" w:eastAsia="宋体" w:cs="宋体"/>
                <w:b/>
                <w:bCs w:val="0"/>
                <w:kern w:val="15"/>
                <w:sz w:val="21"/>
                <w:szCs w:val="21"/>
                <w:highlight w:val="none"/>
                <w:lang w:val="zh-CN" w:eastAsia="zh-CN" w:bidi="ar-SA"/>
              </w:rPr>
              <w:t>技术标文件（暗标）未按以下“盲评”要求制作的，为无效投标，除下述要求外，不得因暗标格式问题认定为无效投标：</w:t>
            </w:r>
          </w:p>
          <w:p w14:paraId="5375B7AE">
            <w:pPr>
              <w:numPr>
                <w:ilvl w:val="0"/>
                <w:numId w:val="0"/>
              </w:numPr>
              <w:spacing w:line="300" w:lineRule="exact"/>
              <w:ind w:left="0" w:leftChars="0" w:firstLine="0" w:firstLineChars="0"/>
              <w:rPr>
                <w:rFonts w:hint="eastAsia" w:ascii="宋体" w:hAnsi="宋体" w:eastAsia="宋体" w:cs="宋体"/>
                <w:b/>
                <w:bCs w:val="0"/>
                <w:kern w:val="15"/>
                <w:sz w:val="21"/>
                <w:szCs w:val="21"/>
                <w:highlight w:val="none"/>
                <w:lang w:val="zh-CN" w:eastAsia="zh-CN" w:bidi="ar-SA"/>
              </w:rPr>
            </w:pPr>
            <w:r>
              <w:rPr>
                <w:rFonts w:hint="eastAsia" w:ascii="宋体" w:hAnsi="宋体" w:eastAsia="宋体" w:cs="宋体"/>
                <w:b/>
                <w:bCs w:val="0"/>
                <w:kern w:val="15"/>
                <w:sz w:val="21"/>
                <w:szCs w:val="21"/>
                <w:highlight w:val="none"/>
                <w:lang w:val="zh-CN" w:eastAsia="zh-CN" w:bidi="ar-SA"/>
              </w:rPr>
              <w:t>一、版面要求：A4纸张大小；</w:t>
            </w:r>
          </w:p>
          <w:p w14:paraId="4ADA468B">
            <w:pPr>
              <w:numPr>
                <w:ilvl w:val="0"/>
                <w:numId w:val="0"/>
              </w:numPr>
              <w:spacing w:line="300" w:lineRule="exact"/>
              <w:ind w:left="0" w:leftChars="0" w:firstLine="0" w:firstLineChars="0"/>
              <w:rPr>
                <w:rFonts w:hint="eastAsia" w:ascii="宋体" w:hAnsi="宋体" w:eastAsia="宋体" w:cs="宋体"/>
                <w:b/>
                <w:bCs w:val="0"/>
                <w:kern w:val="15"/>
                <w:sz w:val="21"/>
                <w:szCs w:val="21"/>
                <w:highlight w:val="none"/>
                <w:lang w:val="zh-CN" w:eastAsia="zh-CN" w:bidi="ar-SA"/>
              </w:rPr>
            </w:pPr>
            <w:r>
              <w:rPr>
                <w:rFonts w:hint="eastAsia" w:ascii="宋体" w:hAnsi="宋体" w:eastAsia="宋体" w:cs="宋体"/>
                <w:b/>
                <w:bCs w:val="0"/>
                <w:kern w:val="15"/>
                <w:sz w:val="21"/>
                <w:szCs w:val="21"/>
                <w:highlight w:val="none"/>
                <w:lang w:val="zh-CN" w:eastAsia="zh-CN" w:bidi="ar-SA"/>
              </w:rPr>
              <w:t>二、颜色要求：所有文字、图、表均为黑色；</w:t>
            </w:r>
          </w:p>
          <w:p w14:paraId="4D5AB18C">
            <w:pPr>
              <w:numPr>
                <w:ilvl w:val="0"/>
                <w:numId w:val="0"/>
              </w:numPr>
              <w:spacing w:line="300" w:lineRule="exact"/>
              <w:ind w:left="0" w:leftChars="0" w:firstLine="0" w:firstLineChars="0"/>
              <w:rPr>
                <w:rFonts w:hint="eastAsia" w:ascii="宋体" w:hAnsi="宋体" w:eastAsia="宋体" w:cs="宋体"/>
                <w:b/>
                <w:bCs w:val="0"/>
                <w:kern w:val="15"/>
                <w:sz w:val="21"/>
                <w:szCs w:val="21"/>
                <w:highlight w:val="none"/>
                <w:lang w:val="zh-CN" w:eastAsia="zh-CN" w:bidi="ar-SA"/>
              </w:rPr>
            </w:pPr>
            <w:r>
              <w:rPr>
                <w:rFonts w:hint="eastAsia" w:ascii="宋体" w:hAnsi="宋体" w:eastAsia="宋体" w:cs="宋体"/>
                <w:b/>
                <w:bCs w:val="0"/>
                <w:kern w:val="15"/>
                <w:sz w:val="21"/>
                <w:szCs w:val="21"/>
                <w:highlight w:val="none"/>
                <w:lang w:val="zh-CN" w:eastAsia="zh-CN" w:bidi="ar-SA"/>
              </w:rPr>
              <w:t>三、字体要求：标题及正文部分所用文字均采用“宋体”四号“常规”字；所有字体均不得出现加粗、加色、倾斜、下划线等标记；</w:t>
            </w:r>
          </w:p>
          <w:p w14:paraId="399FB660">
            <w:pPr>
              <w:numPr>
                <w:ilvl w:val="0"/>
                <w:numId w:val="0"/>
              </w:numPr>
              <w:spacing w:line="300" w:lineRule="exact"/>
              <w:ind w:left="0" w:leftChars="0" w:firstLine="0" w:firstLineChars="0"/>
              <w:rPr>
                <w:rFonts w:hint="eastAsia" w:ascii="宋体" w:hAnsi="宋体" w:eastAsia="宋体" w:cs="宋体"/>
                <w:b/>
                <w:bCs w:val="0"/>
                <w:kern w:val="15"/>
                <w:sz w:val="21"/>
                <w:szCs w:val="21"/>
                <w:highlight w:val="none"/>
                <w:lang w:val="zh-CN" w:eastAsia="zh-CN" w:bidi="ar-SA"/>
              </w:rPr>
            </w:pPr>
            <w:r>
              <w:rPr>
                <w:rFonts w:hint="eastAsia" w:ascii="宋体" w:hAnsi="宋体" w:eastAsia="宋体" w:cs="宋体"/>
                <w:b/>
                <w:bCs w:val="0"/>
                <w:kern w:val="15"/>
                <w:sz w:val="21"/>
                <w:szCs w:val="21"/>
                <w:highlight w:val="none"/>
                <w:lang w:val="zh-CN" w:eastAsia="zh-CN" w:bidi="ar-SA"/>
              </w:rPr>
              <w:t>四、排版要求：页边距要求上边距2.5厘米，其余均为2厘米；不得设置封面、目录；正文行间距为固定值30磅；文字内容（含正文标题、正文）统一设为左对齐，首行缩进2字符，段落前后不设置空行；不得设置页眉、页脚和页码；</w:t>
            </w:r>
          </w:p>
          <w:p w14:paraId="70ABB4AF">
            <w:pPr>
              <w:numPr>
                <w:ilvl w:val="0"/>
                <w:numId w:val="0"/>
              </w:numPr>
              <w:spacing w:line="300" w:lineRule="exact"/>
              <w:ind w:left="0" w:leftChars="0" w:firstLine="0" w:firstLineChars="0"/>
              <w:rPr>
                <w:rFonts w:hint="eastAsia" w:ascii="宋体" w:hAnsi="宋体" w:eastAsia="宋体" w:cs="宋体"/>
                <w:b/>
                <w:bCs w:val="0"/>
                <w:kern w:val="15"/>
                <w:sz w:val="21"/>
                <w:szCs w:val="21"/>
                <w:highlight w:val="none"/>
                <w:lang w:val="zh-CN" w:eastAsia="zh-CN" w:bidi="ar-SA"/>
              </w:rPr>
            </w:pPr>
            <w:r>
              <w:rPr>
                <w:rFonts w:hint="eastAsia" w:ascii="宋体" w:hAnsi="宋体" w:eastAsia="宋体" w:cs="宋体"/>
                <w:b/>
                <w:bCs w:val="0"/>
                <w:kern w:val="15"/>
                <w:sz w:val="21"/>
                <w:szCs w:val="21"/>
                <w:highlight w:val="none"/>
                <w:lang w:val="zh-CN" w:eastAsia="zh-CN" w:bidi="ar-SA"/>
              </w:rPr>
              <w:t>五、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0D561239">
            <w:pPr>
              <w:numPr>
                <w:ilvl w:val="0"/>
                <w:numId w:val="0"/>
              </w:numPr>
              <w:spacing w:line="300" w:lineRule="exact"/>
              <w:ind w:left="0" w:leftChars="0" w:firstLine="0" w:firstLineChars="0"/>
              <w:rPr>
                <w:rFonts w:hint="eastAsia" w:ascii="宋体" w:hAnsi="宋体" w:eastAsia="宋体" w:cs="宋体"/>
                <w:bCs/>
                <w:kern w:val="15"/>
                <w:sz w:val="21"/>
                <w:szCs w:val="21"/>
                <w:highlight w:val="none"/>
                <w:lang w:val="zh-CN" w:eastAsia="zh-CN" w:bidi="ar-SA"/>
              </w:rPr>
            </w:pPr>
            <w:r>
              <w:rPr>
                <w:rFonts w:hint="eastAsia" w:ascii="宋体" w:hAnsi="宋体" w:eastAsia="宋体" w:cs="宋体"/>
                <w:b/>
                <w:bCs w:val="0"/>
                <w:kern w:val="15"/>
                <w:sz w:val="21"/>
                <w:szCs w:val="21"/>
                <w:highlight w:val="none"/>
                <w:lang w:val="zh-CN" w:eastAsia="zh-CN" w:bidi="ar-SA"/>
              </w:rPr>
              <w:t>六、其它：除满足上述各项要求外，构成</w:t>
            </w:r>
            <w:r>
              <w:rPr>
                <w:rFonts w:hint="eastAsia" w:cs="宋体"/>
                <w:b/>
                <w:bCs w:val="0"/>
                <w:kern w:val="15"/>
                <w:sz w:val="21"/>
                <w:szCs w:val="21"/>
                <w:highlight w:val="none"/>
                <w:lang w:val="zh-CN" w:eastAsia="zh-CN" w:bidi="ar-SA"/>
              </w:rPr>
              <w:t>响应文件</w:t>
            </w:r>
            <w:r>
              <w:rPr>
                <w:rFonts w:hint="eastAsia" w:ascii="宋体" w:hAnsi="宋体" w:eastAsia="宋体" w:cs="宋体"/>
                <w:b/>
                <w:bCs w:val="0"/>
                <w:kern w:val="15"/>
                <w:sz w:val="21"/>
                <w:szCs w:val="21"/>
                <w:highlight w:val="none"/>
                <w:lang w:val="zh-CN" w:eastAsia="zh-CN" w:bidi="ar-SA"/>
              </w:rPr>
              <w:t>的“技术暗标”的正文中均不得出现供应商的名称和其它可识别供应商身份的字符、徽标、人员名称以及其他可能被辨别出供应商身份的任何标记。</w:t>
            </w:r>
          </w:p>
        </w:tc>
      </w:tr>
      <w:tr w14:paraId="1BF47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jc w:val="center"/>
        </w:trPr>
        <w:tc>
          <w:tcPr>
            <w:tcW w:w="384" w:type="pct"/>
            <w:vAlign w:val="center"/>
          </w:tcPr>
          <w:p w14:paraId="660C2E65">
            <w:pPr>
              <w:wordWrap w:val="0"/>
              <w:spacing w:line="380" w:lineRule="exact"/>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10.11</w:t>
            </w:r>
          </w:p>
        </w:tc>
        <w:tc>
          <w:tcPr>
            <w:tcW w:w="1083" w:type="pct"/>
            <w:tcBorders>
              <w:right w:val="single" w:color="auto" w:sz="4" w:space="0"/>
            </w:tcBorders>
            <w:shd w:val="clear" w:color="auto" w:fill="auto"/>
            <w:vAlign w:val="center"/>
          </w:tcPr>
          <w:p w14:paraId="24EB836C">
            <w:pPr>
              <w:numPr>
                <w:ilvl w:val="0"/>
                <w:numId w:val="0"/>
              </w:numPr>
              <w:spacing w:line="300" w:lineRule="exact"/>
              <w:jc w:val="center"/>
              <w:rPr>
                <w:rFonts w:hint="eastAsia" w:ascii="宋体" w:hAnsi="宋体" w:eastAsia="宋体" w:cs="宋体"/>
                <w:b/>
                <w:bCs w:val="0"/>
                <w:kern w:val="15"/>
                <w:sz w:val="21"/>
                <w:szCs w:val="21"/>
                <w:highlight w:val="none"/>
                <w:lang w:val="en-US" w:eastAsia="zh-CN"/>
              </w:rPr>
            </w:pPr>
            <w:r>
              <w:rPr>
                <w:rFonts w:hint="eastAsia" w:ascii="宋体" w:hAnsi="宋体" w:eastAsia="宋体" w:cs="宋体"/>
                <w:b/>
                <w:bCs w:val="0"/>
                <w:kern w:val="15"/>
                <w:sz w:val="21"/>
                <w:szCs w:val="21"/>
                <w:highlight w:val="none"/>
                <w:lang w:val="en-US" w:eastAsia="zh-CN"/>
              </w:rPr>
              <w:t>“双盲”评审</w:t>
            </w:r>
          </w:p>
        </w:tc>
        <w:tc>
          <w:tcPr>
            <w:tcW w:w="3532" w:type="pct"/>
            <w:tcBorders>
              <w:left w:val="single" w:color="auto" w:sz="4" w:space="0"/>
            </w:tcBorders>
            <w:shd w:val="clear" w:color="auto" w:fill="auto"/>
            <w:vAlign w:val="center"/>
          </w:tcPr>
          <w:p w14:paraId="7FDF19AD">
            <w:pPr>
              <w:numPr>
                <w:ilvl w:val="0"/>
                <w:numId w:val="0"/>
              </w:numPr>
              <w:spacing w:line="300" w:lineRule="exact"/>
              <w:rPr>
                <w:rFonts w:hint="eastAsia" w:ascii="宋体" w:hAnsi="宋体" w:eastAsia="宋体" w:cs="宋体"/>
                <w:b/>
                <w:bCs w:val="0"/>
                <w:kern w:val="15"/>
                <w:sz w:val="21"/>
                <w:szCs w:val="21"/>
                <w:highlight w:val="none"/>
                <w:lang w:val="en-US" w:eastAsia="zh-CN"/>
              </w:rPr>
            </w:pPr>
            <w:r>
              <w:rPr>
                <w:rFonts w:hint="eastAsia" w:ascii="宋体" w:hAnsi="宋体" w:eastAsia="宋体" w:cs="宋体"/>
                <w:b/>
                <w:bCs w:val="0"/>
                <w:kern w:val="15"/>
                <w:sz w:val="21"/>
                <w:szCs w:val="21"/>
                <w:highlight w:val="none"/>
                <w:lang w:val="zh-CN" w:eastAsia="en-US"/>
              </w:rPr>
              <w:t>本项目采用“双盲”评审，即</w:t>
            </w:r>
            <w:r>
              <w:rPr>
                <w:rFonts w:hint="eastAsia" w:ascii="宋体" w:hAnsi="宋体" w:eastAsia="宋体" w:cs="宋体"/>
                <w:b/>
                <w:bCs w:val="0"/>
                <w:kern w:val="15"/>
                <w:sz w:val="21"/>
                <w:szCs w:val="21"/>
                <w:highlight w:val="none"/>
                <w:lang w:val="en-US" w:eastAsia="zh-CN"/>
              </w:rPr>
              <w:t>磋商小组</w:t>
            </w:r>
            <w:r>
              <w:rPr>
                <w:rFonts w:hint="eastAsia" w:ascii="宋体" w:hAnsi="宋体" w:eastAsia="宋体" w:cs="宋体"/>
                <w:b/>
                <w:bCs w:val="0"/>
                <w:kern w:val="15"/>
                <w:sz w:val="21"/>
                <w:szCs w:val="21"/>
                <w:highlight w:val="none"/>
                <w:lang w:val="zh-CN" w:eastAsia="en-US"/>
              </w:rPr>
              <w:t>“盲抽”和“盲评”，</w:t>
            </w:r>
            <w:r>
              <w:rPr>
                <w:rFonts w:hint="eastAsia" w:ascii="宋体" w:hAnsi="宋体" w:eastAsia="宋体" w:cs="宋体"/>
                <w:b/>
                <w:bCs w:val="0"/>
                <w:kern w:val="15"/>
                <w:sz w:val="21"/>
                <w:szCs w:val="21"/>
                <w:highlight w:val="none"/>
                <w:lang w:val="en-US" w:eastAsia="zh-CN"/>
              </w:rPr>
              <w:t>响应</w:t>
            </w:r>
            <w:r>
              <w:rPr>
                <w:rFonts w:hint="eastAsia" w:ascii="宋体" w:hAnsi="宋体" w:eastAsia="宋体" w:cs="宋体"/>
                <w:b/>
                <w:bCs w:val="0"/>
                <w:kern w:val="15"/>
                <w:sz w:val="21"/>
                <w:szCs w:val="21"/>
                <w:highlight w:val="none"/>
                <w:lang w:val="zh-CN" w:eastAsia="en-US"/>
              </w:rPr>
              <w:t>文件的技术标部分采用“暗标”形式，</w:t>
            </w:r>
            <w:r>
              <w:rPr>
                <w:rFonts w:hint="eastAsia" w:ascii="宋体" w:hAnsi="宋体" w:eastAsia="宋体" w:cs="宋体"/>
                <w:b/>
                <w:bCs w:val="0"/>
                <w:kern w:val="15"/>
                <w:sz w:val="21"/>
                <w:szCs w:val="21"/>
                <w:highlight w:val="none"/>
                <w:lang w:val="en-US" w:eastAsia="zh-CN"/>
              </w:rPr>
              <w:t>供应商</w:t>
            </w:r>
            <w:r>
              <w:rPr>
                <w:rFonts w:hint="eastAsia" w:ascii="宋体" w:hAnsi="宋体" w:eastAsia="宋体" w:cs="宋体"/>
                <w:b/>
                <w:bCs w:val="0"/>
                <w:kern w:val="15"/>
                <w:sz w:val="21"/>
                <w:szCs w:val="21"/>
                <w:highlight w:val="none"/>
                <w:lang w:val="zh-CN" w:eastAsia="en-US"/>
              </w:rPr>
              <w:t>应严格按照</w:t>
            </w:r>
            <w:r>
              <w:rPr>
                <w:rFonts w:hint="eastAsia" w:ascii="宋体" w:hAnsi="宋体" w:eastAsia="宋体" w:cs="宋体"/>
                <w:b/>
                <w:bCs w:val="0"/>
                <w:kern w:val="15"/>
                <w:sz w:val="21"/>
                <w:szCs w:val="21"/>
                <w:highlight w:val="none"/>
                <w:lang w:val="zh-CN"/>
              </w:rPr>
              <w:t>响应文件格式</w:t>
            </w:r>
            <w:r>
              <w:rPr>
                <w:rFonts w:hint="eastAsia" w:ascii="宋体" w:hAnsi="宋体" w:eastAsia="宋体" w:cs="宋体"/>
                <w:b/>
                <w:bCs w:val="0"/>
                <w:kern w:val="15"/>
                <w:sz w:val="21"/>
                <w:szCs w:val="21"/>
                <w:highlight w:val="none"/>
                <w:lang w:val="zh-CN" w:eastAsia="en-US"/>
              </w:rPr>
              <w:t>中的要求编制</w:t>
            </w:r>
            <w:r>
              <w:rPr>
                <w:rFonts w:hint="eastAsia" w:ascii="宋体" w:hAnsi="宋体" w:eastAsia="宋体" w:cs="宋体"/>
                <w:b/>
                <w:bCs w:val="0"/>
                <w:kern w:val="15"/>
                <w:sz w:val="21"/>
                <w:szCs w:val="21"/>
                <w:highlight w:val="none"/>
                <w:lang w:val="en-US" w:eastAsia="zh-CN"/>
              </w:rPr>
              <w:t>技术标</w:t>
            </w:r>
            <w:r>
              <w:rPr>
                <w:rFonts w:hint="eastAsia" w:ascii="宋体" w:hAnsi="宋体" w:eastAsia="宋体" w:cs="宋体"/>
                <w:b/>
                <w:bCs w:val="0"/>
                <w:kern w:val="15"/>
                <w:sz w:val="21"/>
                <w:szCs w:val="21"/>
                <w:highlight w:val="none"/>
                <w:lang w:val="zh-CN" w:eastAsia="en-US"/>
              </w:rPr>
              <w:t>。如果</w:t>
            </w:r>
            <w:r>
              <w:rPr>
                <w:rFonts w:hint="eastAsia" w:ascii="宋体" w:hAnsi="宋体" w:eastAsia="宋体" w:cs="宋体"/>
                <w:b/>
                <w:bCs w:val="0"/>
                <w:kern w:val="15"/>
                <w:sz w:val="21"/>
                <w:szCs w:val="21"/>
                <w:highlight w:val="none"/>
                <w:lang w:val="en-US" w:eastAsia="zh-CN"/>
              </w:rPr>
              <w:t>技术标</w:t>
            </w:r>
            <w:r>
              <w:rPr>
                <w:rFonts w:hint="eastAsia" w:ascii="宋体" w:hAnsi="宋体" w:eastAsia="宋体" w:cs="宋体"/>
                <w:b/>
                <w:bCs w:val="0"/>
                <w:kern w:val="15"/>
                <w:sz w:val="21"/>
                <w:szCs w:val="21"/>
                <w:highlight w:val="none"/>
                <w:lang w:val="zh-CN" w:eastAsia="en-US"/>
              </w:rPr>
              <w:t>出现能识别</w:t>
            </w:r>
            <w:r>
              <w:rPr>
                <w:rFonts w:hint="eastAsia" w:ascii="宋体" w:hAnsi="宋体" w:eastAsia="宋体" w:cs="宋体"/>
                <w:b/>
                <w:bCs w:val="0"/>
                <w:kern w:val="15"/>
                <w:sz w:val="21"/>
                <w:szCs w:val="21"/>
                <w:highlight w:val="none"/>
                <w:lang w:val="en-US" w:eastAsia="zh-CN"/>
              </w:rPr>
              <w:t>供应商</w:t>
            </w:r>
            <w:r>
              <w:rPr>
                <w:rFonts w:hint="eastAsia" w:ascii="宋体" w:hAnsi="宋体" w:eastAsia="宋体" w:cs="宋体"/>
                <w:b/>
                <w:bCs w:val="0"/>
                <w:kern w:val="15"/>
                <w:sz w:val="21"/>
                <w:szCs w:val="21"/>
                <w:highlight w:val="none"/>
                <w:lang w:val="zh-CN" w:eastAsia="en-US"/>
              </w:rPr>
              <w:t>的内容，经</w:t>
            </w:r>
            <w:r>
              <w:rPr>
                <w:rFonts w:hint="eastAsia" w:ascii="宋体" w:hAnsi="宋体" w:eastAsia="宋体" w:cs="宋体"/>
                <w:b/>
                <w:bCs w:val="0"/>
                <w:kern w:val="15"/>
                <w:sz w:val="21"/>
                <w:szCs w:val="21"/>
                <w:highlight w:val="none"/>
                <w:lang w:val="en-US" w:eastAsia="zh-CN"/>
              </w:rPr>
              <w:t>磋商小组</w:t>
            </w:r>
            <w:r>
              <w:rPr>
                <w:rFonts w:hint="eastAsia" w:ascii="宋体" w:hAnsi="宋体" w:eastAsia="宋体" w:cs="宋体"/>
                <w:b/>
                <w:bCs w:val="0"/>
                <w:kern w:val="15"/>
                <w:sz w:val="21"/>
                <w:szCs w:val="21"/>
                <w:highlight w:val="none"/>
                <w:lang w:val="zh-CN" w:eastAsia="en-US"/>
              </w:rPr>
              <w:t>确定后，将否决其</w:t>
            </w:r>
            <w:r>
              <w:rPr>
                <w:rFonts w:hint="eastAsia" w:ascii="宋体" w:hAnsi="宋体" w:eastAsia="宋体" w:cs="宋体"/>
                <w:b/>
                <w:bCs w:val="0"/>
                <w:kern w:val="15"/>
                <w:sz w:val="21"/>
                <w:szCs w:val="21"/>
                <w:highlight w:val="none"/>
                <w:lang w:val="en-US" w:eastAsia="zh-CN"/>
              </w:rPr>
              <w:t>响应</w:t>
            </w:r>
            <w:r>
              <w:rPr>
                <w:rFonts w:hint="eastAsia" w:ascii="宋体" w:hAnsi="宋体" w:eastAsia="宋体" w:cs="宋体"/>
                <w:b/>
                <w:bCs w:val="0"/>
                <w:kern w:val="15"/>
                <w:sz w:val="21"/>
                <w:szCs w:val="21"/>
                <w:highlight w:val="none"/>
                <w:lang w:val="zh-CN" w:eastAsia="en-US"/>
              </w:rPr>
              <w:t>。</w:t>
            </w:r>
          </w:p>
        </w:tc>
      </w:tr>
      <w:tr w14:paraId="682A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5000" w:type="pct"/>
            <w:gridSpan w:val="3"/>
            <w:vAlign w:val="center"/>
          </w:tcPr>
          <w:p w14:paraId="09111FF6">
            <w:pPr>
              <w:wordWrap w:val="0"/>
              <w:spacing w:line="380" w:lineRule="exact"/>
              <w:jc w:val="center"/>
              <w:rPr>
                <w:b/>
                <w:bCs/>
                <w:color w:val="000000" w:themeColor="text1"/>
                <w:sz w:val="21"/>
                <w:szCs w:val="21"/>
                <w:highlight w:val="none"/>
                <w:lang w:val="zh-CN" w:eastAsia="zh-CN"/>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磋商</w:t>
            </w:r>
            <w:r>
              <w:rPr>
                <w:rFonts w:hint="eastAsia"/>
                <w:b/>
                <w:bCs/>
                <w:color w:val="000000" w:themeColor="text1"/>
                <w:sz w:val="21"/>
                <w:szCs w:val="21"/>
                <w:highlight w:val="none"/>
                <w:lang w:val="zh-CN" w:eastAsia="zh-CN"/>
                <w14:textFill>
                  <w14:solidFill>
                    <w14:schemeClr w14:val="tx1"/>
                  </w14:solidFill>
                </w14:textFill>
              </w:rPr>
              <w:t>公告与</w:t>
            </w:r>
            <w:r>
              <w:rPr>
                <w:rFonts w:hint="eastAsia"/>
                <w:b/>
                <w:bCs/>
                <w:color w:val="000000" w:themeColor="text1"/>
                <w:sz w:val="21"/>
                <w:szCs w:val="21"/>
                <w:highlight w:val="none"/>
                <w:lang w:eastAsia="zh-CN"/>
                <w14:textFill>
                  <w14:solidFill>
                    <w14:schemeClr w14:val="tx1"/>
                  </w14:solidFill>
                </w14:textFill>
              </w:rPr>
              <w:t>磋商</w:t>
            </w:r>
            <w:r>
              <w:rPr>
                <w:rFonts w:hint="eastAsia"/>
                <w:b/>
                <w:bCs/>
                <w:color w:val="000000" w:themeColor="text1"/>
                <w:sz w:val="21"/>
                <w:szCs w:val="21"/>
                <w:highlight w:val="none"/>
                <w:lang w:val="zh-CN" w:eastAsia="zh-CN"/>
                <w14:textFill>
                  <w14:solidFill>
                    <w14:schemeClr w14:val="tx1"/>
                  </w14:solidFill>
                </w14:textFill>
              </w:rPr>
              <w:t>文件内容不一致时，以</w:t>
            </w:r>
            <w:r>
              <w:rPr>
                <w:rFonts w:hint="eastAsia"/>
                <w:b/>
                <w:bCs/>
                <w:color w:val="000000" w:themeColor="text1"/>
                <w:sz w:val="21"/>
                <w:szCs w:val="21"/>
                <w:highlight w:val="none"/>
                <w:lang w:eastAsia="zh-CN"/>
                <w14:textFill>
                  <w14:solidFill>
                    <w14:schemeClr w14:val="tx1"/>
                  </w14:solidFill>
                </w14:textFill>
              </w:rPr>
              <w:t>磋商</w:t>
            </w:r>
            <w:r>
              <w:rPr>
                <w:rFonts w:hint="eastAsia"/>
                <w:b/>
                <w:bCs/>
                <w:color w:val="000000" w:themeColor="text1"/>
                <w:sz w:val="21"/>
                <w:szCs w:val="21"/>
                <w:highlight w:val="none"/>
                <w:lang w:val="zh-CN" w:eastAsia="zh-CN"/>
                <w14:textFill>
                  <w14:solidFill>
                    <w14:schemeClr w14:val="tx1"/>
                  </w14:solidFill>
                </w14:textFill>
              </w:rPr>
              <w:t>文件内容为准。</w:t>
            </w:r>
          </w:p>
        </w:tc>
      </w:tr>
    </w:tbl>
    <w:p w14:paraId="35125304">
      <w:pPr>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p>
    <w:p w14:paraId="79C4EFA5">
      <w:pPr>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br w:type="page"/>
      </w:r>
    </w:p>
    <w:p w14:paraId="735E2CEB">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1.  总则</w:t>
      </w:r>
    </w:p>
    <w:p w14:paraId="41B0FA1B">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50" w:name="_bookmark23"/>
      <w:bookmarkEnd w:id="50"/>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1.1 采购项目概况</w:t>
      </w:r>
    </w:p>
    <w:p w14:paraId="4F875213">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1.1.1 根</w:t>
      </w:r>
      <w:r>
        <w:rPr>
          <w:rFonts w:hint="eastAsia" w:asciiTheme="minorEastAsia" w:hAnsiTheme="minorEastAsia" w:eastAsiaTheme="minorEastAsia" w:cstheme="minorEastAsia"/>
          <w:color w:val="000000" w:themeColor="text1"/>
          <w:spacing w:val="-10"/>
          <w:highlight w:val="none"/>
          <w:lang w:eastAsia="zh-CN"/>
          <w14:textFill>
            <w14:solidFill>
              <w14:schemeClr w14:val="tx1"/>
            </w14:solidFill>
          </w14:textFill>
        </w:rPr>
        <w:t>据</w:t>
      </w:r>
      <w:r>
        <w:rPr>
          <w:rFonts w:hint="eastAsia" w:asciiTheme="minorEastAsia" w:hAnsiTheme="minorEastAsia" w:eastAsiaTheme="minorEastAsia" w:cstheme="minorEastAsia"/>
          <w:color w:val="000000" w:themeColor="text1"/>
          <w:spacing w:val="-10"/>
          <w:highlight w:val="none"/>
          <w:lang w:val="zh-CN" w:eastAsia="zh-CN"/>
          <w14:textFill>
            <w14:solidFill>
              <w14:schemeClr w14:val="tx1"/>
            </w14:solidFill>
          </w14:textFill>
        </w:rPr>
        <w:t>《中华人民共和国政府采购法》、《中华人民共和国政府采购法实施条例》、《政府采购竞争性磋商采购方式管理暂行办法》</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等</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有关法律、法规和规章的规定，本采购项目已具备磋商条件，现对货物进行磋商。</w:t>
      </w:r>
    </w:p>
    <w:p w14:paraId="101C9E43">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1.1.2 采购人：见供应商须知前附表。</w:t>
      </w:r>
    </w:p>
    <w:p w14:paraId="7AE35EBE">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1.1.3 采购代理机构：见供应商须知前附表。</w:t>
      </w:r>
    </w:p>
    <w:p w14:paraId="2AFC9CE9">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1.1.4 采购项目名称</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及项目编号</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：见供应商须知前附表。</w:t>
      </w:r>
    </w:p>
    <w:p w14:paraId="779B9343">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1.1.5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供货</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地点：见供应商须知前附表。</w:t>
      </w:r>
    </w:p>
    <w:p w14:paraId="1A2E8605">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1.1.6 预算金额：见供应商须知前附表。</w:t>
      </w:r>
    </w:p>
    <w:p w14:paraId="673AF27C">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51" w:name="_bookmark24"/>
      <w:bookmarkEnd w:id="51"/>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1.2 采购项目的资金来源和落实情况</w:t>
      </w:r>
    </w:p>
    <w:p w14:paraId="30658E90">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1.2.1 资金来源及比例：见供应商须知前附表。</w:t>
      </w:r>
    </w:p>
    <w:p w14:paraId="3ED6C57E">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1.2.2 资金落实情况：见供应商须知前附表。</w:t>
      </w:r>
    </w:p>
    <w:p w14:paraId="2C254AE8">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52" w:name="_bookmark25"/>
      <w:bookmarkEnd w:id="52"/>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1.3 采购需求、合同履行期限和质量标准</w:t>
      </w:r>
    </w:p>
    <w:p w14:paraId="5D0221EC">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1.3.1 采购需求：见供应商须知前附表。</w:t>
      </w:r>
    </w:p>
    <w:p w14:paraId="76FA7B06">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1.3.2 合同履行期限：见供应商须知前附表。</w:t>
      </w:r>
    </w:p>
    <w:p w14:paraId="368492FD">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1.3.3 质量标准：见供应商须知前附表。</w:t>
      </w:r>
    </w:p>
    <w:p w14:paraId="279483AF">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53" w:name="_bookmark26"/>
      <w:bookmarkEnd w:id="53"/>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1.4 供应商资格要求</w:t>
      </w:r>
    </w:p>
    <w:p w14:paraId="3D583794">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1.4.1 供应商应具备承担本采购项目资质条件、能力和信誉：</w:t>
      </w:r>
    </w:p>
    <w:p w14:paraId="3AA51B26">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（1）财务要求：见供应商须知前附表；</w:t>
      </w:r>
    </w:p>
    <w:p w14:paraId="7EF767CC">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（2）信誉要求：见供应商须知前附表；</w:t>
      </w:r>
    </w:p>
    <w:p w14:paraId="67B701D6">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（3）其他要求：见供应商须知前附表。需要提交的相关证明材料见本章第</w:t>
      </w:r>
      <w:r>
        <w:rPr>
          <w:rFonts w:hint="eastAsia" w:asciiTheme="minorEastAsia" w:hAnsiTheme="minorEastAsia" w:eastAsiaTheme="minorEastAsia" w:cstheme="minorEastAsia"/>
          <w:color w:val="000000" w:themeColor="text1"/>
          <w:spacing w:val="-55"/>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3.5 款的规定。</w:t>
      </w:r>
    </w:p>
    <w:p w14:paraId="43F94EAC">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1.4.2 供应商须知前附表规定接受联合体参与竞争性磋商采购活动的，联合体除应符合本章第1.4.1项和供应商须知前附表的要求外，还应遵守以下规定：</w:t>
      </w:r>
    </w:p>
    <w:p w14:paraId="546E1FE8">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（1）联合体各方应按磋商文件提供的格式签订联合体协议书，明确联合体牵头人和各方权利义务，并承诺就中标项目向采购人承担连带责任；</w:t>
      </w:r>
    </w:p>
    <w:p w14:paraId="44FD57E0">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（2）由同一专业的单位组成的联合体，按照资质等级较低的单位确定资质等级；</w:t>
      </w:r>
    </w:p>
    <w:p w14:paraId="03C3C5BC">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（3）联合体各方不得再以自己名义单独或参加其他联合体在本采购项目中参与竞争性磋商采购活动，否则各相关竞争性磋商采购活动均无效。</w:t>
      </w:r>
    </w:p>
    <w:p w14:paraId="3E375FEB">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1.4.3</w:t>
      </w:r>
      <w:r>
        <w:rPr>
          <w:rFonts w:hint="eastAsia" w:asciiTheme="minorEastAsia" w:hAnsiTheme="minorEastAsia" w:eastAsiaTheme="minorEastAsia" w:cstheme="minorEastAsia"/>
          <w:color w:val="000000" w:themeColor="text1"/>
          <w:spacing w:val="5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供应商不得存在下列情形之一：</w:t>
      </w:r>
    </w:p>
    <w:p w14:paraId="062DF5F1">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（1）为采购人不具有独立法人资格的附属机构（单位）；</w:t>
      </w:r>
    </w:p>
    <w:p w14:paraId="32C484A6">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（2）与采购人存在利害关系且可能影响招标公正性；</w:t>
      </w:r>
    </w:p>
    <w:p w14:paraId="65F122A6">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（3）与本采购项目的其他供应商为同一个单位负责人；</w:t>
      </w:r>
    </w:p>
    <w:p w14:paraId="340A9056">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（4）与本采购项目的其他供应商存在控股、管理关系；</w:t>
      </w:r>
    </w:p>
    <w:p w14:paraId="27F9207C">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（5）为本采购项目的采购代理机构；</w:t>
      </w:r>
    </w:p>
    <w:p w14:paraId="336B8014">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（6）与本采购项目的采购代理机构同为一个法定代表人；</w:t>
      </w:r>
    </w:p>
    <w:p w14:paraId="3BC8A160">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（7）与本采购项目的采购代理机构存在控股或参股关系；</w:t>
      </w:r>
    </w:p>
    <w:p w14:paraId="7B0E91E0">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（8）被依法暂停或者取消投标资格；</w:t>
      </w:r>
    </w:p>
    <w:p w14:paraId="0C926EFA">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（9）被责令停产停业、暂扣或者吊销许可证、暂扣或者吊销执照；</w:t>
      </w:r>
    </w:p>
    <w:p w14:paraId="2129F66C">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（10）进入清算程序，或被宣告破产，或其他丧失履约能力的情形；</w:t>
      </w:r>
    </w:p>
    <w:p w14:paraId="50685EE5">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（11）在最近三年内发生重大项目质量问题（以相关行业主管部门的行政处罚决定或司法机关出具的有关法律文书为准）；</w:t>
      </w:r>
    </w:p>
    <w:p w14:paraId="635C7601">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（12）法律法规或供应商须知前附表规定的其他情形。</w:t>
      </w:r>
    </w:p>
    <w:p w14:paraId="1DD7FA94">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54" w:name="_bookmark27"/>
      <w:bookmarkEnd w:id="54"/>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1.5 费用承担</w:t>
      </w:r>
    </w:p>
    <w:p w14:paraId="0C0C385B">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供应商准备和参加竞争性磋商采购活动发生的费用自理。</w:t>
      </w:r>
    </w:p>
    <w:p w14:paraId="6B2EF5AD">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55" w:name="_bookmark28"/>
      <w:bookmarkEnd w:id="55"/>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1.6 保密</w:t>
      </w:r>
    </w:p>
    <w:p w14:paraId="35DC9CFF">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参与竞争性磋商采购活动的各方应对磋商文件和响应文件中的商业和技术等秘密保密，否则应承担相应的法律责任。</w:t>
      </w:r>
    </w:p>
    <w:p w14:paraId="6C7644F1">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56" w:name="_bookmark29"/>
      <w:bookmarkEnd w:id="56"/>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1.7 语言文字</w:t>
      </w:r>
    </w:p>
    <w:p w14:paraId="795479F4">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磋商文件、响应文件使用的语言文字为中文。专用术语使用外文的，应附有中文注释。</w:t>
      </w:r>
    </w:p>
    <w:p w14:paraId="7ED84224">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57" w:name="_bookmark30"/>
      <w:bookmarkEnd w:id="57"/>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1.8 计量单位</w:t>
      </w:r>
    </w:p>
    <w:p w14:paraId="00461F63">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所有计量均采用中华人民共和国法定计量单位。</w:t>
      </w:r>
    </w:p>
    <w:p w14:paraId="6E9DB332">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58" w:name="_bookmark31"/>
      <w:bookmarkEnd w:id="58"/>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1.9 踏勘现场</w:t>
      </w:r>
    </w:p>
    <w:p w14:paraId="67E2DDA7">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1.9.1 </w:t>
      </w:r>
      <w:r>
        <w:rPr>
          <w:rFonts w:hint="eastAsia" w:asciiTheme="minorEastAsia" w:hAnsiTheme="minorEastAsia" w:eastAsiaTheme="minorEastAsia" w:cstheme="minorEastAsia"/>
          <w:color w:val="000000" w:themeColor="text1"/>
          <w:spacing w:val="-4"/>
          <w:highlight w:val="none"/>
          <w:lang w:eastAsia="zh-CN"/>
          <w14:textFill>
            <w14:solidFill>
              <w14:schemeClr w14:val="tx1"/>
            </w14:solidFill>
          </w14:textFill>
        </w:rPr>
        <w:t xml:space="preserve">供应商须知前附表规定组织踏勘现场的，采购人按供应商须知前附表规定的时间、地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点组</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织</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踏</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勘</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目</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现</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场</w:t>
      </w:r>
      <w:r>
        <w:rPr>
          <w:rFonts w:hint="eastAsia" w:asciiTheme="minorEastAsia" w:hAnsiTheme="minorEastAsia" w:eastAsiaTheme="minorEastAsia" w:cstheme="minorEastAsia"/>
          <w:color w:val="000000" w:themeColor="text1"/>
          <w:spacing w:val="-9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部</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分</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未</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按</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时</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参</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加</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踏勘</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现</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场的</w:t>
      </w:r>
      <w:r>
        <w:rPr>
          <w:rFonts w:hint="eastAsia" w:asciiTheme="minorEastAsia" w:hAnsiTheme="minorEastAsia" w:eastAsiaTheme="minorEastAsia" w:cstheme="minorEastAsia"/>
          <w:color w:val="000000" w:themeColor="text1"/>
          <w:spacing w:val="-9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不</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影</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响</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踏</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勘</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现</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场的</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正常进行</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32D0B156">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1.9.2 供应商踏勘现场发生的费用自理。</w:t>
      </w:r>
    </w:p>
    <w:p w14:paraId="49F12DF8">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1.9.3 除采购人的原因外，供应商自行负责在踏勘现场中所发生的人员伤亡和财产损失。</w:t>
      </w:r>
    </w:p>
    <w:p w14:paraId="176C8B98">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1.9.4 采购人在踏勘现场中介绍的工程场地和相关的周边环境情况，供供应商在编制响应文 件时参考，采购人不对供应商据此作出的判断和决策负责。</w:t>
      </w:r>
    </w:p>
    <w:p w14:paraId="7629150A">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59" w:name="_bookmark32"/>
      <w:bookmarkEnd w:id="59"/>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1.10 磋商预备会</w:t>
      </w:r>
    </w:p>
    <w:p w14:paraId="6FFA1BBE">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1.10.1 供应商须知前附表规定召开磋商预备会的，采购人按供应商须知前附表规定的时间 和地点召开磋商预备会，澄清供应商提出的问题。</w:t>
      </w:r>
    </w:p>
    <w:p w14:paraId="3C785C7B">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1.10.2 供应商应按供应商须知前附表规定的时间和形式将提出的问题送达采购人，以便采购人在会议期间澄清。</w:t>
      </w:r>
    </w:p>
    <w:p w14:paraId="1475859B">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1.10.3 磋商预备会后，采购人将对供应商所提问题的澄清，以供应商须知前附表规定的形 式通知所有购买磋商文件的供应商。该澄清内容为磋商文件的组成部分。</w:t>
      </w:r>
    </w:p>
    <w:p w14:paraId="309FA668">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60" w:name="_bookmark33"/>
      <w:bookmarkEnd w:id="60"/>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1.11 分包</w:t>
      </w:r>
    </w:p>
    <w:p w14:paraId="3B9AB9BA">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1.11.1 供应商拟在中标后将中标项目的非主体、非关键性服务工作进行分包的，应符合供应商须知前附表规定的分包内容、分包金额和资质要求等限制性条件，除供应商须知前附表规 定的非主体、非关键性服务工作外，其他工作不得分包。</w:t>
      </w:r>
    </w:p>
    <w:p w14:paraId="5773A59D">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1.11.2 成交供应商不得向他人转让中标项目，接受分包的人不得再次分包。成交供应商应当就分包项目向采购人负责，接受分包的人就分包项目承担连带责任。</w:t>
      </w:r>
    </w:p>
    <w:p w14:paraId="7E4DA4C1">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61" w:name="_bookmark34"/>
      <w:bookmarkEnd w:id="61"/>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1.12 响应和偏差</w:t>
      </w:r>
    </w:p>
    <w:p w14:paraId="18FAA97B">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1.12.1 响应文件应当对磋商文件的实质性要求和条件作出满足性或更有利于采购人的响应，否则，供应商的投标将被否决。实质性要求和条件见供应商须知前附表。</w:t>
      </w:r>
    </w:p>
    <w:p w14:paraId="68777BBE">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1.12.2 供应商应根据磋商文件的要求提供磋商方案等内容以对磋商文件作出响应。</w:t>
      </w:r>
    </w:p>
    <w:p w14:paraId="35D70611">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62" w:name="_bookmark35"/>
      <w:bookmarkEnd w:id="62"/>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2.  磋商文件</w:t>
      </w:r>
    </w:p>
    <w:p w14:paraId="3A11E5F8">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63" w:name="_bookmark36"/>
      <w:bookmarkEnd w:id="63"/>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2.1 磋商文件的组成</w:t>
      </w:r>
    </w:p>
    <w:p w14:paraId="5CC94D78">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本磋商文件包括：</w:t>
      </w:r>
    </w:p>
    <w:p w14:paraId="56EC31CB">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竞争性磋商公</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告</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0FC36A96">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（2）供应商须知；</w:t>
      </w:r>
    </w:p>
    <w:p w14:paraId="2566DEF7">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（3）评审办法；</w:t>
      </w:r>
    </w:p>
    <w:p w14:paraId="2534F4E2">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（4）合同条款及格式；</w:t>
      </w:r>
    </w:p>
    <w:p w14:paraId="4B6ACED6">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（5）采购需求；</w:t>
      </w:r>
    </w:p>
    <w:p w14:paraId="34E4F28E">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（6）响应文件格式；</w:t>
      </w:r>
    </w:p>
    <w:p w14:paraId="6FB8DC80">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（7）供应商须知前附表规定的其他资料。</w:t>
      </w:r>
    </w:p>
    <w:p w14:paraId="15100F65">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根据本章第1.10款、第2.2款和第</w:t>
      </w:r>
      <w:r>
        <w:rPr>
          <w:rFonts w:hint="eastAsia" w:asciiTheme="minorEastAsia" w:hAnsiTheme="minorEastAsia" w:eastAsiaTheme="minorEastAsia" w:cstheme="minorEastAsia"/>
          <w:color w:val="000000" w:themeColor="text1"/>
          <w:spacing w:val="-83"/>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2.3 款对竞争性磋商文件所作的澄清、修改，构成磋商文件的组成部分。</w:t>
      </w:r>
    </w:p>
    <w:p w14:paraId="1BCE077F">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64" w:name="_bookmark37"/>
      <w:bookmarkEnd w:id="64"/>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2.2 磋商文件的澄清</w:t>
      </w:r>
    </w:p>
    <w:p w14:paraId="4655C3DB">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2.2.1 </w:t>
      </w:r>
      <w:r>
        <w:rPr>
          <w:rFonts w:hint="eastAsia" w:asciiTheme="minorEastAsia" w:hAnsiTheme="minorEastAsia" w:eastAsiaTheme="minorEastAsia" w:cstheme="minorEastAsia"/>
          <w:color w:val="000000" w:themeColor="text1"/>
          <w:spacing w:val="-4"/>
          <w:highlight w:val="none"/>
          <w:lang w:eastAsia="zh-CN"/>
          <w14:textFill>
            <w14:solidFill>
              <w14:schemeClr w14:val="tx1"/>
            </w14:solidFill>
          </w14:textFill>
        </w:rPr>
        <w:t>供应商应仔细阅读和检查磋商文件的全部内容。如发现缺页或附件不全，应及时向采购</w:t>
      </w:r>
      <w:r>
        <w:rPr>
          <w:rFonts w:hint="eastAsia" w:asciiTheme="minorEastAsia" w:hAnsiTheme="minorEastAsia" w:eastAsiaTheme="minorEastAsia" w:cstheme="minorEastAsia"/>
          <w:color w:val="000000" w:themeColor="text1"/>
          <w:spacing w:val="-1"/>
          <w:highlight w:val="none"/>
          <w:lang w:eastAsia="zh-CN"/>
          <w14:textFill>
            <w14:solidFill>
              <w14:schemeClr w14:val="tx1"/>
            </w14:solidFill>
          </w14:textFill>
        </w:rPr>
        <w:t>人及</w:t>
      </w:r>
      <w:r>
        <w:rPr>
          <w:rFonts w:hint="eastAsia"/>
          <w:color w:val="000000" w:themeColor="text1"/>
          <w:highlight w:val="none"/>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pacing w:val="-1"/>
          <w:highlight w:val="none"/>
          <w:lang w:eastAsia="zh-CN"/>
          <w14:textFill>
            <w14:solidFill>
              <w14:schemeClr w14:val="tx1"/>
            </w14:solidFill>
          </w14:textFill>
        </w:rPr>
        <w:t>提出，以便补齐。如有疑问，应按供应商须知前附表规定的时间和形式将提出的问题送达</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采购人及</w:t>
      </w:r>
      <w:r>
        <w:rPr>
          <w:rFonts w:hint="eastAsia"/>
          <w:color w:val="000000" w:themeColor="text1"/>
          <w:highlight w:val="none"/>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，要求采购人对磋商文件予以澄清。</w:t>
      </w:r>
    </w:p>
    <w:p w14:paraId="2B671716">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2.2.2 磋商文件的澄清以供应商须知前附表规定的形式发给所有购买磋商文件的供应商，但不指明澄清问题的来源。澄清发出的时间距本章第4.2.1项规定的响应文件提交的截止时间不足</w:t>
      </w:r>
      <w:r>
        <w:rPr>
          <w:rFonts w:hint="eastAsia" w:asciiTheme="minorEastAsia" w:hAnsiTheme="minorEastAsia" w:eastAsiaTheme="minorEastAsia" w:cstheme="minorEastAsia"/>
          <w:color w:val="000000" w:themeColor="text1"/>
          <w:spacing w:val="-76"/>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日的，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并且澄清内容可能影响响应文件编制的，将相应延长响应文件提交的截止时间。</w:t>
      </w:r>
    </w:p>
    <w:p w14:paraId="21351DCD">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2.2.3 供应商在收到澄清后，应按供应商须知前附表规定的时间和形式通知采购人及</w:t>
      </w:r>
      <w:r>
        <w:rPr>
          <w:rFonts w:hint="eastAsia"/>
          <w:color w:val="000000" w:themeColor="text1"/>
          <w:highlight w:val="none"/>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，确认已收到该澄清。</w:t>
      </w:r>
    </w:p>
    <w:p w14:paraId="7478C991">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2.2.4 除非采购人认为确有必要答复，否则，采购人有权拒绝回复供应商在本章第2.2.1 项规定的时间后的任何澄清要求。</w:t>
      </w:r>
    </w:p>
    <w:p w14:paraId="473AB06F">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65" w:name="_bookmark38"/>
      <w:bookmarkEnd w:id="65"/>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2.3 磋商文件的修改</w:t>
      </w:r>
    </w:p>
    <w:p w14:paraId="5F3D0D3C">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2.3.1 采购人以供应商须知前附表规定的形式修改磋商文件，并通知所有已购买磋商文件的供应商。修改磋商文件的时间距本章第4.2.1 项规定的提交首次响应文件截止时间不足5日的，并且修改内容可能影响响应文件编制的，将相应延长提交首次响应文件截止时间。</w:t>
      </w:r>
    </w:p>
    <w:p w14:paraId="22DD11CA">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2.3.2 供应商收到修改内容后，应按供应商须知前附表规定的时间和形式通知采购人及采购代理机构，确认已收到该修改。</w:t>
      </w:r>
    </w:p>
    <w:p w14:paraId="02B7F330">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66" w:name="_bookmark40"/>
      <w:bookmarkEnd w:id="66"/>
      <w:bookmarkStart w:id="67" w:name="_bookmark39"/>
      <w:bookmarkEnd w:id="67"/>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3.  响应文件</w:t>
      </w:r>
    </w:p>
    <w:p w14:paraId="2858B5C3">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68" w:name="_bookmark41"/>
      <w:bookmarkEnd w:id="68"/>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3.1 响应文件的组成</w:t>
      </w:r>
    </w:p>
    <w:p w14:paraId="04F2A601">
      <w:pPr>
        <w:pStyle w:val="8"/>
        <w:wordWrap w:val="0"/>
        <w:spacing w:line="360" w:lineRule="auto"/>
        <w:ind w:firstLine="420" w:firstLineChars="200"/>
        <w:jc w:val="both"/>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详见</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第六章响应文件格式</w:t>
      </w:r>
    </w:p>
    <w:p w14:paraId="7F89C486">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供应商在评审过程中作出的符合法律法规和磋商文件规定的澄清确认，构成磋商文件的组成部分。</w:t>
      </w:r>
    </w:p>
    <w:p w14:paraId="768C641A">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69" w:name="_bookmark42"/>
      <w:bookmarkEnd w:id="69"/>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3.2 磋商报价</w:t>
      </w:r>
    </w:p>
    <w:p w14:paraId="371728CC">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3.2.1 供应商应充分了解该项目的总体情况以及影响磋商报价的其他要素。</w:t>
      </w:r>
    </w:p>
    <w:p w14:paraId="20B9D95D">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3.2.2 </w:t>
      </w:r>
      <w:r>
        <w:rPr>
          <w:rFonts w:hint="eastAsia" w:asciiTheme="minorEastAsia" w:hAnsiTheme="minorEastAsia" w:eastAsiaTheme="minorEastAsia" w:cstheme="minorEastAsia"/>
          <w:color w:val="000000" w:themeColor="text1"/>
          <w:spacing w:val="-4"/>
          <w:highlight w:val="none"/>
          <w:lang w:eastAsia="zh-CN"/>
          <w14:textFill>
            <w14:solidFill>
              <w14:schemeClr w14:val="tx1"/>
            </w14:solidFill>
          </w14:textFill>
        </w:rPr>
        <w:t>本项目的报价方式见供应商须知前附表。供应商在提交响应文件截止时间前修改报价函中的磋商</w:t>
      </w:r>
      <w:r>
        <w:rPr>
          <w:rFonts w:hint="eastAsia" w:asciiTheme="minorEastAsia" w:hAnsiTheme="minorEastAsia" w:eastAsiaTheme="minorEastAsia" w:cstheme="minorEastAsia"/>
          <w:color w:val="000000" w:themeColor="text1"/>
          <w:spacing w:val="-5"/>
          <w:highlight w:val="none"/>
          <w:lang w:eastAsia="zh-CN"/>
          <w14:textFill>
            <w14:solidFill>
              <w14:schemeClr w14:val="tx1"/>
            </w14:solidFill>
          </w14:textFill>
        </w:rPr>
        <w:t xml:space="preserve">报价总额，应同时修改响应文件“费用清单”中的相应报价。此修改须符合本章第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4.3 款的有关要求。</w:t>
      </w:r>
    </w:p>
    <w:p w14:paraId="050044CE">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3.2.3 </w:t>
      </w:r>
      <w:r>
        <w:rPr>
          <w:rFonts w:hint="eastAsia" w:asciiTheme="minorEastAsia" w:hAnsiTheme="minorEastAsia" w:eastAsiaTheme="minorEastAsia" w:cstheme="minorEastAsia"/>
          <w:color w:val="000000" w:themeColor="text1"/>
          <w:spacing w:val="-4"/>
          <w:highlight w:val="none"/>
          <w:lang w:eastAsia="zh-CN"/>
          <w14:textFill>
            <w14:solidFill>
              <w14:schemeClr w14:val="tx1"/>
            </w14:solidFill>
          </w14:textFill>
        </w:rPr>
        <w:t>采购人设有最高限价的，供应商的首次磋商报价、最终报价均不得超过最高限价，最高限</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价在供应商须知前附表中载明。</w:t>
      </w:r>
    </w:p>
    <w:p w14:paraId="3A080593">
      <w:pPr>
        <w:wordWrap w:val="0"/>
        <w:spacing w:line="360" w:lineRule="auto"/>
        <w:ind w:firstLine="422" w:firstLineChars="200"/>
        <w:rPr>
          <w:b/>
          <w:bCs/>
          <w:color w:val="000000" w:themeColor="text1"/>
          <w:sz w:val="21"/>
          <w:szCs w:val="21"/>
          <w:highlight w:val="none"/>
          <w:lang w:eastAsia="zh-CN"/>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报价次数：2次。</w:t>
      </w:r>
    </w:p>
    <w:p w14:paraId="3543FFCE">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3.2.5 磋商报价的其他要求见供应商须知前附表。</w:t>
      </w:r>
    </w:p>
    <w:p w14:paraId="6E3386E9">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70" w:name="_bookmark43"/>
      <w:bookmarkEnd w:id="70"/>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3.3 磋商有效期</w:t>
      </w:r>
    </w:p>
    <w:p w14:paraId="77593F08">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3.3.1 除供应商须知前附表另有规定外，磋商有效期为90天。</w:t>
      </w:r>
    </w:p>
    <w:p w14:paraId="32BBF405">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3.3.2 在磋商有效期内，供应商撤销响应文件的，应承担磋商文件和法律规定的责任。</w:t>
      </w:r>
    </w:p>
    <w:p w14:paraId="1CAC6A72">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3.3.3 </w:t>
      </w:r>
      <w:r>
        <w:rPr>
          <w:rFonts w:hint="eastAsia" w:asciiTheme="minorEastAsia" w:hAnsiTheme="minorEastAsia" w:eastAsiaTheme="minorEastAsia" w:cstheme="minorEastAsia"/>
          <w:color w:val="000000" w:themeColor="text1"/>
          <w:spacing w:val="-4"/>
          <w:highlight w:val="none"/>
          <w:lang w:eastAsia="zh-CN"/>
          <w14:textFill>
            <w14:solidFill>
              <w14:schemeClr w14:val="tx1"/>
            </w14:solidFill>
          </w14:textFill>
        </w:rPr>
        <w:t xml:space="preserve">出现特殊情况需要延长磋商有效期的，采购人以书面形式通知所有供应商延长磋商有 </w:t>
      </w:r>
      <w:r>
        <w:rPr>
          <w:rFonts w:hint="eastAsia" w:asciiTheme="minorEastAsia" w:hAnsiTheme="minorEastAsia" w:eastAsiaTheme="minorEastAsia" w:cstheme="minorEastAsia"/>
          <w:color w:val="000000" w:themeColor="text1"/>
          <w:spacing w:val="-1"/>
          <w:highlight w:val="none"/>
          <w:lang w:eastAsia="zh-CN"/>
          <w14:textFill>
            <w14:solidFill>
              <w14:schemeClr w14:val="tx1"/>
            </w14:solidFill>
          </w14:textFill>
        </w:rPr>
        <w:t>效期。供应商应予以书面答复，同意延长的，但不得要求或被允许修改其响应文件；供应商拒绝延长的，其磋商失效</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359B5343">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71" w:name="_bookmark44"/>
      <w:bookmarkEnd w:id="71"/>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3.4 磋商保证金</w:t>
      </w:r>
    </w:p>
    <w:p w14:paraId="7F7A50AE">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根据长春市财政局发布的长财采购〔2021〕695 号文件要求，诚信记录良好的供应商不收取磋商保证金，对于满足《中华人民共和国政府采购法》第二十二条有关规定，经“信用中国”网站查询存在行政处罚信息的供应商，采购人、采购代理机构可以按规定收取磋商保证金。</w:t>
      </w:r>
    </w:p>
    <w:p w14:paraId="0890F968">
      <w:pPr>
        <w:wordWrap w:val="0"/>
        <w:spacing w:line="360" w:lineRule="auto"/>
        <w:ind w:firstLine="422" w:firstLineChars="200"/>
        <w:jc w:val="both"/>
        <w:rPr>
          <w:rFonts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bookmarkStart w:id="72" w:name="_bookmark45"/>
      <w:bookmarkEnd w:id="72"/>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3.5 资格审查资料</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（适用于未进行资格预审的）</w:t>
      </w:r>
    </w:p>
    <w:p w14:paraId="028907A0">
      <w:pPr>
        <w:pStyle w:val="8"/>
        <w:wordWrap w:val="0"/>
        <w:spacing w:line="360" w:lineRule="auto"/>
        <w:ind w:firstLine="416"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highlight w:val="none"/>
          <w:lang w:eastAsia="zh-CN"/>
          <w14:textFill>
            <w14:solidFill>
              <w14:schemeClr w14:val="tx1"/>
            </w14:solidFill>
          </w14:textFill>
        </w:rPr>
        <w:t xml:space="preserve">除供应商须知前附表另有规定外，供应商应按下列规定提供资格审查资料，以证明其满足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本章第</w:t>
      </w:r>
      <w:r>
        <w:rPr>
          <w:rFonts w:hint="eastAsia" w:asciiTheme="minorEastAsia" w:hAnsiTheme="minorEastAsia" w:eastAsiaTheme="minorEastAsia" w:cstheme="minorEastAsia"/>
          <w:color w:val="000000" w:themeColor="text1"/>
          <w:spacing w:val="-55"/>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1.4 款规定的财务、业绩、信誉等要求。</w:t>
      </w:r>
    </w:p>
    <w:p w14:paraId="28E5982D">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3.5.1 </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本</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情</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况表</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应附</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营</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业</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执</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照</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和</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织机</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代</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码</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证</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复</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印</w:t>
      </w:r>
      <w:r>
        <w:rPr>
          <w:rFonts w:hint="eastAsia" w:asciiTheme="minorEastAsia" w:hAnsiTheme="minorEastAsia" w:eastAsiaTheme="minorEastAsia" w:cstheme="minorEastAsia"/>
          <w:color w:val="000000" w:themeColor="text1"/>
          <w:spacing w:val="-94"/>
          <w:highlight w:val="none"/>
          <w:lang w:eastAsia="zh-CN"/>
          <w14:textFill>
            <w14:solidFill>
              <w14:schemeClr w14:val="tx1"/>
            </w14:solidFill>
          </w14:textFill>
        </w:rPr>
        <w:t>件</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按</w:t>
      </w:r>
      <w:r>
        <w:rPr>
          <w:rFonts w:hint="eastAsia" w:asciiTheme="minorEastAsia" w:hAnsiTheme="minorEastAsia" w:eastAsiaTheme="minorEastAsia" w:cstheme="minorEastAsia"/>
          <w:color w:val="000000" w:themeColor="text1"/>
          <w:spacing w:val="-1"/>
          <w:highlight w:val="none"/>
          <w:lang w:eastAsia="zh-CN"/>
          <w14:textFill>
            <w14:solidFill>
              <w14:schemeClr w14:val="tx1"/>
            </w14:solidFill>
          </w14:textFill>
        </w:rPr>
        <w:t>照</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证</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合一</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highlight w:val="none"/>
          <w:lang w:eastAsia="zh-CN"/>
          <w14:textFill>
            <w14:solidFill>
              <w14:schemeClr w14:val="tx1"/>
            </w14:solidFill>
          </w14:textFill>
        </w:rPr>
        <w:t>或“</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五</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证</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合</w:t>
      </w:r>
      <w:r>
        <w:rPr>
          <w:rFonts w:hint="eastAsia" w:asciiTheme="minorEastAsia" w:hAnsiTheme="minorEastAsia" w:eastAsiaTheme="minorEastAsia" w:cstheme="minorEastAsia"/>
          <w:color w:val="000000" w:themeColor="text1"/>
          <w:spacing w:val="-1"/>
          <w:highlight w:val="none"/>
          <w:lang w:eastAsia="zh-CN"/>
          <w14:textFill>
            <w14:solidFill>
              <w14:schemeClr w14:val="tx1"/>
            </w14:solidFill>
          </w14:textFill>
        </w:rPr>
        <w:t>一”</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登</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记</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制</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度</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进</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行登</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记</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spacing w:val="-29"/>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可</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仅</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供</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营</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业</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执照</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复</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印</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件</w:t>
      </w:r>
      <w:r>
        <w:rPr>
          <w:rFonts w:hint="eastAsia" w:asciiTheme="minorEastAsia" w:hAnsiTheme="minorEastAsia" w:eastAsiaTheme="minorEastAsia" w:cstheme="minorEastAsia"/>
          <w:color w:val="000000" w:themeColor="text1"/>
          <w:spacing w:val="-106"/>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等</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材料的复印件。</w:t>
      </w:r>
    </w:p>
    <w:p w14:paraId="7DBA37A2">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3.5.2 “近年财务状况表”执行长财采购【2022】2066号文件的规定。</w:t>
      </w:r>
    </w:p>
    <w:p w14:paraId="536462CC">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3.5.3 “近年完成的类似项目情况表”应附中标通知书和（或）合同协议书；具体时间要求见供应商须知前附表，每张表格只填写一个项目，并标明序号。</w:t>
      </w:r>
    </w:p>
    <w:p w14:paraId="0E0D582D">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3.5.</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highlight w:val="none"/>
          <w:lang w:eastAsia="zh-CN"/>
          <w14:textFill>
            <w14:solidFill>
              <w14:schemeClr w14:val="tx1"/>
            </w14:solidFill>
          </w14:textFill>
        </w:rPr>
        <w:t xml:space="preserve">供应商须知前附表规定接受联合体参与竞争性磋商采购活动的，本章第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3.5.1 项至第</w:t>
      </w:r>
      <w:r>
        <w:rPr>
          <w:rFonts w:hint="eastAsia" w:asciiTheme="minorEastAsia" w:hAnsiTheme="minorEastAsia" w:eastAsiaTheme="minorEastAsia" w:cstheme="minorEastAsia"/>
          <w:color w:val="000000" w:themeColor="text1"/>
          <w:spacing w:val="-72"/>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3.5.</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项规定的表格和资料应包括联合体各方相关情况。</w:t>
      </w:r>
    </w:p>
    <w:p w14:paraId="3191B9C9">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73" w:name="_bookmark47"/>
      <w:bookmarkEnd w:id="73"/>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3.6 备选磋商方案</w:t>
      </w:r>
    </w:p>
    <w:p w14:paraId="37429D99">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3.6.1 </w:t>
      </w:r>
      <w:r>
        <w:rPr>
          <w:rFonts w:hint="eastAsia" w:asciiTheme="minorEastAsia" w:hAnsiTheme="minorEastAsia" w:eastAsiaTheme="minorEastAsia" w:cstheme="minorEastAsia"/>
          <w:color w:val="000000" w:themeColor="text1"/>
          <w:spacing w:val="-4"/>
          <w:highlight w:val="none"/>
          <w:lang w:eastAsia="zh-CN"/>
          <w14:textFill>
            <w14:solidFill>
              <w14:schemeClr w14:val="tx1"/>
            </w14:solidFill>
          </w14:textFill>
        </w:rPr>
        <w:t xml:space="preserve">除供应商须知前附表规定允许外，供应商不得递交备选磋商方案，否则其磋商将被否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决。</w:t>
      </w:r>
    </w:p>
    <w:p w14:paraId="01D5D74C">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3.6.2 允许供应商递交备选磋商方案的，只有成交供应商所递交的备选磋商方案方可予以考虑。 磋商小组认为成交供应商的备选磋商方案优于其按照磋商文件要求编制的磋商方案的，采购人可以接受该备选磋商方案。</w:t>
      </w:r>
    </w:p>
    <w:p w14:paraId="75B21A01">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74" w:name="_bookmark48"/>
      <w:bookmarkEnd w:id="74"/>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3.7 响应文件的编制</w:t>
      </w:r>
    </w:p>
    <w:p w14:paraId="49899C1B">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3.7.1 响应文件应按第六章“响应文件格式”进行编写，如有必要，可以增加附页，作为响应文件的组成部分。其中，报价函附录在满足磋商文件实质性要求的基础上，可以提出比磋商文件要求更有利于采购人的承诺。</w:t>
      </w:r>
    </w:p>
    <w:p w14:paraId="52675D5F">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3.7.2 </w:t>
      </w:r>
      <w:r>
        <w:rPr>
          <w:rFonts w:hint="eastAsia" w:asciiTheme="minorEastAsia" w:hAnsiTheme="minorEastAsia" w:eastAsiaTheme="minorEastAsia" w:cstheme="minorEastAsia"/>
          <w:color w:val="000000" w:themeColor="text1"/>
          <w:spacing w:val="-4"/>
          <w:highlight w:val="none"/>
          <w:lang w:eastAsia="zh-CN"/>
          <w14:textFill>
            <w14:solidFill>
              <w14:schemeClr w14:val="tx1"/>
            </w14:solidFill>
          </w14:textFill>
        </w:rPr>
        <w:t>响应文件应当对磋商文件有关</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合同履行期限</w:t>
      </w:r>
      <w:r>
        <w:rPr>
          <w:rFonts w:hint="eastAsia" w:asciiTheme="minorEastAsia" w:hAnsiTheme="minorEastAsia" w:eastAsiaTheme="minorEastAsia" w:cstheme="minorEastAsia"/>
          <w:color w:val="000000" w:themeColor="text1"/>
          <w:spacing w:val="-4"/>
          <w:highlight w:val="none"/>
          <w:lang w:eastAsia="zh-CN"/>
          <w14:textFill>
            <w14:solidFill>
              <w14:schemeClr w14:val="tx1"/>
            </w14:solidFill>
          </w14:textFill>
        </w:rPr>
        <w:t>、磋商有效期、采购需求等</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实质性内容作出响应。</w:t>
      </w:r>
    </w:p>
    <w:p w14:paraId="6BF113E8">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3.7.3响应</w:t>
      </w:r>
      <w:r>
        <w:rPr>
          <w:rFonts w:hint="eastAsia" w:asciiTheme="minorEastAsia" w:hAnsiTheme="minorEastAsia" w:eastAsiaTheme="minorEastAsia" w:cstheme="minorEastAsia"/>
          <w:color w:val="000000" w:themeColor="text1"/>
          <w:spacing w:val="2"/>
          <w:highlight w:val="none"/>
          <w:lang w:eastAsia="zh-CN"/>
          <w14:textFill>
            <w14:solidFill>
              <w14:schemeClr w14:val="tx1"/>
            </w14:solidFill>
          </w14:textFill>
        </w:rPr>
        <w:t>文</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件</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报价</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函</w:t>
      </w:r>
      <w:r>
        <w:rPr>
          <w:rFonts w:hint="eastAsia" w:asciiTheme="minorEastAsia" w:hAnsiTheme="minorEastAsia" w:eastAsiaTheme="minorEastAsia" w:cstheme="minorEastAsia"/>
          <w:color w:val="000000" w:themeColor="text1"/>
          <w:spacing w:val="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报价函附</w:t>
      </w:r>
      <w:r>
        <w:rPr>
          <w:rFonts w:hint="eastAsia" w:asciiTheme="minorEastAsia" w:hAnsiTheme="minorEastAsia" w:eastAsiaTheme="minorEastAsia" w:cstheme="minorEastAsia"/>
          <w:color w:val="000000" w:themeColor="text1"/>
          <w:spacing w:val="2"/>
          <w:highlight w:val="none"/>
          <w:lang w:eastAsia="zh-CN"/>
          <w14:textFill>
            <w14:solidFill>
              <w14:schemeClr w14:val="tx1"/>
            </w14:solidFill>
          </w14:textFill>
        </w:rPr>
        <w:t>录</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及</w:t>
      </w:r>
      <w:r>
        <w:rPr>
          <w:rFonts w:hint="eastAsia" w:asciiTheme="minorEastAsia" w:hAnsiTheme="minorEastAsia" w:eastAsiaTheme="minorEastAsia" w:cstheme="minorEastAsia"/>
          <w:color w:val="000000" w:themeColor="text1"/>
          <w:spacing w:val="2"/>
          <w:highlight w:val="none"/>
          <w:lang w:eastAsia="zh-CN"/>
          <w14:textFill>
            <w14:solidFill>
              <w14:schemeClr w14:val="tx1"/>
            </w14:solidFill>
          </w14:textFill>
        </w:rPr>
        <w:t>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响应文</w:t>
      </w:r>
      <w:r>
        <w:rPr>
          <w:rFonts w:hint="eastAsia" w:asciiTheme="minorEastAsia" w:hAnsiTheme="minorEastAsia" w:eastAsiaTheme="minorEastAsia" w:cstheme="minorEastAsia"/>
          <w:color w:val="000000" w:themeColor="text1"/>
          <w:spacing w:val="-1"/>
          <w:highlight w:val="none"/>
          <w:lang w:eastAsia="zh-CN"/>
          <w14:textFill>
            <w14:solidFill>
              <w14:schemeClr w14:val="tx1"/>
            </w14:solidFill>
          </w14:textFill>
        </w:rPr>
        <w:t>件的澄清、说明和补正应由供应商的法定代表人或其授权的代理人签字或盖单位章。由供应商的法定代表人签字的，应附法定代表人身份证明，由代理人签字的，应附授权委托书，身份证</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明或授权委托书应符合第六章“响应文件格式”的要求。响应文件应尽量避免涂改、行间插字或</w:t>
      </w:r>
      <w:r>
        <w:rPr>
          <w:rFonts w:hint="eastAsia" w:asciiTheme="minorEastAsia" w:hAnsiTheme="minorEastAsia" w:eastAsiaTheme="minorEastAsia" w:cstheme="minorEastAsia"/>
          <w:color w:val="000000" w:themeColor="text1"/>
          <w:spacing w:val="-1"/>
          <w:highlight w:val="none"/>
          <w:lang w:eastAsia="zh-CN"/>
          <w14:textFill>
            <w14:solidFill>
              <w14:schemeClr w14:val="tx1"/>
            </w14:solidFill>
          </w14:textFill>
        </w:rPr>
        <w:t>删除。如果出现上述情况，改动之处应由供应商的法定代表人或其授权的代理人签字或盖单位</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章。</w:t>
      </w:r>
    </w:p>
    <w:p w14:paraId="45F92B2A">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75" w:name="_bookmark49"/>
      <w:bookmarkEnd w:id="75"/>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4. 磋商</w:t>
      </w:r>
    </w:p>
    <w:p w14:paraId="47F4A832">
      <w:pPr>
        <w:wordWrap w:val="0"/>
        <w:spacing w:line="360" w:lineRule="auto"/>
        <w:ind w:firstLine="422" w:firstLineChars="200"/>
        <w:jc w:val="both"/>
        <w:rPr>
          <w:rFonts w:hint="default"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bookmarkStart w:id="76" w:name="_bookmark50"/>
      <w:bookmarkEnd w:id="76"/>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4.1 响应文件的</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上传</w:t>
      </w:r>
    </w:p>
    <w:p w14:paraId="06CA32EF">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响应截止时间前在政府采购云平台上传电子</w:t>
      </w:r>
      <w:r>
        <w:rPr>
          <w:rFonts w:hint="eastAsia" w:asciiTheme="minorEastAsia" w:hAnsiTheme="minorEastAsia" w:eastAsiaTheme="minorEastAsia"/>
          <w:color w:val="000000" w:themeColor="text1"/>
          <w:highlight w:val="none"/>
          <w:lang w:eastAsia="zh-CN"/>
          <w14:textFill>
            <w14:solidFill>
              <w14:schemeClr w14:val="tx1"/>
            </w14:solidFill>
          </w14:textFill>
        </w:rPr>
        <w:t>响应</w:t>
      </w:r>
      <w:r>
        <w:rPr>
          <w:rFonts w:hint="eastAsia" w:asciiTheme="minorEastAsia" w:hAnsiTheme="minorEastAsia" w:eastAsiaTheme="minorEastAsia"/>
          <w:color w:val="000000" w:themeColor="text1"/>
          <w:highlight w:val="none"/>
          <w:lang w:val="zh-CN" w:eastAsia="zh-CN"/>
          <w14:textFill>
            <w14:solidFill>
              <w14:schemeClr w14:val="tx1"/>
            </w14:solidFill>
          </w14:textFill>
        </w:rPr>
        <w:t>文件</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4E062AB2">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77" w:name="_bookmark51"/>
      <w:bookmarkEnd w:id="77"/>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4.2 响应文件的递交</w:t>
      </w:r>
    </w:p>
    <w:p w14:paraId="6352A282">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4.2.1 中标供应商应在供应商须知前附表规定的将响应文件</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上传至政府采购云平台</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24CCC411">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4.2.2 供应商递交响应文件的地点：见供应商须知前附表。</w:t>
      </w:r>
    </w:p>
    <w:p w14:paraId="3B4FA761">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4.2.</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 逾期</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上传</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的响应文件，</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供应商自行负责</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0E50A504">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78" w:name="_bookmark52"/>
      <w:bookmarkEnd w:id="78"/>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4.3 响应文件的修改与撤回</w:t>
      </w:r>
    </w:p>
    <w:p w14:paraId="7B33AD92">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4.3.1 在本章第4.2.1 项规定的提交响应文件截止时间前，供应商可以修改或撤回已递交的响应文件。</w:t>
      </w:r>
    </w:p>
    <w:p w14:paraId="3887A9D5">
      <w:pPr>
        <w:pStyle w:val="8"/>
        <w:wordWrap w:val="0"/>
        <w:spacing w:line="360" w:lineRule="auto"/>
        <w:ind w:firstLine="420" w:firstLineChars="200"/>
        <w:jc w:val="both"/>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4.3.2 供应商修改或撤回已递交响应文件的书面通知应按照本章第</w:t>
      </w:r>
      <w:r>
        <w:rPr>
          <w:rFonts w:hint="eastAsia" w:asciiTheme="minorEastAsia" w:hAnsiTheme="minorEastAsia" w:eastAsiaTheme="minorEastAsia" w:cstheme="minorEastAsia"/>
          <w:color w:val="000000" w:themeColor="text1"/>
          <w:spacing w:val="-7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3.7.3项的要求签字或盖章。</w:t>
      </w:r>
    </w:p>
    <w:p w14:paraId="07F653CE">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79" w:name="_bookmark53"/>
      <w:bookmarkEnd w:id="79"/>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5.  开启</w:t>
      </w:r>
    </w:p>
    <w:p w14:paraId="684F2653">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80" w:name="_bookmark54"/>
      <w:bookmarkEnd w:id="80"/>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5.1 开启时间和地点</w:t>
      </w:r>
    </w:p>
    <w:p w14:paraId="1E16A51C">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采购人在本章第4.2.1 </w:t>
      </w:r>
      <w:r>
        <w:rPr>
          <w:rFonts w:hint="eastAsia" w:asciiTheme="minorEastAsia" w:hAnsiTheme="minorEastAsia" w:eastAsiaTheme="minorEastAsia" w:cstheme="minorEastAsia"/>
          <w:color w:val="000000" w:themeColor="text1"/>
          <w:spacing w:val="-4"/>
          <w:highlight w:val="none"/>
          <w:lang w:eastAsia="zh-CN"/>
          <w14:textFill>
            <w14:solidFill>
              <w14:schemeClr w14:val="tx1"/>
            </w14:solidFill>
          </w14:textFill>
        </w:rPr>
        <w:t>项规定的提交响应文件截止时间和供应商须知前附表规定的地点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开启，并邀请所有供应商的法定代表人或其委托代理人准时参加。</w:t>
      </w:r>
    </w:p>
    <w:p w14:paraId="200BCBBF">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81" w:name="_bookmark55"/>
      <w:bookmarkEnd w:id="81"/>
      <w:bookmarkStart w:id="82" w:name="_bookmark56"/>
      <w:bookmarkEnd w:id="82"/>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5.2 磋商程序</w:t>
      </w:r>
    </w:p>
    <w:p w14:paraId="43AC8413">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主持人按下列程序进行开标：</w:t>
      </w:r>
    </w:p>
    <w:p w14:paraId="4FCDEFD0">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（1）宣布会议纪律；</w:t>
      </w:r>
    </w:p>
    <w:p w14:paraId="5665FE33">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（2）公布在响应文件提交的截止时间前递交响应文件的供应商名称；</w:t>
      </w:r>
    </w:p>
    <w:p w14:paraId="1BEA8F57">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（3）宣布采购人、主持人等有关人员姓名；</w:t>
      </w:r>
    </w:p>
    <w:p w14:paraId="2B242F9A">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）宣布评审办法及磋商工作时间安排；</w:t>
      </w:r>
    </w:p>
    <w:p w14:paraId="662C8BF8">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）会议结束。</w:t>
      </w:r>
    </w:p>
    <w:p w14:paraId="2C385F3C">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83" w:name="_bookmark58"/>
      <w:bookmarkEnd w:id="83"/>
      <w:bookmarkStart w:id="84" w:name="_bookmark57"/>
      <w:bookmarkEnd w:id="84"/>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6.  评审</w:t>
      </w:r>
    </w:p>
    <w:p w14:paraId="4540DBEB">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85" w:name="_bookmark59"/>
      <w:bookmarkEnd w:id="85"/>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6.1 磋商小组</w:t>
      </w:r>
    </w:p>
    <w:p w14:paraId="39E62AEE">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6.1.1 </w:t>
      </w:r>
      <w:r>
        <w:rPr>
          <w:rFonts w:hint="eastAsia" w:asciiTheme="minorEastAsia" w:hAnsiTheme="minorEastAsia" w:eastAsiaTheme="minorEastAsia" w:cstheme="minorEastAsia"/>
          <w:color w:val="000000" w:themeColor="text1"/>
          <w:spacing w:val="-4"/>
          <w:highlight w:val="none"/>
          <w:lang w:eastAsia="zh-CN"/>
          <w14:textFill>
            <w14:solidFill>
              <w14:schemeClr w14:val="tx1"/>
            </w14:solidFill>
          </w14:textFill>
        </w:rPr>
        <w:t>评审由采购人依法组建的磋商小组负责。磋商小组由采购人或其委托的采购代理</w:t>
      </w:r>
      <w:r>
        <w:rPr>
          <w:rFonts w:hint="eastAsia" w:asciiTheme="minorEastAsia" w:hAnsiTheme="minorEastAsia" w:eastAsiaTheme="minorEastAsia" w:cstheme="minorEastAsia"/>
          <w:color w:val="000000" w:themeColor="text1"/>
          <w:spacing w:val="-1"/>
          <w:highlight w:val="none"/>
          <w:lang w:eastAsia="zh-CN"/>
          <w14:textFill>
            <w14:solidFill>
              <w14:schemeClr w14:val="tx1"/>
            </w14:solidFill>
          </w14:textFill>
        </w:rPr>
        <w:t>机构熟悉相关业务的代表，以及有关技术、经济等方面的专家组成。</w:t>
      </w:r>
      <w:r>
        <w:rPr>
          <w:rFonts w:hint="eastAsia" w:asciiTheme="minorEastAsia" w:hAnsiTheme="minorEastAsia" w:eastAsiaTheme="minorEastAsia" w:cstheme="minorEastAsia"/>
          <w:color w:val="000000" w:themeColor="text1"/>
          <w:spacing w:val="-4"/>
          <w:highlight w:val="none"/>
          <w:lang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pacing w:val="-1"/>
          <w:highlight w:val="none"/>
          <w:lang w:eastAsia="zh-CN"/>
          <w14:textFill>
            <w14:solidFill>
              <w14:schemeClr w14:val="tx1"/>
            </w14:solidFill>
          </w14:textFill>
        </w:rPr>
        <w:t>成员人数以及</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技术、经济等方面专家的确定方式见供应商须知前附表。</w:t>
      </w:r>
    </w:p>
    <w:p w14:paraId="39FC4F6E">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6.1.2 </w:t>
      </w:r>
      <w:r>
        <w:rPr>
          <w:rFonts w:hint="eastAsia" w:asciiTheme="minorEastAsia" w:hAnsiTheme="minorEastAsia" w:eastAsiaTheme="minorEastAsia" w:cstheme="minorEastAsia"/>
          <w:color w:val="000000" w:themeColor="text1"/>
          <w:spacing w:val="-4"/>
          <w:highlight w:val="none"/>
          <w:lang w:eastAsia="zh-CN"/>
          <w14:textFill>
            <w14:solidFill>
              <w14:schemeClr w14:val="tx1"/>
            </w14:solidFill>
          </w14:textFill>
        </w:rPr>
        <w:t>磋商小组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成员有下列情形之一的，应当回避：</w:t>
      </w:r>
    </w:p>
    <w:p w14:paraId="4F08C97C">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（1）供应商或供应商主要负责人的近亲属；</w:t>
      </w:r>
    </w:p>
    <w:p w14:paraId="1A105A27">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（2）项目主管部门或者行政监督部门的人员；</w:t>
      </w:r>
    </w:p>
    <w:p w14:paraId="51F667A3">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（3）与供应商有经济利益关系，可能影响对投标公正评审的；</w:t>
      </w:r>
    </w:p>
    <w:p w14:paraId="5B968F7E">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（4）曾因在招标、评审以及其他与招标投标有关活动中从事违法行为而受过行政处罚或刑事处罚的；</w:t>
      </w:r>
    </w:p>
    <w:p w14:paraId="25075EA2">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（5）与供应商有其他利害关系。</w:t>
      </w:r>
    </w:p>
    <w:p w14:paraId="42CE60CD">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6.1.3 </w:t>
      </w:r>
      <w:r>
        <w:rPr>
          <w:rFonts w:hint="eastAsia" w:asciiTheme="minorEastAsia" w:hAnsiTheme="minorEastAsia" w:eastAsiaTheme="minorEastAsia" w:cstheme="minorEastAsia"/>
          <w:color w:val="000000" w:themeColor="text1"/>
          <w:spacing w:val="-4"/>
          <w:highlight w:val="none"/>
          <w:lang w:eastAsia="zh-CN"/>
          <w14:textFill>
            <w14:solidFill>
              <w14:schemeClr w14:val="tx1"/>
            </w14:solidFill>
          </w14:textFill>
        </w:rPr>
        <w:t>评审过程中，磋商小组成员有回避事由、擅离职守或者因健康等原因不能继续评审</w:t>
      </w:r>
      <w:r>
        <w:rPr>
          <w:rFonts w:hint="eastAsia" w:asciiTheme="minorEastAsia" w:hAnsiTheme="minorEastAsia" w:eastAsiaTheme="minorEastAsia" w:cstheme="minorEastAsia"/>
          <w:color w:val="000000" w:themeColor="text1"/>
          <w:spacing w:val="-1"/>
          <w:highlight w:val="none"/>
          <w:lang w:eastAsia="zh-CN"/>
          <w14:textFill>
            <w14:solidFill>
              <w14:schemeClr w14:val="tx1"/>
            </w14:solidFill>
          </w14:textFill>
        </w:rPr>
        <w:t>的，采购人有权更换。被更换的</w:t>
      </w:r>
      <w:r>
        <w:rPr>
          <w:rFonts w:hint="eastAsia" w:asciiTheme="minorEastAsia" w:hAnsiTheme="minorEastAsia" w:eastAsiaTheme="minorEastAsia" w:cstheme="minorEastAsia"/>
          <w:color w:val="000000" w:themeColor="text1"/>
          <w:spacing w:val="-4"/>
          <w:highlight w:val="none"/>
          <w:lang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pacing w:val="-1"/>
          <w:highlight w:val="none"/>
          <w:lang w:eastAsia="zh-CN"/>
          <w14:textFill>
            <w14:solidFill>
              <w14:schemeClr w14:val="tx1"/>
            </w14:solidFill>
          </w14:textFill>
        </w:rPr>
        <w:t>成员作出的评审结论无效，由更换后的</w:t>
      </w:r>
      <w:r>
        <w:rPr>
          <w:rFonts w:hint="eastAsia" w:asciiTheme="minorEastAsia" w:hAnsiTheme="minorEastAsia" w:eastAsiaTheme="minorEastAsia" w:cstheme="minorEastAsia"/>
          <w:color w:val="000000" w:themeColor="text1"/>
          <w:spacing w:val="-4"/>
          <w:highlight w:val="none"/>
          <w:lang w:eastAsia="zh-CN"/>
          <w14:textFill>
            <w14:solidFill>
              <w14:schemeClr w14:val="tx1"/>
            </w14:solidFill>
          </w14:textFill>
        </w:rPr>
        <w:t>磋商小组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成员重新进行评审。</w:t>
      </w:r>
    </w:p>
    <w:p w14:paraId="2B2814B0">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86" w:name="_bookmark60"/>
      <w:bookmarkEnd w:id="86"/>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6.2 评审原则</w:t>
      </w:r>
    </w:p>
    <w:p w14:paraId="11B118CC">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评审活动遵循公平、公正、科学和择优的原则。</w:t>
      </w:r>
    </w:p>
    <w:p w14:paraId="068B35D3">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87" w:name="_bookmark61"/>
      <w:bookmarkEnd w:id="87"/>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6.3 评审</w:t>
      </w:r>
    </w:p>
    <w:p w14:paraId="1EB4BB47">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6.3.1 磋商小组按照第三章“评审办法”规定的方法、评审因素、标准和程序对响应文件进行评审。第三章“评审办法”没有规定的方法、评审因素和标准，不作为评审依据。</w:t>
      </w:r>
    </w:p>
    <w:p w14:paraId="6AD8B8D3">
      <w:pPr>
        <w:pStyle w:val="8"/>
        <w:wordWrap w:val="0"/>
        <w:spacing w:line="360" w:lineRule="auto"/>
        <w:ind w:firstLine="416"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highlight w:val="none"/>
          <w:lang w:eastAsia="zh-CN"/>
          <w14:textFill>
            <w14:solidFill>
              <w14:schemeClr w14:val="tx1"/>
            </w14:solidFill>
          </w14:textFill>
        </w:rPr>
        <w:t>6.3.2 评审完成后，</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pacing w:val="-1"/>
          <w:highlight w:val="none"/>
          <w:lang w:eastAsia="zh-CN"/>
          <w14:textFill>
            <w14:solidFill>
              <w14:schemeClr w14:val="tx1"/>
            </w14:solidFill>
          </w14:textFill>
        </w:rPr>
        <w:t>应当向采购人提交书面评审报告和成交候选人名单。</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磋商小组推荐中标候选人的人数见供应商须知前附表。</w:t>
      </w:r>
    </w:p>
    <w:p w14:paraId="1ECA692E">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88" w:name="_bookmark62"/>
      <w:bookmarkEnd w:id="88"/>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7.  合同授予</w:t>
      </w:r>
    </w:p>
    <w:p w14:paraId="0D6C23A7">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89" w:name="_bookmark63"/>
      <w:bookmarkEnd w:id="89"/>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7.1 成交结果</w:t>
      </w:r>
    </w:p>
    <w:p w14:paraId="53C36ADB">
      <w:pPr>
        <w:pStyle w:val="8"/>
        <w:wordWrap w:val="0"/>
        <w:spacing w:line="360" w:lineRule="auto"/>
        <w:ind w:firstLine="420" w:firstLineChars="200"/>
        <w:jc w:val="both"/>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采购代理机构应当在评标结束后2个工作日内将评标报告送采购人。采购人应当自收到评标报告之日起5个工作日内，在评标报告确定的中标候选人名单中按顺序确定中标人，</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并</w:t>
      </w:r>
      <w:r>
        <w:rPr>
          <w:rFonts w:hint="eastAsia" w:asciiTheme="minorEastAsia" w:hAnsiTheme="minorEastAsia" w:eastAsiaTheme="minorEastAsia"/>
          <w:color w:val="000000" w:themeColor="text1"/>
          <w:sz w:val="21"/>
          <w:szCs w:val="21"/>
          <w:highlight w:val="none"/>
          <w14:textFill>
            <w14:solidFill>
              <w14:schemeClr w14:val="tx1"/>
            </w14:solidFill>
          </w14:textFill>
        </w:rPr>
        <w:t>在发布招标公告媒体上公告中标结果，同时向中标供应商发出中标通知书，向未中标供应商发出未中标结果通知书，同时将中标结果通知未中标的供应商</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p>
    <w:p w14:paraId="0DD36792">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90" w:name="_bookmark68"/>
      <w:bookmarkEnd w:id="90"/>
      <w:bookmarkStart w:id="91" w:name="_bookmark64"/>
      <w:bookmarkEnd w:id="91"/>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7.2 履约保证金</w:t>
      </w:r>
    </w:p>
    <w:p w14:paraId="31199E82">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7.2.1 在</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签</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订</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合</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同</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前</w:t>
      </w:r>
      <w:r>
        <w:rPr>
          <w:rFonts w:hint="eastAsia" w:asciiTheme="minorEastAsia" w:hAnsiTheme="minorEastAsia" w:eastAsiaTheme="minorEastAsia" w:cstheme="minorEastAsia"/>
          <w:color w:val="000000" w:themeColor="text1"/>
          <w:spacing w:val="-8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成交供应商应</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按</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须</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知</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前</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附</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表</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规定</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形</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式</w:t>
      </w:r>
      <w:r>
        <w:rPr>
          <w:rFonts w:hint="eastAsia" w:asciiTheme="minorEastAsia" w:hAnsiTheme="minorEastAsia" w:eastAsiaTheme="minorEastAsia" w:cstheme="minorEastAsia"/>
          <w:color w:val="000000" w:themeColor="text1"/>
          <w:spacing w:val="-85"/>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金</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额</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和</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文</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件第</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四</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章</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合</w:t>
      </w:r>
      <w:r>
        <w:rPr>
          <w:rFonts w:hint="eastAsia" w:asciiTheme="minorEastAsia" w:hAnsiTheme="minorEastAsia" w:eastAsiaTheme="minorEastAsia" w:cstheme="minorEastAsia"/>
          <w:color w:val="000000" w:themeColor="text1"/>
          <w:spacing w:val="2"/>
          <w:highlight w:val="none"/>
          <w:lang w:eastAsia="zh-CN"/>
          <w14:textFill>
            <w14:solidFill>
              <w14:schemeClr w14:val="tx1"/>
            </w14:solidFill>
          </w14:textFill>
        </w:rPr>
        <w:t>同条款及格式”规定的或者事先经过采购人书面认可的履约保证金格式向采购人提交履约保证</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金。联合体中标的，其履约保证金以联合体各方或者联合体中牵头人的名义提交。</w:t>
      </w:r>
    </w:p>
    <w:p w14:paraId="42906CD3">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7.2.2 成交供应商不能按本章第7.2.1 项要求提交履约保证金的，视为放弃中标，其磋商保证金不予退还，给采购人造成的损失超过磋商保证金数额的，成交供应商还应当对超过部分予以赔偿。</w:t>
      </w:r>
    </w:p>
    <w:p w14:paraId="1A83B719">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92" w:name="_bookmark70"/>
      <w:bookmarkEnd w:id="92"/>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7.3 签订合同</w:t>
      </w:r>
    </w:p>
    <w:p w14:paraId="32E945D7">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7.3.1 采购人和成交供应商应当在成交通知书发出之日起30日内，根据磋商文件和成交供应商的响应文件订立书面合同。</w:t>
      </w:r>
      <w:r>
        <w:rPr>
          <w:rFonts w:hint="eastAsia" w:asciiTheme="minorEastAsia" w:hAnsiTheme="minorEastAsia" w:eastAsiaTheme="minorEastAsia" w:cstheme="minorEastAsia"/>
          <w:color w:val="000000" w:themeColor="text1"/>
          <w:spacing w:val="-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无正当理由拒签合同，在签订合同时向采购人提出附加条件，或者不按照磋商文件要求提交履约保证金的，采购人有权取消其中标资格；给采购人造成损失的，成交供应商还应当对超过部分予以赔偿。</w:t>
      </w:r>
    </w:p>
    <w:p w14:paraId="034B417C">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7.3.2</w:t>
      </w:r>
      <w:r>
        <w:rPr>
          <w:rFonts w:hint="eastAsia" w:asciiTheme="minorEastAsia" w:hAnsiTheme="minorEastAsia" w:eastAsiaTheme="minorEastAsia" w:cstheme="minorEastAsia"/>
          <w:color w:val="000000" w:themeColor="text1"/>
          <w:spacing w:val="-1"/>
          <w:highlight w:val="none"/>
          <w:lang w:eastAsia="zh-CN"/>
          <w14:textFill>
            <w14:solidFill>
              <w14:schemeClr w14:val="tx1"/>
            </w14:solidFill>
          </w14:textFill>
        </w:rPr>
        <w:t xml:space="preserve"> 联合体中标的，联合体各方应当共同与采购人签订合同，就中标项目向采购人承担连</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带责任。</w:t>
      </w:r>
    </w:p>
    <w:p w14:paraId="2C6501B4">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93" w:name="_bookmark71"/>
      <w:bookmarkEnd w:id="93"/>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8.纪律和监督</w:t>
      </w:r>
    </w:p>
    <w:p w14:paraId="596FC2F2">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94" w:name="_bookmark72"/>
      <w:bookmarkEnd w:id="94"/>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8.1 对采购人的纪律要求</w:t>
      </w:r>
    </w:p>
    <w:p w14:paraId="7F9D721F">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采购人不得泄露竞争性磋商活动中应当保密的情况和资料，不得与供应商串通损害国家利益、 社会公共利益或者他人合法权益。</w:t>
      </w:r>
    </w:p>
    <w:p w14:paraId="22150E41">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95" w:name="_bookmark73"/>
      <w:bookmarkEnd w:id="95"/>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8.2 对供应商的纪律要求</w:t>
      </w:r>
    </w:p>
    <w:p w14:paraId="42D64087">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不得相互串通参与竞争性磋商活动或者与采购人串通投标，不得向采购人或者磋商小组成员行贿谋取中标，不得以他人名义投标或者以其他方式弄虚作假骗取中标；供应商不得以任何方式干扰、影响评审工作。</w:t>
      </w:r>
    </w:p>
    <w:p w14:paraId="50CAE334">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96" w:name="_bookmark74"/>
      <w:bookmarkEnd w:id="96"/>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8.3 对磋商小组成员的纪律要求</w:t>
      </w:r>
    </w:p>
    <w:p w14:paraId="12ED7C15">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磋商小组成员不得收受他人的财物或者其他好处，不得向他人透露对响应文件的评审和比较、成交候选供应商的推荐情况以及评审有关的其他情况。在评审活动中，磋商小组成员应当客观、公正地履行职责，遵守职业道德，不得擅离职守，影响评审程序正常进行，不得使用第三章“评审办法”没有规定的评审因素和标准进行评审。</w:t>
      </w:r>
    </w:p>
    <w:p w14:paraId="1152190B">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97" w:name="_bookmark75"/>
      <w:bookmarkEnd w:id="97"/>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8.4 对与评审活动有关的工作人员的纪律要求</w:t>
      </w:r>
    </w:p>
    <w:p w14:paraId="5B41450B">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与评审活动有关的工作人员不得收受他人的财物或者其他好处，不得向他人透露对响应文 件的评审和比较、成交候选供应商的推荐情况以及评审有关的其他情况。在评审活动中，与评审活动有关的工作人员不得擅离职守，影响评审程序正常进行。</w:t>
      </w:r>
    </w:p>
    <w:p w14:paraId="2343E30B">
      <w:pPr>
        <w:pStyle w:val="8"/>
        <w:wordWrap w:val="0"/>
        <w:spacing w:line="360" w:lineRule="auto"/>
        <w:ind w:firstLine="422" w:firstLineChars="200"/>
        <w:jc w:val="both"/>
        <w:rPr>
          <w:rFonts w:asciiTheme="minorEastAsia" w:hAnsiTheme="minorEastAsia" w:eastAsiaTheme="minorEastAsia" w:cstheme="minorEastAsia"/>
          <w:b/>
          <w:bCs/>
          <w:color w:val="000000" w:themeColor="text1"/>
          <w:highlight w:val="none"/>
          <w:lang w:eastAsia="zh-CN"/>
          <w14:textFill>
            <w14:solidFill>
              <w14:schemeClr w14:val="tx1"/>
            </w14:solidFill>
          </w14:textFill>
        </w:rPr>
      </w:pPr>
      <w:bookmarkStart w:id="98" w:name="_bookmark76"/>
      <w:bookmarkEnd w:id="98"/>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8.5 质疑</w:t>
      </w:r>
    </w:p>
    <w:p w14:paraId="27AD6384">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供应商认为磋商文件、磋商过程和中标结果使自己的合法权益受到损害的，应当在质疑有效期内，一次性提出针对同一采购程序环节，通过书面形式向采购人及采购代理机构提出质疑。</w:t>
      </w:r>
    </w:p>
    <w:p w14:paraId="2CB02260">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99" w:name="_bookmark77"/>
      <w:bookmarkEnd w:id="99"/>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9.  是否采用电子招标投标</w:t>
      </w:r>
    </w:p>
    <w:p w14:paraId="12AC0362">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本采购项目是否采用电子招标投标方式，见供应商须知前附表。</w:t>
      </w:r>
    </w:p>
    <w:p w14:paraId="5EC25344">
      <w:pPr>
        <w:wordWrap w:val="0"/>
        <w:spacing w:line="360" w:lineRule="auto"/>
        <w:ind w:firstLine="422" w:firstLineChars="200"/>
        <w:jc w:val="both"/>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bookmarkStart w:id="100" w:name="_bookmark78"/>
      <w:bookmarkEnd w:id="100"/>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10.  需要补充的其他内容</w:t>
      </w:r>
    </w:p>
    <w:p w14:paraId="2900B4E9">
      <w:pPr>
        <w:pStyle w:val="8"/>
        <w:wordWrap w:val="0"/>
        <w:spacing w:line="360"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需要补充的其他内容：见供应商须知前附表。</w:t>
      </w:r>
    </w:p>
    <w:p w14:paraId="423013C5">
      <w:pPr>
        <w:wordWrap w:val="0"/>
        <w:spacing w:line="360" w:lineRule="auto"/>
        <w:ind w:firstLine="420" w:firstLineChars="200"/>
        <w:jc w:val="both"/>
        <w:rPr>
          <w:rFonts w:asciiTheme="minorEastAsia" w:hAnsiTheme="minorEastAsia" w:eastAsiaTheme="minorEastAsia" w:cstheme="minorEastAsia"/>
          <w:color w:val="000000" w:themeColor="text1"/>
          <w:sz w:val="21"/>
          <w:szCs w:val="21"/>
          <w:highlight w:val="none"/>
          <w:lang w:eastAsia="zh-CN"/>
          <w14:textFill>
            <w14:solidFill>
              <w14:schemeClr w14:val="tx1"/>
            </w14:solidFill>
          </w14:textFill>
        </w:rPr>
        <w:sectPr>
          <w:footerReference r:id="rId3" w:type="default"/>
          <w:pgSz w:w="12240" w:h="15840"/>
          <w:pgMar w:top="1440" w:right="1080" w:bottom="1440" w:left="1080" w:header="0" w:footer="921" w:gutter="0"/>
          <w:pgBorders>
            <w:top w:val="none" w:sz="0" w:space="0"/>
            <w:left w:val="none" w:sz="0" w:space="0"/>
            <w:bottom w:val="none" w:sz="0" w:space="0"/>
            <w:right w:val="none" w:sz="0" w:space="0"/>
          </w:pgBorders>
          <w:pgNumType w:fmt="decimal" w:start="1"/>
          <w:cols w:space="720" w:num="1"/>
        </w:sectPr>
      </w:pPr>
    </w:p>
    <w:p w14:paraId="738387BD">
      <w:pPr>
        <w:pStyle w:val="2"/>
        <w:wordWrap w:val="0"/>
        <w:spacing w:after="240" w:afterLines="100" w:line="240" w:lineRule="auto"/>
        <w:ind w:left="0"/>
        <w:rPr>
          <w:rFonts w:asciiTheme="minorEastAsia" w:hAnsiTheme="minorEastAsia" w:eastAsiaTheme="minorEastAsia" w:cstheme="minorEastAsia"/>
          <w:color w:val="000000" w:themeColor="text1"/>
          <w:sz w:val="32"/>
          <w:szCs w:val="32"/>
          <w:highlight w:val="none"/>
          <w:lang w:eastAsia="zh-CN"/>
          <w14:textFill>
            <w14:solidFill>
              <w14:schemeClr w14:val="tx1"/>
            </w14:solidFill>
          </w14:textFill>
        </w:rPr>
      </w:pPr>
      <w:bookmarkStart w:id="101" w:name="_bookmark85"/>
      <w:bookmarkEnd w:id="101"/>
      <w:bookmarkStart w:id="102" w:name="_bookmark79"/>
      <w:bookmarkEnd w:id="102"/>
      <w:bookmarkStart w:id="103" w:name="_Toc18510"/>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第三章  评审办法（综合评分法）</w:t>
      </w:r>
      <w:bookmarkEnd w:id="103"/>
    </w:p>
    <w:p w14:paraId="1A80B08E">
      <w:pPr>
        <w:autoSpaceDE w:val="0"/>
        <w:autoSpaceDN w:val="0"/>
        <w:adjustRightInd w:val="0"/>
        <w:spacing w:line="360" w:lineRule="auto"/>
        <w:jc w:val="center"/>
        <w:rPr>
          <w:rFonts w:cs="宋体-18030"/>
          <w:b/>
          <w:bCs/>
          <w:szCs w:val="21"/>
          <w:highlight w:val="none"/>
          <w:lang w:eastAsia="zh-CN"/>
        </w:rPr>
      </w:pPr>
      <w:r>
        <w:rPr>
          <w:rFonts w:hint="eastAsia" w:cs="宋体-18030"/>
          <w:b/>
          <w:bCs/>
          <w:szCs w:val="21"/>
          <w:highlight w:val="none"/>
          <w:lang w:eastAsia="zh-CN"/>
        </w:rPr>
        <w:t>评审办法前附表</w:t>
      </w:r>
      <w:bookmarkStart w:id="104" w:name="_Toc201487348"/>
      <w:bookmarkStart w:id="105" w:name="_Toc414897788"/>
      <w:bookmarkStart w:id="106" w:name="_Toc201487970"/>
      <w:bookmarkStart w:id="107" w:name="_Toc20230"/>
      <w:bookmarkStart w:id="108" w:name="_Toc453756944"/>
      <w:bookmarkStart w:id="109" w:name="_Toc27816"/>
      <w:bookmarkStart w:id="110" w:name="_Toc428007688"/>
      <w:bookmarkStart w:id="111" w:name="_Toc12190"/>
      <w:bookmarkStart w:id="112" w:name="_Toc22976"/>
      <w:bookmarkStart w:id="113" w:name="_Toc3624"/>
      <w:bookmarkStart w:id="114" w:name="_Toc202062701"/>
      <w:bookmarkStart w:id="115" w:name="_Toc10379"/>
      <w:bookmarkStart w:id="116" w:name="_Toc21541"/>
      <w:bookmarkStart w:id="117" w:name="_Toc414891606"/>
    </w:p>
    <w:p w14:paraId="258AEE0D">
      <w:pPr>
        <w:autoSpaceDE w:val="0"/>
        <w:autoSpaceDN w:val="0"/>
        <w:adjustRightInd w:val="0"/>
        <w:spacing w:line="360" w:lineRule="auto"/>
        <w:jc w:val="both"/>
        <w:rPr>
          <w:rFonts w:cs="新宋体"/>
          <w:b/>
          <w:bCs/>
          <w:szCs w:val="21"/>
          <w:highlight w:val="none"/>
          <w:lang w:val="zh-CN" w:eastAsia="zh-CN"/>
        </w:rPr>
      </w:pPr>
      <w:r>
        <w:rPr>
          <w:rFonts w:hint="eastAsia" w:cs="宋体-18030"/>
          <w:b/>
          <w:bCs/>
          <w:szCs w:val="21"/>
          <w:highlight w:val="none"/>
          <w:lang w:eastAsia="zh-CN"/>
        </w:rPr>
        <w:t>初步评审表</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cs="宋体-18030"/>
          <w:b/>
          <w:bCs/>
          <w:szCs w:val="21"/>
          <w:highlight w:val="none"/>
          <w:lang w:eastAsia="zh-CN"/>
        </w:rPr>
        <w:t>：</w:t>
      </w:r>
    </w:p>
    <w:tbl>
      <w:tblPr>
        <w:tblStyle w:val="27"/>
        <w:tblW w:w="9938" w:type="dxa"/>
        <w:jc w:val="center"/>
        <w:tblLayout w:type="fixed"/>
        <w:tblCellMar>
          <w:top w:w="0" w:type="dxa"/>
          <w:left w:w="108" w:type="dxa"/>
          <w:bottom w:w="0" w:type="dxa"/>
          <w:right w:w="108" w:type="dxa"/>
        </w:tblCellMar>
      </w:tblPr>
      <w:tblGrid>
        <w:gridCol w:w="808"/>
        <w:gridCol w:w="947"/>
        <w:gridCol w:w="1706"/>
        <w:gridCol w:w="6477"/>
      </w:tblGrid>
      <w:tr w14:paraId="123F18A6">
        <w:tblPrEx>
          <w:tblCellMar>
            <w:top w:w="0" w:type="dxa"/>
            <w:left w:w="108" w:type="dxa"/>
            <w:bottom w:w="0" w:type="dxa"/>
            <w:right w:w="108" w:type="dxa"/>
          </w:tblCellMar>
        </w:tblPrEx>
        <w:trPr>
          <w:trHeight w:val="540" w:hRule="atLeast"/>
          <w:jc w:val="center"/>
        </w:trPr>
        <w:tc>
          <w:tcPr>
            <w:tcW w:w="1755" w:type="dxa"/>
            <w:gridSpan w:val="2"/>
            <w:tcBorders>
              <w:top w:val="single" w:color="auto" w:sz="4" w:space="0"/>
              <w:left w:val="single" w:color="auto" w:sz="4" w:space="0"/>
              <w:bottom w:val="single" w:color="000000" w:sz="2" w:space="0"/>
              <w:right w:val="single" w:color="auto" w:sz="4" w:space="0"/>
            </w:tcBorders>
            <w:shd w:val="clear" w:color="000000" w:fill="FFFFFF"/>
            <w:vAlign w:val="center"/>
          </w:tcPr>
          <w:p w14:paraId="326AE88A">
            <w:pPr>
              <w:keepNext w:val="0"/>
              <w:keepLines w:val="0"/>
              <w:pageBreakBefore w:val="0"/>
              <w:widowControl w:val="0"/>
              <w:kinsoku/>
              <w:wordWrap/>
              <w:overflowPunct/>
              <w:topLinePunct w:val="0"/>
              <w:autoSpaceDE w:val="0"/>
              <w:autoSpaceDN w:val="0"/>
              <w:bidi w:val="0"/>
              <w:adjustRightInd w:val="0"/>
              <w:spacing w:line="380" w:lineRule="exact"/>
              <w:jc w:val="center"/>
              <w:rPr>
                <w:highlight w:val="none"/>
                <w:lang w:val="zh-CN"/>
              </w:rPr>
            </w:pPr>
            <w:r>
              <w:rPr>
                <w:rFonts w:hint="eastAsia"/>
                <w:szCs w:val="21"/>
                <w:highlight w:val="none"/>
                <w:lang w:val="zh-CN"/>
              </w:rPr>
              <w:t>条款号</w:t>
            </w:r>
          </w:p>
        </w:tc>
        <w:tc>
          <w:tcPr>
            <w:tcW w:w="1706" w:type="dxa"/>
            <w:tcBorders>
              <w:top w:val="single" w:color="000000" w:sz="2" w:space="0"/>
              <w:left w:val="single" w:color="auto" w:sz="4" w:space="0"/>
              <w:bottom w:val="single" w:color="000000" w:sz="2" w:space="0"/>
              <w:right w:val="single" w:color="000000" w:sz="2" w:space="0"/>
            </w:tcBorders>
            <w:shd w:val="clear" w:color="000000" w:fill="FFFFFF"/>
            <w:vAlign w:val="center"/>
          </w:tcPr>
          <w:p w14:paraId="4E43F1BF">
            <w:pPr>
              <w:keepNext w:val="0"/>
              <w:keepLines w:val="0"/>
              <w:pageBreakBefore w:val="0"/>
              <w:widowControl w:val="0"/>
              <w:kinsoku/>
              <w:wordWrap/>
              <w:overflowPunct/>
              <w:topLinePunct w:val="0"/>
              <w:autoSpaceDE w:val="0"/>
              <w:autoSpaceDN w:val="0"/>
              <w:bidi w:val="0"/>
              <w:adjustRightInd w:val="0"/>
              <w:spacing w:line="380" w:lineRule="exact"/>
              <w:jc w:val="center"/>
              <w:rPr>
                <w:highlight w:val="none"/>
                <w:lang w:val="zh-CN"/>
              </w:rPr>
            </w:pPr>
            <w:r>
              <w:rPr>
                <w:rFonts w:hint="eastAsia"/>
                <w:szCs w:val="21"/>
                <w:highlight w:val="none"/>
                <w:lang w:val="zh-CN"/>
              </w:rPr>
              <w:t>评审因素</w:t>
            </w:r>
          </w:p>
        </w:tc>
        <w:tc>
          <w:tcPr>
            <w:tcW w:w="647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0BE9C8D">
            <w:pPr>
              <w:keepNext w:val="0"/>
              <w:keepLines w:val="0"/>
              <w:pageBreakBefore w:val="0"/>
              <w:widowControl w:val="0"/>
              <w:kinsoku/>
              <w:wordWrap/>
              <w:overflowPunct/>
              <w:topLinePunct w:val="0"/>
              <w:autoSpaceDE w:val="0"/>
              <w:autoSpaceDN w:val="0"/>
              <w:bidi w:val="0"/>
              <w:adjustRightInd w:val="0"/>
              <w:spacing w:line="380" w:lineRule="exact"/>
              <w:jc w:val="center"/>
              <w:rPr>
                <w:highlight w:val="none"/>
                <w:lang w:val="zh-CN"/>
              </w:rPr>
            </w:pPr>
            <w:r>
              <w:rPr>
                <w:rFonts w:hint="eastAsia"/>
                <w:szCs w:val="21"/>
                <w:highlight w:val="none"/>
                <w:lang w:val="zh-CN"/>
              </w:rPr>
              <w:t>评审标准</w:t>
            </w:r>
          </w:p>
        </w:tc>
      </w:tr>
      <w:tr w14:paraId="6062B5E3">
        <w:tblPrEx>
          <w:tblCellMar>
            <w:top w:w="0" w:type="dxa"/>
            <w:left w:w="108" w:type="dxa"/>
            <w:bottom w:w="0" w:type="dxa"/>
            <w:right w:w="108" w:type="dxa"/>
          </w:tblCellMar>
        </w:tblPrEx>
        <w:trPr>
          <w:trHeight w:val="1155" w:hRule="atLeast"/>
          <w:jc w:val="center"/>
        </w:trPr>
        <w:tc>
          <w:tcPr>
            <w:tcW w:w="808" w:type="dxa"/>
            <w:vMerge w:val="restart"/>
            <w:tcBorders>
              <w:top w:val="single" w:color="000000" w:sz="2" w:space="0"/>
              <w:left w:val="single" w:color="auto" w:sz="4" w:space="0"/>
              <w:right w:val="single" w:color="000000" w:sz="2" w:space="0"/>
            </w:tcBorders>
            <w:shd w:val="clear" w:color="000000" w:fill="FFFFFF"/>
            <w:vAlign w:val="center"/>
          </w:tcPr>
          <w:p w14:paraId="69FC1D87">
            <w:pPr>
              <w:keepNext w:val="0"/>
              <w:keepLines w:val="0"/>
              <w:pageBreakBefore w:val="0"/>
              <w:widowControl w:val="0"/>
              <w:kinsoku/>
              <w:wordWrap/>
              <w:overflowPunct/>
              <w:topLinePunct w:val="0"/>
              <w:autoSpaceDE w:val="0"/>
              <w:autoSpaceDN w:val="0"/>
              <w:bidi w:val="0"/>
              <w:adjustRightInd w:val="0"/>
              <w:spacing w:line="380" w:lineRule="exact"/>
              <w:jc w:val="center"/>
              <w:rPr>
                <w:highlight w:val="none"/>
                <w:lang w:val="zh-CN"/>
              </w:rPr>
            </w:pPr>
            <w:r>
              <w:rPr>
                <w:rFonts w:hint="eastAsia"/>
                <w:szCs w:val="21"/>
                <w:highlight w:val="none"/>
              </w:rPr>
              <w:t>2.1.1</w:t>
            </w:r>
          </w:p>
        </w:tc>
        <w:tc>
          <w:tcPr>
            <w:tcW w:w="947" w:type="dxa"/>
            <w:vMerge w:val="restart"/>
            <w:tcBorders>
              <w:top w:val="single" w:color="000000" w:sz="2" w:space="0"/>
              <w:left w:val="single" w:color="000000" w:sz="2" w:space="0"/>
              <w:right w:val="single" w:color="auto" w:sz="4" w:space="0"/>
            </w:tcBorders>
            <w:shd w:val="clear" w:color="000000" w:fill="FFFFFF"/>
            <w:vAlign w:val="center"/>
          </w:tcPr>
          <w:p w14:paraId="3259472B">
            <w:pPr>
              <w:keepNext w:val="0"/>
              <w:keepLines w:val="0"/>
              <w:pageBreakBefore w:val="0"/>
              <w:widowControl w:val="0"/>
              <w:kinsoku/>
              <w:wordWrap/>
              <w:overflowPunct/>
              <w:topLinePunct w:val="0"/>
              <w:autoSpaceDE w:val="0"/>
              <w:autoSpaceDN w:val="0"/>
              <w:bidi w:val="0"/>
              <w:adjustRightInd w:val="0"/>
              <w:spacing w:line="380" w:lineRule="exact"/>
              <w:jc w:val="center"/>
              <w:rPr>
                <w:highlight w:val="none"/>
                <w:lang w:val="zh-CN"/>
              </w:rPr>
            </w:pPr>
            <w:r>
              <w:rPr>
                <w:rFonts w:hint="eastAsia"/>
                <w:sz w:val="21"/>
                <w:szCs w:val="21"/>
                <w:highlight w:val="none"/>
                <w:lang w:val="zh-CN"/>
              </w:rPr>
              <w:t>资格性审查</w:t>
            </w:r>
          </w:p>
        </w:tc>
        <w:tc>
          <w:tcPr>
            <w:tcW w:w="1706" w:type="dxa"/>
            <w:tcBorders>
              <w:top w:val="single" w:color="000000" w:sz="2" w:space="0"/>
              <w:left w:val="single" w:color="auto" w:sz="4" w:space="0"/>
              <w:bottom w:val="single" w:color="auto" w:sz="4" w:space="0"/>
              <w:right w:val="single" w:color="000000" w:sz="2" w:space="0"/>
            </w:tcBorders>
            <w:shd w:val="clear" w:color="000000" w:fill="FFFFFF"/>
            <w:vAlign w:val="center"/>
          </w:tcPr>
          <w:p w14:paraId="2D471862">
            <w:pPr>
              <w:keepNext w:val="0"/>
              <w:keepLines w:val="0"/>
              <w:pageBreakBefore w:val="0"/>
              <w:widowControl w:val="0"/>
              <w:kinsoku/>
              <w:wordWrap/>
              <w:overflowPunct/>
              <w:topLinePunct w:val="0"/>
              <w:autoSpaceDE w:val="0"/>
              <w:autoSpaceDN w:val="0"/>
              <w:bidi w:val="0"/>
              <w:adjustRightInd w:val="0"/>
              <w:spacing w:line="380" w:lineRule="exact"/>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营业执照</w:t>
            </w:r>
          </w:p>
        </w:tc>
        <w:tc>
          <w:tcPr>
            <w:tcW w:w="647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E1B0D44">
            <w:pPr>
              <w:keepNext w:val="0"/>
              <w:keepLines w:val="0"/>
              <w:pageBreakBefore w:val="0"/>
              <w:widowControl w:val="0"/>
              <w:kinsoku/>
              <w:wordWrap/>
              <w:overflowPunct/>
              <w:topLinePunct w:val="0"/>
              <w:bidi w:val="0"/>
              <w:spacing w:line="380" w:lineRule="exact"/>
              <w:jc w:val="both"/>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供应商须是具有独立的法人资格的企业或其他组织，具有有效的营业执照，并在人员、设备、资金等方面具有相应的能力。</w:t>
            </w:r>
          </w:p>
          <w:p w14:paraId="2F97FDCE">
            <w:pPr>
              <w:keepNext w:val="0"/>
              <w:keepLines w:val="0"/>
              <w:pageBreakBefore w:val="0"/>
              <w:widowControl w:val="0"/>
              <w:kinsoku/>
              <w:wordWrap/>
              <w:overflowPunct/>
              <w:topLinePunct w:val="0"/>
              <w:autoSpaceDE w:val="0"/>
              <w:autoSpaceDN w:val="0"/>
              <w:bidi w:val="0"/>
              <w:adjustRightInd w:val="0"/>
              <w:spacing w:line="380" w:lineRule="exact"/>
              <w:rPr>
                <w:highlight w:val="none"/>
                <w:lang w:val="zh-CN" w:eastAsia="zh-CN"/>
              </w:rPr>
            </w:pPr>
            <w:r>
              <w:rPr>
                <w:rFonts w:hint="eastAsia" w:asciiTheme="minorEastAsia" w:hAnsiTheme="minorEastAsia" w:eastAsiaTheme="minorEastAsia"/>
                <w:b/>
                <w:bCs/>
                <w:color w:val="000000" w:themeColor="text1"/>
                <w:sz w:val="21"/>
                <w:szCs w:val="21"/>
                <w:highlight w:val="none"/>
                <w:lang w:eastAsia="zh-CN"/>
                <w14:textFill>
                  <w14:solidFill>
                    <w14:schemeClr w14:val="tx1"/>
                  </w14:solidFill>
                </w14:textFill>
              </w:rPr>
              <w:t>响应文件内附</w:t>
            </w:r>
            <w:r>
              <w:rPr>
                <w:rFonts w:asciiTheme="minorEastAsia" w:hAnsiTheme="minorEastAsia" w:eastAsiaTheme="minorEastAsia"/>
                <w:b/>
                <w:bCs/>
                <w:color w:val="000000" w:themeColor="text1"/>
                <w:sz w:val="21"/>
                <w:szCs w:val="21"/>
                <w:highlight w:val="none"/>
                <w:lang w:eastAsia="zh-CN"/>
                <w14:textFill>
                  <w14:solidFill>
                    <w14:schemeClr w14:val="tx1"/>
                  </w14:solidFill>
                </w14:textFill>
              </w:rPr>
              <w:t>营业执照</w:t>
            </w:r>
            <w:r>
              <w:rPr>
                <w:rFonts w:hint="eastAsia" w:asciiTheme="minorEastAsia" w:hAnsiTheme="minorEastAsia" w:eastAsiaTheme="minorEastAsia"/>
                <w:b/>
                <w:bCs/>
                <w:color w:val="000000" w:themeColor="text1"/>
                <w:sz w:val="21"/>
                <w:szCs w:val="21"/>
                <w:highlight w:val="none"/>
                <w:lang w:eastAsia="zh-CN"/>
                <w14:textFill>
                  <w14:solidFill>
                    <w14:schemeClr w14:val="tx1"/>
                  </w14:solidFill>
                </w14:textFill>
              </w:rPr>
              <w:t>复印件加盖公章。</w:t>
            </w:r>
          </w:p>
        </w:tc>
      </w:tr>
      <w:tr w14:paraId="405D4BE6">
        <w:tblPrEx>
          <w:tblCellMar>
            <w:top w:w="0" w:type="dxa"/>
            <w:left w:w="108" w:type="dxa"/>
            <w:bottom w:w="0" w:type="dxa"/>
            <w:right w:w="108" w:type="dxa"/>
          </w:tblCellMar>
        </w:tblPrEx>
        <w:trPr>
          <w:trHeight w:val="2694" w:hRule="atLeast"/>
          <w:jc w:val="center"/>
        </w:trPr>
        <w:tc>
          <w:tcPr>
            <w:tcW w:w="808" w:type="dxa"/>
            <w:vMerge w:val="continue"/>
            <w:tcBorders>
              <w:left w:val="single" w:color="auto" w:sz="4" w:space="0"/>
              <w:right w:val="single" w:color="000000" w:sz="2" w:space="0"/>
            </w:tcBorders>
            <w:shd w:val="clear" w:color="000000" w:fill="FFFFFF"/>
            <w:vAlign w:val="center"/>
          </w:tcPr>
          <w:p w14:paraId="39B29B7D">
            <w:pPr>
              <w:keepNext w:val="0"/>
              <w:keepLines w:val="0"/>
              <w:pageBreakBefore w:val="0"/>
              <w:widowControl w:val="0"/>
              <w:kinsoku/>
              <w:wordWrap/>
              <w:overflowPunct/>
              <w:topLinePunct w:val="0"/>
              <w:autoSpaceDE w:val="0"/>
              <w:autoSpaceDN w:val="0"/>
              <w:bidi w:val="0"/>
              <w:adjustRightInd w:val="0"/>
              <w:spacing w:line="380" w:lineRule="exact"/>
              <w:jc w:val="center"/>
              <w:rPr>
                <w:highlight w:val="none"/>
                <w:lang w:val="zh-CN" w:eastAsia="zh-CN"/>
              </w:rPr>
            </w:pPr>
          </w:p>
        </w:tc>
        <w:tc>
          <w:tcPr>
            <w:tcW w:w="947" w:type="dxa"/>
            <w:vMerge w:val="continue"/>
            <w:tcBorders>
              <w:left w:val="single" w:color="000000" w:sz="2" w:space="0"/>
              <w:right w:val="single" w:color="auto" w:sz="4" w:space="0"/>
            </w:tcBorders>
            <w:shd w:val="clear" w:color="000000" w:fill="FFFFFF"/>
            <w:vAlign w:val="center"/>
          </w:tcPr>
          <w:p w14:paraId="01D79160">
            <w:pPr>
              <w:keepNext w:val="0"/>
              <w:keepLines w:val="0"/>
              <w:pageBreakBefore w:val="0"/>
              <w:widowControl w:val="0"/>
              <w:kinsoku/>
              <w:wordWrap/>
              <w:overflowPunct/>
              <w:topLinePunct w:val="0"/>
              <w:autoSpaceDE w:val="0"/>
              <w:autoSpaceDN w:val="0"/>
              <w:bidi w:val="0"/>
              <w:adjustRightInd w:val="0"/>
              <w:spacing w:line="380" w:lineRule="exact"/>
              <w:jc w:val="center"/>
              <w:rPr>
                <w:highlight w:val="none"/>
                <w:lang w:val="zh-CN" w:eastAsia="zh-CN"/>
              </w:rPr>
            </w:pPr>
          </w:p>
        </w:tc>
        <w:tc>
          <w:tcPr>
            <w:tcW w:w="1706" w:type="dxa"/>
            <w:tcBorders>
              <w:top w:val="single" w:color="000000" w:sz="2" w:space="0"/>
              <w:left w:val="single" w:color="auto" w:sz="4" w:space="0"/>
              <w:bottom w:val="single" w:color="000000" w:sz="2" w:space="0"/>
              <w:right w:val="single" w:color="000000" w:sz="2" w:space="0"/>
            </w:tcBorders>
            <w:shd w:val="clear" w:color="000000" w:fill="FFFFFF"/>
            <w:vAlign w:val="center"/>
          </w:tcPr>
          <w:p w14:paraId="25654A25">
            <w:pPr>
              <w:keepNext w:val="0"/>
              <w:keepLines w:val="0"/>
              <w:pageBreakBefore w:val="0"/>
              <w:widowControl w:val="0"/>
              <w:kinsoku/>
              <w:wordWrap/>
              <w:overflowPunct/>
              <w:topLinePunct w:val="0"/>
              <w:bidi w:val="0"/>
              <w:spacing w:line="380" w:lineRule="exact"/>
              <w:jc w:val="center"/>
              <w:rPr>
                <w:rFonts w:hint="eastAsia" w:ascii="宋体" w:hAnsi="宋体" w:eastAsia="宋体" w:cs="宋体"/>
                <w:color w:val="000000"/>
                <w:kern w:val="2"/>
                <w:sz w:val="21"/>
                <w:szCs w:val="21"/>
                <w:highlight w:val="none"/>
                <w:lang w:val="zh-CN" w:eastAsia="zh-CN"/>
              </w:rPr>
            </w:pPr>
            <w:r>
              <w:rPr>
                <w:rFonts w:hint="eastAsia" w:ascii="宋体" w:hAnsi="宋体" w:eastAsia="宋体" w:cs="宋体"/>
                <w:color w:val="000000" w:themeColor="text1"/>
                <w:sz w:val="21"/>
                <w:szCs w:val="21"/>
                <w:highlight w:val="none"/>
                <w:lang w:val="zh-CN"/>
                <w14:textFill>
                  <w14:solidFill>
                    <w14:schemeClr w14:val="tx1"/>
                  </w14:solidFill>
                </w14:textFill>
              </w:rPr>
              <w:t>财务、纳税及社保</w:t>
            </w:r>
          </w:p>
        </w:tc>
        <w:tc>
          <w:tcPr>
            <w:tcW w:w="647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919FC92">
            <w:pPr>
              <w:keepNext w:val="0"/>
              <w:keepLines w:val="0"/>
              <w:pageBreakBefore w:val="0"/>
              <w:widowControl w:val="0"/>
              <w:kinsoku/>
              <w:wordWrap/>
              <w:overflowPunct/>
              <w:topLinePunct w:val="0"/>
              <w:bidi w:val="0"/>
              <w:spacing w:line="380" w:lineRule="exact"/>
              <w:jc w:val="both"/>
              <w:rPr>
                <w:rFonts w:hint="eastAsia"/>
                <w:color w:val="000000" w:themeColor="text1"/>
                <w:sz w:val="21"/>
                <w:szCs w:val="21"/>
                <w:highlight w:val="none"/>
                <w:lang w:val="zh-CN"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供应商应按照《长春市财政局关于加强政府采购信用体系建设简化供应商资格条件有关事项的通知》（长财采购〔2022〕2066号）文件要求在响应文件中提供反映其财务状况、依法缴纳税收和社保保障资金等情况的资格条件承诺函，并对资格条件承诺函有关内容的真实性、有效性、合法性负责</w:t>
            </w:r>
            <w:r>
              <w:rPr>
                <w:rFonts w:hint="eastAsia"/>
                <w:color w:val="000000" w:themeColor="text1"/>
                <w:sz w:val="21"/>
                <w:szCs w:val="21"/>
                <w:highlight w:val="none"/>
                <w:lang w:val="zh-CN" w:eastAsia="zh-CN"/>
                <w14:textFill>
                  <w14:solidFill>
                    <w14:schemeClr w14:val="tx1"/>
                  </w14:solidFill>
                </w14:textFill>
              </w:rPr>
              <w:t>；</w:t>
            </w:r>
          </w:p>
          <w:p w14:paraId="142F9377">
            <w:pPr>
              <w:keepNext w:val="0"/>
              <w:keepLines w:val="0"/>
              <w:pageBreakBefore w:val="0"/>
              <w:widowControl w:val="0"/>
              <w:kinsoku/>
              <w:wordWrap/>
              <w:overflowPunct/>
              <w:topLinePunct w:val="0"/>
              <w:bidi w:val="0"/>
              <w:spacing w:line="380" w:lineRule="exact"/>
              <w:jc w:val="both"/>
              <w:rPr>
                <w:highlight w:val="none"/>
                <w:lang w:val="zh-CN" w:eastAsia="zh-CN"/>
              </w:rPr>
            </w:pPr>
            <w:r>
              <w:rPr>
                <w:rFonts w:hint="eastAsia" w:asciiTheme="minorEastAsia" w:hAnsiTheme="minorEastAsia" w:eastAsiaTheme="minorEastAsia"/>
                <w:b/>
                <w:bCs/>
                <w:color w:val="000000" w:themeColor="text1"/>
                <w:sz w:val="21"/>
                <w:szCs w:val="21"/>
                <w:highlight w:val="none"/>
                <w:lang w:eastAsia="zh-CN"/>
                <w14:textFill>
                  <w14:solidFill>
                    <w14:schemeClr w14:val="tx1"/>
                  </w14:solidFill>
                </w14:textFill>
              </w:rPr>
              <w:t>响应</w:t>
            </w:r>
            <w:r>
              <w:rPr>
                <w:rFonts w:hint="eastAsia" w:asciiTheme="minorEastAsia" w:hAnsiTheme="minorEastAsia" w:eastAsiaTheme="minorEastAsia"/>
                <w:b/>
                <w:bCs/>
                <w:color w:val="000000" w:themeColor="text1"/>
                <w:sz w:val="21"/>
                <w:szCs w:val="21"/>
                <w:highlight w:val="none"/>
                <w:lang w:val="zh-CN" w:eastAsia="zh-CN"/>
                <w14:textFill>
                  <w14:solidFill>
                    <w14:schemeClr w14:val="tx1"/>
                  </w14:solidFill>
                </w14:textFill>
              </w:rPr>
              <w:t>文件内按采购文件格式要求</w:t>
            </w:r>
            <w:r>
              <w:rPr>
                <w:rFonts w:hint="eastAsia" w:asciiTheme="minorEastAsia" w:hAnsiTheme="minorEastAsia" w:eastAsiaTheme="minorEastAsia"/>
                <w:b/>
                <w:bCs/>
                <w:color w:val="000000" w:themeColor="text1"/>
                <w:sz w:val="21"/>
                <w:szCs w:val="21"/>
                <w:highlight w:val="none"/>
                <w:lang w:eastAsia="zh-CN"/>
                <w14:textFill>
                  <w14:solidFill>
                    <w14:schemeClr w14:val="tx1"/>
                  </w14:solidFill>
                </w14:textFill>
              </w:rPr>
              <w:t>附</w:t>
            </w:r>
            <w:r>
              <w:rPr>
                <w:rFonts w:hint="eastAsia" w:asciiTheme="minorEastAsia" w:hAnsiTheme="minorEastAsia" w:eastAsiaTheme="minorEastAsia"/>
                <w:b/>
                <w:bCs/>
                <w:color w:val="000000" w:themeColor="text1"/>
                <w:sz w:val="21"/>
                <w:szCs w:val="21"/>
                <w:highlight w:val="none"/>
                <w:lang w:val="zh-CN" w:eastAsia="zh-CN"/>
                <w14:textFill>
                  <w14:solidFill>
                    <w14:schemeClr w14:val="tx1"/>
                  </w14:solidFill>
                </w14:textFill>
              </w:rPr>
              <w:t>反映其财务状况、依法缴纳税收和社会保障资金情况的资格条件承诺函。</w:t>
            </w:r>
          </w:p>
        </w:tc>
      </w:tr>
      <w:tr w14:paraId="40964910">
        <w:tblPrEx>
          <w:tblCellMar>
            <w:top w:w="0" w:type="dxa"/>
            <w:left w:w="108" w:type="dxa"/>
            <w:bottom w:w="0" w:type="dxa"/>
            <w:right w:w="108" w:type="dxa"/>
          </w:tblCellMar>
        </w:tblPrEx>
        <w:trPr>
          <w:trHeight w:val="1927" w:hRule="atLeast"/>
          <w:jc w:val="center"/>
        </w:trPr>
        <w:tc>
          <w:tcPr>
            <w:tcW w:w="808" w:type="dxa"/>
            <w:vMerge w:val="continue"/>
            <w:tcBorders>
              <w:left w:val="single" w:color="auto" w:sz="4" w:space="0"/>
              <w:right w:val="single" w:color="000000" w:sz="2" w:space="0"/>
            </w:tcBorders>
            <w:shd w:val="clear" w:color="000000" w:fill="FFFFFF"/>
            <w:vAlign w:val="center"/>
          </w:tcPr>
          <w:p w14:paraId="248D9923">
            <w:pPr>
              <w:keepNext w:val="0"/>
              <w:keepLines w:val="0"/>
              <w:pageBreakBefore w:val="0"/>
              <w:widowControl w:val="0"/>
              <w:kinsoku/>
              <w:wordWrap/>
              <w:overflowPunct/>
              <w:topLinePunct w:val="0"/>
              <w:autoSpaceDE w:val="0"/>
              <w:autoSpaceDN w:val="0"/>
              <w:bidi w:val="0"/>
              <w:adjustRightInd w:val="0"/>
              <w:spacing w:line="380" w:lineRule="exact"/>
              <w:jc w:val="center"/>
              <w:rPr>
                <w:highlight w:val="none"/>
                <w:lang w:val="zh-CN" w:eastAsia="zh-CN"/>
              </w:rPr>
            </w:pPr>
          </w:p>
        </w:tc>
        <w:tc>
          <w:tcPr>
            <w:tcW w:w="947" w:type="dxa"/>
            <w:vMerge w:val="continue"/>
            <w:tcBorders>
              <w:left w:val="single" w:color="000000" w:sz="2" w:space="0"/>
              <w:right w:val="single" w:color="auto" w:sz="4" w:space="0"/>
            </w:tcBorders>
            <w:shd w:val="clear" w:color="000000" w:fill="FFFFFF"/>
            <w:vAlign w:val="center"/>
          </w:tcPr>
          <w:p w14:paraId="758A8980">
            <w:pPr>
              <w:keepNext w:val="0"/>
              <w:keepLines w:val="0"/>
              <w:pageBreakBefore w:val="0"/>
              <w:widowControl w:val="0"/>
              <w:kinsoku/>
              <w:wordWrap/>
              <w:overflowPunct/>
              <w:topLinePunct w:val="0"/>
              <w:autoSpaceDE w:val="0"/>
              <w:autoSpaceDN w:val="0"/>
              <w:bidi w:val="0"/>
              <w:adjustRightInd w:val="0"/>
              <w:spacing w:line="380" w:lineRule="exact"/>
              <w:jc w:val="center"/>
              <w:rPr>
                <w:highlight w:val="none"/>
                <w:lang w:val="zh-CN" w:eastAsia="zh-CN"/>
              </w:rPr>
            </w:pPr>
          </w:p>
        </w:tc>
        <w:tc>
          <w:tcPr>
            <w:tcW w:w="1706" w:type="dxa"/>
            <w:tcBorders>
              <w:top w:val="single" w:color="auto" w:sz="4" w:space="0"/>
              <w:left w:val="single" w:color="auto" w:sz="4" w:space="0"/>
              <w:bottom w:val="single" w:color="auto" w:sz="4" w:space="0"/>
              <w:right w:val="single" w:color="auto" w:sz="4" w:space="0"/>
            </w:tcBorders>
            <w:shd w:val="clear" w:color="000000" w:fill="FFFFFF"/>
            <w:vAlign w:val="center"/>
          </w:tcPr>
          <w:p w14:paraId="6CF831A3">
            <w:pPr>
              <w:keepNext w:val="0"/>
              <w:keepLines w:val="0"/>
              <w:pageBreakBefore w:val="0"/>
              <w:widowControl w:val="0"/>
              <w:kinsoku/>
              <w:wordWrap/>
              <w:overflowPunct/>
              <w:topLinePunct w:val="0"/>
              <w:autoSpaceDE w:val="0"/>
              <w:autoSpaceDN w:val="0"/>
              <w:bidi w:val="0"/>
              <w:adjustRightInd w:val="0"/>
              <w:spacing w:line="380" w:lineRule="exact"/>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信誉要求</w:t>
            </w:r>
          </w:p>
        </w:tc>
        <w:tc>
          <w:tcPr>
            <w:tcW w:w="6477" w:type="dxa"/>
            <w:tcBorders>
              <w:top w:val="single" w:color="000000" w:sz="2" w:space="0"/>
              <w:left w:val="single" w:color="auto" w:sz="4" w:space="0"/>
              <w:bottom w:val="single" w:color="000000" w:sz="2" w:space="0"/>
              <w:right w:val="single" w:color="000000" w:sz="2" w:space="0"/>
            </w:tcBorders>
            <w:shd w:val="clear" w:color="000000" w:fill="FFFFFF"/>
            <w:vAlign w:val="center"/>
          </w:tcPr>
          <w:p w14:paraId="487E9380">
            <w:pPr>
              <w:keepNext w:val="0"/>
              <w:keepLines w:val="0"/>
              <w:pageBreakBefore w:val="0"/>
              <w:widowControl w:val="0"/>
              <w:kinsoku/>
              <w:wordWrap/>
              <w:overflowPunct/>
              <w:topLinePunct w:val="0"/>
              <w:bidi w:val="0"/>
              <w:spacing w:line="380" w:lineRule="exact"/>
              <w:jc w:val="both"/>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（1）拒绝列入政府取消投标资格记录期间的企业或个人磋商；</w:t>
            </w:r>
          </w:p>
          <w:p w14:paraId="1BDFC744">
            <w:pPr>
              <w:keepNext w:val="0"/>
              <w:keepLines w:val="0"/>
              <w:pageBreakBefore w:val="0"/>
              <w:widowControl w:val="0"/>
              <w:kinsoku/>
              <w:wordWrap/>
              <w:overflowPunct/>
              <w:topLinePunct w:val="0"/>
              <w:bidi w:val="0"/>
              <w:spacing w:line="380" w:lineRule="exact"/>
              <w:jc w:val="both"/>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（2）</w:t>
            </w:r>
            <w:r>
              <w:rPr>
                <w:rFonts w:hint="eastAsia" w:asciiTheme="minorEastAsia" w:hAnsiTheme="minorEastAsia" w:eastAsiaTheme="minorEastAsia"/>
                <w:color w:val="000000" w:themeColor="text1"/>
                <w:sz w:val="21"/>
                <w:szCs w:val="21"/>
                <w:highlight w:val="none"/>
                <w:lang w:val="zh-CN" w:eastAsia="zh-CN"/>
                <w14:textFill>
                  <w14:solidFill>
                    <w14:schemeClr w14:val="tx1"/>
                  </w14:solidFill>
                </w14:textFill>
              </w:rPr>
              <w:t>参加政府采购活动前3年内在经营活动中没有重大违法记录；</w:t>
            </w:r>
          </w:p>
          <w:p w14:paraId="445E2F1A">
            <w:pPr>
              <w:keepNext w:val="0"/>
              <w:keepLines w:val="0"/>
              <w:pageBreakBefore w:val="0"/>
              <w:widowControl w:val="0"/>
              <w:kinsoku/>
              <w:wordWrap/>
              <w:overflowPunct/>
              <w:topLinePunct w:val="0"/>
              <w:bidi w:val="0"/>
              <w:spacing w:line="380" w:lineRule="exact"/>
              <w:jc w:val="both"/>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供应商不得为“信用中国”网站（https://www.creditchina.gov.cn）中列入失信被执行人和重大税收违法失信主体；不得为中国政府采购网（http://www.ccgp.gov.cn）政府采购严重违法失信行为记录名单中被财政部门禁止参加政府采购活动的供应商（在处罚决定规定的时间和地域范围内）（详见财库[2016]125号）</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14:paraId="33BBD104">
            <w:pPr>
              <w:keepNext w:val="0"/>
              <w:keepLines w:val="0"/>
              <w:pageBreakBefore w:val="0"/>
              <w:widowControl w:val="0"/>
              <w:kinsoku/>
              <w:wordWrap/>
              <w:overflowPunct/>
              <w:topLinePunct w:val="0"/>
              <w:bidi w:val="0"/>
              <w:spacing w:line="380" w:lineRule="exact"/>
              <w:jc w:val="both"/>
              <w:rPr>
                <w:szCs w:val="21"/>
                <w:highlight w:val="none"/>
                <w:lang w:eastAsia="zh-CN"/>
              </w:rPr>
            </w:pPr>
            <w:r>
              <w:rPr>
                <w:rFonts w:hint="eastAsia" w:asciiTheme="minorEastAsia" w:hAnsiTheme="minorEastAsia" w:eastAsiaTheme="minorEastAsia"/>
                <w:b/>
                <w:bCs/>
                <w:color w:val="000000" w:themeColor="text1"/>
                <w:sz w:val="21"/>
                <w:szCs w:val="21"/>
                <w:highlight w:val="none"/>
                <w:lang w:eastAsia="zh-CN"/>
                <w14:textFill>
                  <w14:solidFill>
                    <w14:schemeClr w14:val="tx1"/>
                  </w14:solidFill>
                </w14:textFill>
              </w:rPr>
              <w:t>响应文件内（1）、（2）项附由法定代表人或其授权委托人签字并加盖公章的承诺书；（3）项附相关网站截图加盖公章。</w:t>
            </w:r>
          </w:p>
        </w:tc>
      </w:tr>
      <w:tr w14:paraId="38B2D81D">
        <w:tblPrEx>
          <w:tblCellMar>
            <w:top w:w="0" w:type="dxa"/>
            <w:left w:w="108" w:type="dxa"/>
            <w:bottom w:w="0" w:type="dxa"/>
            <w:right w:w="108" w:type="dxa"/>
          </w:tblCellMar>
        </w:tblPrEx>
        <w:trPr>
          <w:trHeight w:val="2311" w:hRule="atLeast"/>
          <w:jc w:val="center"/>
        </w:trPr>
        <w:tc>
          <w:tcPr>
            <w:tcW w:w="808" w:type="dxa"/>
            <w:vMerge w:val="continue"/>
            <w:tcBorders>
              <w:left w:val="single" w:color="auto" w:sz="4" w:space="0"/>
              <w:right w:val="single" w:color="000000" w:sz="2" w:space="0"/>
            </w:tcBorders>
            <w:shd w:val="clear" w:color="000000" w:fill="FFFFFF"/>
            <w:vAlign w:val="center"/>
          </w:tcPr>
          <w:p w14:paraId="5905BBD5">
            <w:pPr>
              <w:keepNext w:val="0"/>
              <w:keepLines w:val="0"/>
              <w:pageBreakBefore w:val="0"/>
              <w:widowControl w:val="0"/>
              <w:kinsoku/>
              <w:wordWrap/>
              <w:overflowPunct/>
              <w:topLinePunct w:val="0"/>
              <w:autoSpaceDE w:val="0"/>
              <w:autoSpaceDN w:val="0"/>
              <w:bidi w:val="0"/>
              <w:adjustRightInd w:val="0"/>
              <w:spacing w:line="380" w:lineRule="exact"/>
              <w:jc w:val="center"/>
              <w:rPr>
                <w:highlight w:val="none"/>
                <w:lang w:eastAsia="zh-CN"/>
              </w:rPr>
            </w:pPr>
          </w:p>
        </w:tc>
        <w:tc>
          <w:tcPr>
            <w:tcW w:w="947" w:type="dxa"/>
            <w:vMerge w:val="continue"/>
            <w:tcBorders>
              <w:left w:val="single" w:color="000000" w:sz="2" w:space="0"/>
              <w:right w:val="single" w:color="auto" w:sz="4" w:space="0"/>
            </w:tcBorders>
            <w:shd w:val="clear" w:color="000000" w:fill="FFFFFF"/>
            <w:vAlign w:val="center"/>
          </w:tcPr>
          <w:p w14:paraId="410A372A">
            <w:pPr>
              <w:keepNext w:val="0"/>
              <w:keepLines w:val="0"/>
              <w:pageBreakBefore w:val="0"/>
              <w:widowControl w:val="0"/>
              <w:kinsoku/>
              <w:wordWrap/>
              <w:overflowPunct/>
              <w:topLinePunct w:val="0"/>
              <w:autoSpaceDE w:val="0"/>
              <w:autoSpaceDN w:val="0"/>
              <w:bidi w:val="0"/>
              <w:adjustRightInd w:val="0"/>
              <w:spacing w:line="380" w:lineRule="exact"/>
              <w:jc w:val="center"/>
              <w:rPr>
                <w:highlight w:val="none"/>
                <w:lang w:eastAsia="zh-CN"/>
              </w:rPr>
            </w:pPr>
          </w:p>
        </w:tc>
        <w:tc>
          <w:tcPr>
            <w:tcW w:w="1706" w:type="dxa"/>
            <w:tcBorders>
              <w:top w:val="single" w:color="auto" w:sz="4" w:space="0"/>
              <w:left w:val="single" w:color="auto" w:sz="4" w:space="0"/>
              <w:bottom w:val="single" w:color="auto" w:sz="4" w:space="0"/>
              <w:right w:val="single" w:color="auto" w:sz="4" w:space="0"/>
            </w:tcBorders>
            <w:shd w:val="clear" w:color="000000" w:fill="FFFFFF"/>
            <w:vAlign w:val="center"/>
          </w:tcPr>
          <w:p w14:paraId="14D4B452">
            <w:pPr>
              <w:keepNext w:val="0"/>
              <w:keepLines w:val="0"/>
              <w:pageBreakBefore w:val="0"/>
              <w:widowControl w:val="0"/>
              <w:kinsoku/>
              <w:wordWrap/>
              <w:overflowPunct/>
              <w:topLinePunct w:val="0"/>
              <w:autoSpaceDE w:val="0"/>
              <w:autoSpaceDN w:val="0"/>
              <w:bidi w:val="0"/>
              <w:adjustRightInd w:val="0"/>
              <w:spacing w:line="380" w:lineRule="exact"/>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控股、管理关系</w:t>
            </w:r>
          </w:p>
        </w:tc>
        <w:tc>
          <w:tcPr>
            <w:tcW w:w="6477" w:type="dxa"/>
            <w:tcBorders>
              <w:top w:val="single" w:color="000000" w:sz="2" w:space="0"/>
              <w:left w:val="single" w:color="auto" w:sz="4" w:space="0"/>
              <w:bottom w:val="single" w:color="000000" w:sz="2" w:space="0"/>
              <w:right w:val="single" w:color="000000" w:sz="2" w:space="0"/>
            </w:tcBorders>
            <w:shd w:val="clear" w:color="000000" w:fill="FFFFFF"/>
            <w:vAlign w:val="center"/>
          </w:tcPr>
          <w:p w14:paraId="2615AAAF">
            <w:pPr>
              <w:keepNext w:val="0"/>
              <w:keepLines w:val="0"/>
              <w:pageBreakBefore w:val="0"/>
              <w:widowControl w:val="0"/>
              <w:kinsoku/>
              <w:wordWrap/>
              <w:overflowPunct/>
              <w:topLinePunct w:val="0"/>
              <w:autoSpaceDE w:val="0"/>
              <w:autoSpaceDN w:val="0"/>
              <w:bidi w:val="0"/>
              <w:adjustRightInd w:val="0"/>
              <w:spacing w:line="380" w:lineRule="exact"/>
              <w:jc w:val="both"/>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76F6B7F6">
            <w:pPr>
              <w:pStyle w:val="35"/>
              <w:keepNext w:val="0"/>
              <w:keepLines w:val="0"/>
              <w:pageBreakBefore w:val="0"/>
              <w:widowControl w:val="0"/>
              <w:kinsoku/>
              <w:wordWrap/>
              <w:overflowPunct/>
              <w:topLinePunct w:val="0"/>
              <w:bidi w:val="0"/>
              <w:spacing w:line="380" w:lineRule="exact"/>
              <w:rPr>
                <w:highlight w:val="none"/>
              </w:rPr>
            </w:pPr>
            <w:r>
              <w:rPr>
                <w:rFonts w:hint="eastAsia" w:asciiTheme="minorEastAsia" w:hAnsiTheme="minorEastAsia" w:eastAsiaTheme="minorEastAsia"/>
                <w:b/>
                <w:bCs/>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b/>
                <w:bCs/>
                <w:color w:val="000000" w:themeColor="text1"/>
                <w:sz w:val="21"/>
                <w:szCs w:val="21"/>
                <w:highlight w:val="none"/>
                <w:lang w:val="zh-CN"/>
                <w14:textFill>
                  <w14:solidFill>
                    <w14:schemeClr w14:val="tx1"/>
                  </w14:solidFill>
                </w14:textFill>
              </w:rPr>
              <w:t>文件内附由法定代表人或其委托代理人签字并加盖公章的承诺书。</w:t>
            </w:r>
          </w:p>
        </w:tc>
      </w:tr>
      <w:tr w14:paraId="4A6FD60D">
        <w:tblPrEx>
          <w:tblCellMar>
            <w:top w:w="0" w:type="dxa"/>
            <w:left w:w="108" w:type="dxa"/>
            <w:bottom w:w="0" w:type="dxa"/>
            <w:right w:w="108" w:type="dxa"/>
          </w:tblCellMar>
        </w:tblPrEx>
        <w:trPr>
          <w:trHeight w:val="1619" w:hRule="atLeast"/>
          <w:jc w:val="center"/>
        </w:trPr>
        <w:tc>
          <w:tcPr>
            <w:tcW w:w="808" w:type="dxa"/>
            <w:tcBorders>
              <w:left w:val="single" w:color="auto" w:sz="4" w:space="0"/>
              <w:right w:val="single" w:color="000000" w:sz="2" w:space="0"/>
            </w:tcBorders>
            <w:shd w:val="clear" w:color="000000" w:fill="FFFFFF"/>
            <w:vAlign w:val="center"/>
          </w:tcPr>
          <w:p w14:paraId="78E0A05F">
            <w:pPr>
              <w:keepNext w:val="0"/>
              <w:keepLines w:val="0"/>
              <w:pageBreakBefore w:val="0"/>
              <w:widowControl w:val="0"/>
              <w:kinsoku/>
              <w:wordWrap/>
              <w:overflowPunct/>
              <w:topLinePunct w:val="0"/>
              <w:autoSpaceDE w:val="0"/>
              <w:autoSpaceDN w:val="0"/>
              <w:bidi w:val="0"/>
              <w:adjustRightInd w:val="0"/>
              <w:spacing w:line="380" w:lineRule="exact"/>
              <w:jc w:val="center"/>
              <w:rPr>
                <w:highlight w:val="none"/>
                <w:lang w:eastAsia="zh-CN"/>
              </w:rPr>
            </w:pPr>
          </w:p>
        </w:tc>
        <w:tc>
          <w:tcPr>
            <w:tcW w:w="947" w:type="dxa"/>
            <w:tcBorders>
              <w:left w:val="single" w:color="000000" w:sz="2" w:space="0"/>
              <w:right w:val="single" w:color="auto" w:sz="4" w:space="0"/>
            </w:tcBorders>
            <w:shd w:val="clear" w:color="000000" w:fill="FFFFFF"/>
            <w:vAlign w:val="center"/>
          </w:tcPr>
          <w:p w14:paraId="53726D10">
            <w:pPr>
              <w:keepNext w:val="0"/>
              <w:keepLines w:val="0"/>
              <w:pageBreakBefore w:val="0"/>
              <w:widowControl w:val="0"/>
              <w:kinsoku/>
              <w:wordWrap/>
              <w:overflowPunct/>
              <w:topLinePunct w:val="0"/>
              <w:autoSpaceDE w:val="0"/>
              <w:autoSpaceDN w:val="0"/>
              <w:bidi w:val="0"/>
              <w:adjustRightInd w:val="0"/>
              <w:spacing w:line="380" w:lineRule="exact"/>
              <w:jc w:val="center"/>
              <w:rPr>
                <w:highlight w:val="none"/>
                <w:lang w:eastAsia="zh-CN"/>
              </w:rPr>
            </w:pPr>
          </w:p>
        </w:tc>
        <w:tc>
          <w:tcPr>
            <w:tcW w:w="1706" w:type="dxa"/>
            <w:tcBorders>
              <w:top w:val="single" w:color="auto" w:sz="4" w:space="0"/>
              <w:left w:val="single" w:color="auto" w:sz="4" w:space="0"/>
              <w:bottom w:val="single" w:color="auto" w:sz="4" w:space="0"/>
              <w:right w:val="single" w:color="auto" w:sz="4" w:space="0"/>
            </w:tcBorders>
            <w:shd w:val="clear" w:color="000000" w:fill="FFFFFF"/>
            <w:vAlign w:val="center"/>
          </w:tcPr>
          <w:p w14:paraId="46B822EF">
            <w:pPr>
              <w:widowControl/>
              <w:spacing w:line="288" w:lineRule="auto"/>
              <w:rPr>
                <w:rFonts w:hint="eastAsia" w:ascii="宋体" w:hAnsi="宋体" w:eastAsia="宋体" w:cs="宋体"/>
                <w:sz w:val="21"/>
                <w:szCs w:val="21"/>
                <w:highlight w:val="none"/>
                <w:lang w:val="zh-CN"/>
              </w:rPr>
            </w:pPr>
            <w:r>
              <w:rPr>
                <w:rFonts w:hint="eastAsia" w:asciiTheme="majorEastAsia" w:hAnsiTheme="majorEastAsia" w:eastAsiaTheme="majorEastAsia" w:cstheme="majorEastAsia"/>
                <w:b w:val="0"/>
                <w:bCs w:val="0"/>
                <w:color w:val="auto"/>
                <w:sz w:val="21"/>
                <w:szCs w:val="21"/>
                <w:highlight w:val="none"/>
                <w:lang w:eastAsia="zh-CN"/>
              </w:rPr>
              <w:t>中小企业认定</w:t>
            </w:r>
          </w:p>
        </w:tc>
        <w:tc>
          <w:tcPr>
            <w:tcW w:w="6477" w:type="dxa"/>
            <w:tcBorders>
              <w:top w:val="single" w:color="000000" w:sz="2" w:space="0"/>
              <w:left w:val="single" w:color="auto" w:sz="4" w:space="0"/>
              <w:bottom w:val="single" w:color="000000" w:sz="2" w:space="0"/>
              <w:right w:val="single" w:color="000000" w:sz="2" w:space="0"/>
            </w:tcBorders>
            <w:shd w:val="clear" w:color="000000" w:fill="FFFFFF"/>
            <w:vAlign w:val="center"/>
          </w:tcPr>
          <w:p w14:paraId="1515E6F1">
            <w:pPr>
              <w:widowControl/>
              <w:spacing w:line="288" w:lineRule="auto"/>
              <w:rPr>
                <w:rFonts w:hint="eastAsia" w:asciiTheme="minorEastAsia" w:hAnsiTheme="minorEastAsia" w:eastAsiaTheme="minorEastAsia"/>
                <w:b/>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auto"/>
                <w:sz w:val="21"/>
                <w:szCs w:val="21"/>
                <w:highlight w:val="none"/>
                <w:lang w:val="en-US" w:eastAsia="zh-CN"/>
              </w:rPr>
              <w:t>响应文件</w:t>
            </w:r>
            <w:r>
              <w:rPr>
                <w:rFonts w:hint="eastAsia" w:asciiTheme="majorEastAsia" w:hAnsiTheme="majorEastAsia" w:eastAsiaTheme="majorEastAsia" w:cstheme="majorEastAsia"/>
                <w:b w:val="0"/>
                <w:bCs w:val="0"/>
                <w:color w:val="auto"/>
                <w:sz w:val="21"/>
                <w:szCs w:val="21"/>
                <w:highlight w:val="none"/>
                <w:lang w:eastAsia="zh-CN"/>
              </w:rPr>
              <w:t>中附加盖公章的中小企业声明函；监狱企业磋商的附由省级以上监狱管理局、戒毒管理局(含新疆生产建设兵团)出具的属于监狱企业的证明文件；残疾人福利性单位在参加政府采购活动时，应当在附《残疾人福利性单位声明函》。</w:t>
            </w:r>
          </w:p>
        </w:tc>
      </w:tr>
      <w:tr w14:paraId="37294F06">
        <w:tblPrEx>
          <w:tblCellMar>
            <w:top w:w="0" w:type="dxa"/>
            <w:left w:w="108" w:type="dxa"/>
            <w:bottom w:w="0" w:type="dxa"/>
            <w:right w:w="108" w:type="dxa"/>
          </w:tblCellMar>
        </w:tblPrEx>
        <w:trPr>
          <w:trHeight w:val="444" w:hRule="atLeast"/>
          <w:jc w:val="center"/>
        </w:trPr>
        <w:tc>
          <w:tcPr>
            <w:tcW w:w="808" w:type="dxa"/>
            <w:vMerge w:val="restart"/>
            <w:tcBorders>
              <w:top w:val="single" w:color="auto" w:sz="4" w:space="0"/>
              <w:left w:val="single" w:color="auto" w:sz="4" w:space="0"/>
              <w:right w:val="single" w:color="auto" w:sz="4" w:space="0"/>
            </w:tcBorders>
            <w:shd w:val="clear" w:color="000000" w:fill="FFFFFF"/>
            <w:vAlign w:val="center"/>
          </w:tcPr>
          <w:p w14:paraId="14A659B2">
            <w:pPr>
              <w:keepNext w:val="0"/>
              <w:keepLines w:val="0"/>
              <w:pageBreakBefore w:val="0"/>
              <w:widowControl w:val="0"/>
              <w:kinsoku/>
              <w:wordWrap/>
              <w:overflowPunct/>
              <w:topLinePunct w:val="0"/>
              <w:autoSpaceDE w:val="0"/>
              <w:autoSpaceDN w:val="0"/>
              <w:bidi w:val="0"/>
              <w:adjustRightInd w:val="0"/>
              <w:spacing w:line="380" w:lineRule="exact"/>
              <w:jc w:val="center"/>
              <w:rPr>
                <w:highlight w:val="none"/>
                <w:lang w:val="zh-CN"/>
              </w:rPr>
            </w:pPr>
            <w:r>
              <w:rPr>
                <w:rFonts w:hint="eastAsia"/>
                <w:szCs w:val="21"/>
                <w:highlight w:val="none"/>
              </w:rPr>
              <w:t>2.1.2</w:t>
            </w:r>
          </w:p>
        </w:tc>
        <w:tc>
          <w:tcPr>
            <w:tcW w:w="947" w:type="dxa"/>
            <w:vMerge w:val="restart"/>
            <w:tcBorders>
              <w:top w:val="single" w:color="auto" w:sz="4" w:space="0"/>
              <w:left w:val="single" w:color="auto" w:sz="4" w:space="0"/>
              <w:right w:val="single" w:color="auto" w:sz="4" w:space="0"/>
            </w:tcBorders>
            <w:shd w:val="clear" w:color="000000" w:fill="FFFFFF"/>
            <w:vAlign w:val="center"/>
          </w:tcPr>
          <w:p w14:paraId="339EE993">
            <w:pPr>
              <w:keepNext w:val="0"/>
              <w:keepLines w:val="0"/>
              <w:pageBreakBefore w:val="0"/>
              <w:widowControl w:val="0"/>
              <w:kinsoku/>
              <w:wordWrap/>
              <w:overflowPunct/>
              <w:topLinePunct w:val="0"/>
              <w:autoSpaceDE w:val="0"/>
              <w:autoSpaceDN w:val="0"/>
              <w:bidi w:val="0"/>
              <w:adjustRightInd w:val="0"/>
              <w:spacing w:line="380" w:lineRule="exact"/>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符合性审查</w:t>
            </w:r>
          </w:p>
        </w:tc>
        <w:tc>
          <w:tcPr>
            <w:tcW w:w="8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B8AD48">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eastAsia" w:ascii="宋体" w:hAnsi="宋体" w:eastAsia="宋体" w:cs="宋体"/>
                <w:bCs/>
                <w:snapToGrid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Cs/>
                <w:snapToGrid w:val="0"/>
                <w:sz w:val="21"/>
                <w:szCs w:val="21"/>
                <w:highlight w:val="none"/>
                <w:lang w:eastAsia="zh-CN"/>
              </w:rPr>
              <w:t>供应商名称与企业法人营业执照名称一致</w:t>
            </w:r>
          </w:p>
        </w:tc>
      </w:tr>
      <w:tr w14:paraId="0568EBA5">
        <w:tblPrEx>
          <w:tblCellMar>
            <w:top w:w="0" w:type="dxa"/>
            <w:left w:w="108" w:type="dxa"/>
            <w:bottom w:w="0" w:type="dxa"/>
            <w:right w:w="108" w:type="dxa"/>
          </w:tblCellMar>
        </w:tblPrEx>
        <w:trPr>
          <w:trHeight w:val="444" w:hRule="atLeast"/>
          <w:jc w:val="center"/>
        </w:trPr>
        <w:tc>
          <w:tcPr>
            <w:tcW w:w="808" w:type="dxa"/>
            <w:vMerge w:val="continue"/>
            <w:tcBorders>
              <w:left w:val="single" w:color="auto" w:sz="4" w:space="0"/>
              <w:right w:val="single" w:color="auto" w:sz="4" w:space="0"/>
            </w:tcBorders>
            <w:shd w:val="clear" w:color="000000" w:fill="FFFFFF"/>
            <w:vAlign w:val="center"/>
          </w:tcPr>
          <w:p w14:paraId="3459FEC8">
            <w:pPr>
              <w:keepNext w:val="0"/>
              <w:keepLines w:val="0"/>
              <w:pageBreakBefore w:val="0"/>
              <w:widowControl w:val="0"/>
              <w:kinsoku/>
              <w:wordWrap/>
              <w:overflowPunct/>
              <w:topLinePunct w:val="0"/>
              <w:autoSpaceDE w:val="0"/>
              <w:autoSpaceDN w:val="0"/>
              <w:bidi w:val="0"/>
              <w:adjustRightInd w:val="0"/>
              <w:spacing w:line="380" w:lineRule="exact"/>
              <w:jc w:val="center"/>
              <w:rPr>
                <w:szCs w:val="21"/>
                <w:highlight w:val="none"/>
                <w:lang w:eastAsia="zh-CN"/>
              </w:rPr>
            </w:pPr>
          </w:p>
        </w:tc>
        <w:tc>
          <w:tcPr>
            <w:tcW w:w="947" w:type="dxa"/>
            <w:vMerge w:val="continue"/>
            <w:tcBorders>
              <w:left w:val="single" w:color="auto" w:sz="4" w:space="0"/>
              <w:right w:val="single" w:color="auto" w:sz="4" w:space="0"/>
            </w:tcBorders>
            <w:shd w:val="clear" w:color="000000" w:fill="FFFFFF"/>
            <w:vAlign w:val="center"/>
          </w:tcPr>
          <w:p w14:paraId="6B1F23EF">
            <w:pPr>
              <w:keepNext w:val="0"/>
              <w:keepLines w:val="0"/>
              <w:pageBreakBefore w:val="0"/>
              <w:widowControl w:val="0"/>
              <w:kinsoku/>
              <w:wordWrap/>
              <w:overflowPunct/>
              <w:topLinePunct w:val="0"/>
              <w:autoSpaceDE w:val="0"/>
              <w:autoSpaceDN w:val="0"/>
              <w:bidi w:val="0"/>
              <w:adjustRightInd w:val="0"/>
              <w:spacing w:line="380" w:lineRule="exact"/>
              <w:jc w:val="center"/>
              <w:rPr>
                <w:rFonts w:hint="eastAsia" w:ascii="宋体" w:hAnsi="宋体" w:eastAsia="宋体" w:cs="宋体"/>
                <w:sz w:val="21"/>
                <w:szCs w:val="21"/>
                <w:highlight w:val="none"/>
                <w:lang w:val="zh-CN" w:eastAsia="zh-CN"/>
              </w:rPr>
            </w:pPr>
          </w:p>
        </w:tc>
        <w:tc>
          <w:tcPr>
            <w:tcW w:w="8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888693">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eastAsia" w:ascii="宋体" w:hAnsi="宋体" w:eastAsia="宋体" w:cs="宋体"/>
                <w:bCs/>
                <w:snapToGrid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Cs/>
                <w:snapToGrid w:val="0"/>
                <w:sz w:val="21"/>
                <w:szCs w:val="21"/>
                <w:highlight w:val="none"/>
                <w:lang w:eastAsia="zh-CN"/>
              </w:rPr>
              <w:t>响应文件的签署及填写符合采购文件的要求</w:t>
            </w:r>
          </w:p>
        </w:tc>
      </w:tr>
      <w:tr w14:paraId="491F41AA">
        <w:tblPrEx>
          <w:tblCellMar>
            <w:top w:w="0" w:type="dxa"/>
            <w:left w:w="108" w:type="dxa"/>
            <w:bottom w:w="0" w:type="dxa"/>
            <w:right w:w="108" w:type="dxa"/>
          </w:tblCellMar>
        </w:tblPrEx>
        <w:trPr>
          <w:trHeight w:val="444" w:hRule="atLeast"/>
          <w:jc w:val="center"/>
        </w:trPr>
        <w:tc>
          <w:tcPr>
            <w:tcW w:w="808" w:type="dxa"/>
            <w:vMerge w:val="continue"/>
            <w:tcBorders>
              <w:left w:val="single" w:color="auto" w:sz="4" w:space="0"/>
              <w:right w:val="single" w:color="auto" w:sz="4" w:space="0"/>
            </w:tcBorders>
            <w:shd w:val="clear" w:color="000000" w:fill="FFFFFF"/>
            <w:vAlign w:val="center"/>
          </w:tcPr>
          <w:p w14:paraId="1DEEE1C5">
            <w:pPr>
              <w:keepNext w:val="0"/>
              <w:keepLines w:val="0"/>
              <w:pageBreakBefore w:val="0"/>
              <w:widowControl w:val="0"/>
              <w:kinsoku/>
              <w:wordWrap/>
              <w:overflowPunct/>
              <w:topLinePunct w:val="0"/>
              <w:autoSpaceDE w:val="0"/>
              <w:autoSpaceDN w:val="0"/>
              <w:bidi w:val="0"/>
              <w:adjustRightInd w:val="0"/>
              <w:spacing w:line="380" w:lineRule="exact"/>
              <w:jc w:val="center"/>
              <w:rPr>
                <w:szCs w:val="21"/>
                <w:highlight w:val="none"/>
                <w:lang w:eastAsia="zh-CN"/>
              </w:rPr>
            </w:pPr>
          </w:p>
        </w:tc>
        <w:tc>
          <w:tcPr>
            <w:tcW w:w="947" w:type="dxa"/>
            <w:vMerge w:val="continue"/>
            <w:tcBorders>
              <w:left w:val="single" w:color="auto" w:sz="4" w:space="0"/>
              <w:right w:val="single" w:color="auto" w:sz="4" w:space="0"/>
            </w:tcBorders>
            <w:shd w:val="clear" w:color="000000" w:fill="FFFFFF"/>
            <w:vAlign w:val="center"/>
          </w:tcPr>
          <w:p w14:paraId="793009F1">
            <w:pPr>
              <w:keepNext w:val="0"/>
              <w:keepLines w:val="0"/>
              <w:pageBreakBefore w:val="0"/>
              <w:widowControl w:val="0"/>
              <w:kinsoku/>
              <w:wordWrap/>
              <w:overflowPunct/>
              <w:topLinePunct w:val="0"/>
              <w:autoSpaceDE w:val="0"/>
              <w:autoSpaceDN w:val="0"/>
              <w:bidi w:val="0"/>
              <w:adjustRightInd w:val="0"/>
              <w:spacing w:line="380" w:lineRule="exact"/>
              <w:jc w:val="center"/>
              <w:rPr>
                <w:rFonts w:hint="eastAsia" w:ascii="宋体" w:hAnsi="宋体" w:eastAsia="宋体" w:cs="宋体"/>
                <w:sz w:val="21"/>
                <w:szCs w:val="21"/>
                <w:highlight w:val="none"/>
                <w:lang w:val="zh-CN" w:eastAsia="zh-CN"/>
              </w:rPr>
            </w:pPr>
          </w:p>
        </w:tc>
        <w:tc>
          <w:tcPr>
            <w:tcW w:w="8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B75027">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eastAsia" w:ascii="宋体" w:hAnsi="宋体" w:eastAsia="宋体" w:cs="宋体"/>
                <w:bCs/>
                <w:snapToGrid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Cs/>
                <w:snapToGrid w:val="0"/>
                <w:sz w:val="21"/>
                <w:szCs w:val="21"/>
                <w:highlight w:val="none"/>
                <w:lang w:eastAsia="zh-CN"/>
              </w:rPr>
              <w:t>磋商有效期满足</w:t>
            </w:r>
            <w:r>
              <w:rPr>
                <w:rFonts w:hint="eastAsia" w:cs="宋体"/>
                <w:bCs/>
                <w:snapToGrid w:val="0"/>
                <w:sz w:val="21"/>
                <w:szCs w:val="21"/>
                <w:highlight w:val="none"/>
                <w:lang w:val="en-US" w:eastAsia="zh-CN"/>
              </w:rPr>
              <w:t>磋商</w:t>
            </w:r>
            <w:r>
              <w:rPr>
                <w:rFonts w:hint="eastAsia" w:ascii="宋体" w:hAnsi="宋体" w:eastAsia="宋体" w:cs="宋体"/>
                <w:bCs/>
                <w:snapToGrid w:val="0"/>
                <w:sz w:val="21"/>
                <w:szCs w:val="21"/>
                <w:highlight w:val="none"/>
                <w:lang w:eastAsia="zh-CN"/>
              </w:rPr>
              <w:t>文件要求</w:t>
            </w:r>
          </w:p>
        </w:tc>
      </w:tr>
      <w:tr w14:paraId="3478785D">
        <w:tblPrEx>
          <w:tblCellMar>
            <w:top w:w="0" w:type="dxa"/>
            <w:left w:w="108" w:type="dxa"/>
            <w:bottom w:w="0" w:type="dxa"/>
            <w:right w:w="108" w:type="dxa"/>
          </w:tblCellMar>
        </w:tblPrEx>
        <w:trPr>
          <w:trHeight w:val="444" w:hRule="atLeast"/>
          <w:jc w:val="center"/>
        </w:trPr>
        <w:tc>
          <w:tcPr>
            <w:tcW w:w="808" w:type="dxa"/>
            <w:vMerge w:val="continue"/>
            <w:tcBorders>
              <w:left w:val="single" w:color="auto" w:sz="4" w:space="0"/>
              <w:right w:val="single" w:color="auto" w:sz="4" w:space="0"/>
            </w:tcBorders>
            <w:shd w:val="clear" w:color="000000" w:fill="FFFFFF"/>
            <w:vAlign w:val="center"/>
          </w:tcPr>
          <w:p w14:paraId="1C08422A">
            <w:pPr>
              <w:keepNext w:val="0"/>
              <w:keepLines w:val="0"/>
              <w:pageBreakBefore w:val="0"/>
              <w:widowControl w:val="0"/>
              <w:kinsoku/>
              <w:wordWrap/>
              <w:overflowPunct/>
              <w:topLinePunct w:val="0"/>
              <w:autoSpaceDE w:val="0"/>
              <w:autoSpaceDN w:val="0"/>
              <w:bidi w:val="0"/>
              <w:adjustRightInd w:val="0"/>
              <w:spacing w:line="380" w:lineRule="exact"/>
              <w:jc w:val="center"/>
              <w:rPr>
                <w:szCs w:val="21"/>
                <w:highlight w:val="none"/>
                <w:lang w:eastAsia="zh-CN"/>
              </w:rPr>
            </w:pPr>
          </w:p>
        </w:tc>
        <w:tc>
          <w:tcPr>
            <w:tcW w:w="947" w:type="dxa"/>
            <w:vMerge w:val="continue"/>
            <w:tcBorders>
              <w:left w:val="single" w:color="auto" w:sz="4" w:space="0"/>
              <w:right w:val="single" w:color="auto" w:sz="4" w:space="0"/>
            </w:tcBorders>
            <w:shd w:val="clear" w:color="000000" w:fill="FFFFFF"/>
            <w:vAlign w:val="center"/>
          </w:tcPr>
          <w:p w14:paraId="3C386F8A">
            <w:pPr>
              <w:keepNext w:val="0"/>
              <w:keepLines w:val="0"/>
              <w:pageBreakBefore w:val="0"/>
              <w:widowControl w:val="0"/>
              <w:kinsoku/>
              <w:wordWrap/>
              <w:overflowPunct/>
              <w:topLinePunct w:val="0"/>
              <w:autoSpaceDE w:val="0"/>
              <w:autoSpaceDN w:val="0"/>
              <w:bidi w:val="0"/>
              <w:adjustRightInd w:val="0"/>
              <w:spacing w:line="380" w:lineRule="exact"/>
              <w:jc w:val="center"/>
              <w:rPr>
                <w:rFonts w:hint="eastAsia" w:ascii="宋体" w:hAnsi="宋体" w:eastAsia="宋体" w:cs="宋体"/>
                <w:sz w:val="21"/>
                <w:szCs w:val="21"/>
                <w:highlight w:val="none"/>
                <w:lang w:val="zh-CN" w:eastAsia="zh-CN"/>
              </w:rPr>
            </w:pPr>
          </w:p>
        </w:tc>
        <w:tc>
          <w:tcPr>
            <w:tcW w:w="8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80A0F4">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eastAsia" w:ascii="宋体" w:hAnsi="宋体" w:eastAsia="宋体" w:cs="宋体"/>
                <w:bCs/>
                <w:snapToGrid w:val="0"/>
                <w:sz w:val="21"/>
                <w:szCs w:val="21"/>
                <w:highlight w:val="none"/>
                <w:lang w:eastAsia="zh-CN"/>
              </w:rPr>
            </w:pPr>
            <w:r>
              <w:rPr>
                <w:rFonts w:hint="eastAsia" w:ascii="宋体" w:hAnsi="宋体" w:eastAsia="宋体" w:cs="宋体"/>
                <w:sz w:val="21"/>
                <w:szCs w:val="21"/>
                <w:highlight w:val="none"/>
                <w:lang w:val="zh-CN" w:eastAsia="zh-CN"/>
              </w:rPr>
              <w:t>磋商保证金满足磋商文件要求</w:t>
            </w:r>
          </w:p>
        </w:tc>
      </w:tr>
      <w:tr w14:paraId="50219CC0">
        <w:tblPrEx>
          <w:tblCellMar>
            <w:top w:w="0" w:type="dxa"/>
            <w:left w:w="108" w:type="dxa"/>
            <w:bottom w:w="0" w:type="dxa"/>
            <w:right w:w="108" w:type="dxa"/>
          </w:tblCellMar>
        </w:tblPrEx>
        <w:trPr>
          <w:trHeight w:val="444" w:hRule="atLeast"/>
          <w:jc w:val="center"/>
        </w:trPr>
        <w:tc>
          <w:tcPr>
            <w:tcW w:w="808" w:type="dxa"/>
            <w:vMerge w:val="continue"/>
            <w:tcBorders>
              <w:left w:val="single" w:color="auto" w:sz="4" w:space="0"/>
              <w:right w:val="single" w:color="auto" w:sz="4" w:space="0"/>
            </w:tcBorders>
            <w:shd w:val="clear" w:color="000000" w:fill="FFFFFF"/>
            <w:vAlign w:val="center"/>
          </w:tcPr>
          <w:p w14:paraId="62F59247">
            <w:pPr>
              <w:keepNext w:val="0"/>
              <w:keepLines w:val="0"/>
              <w:pageBreakBefore w:val="0"/>
              <w:widowControl w:val="0"/>
              <w:kinsoku/>
              <w:wordWrap/>
              <w:overflowPunct/>
              <w:topLinePunct w:val="0"/>
              <w:autoSpaceDE w:val="0"/>
              <w:autoSpaceDN w:val="0"/>
              <w:bidi w:val="0"/>
              <w:adjustRightInd w:val="0"/>
              <w:spacing w:line="380" w:lineRule="exact"/>
              <w:jc w:val="center"/>
              <w:rPr>
                <w:szCs w:val="21"/>
                <w:highlight w:val="none"/>
                <w:lang w:eastAsia="zh-CN"/>
              </w:rPr>
            </w:pPr>
          </w:p>
        </w:tc>
        <w:tc>
          <w:tcPr>
            <w:tcW w:w="947" w:type="dxa"/>
            <w:vMerge w:val="continue"/>
            <w:tcBorders>
              <w:left w:val="single" w:color="auto" w:sz="4" w:space="0"/>
              <w:right w:val="single" w:color="auto" w:sz="4" w:space="0"/>
            </w:tcBorders>
            <w:shd w:val="clear" w:color="000000" w:fill="FFFFFF"/>
            <w:vAlign w:val="center"/>
          </w:tcPr>
          <w:p w14:paraId="01436BD5">
            <w:pPr>
              <w:keepNext w:val="0"/>
              <w:keepLines w:val="0"/>
              <w:pageBreakBefore w:val="0"/>
              <w:widowControl w:val="0"/>
              <w:kinsoku/>
              <w:wordWrap/>
              <w:overflowPunct/>
              <w:topLinePunct w:val="0"/>
              <w:autoSpaceDE w:val="0"/>
              <w:autoSpaceDN w:val="0"/>
              <w:bidi w:val="0"/>
              <w:adjustRightInd w:val="0"/>
              <w:spacing w:line="380" w:lineRule="exact"/>
              <w:jc w:val="center"/>
              <w:rPr>
                <w:rFonts w:hint="eastAsia" w:ascii="宋体" w:hAnsi="宋体" w:eastAsia="宋体" w:cs="宋体"/>
                <w:sz w:val="21"/>
                <w:szCs w:val="21"/>
                <w:highlight w:val="none"/>
                <w:lang w:val="zh-CN" w:eastAsia="zh-CN"/>
              </w:rPr>
            </w:pPr>
          </w:p>
        </w:tc>
        <w:tc>
          <w:tcPr>
            <w:tcW w:w="8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066E40">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eastAsia" w:ascii="宋体" w:hAnsi="宋体" w:eastAsia="宋体" w:cs="宋体"/>
                <w:bCs/>
                <w:snapToGrid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Cs/>
                <w:snapToGrid w:val="0"/>
                <w:sz w:val="21"/>
                <w:szCs w:val="21"/>
                <w:highlight w:val="none"/>
                <w:lang w:eastAsia="zh-CN"/>
              </w:rPr>
              <w:t>合同履行期限（交货期）满足采购文件要求</w:t>
            </w:r>
          </w:p>
        </w:tc>
      </w:tr>
      <w:tr w14:paraId="71EC669D">
        <w:tblPrEx>
          <w:tblCellMar>
            <w:top w:w="0" w:type="dxa"/>
            <w:left w:w="108" w:type="dxa"/>
            <w:bottom w:w="0" w:type="dxa"/>
            <w:right w:w="108" w:type="dxa"/>
          </w:tblCellMar>
        </w:tblPrEx>
        <w:trPr>
          <w:trHeight w:val="444" w:hRule="atLeast"/>
          <w:jc w:val="center"/>
        </w:trPr>
        <w:tc>
          <w:tcPr>
            <w:tcW w:w="808" w:type="dxa"/>
            <w:vMerge w:val="continue"/>
            <w:tcBorders>
              <w:left w:val="single" w:color="auto" w:sz="4" w:space="0"/>
              <w:right w:val="single" w:color="auto" w:sz="4" w:space="0"/>
            </w:tcBorders>
            <w:shd w:val="clear" w:color="000000" w:fill="FFFFFF"/>
            <w:vAlign w:val="center"/>
          </w:tcPr>
          <w:p w14:paraId="3743FA8A">
            <w:pPr>
              <w:keepNext w:val="0"/>
              <w:keepLines w:val="0"/>
              <w:pageBreakBefore w:val="0"/>
              <w:widowControl w:val="0"/>
              <w:kinsoku/>
              <w:wordWrap/>
              <w:overflowPunct/>
              <w:topLinePunct w:val="0"/>
              <w:autoSpaceDE w:val="0"/>
              <w:autoSpaceDN w:val="0"/>
              <w:bidi w:val="0"/>
              <w:adjustRightInd w:val="0"/>
              <w:spacing w:line="380" w:lineRule="exact"/>
              <w:jc w:val="center"/>
              <w:rPr>
                <w:szCs w:val="21"/>
                <w:highlight w:val="none"/>
                <w:lang w:eastAsia="zh-CN"/>
              </w:rPr>
            </w:pPr>
          </w:p>
        </w:tc>
        <w:tc>
          <w:tcPr>
            <w:tcW w:w="947" w:type="dxa"/>
            <w:vMerge w:val="continue"/>
            <w:tcBorders>
              <w:left w:val="single" w:color="auto" w:sz="4" w:space="0"/>
              <w:right w:val="single" w:color="auto" w:sz="4" w:space="0"/>
            </w:tcBorders>
            <w:shd w:val="clear" w:color="000000" w:fill="FFFFFF"/>
            <w:vAlign w:val="center"/>
          </w:tcPr>
          <w:p w14:paraId="247A8D42">
            <w:pPr>
              <w:keepNext w:val="0"/>
              <w:keepLines w:val="0"/>
              <w:pageBreakBefore w:val="0"/>
              <w:widowControl w:val="0"/>
              <w:kinsoku/>
              <w:wordWrap/>
              <w:overflowPunct/>
              <w:topLinePunct w:val="0"/>
              <w:autoSpaceDE w:val="0"/>
              <w:autoSpaceDN w:val="0"/>
              <w:bidi w:val="0"/>
              <w:adjustRightInd w:val="0"/>
              <w:spacing w:line="380" w:lineRule="exact"/>
              <w:jc w:val="center"/>
              <w:rPr>
                <w:rFonts w:hint="eastAsia" w:ascii="宋体" w:hAnsi="宋体" w:eastAsia="宋体" w:cs="宋体"/>
                <w:sz w:val="21"/>
                <w:szCs w:val="21"/>
                <w:highlight w:val="none"/>
                <w:lang w:val="zh-CN" w:eastAsia="zh-CN"/>
              </w:rPr>
            </w:pPr>
          </w:p>
        </w:tc>
        <w:tc>
          <w:tcPr>
            <w:tcW w:w="8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7EBC1A">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default" w:ascii="宋体" w:hAnsi="宋体" w:eastAsia="宋体" w:cs="宋体"/>
                <w:bCs/>
                <w:snapToGrid w:val="0"/>
                <w:sz w:val="21"/>
                <w:szCs w:val="21"/>
                <w:highlight w:val="none"/>
                <w:lang w:val="en-US" w:eastAsia="zh-CN"/>
              </w:rPr>
            </w:pPr>
            <w:r>
              <w:rPr>
                <w:rFonts w:hint="eastAsia" w:ascii="宋体" w:hAnsi="宋体" w:eastAsia="宋体" w:cs="宋体"/>
                <w:bCs/>
                <w:snapToGrid w:val="0"/>
                <w:sz w:val="21"/>
                <w:szCs w:val="21"/>
                <w:highlight w:val="none"/>
                <w:lang w:eastAsia="zh-CN"/>
              </w:rPr>
              <w:t>磋商内容符合磋商文</w:t>
            </w:r>
            <w:r>
              <w:rPr>
                <w:rFonts w:hint="eastAsia" w:cs="宋体"/>
                <w:bCs/>
                <w:snapToGrid w:val="0"/>
                <w:sz w:val="21"/>
                <w:szCs w:val="21"/>
                <w:highlight w:val="none"/>
                <w:lang w:val="en-US" w:eastAsia="zh-CN"/>
              </w:rPr>
              <w:t>采购需求中</w:t>
            </w:r>
            <w:r>
              <w:rPr>
                <w:rFonts w:hint="eastAsia" w:cs="宋体" w:asciiTheme="majorEastAsia" w:hAnsiTheme="majorEastAsia" w:eastAsiaTheme="majorEastAsia"/>
                <w:color w:val="000000"/>
                <w:sz w:val="21"/>
                <w:szCs w:val="21"/>
                <w:highlight w:val="none"/>
                <w:lang w:bidi="ar"/>
              </w:rPr>
              <w:t>★</w:t>
            </w:r>
            <w:r>
              <w:rPr>
                <w:rFonts w:hint="eastAsia" w:cs="宋体" w:asciiTheme="majorEastAsia" w:hAnsiTheme="majorEastAsia" w:eastAsiaTheme="majorEastAsia"/>
                <w:color w:val="000000"/>
                <w:sz w:val="21"/>
                <w:szCs w:val="21"/>
                <w:highlight w:val="none"/>
                <w:lang w:val="en-US" w:eastAsia="zh-CN" w:bidi="ar"/>
              </w:rPr>
              <w:t>条款</w:t>
            </w:r>
            <w:r>
              <w:rPr>
                <w:rFonts w:hint="eastAsia" w:cs="宋体"/>
                <w:bCs/>
                <w:snapToGrid w:val="0"/>
                <w:sz w:val="21"/>
                <w:szCs w:val="21"/>
                <w:highlight w:val="none"/>
                <w:lang w:val="en-US" w:eastAsia="zh-CN"/>
              </w:rPr>
              <w:t>的要求</w:t>
            </w:r>
          </w:p>
        </w:tc>
      </w:tr>
      <w:tr w14:paraId="2497B5D0">
        <w:tblPrEx>
          <w:tblCellMar>
            <w:top w:w="0" w:type="dxa"/>
            <w:left w:w="108" w:type="dxa"/>
            <w:bottom w:w="0" w:type="dxa"/>
            <w:right w:w="108" w:type="dxa"/>
          </w:tblCellMar>
        </w:tblPrEx>
        <w:trPr>
          <w:trHeight w:val="444" w:hRule="atLeast"/>
          <w:jc w:val="center"/>
        </w:trPr>
        <w:tc>
          <w:tcPr>
            <w:tcW w:w="808" w:type="dxa"/>
            <w:vMerge w:val="continue"/>
            <w:tcBorders>
              <w:left w:val="single" w:color="auto" w:sz="4" w:space="0"/>
              <w:right w:val="single" w:color="auto" w:sz="4" w:space="0"/>
            </w:tcBorders>
            <w:shd w:val="clear" w:color="000000" w:fill="FFFFFF"/>
            <w:vAlign w:val="center"/>
          </w:tcPr>
          <w:p w14:paraId="253A15C5">
            <w:pPr>
              <w:keepNext w:val="0"/>
              <w:keepLines w:val="0"/>
              <w:pageBreakBefore w:val="0"/>
              <w:widowControl w:val="0"/>
              <w:kinsoku/>
              <w:wordWrap/>
              <w:overflowPunct/>
              <w:topLinePunct w:val="0"/>
              <w:autoSpaceDE w:val="0"/>
              <w:autoSpaceDN w:val="0"/>
              <w:bidi w:val="0"/>
              <w:adjustRightInd w:val="0"/>
              <w:spacing w:line="380" w:lineRule="exact"/>
              <w:jc w:val="center"/>
              <w:rPr>
                <w:szCs w:val="21"/>
                <w:highlight w:val="none"/>
                <w:lang w:eastAsia="zh-CN"/>
              </w:rPr>
            </w:pPr>
          </w:p>
        </w:tc>
        <w:tc>
          <w:tcPr>
            <w:tcW w:w="947" w:type="dxa"/>
            <w:vMerge w:val="continue"/>
            <w:tcBorders>
              <w:left w:val="single" w:color="auto" w:sz="4" w:space="0"/>
              <w:right w:val="single" w:color="auto" w:sz="4" w:space="0"/>
            </w:tcBorders>
            <w:shd w:val="clear" w:color="000000" w:fill="FFFFFF"/>
            <w:vAlign w:val="center"/>
          </w:tcPr>
          <w:p w14:paraId="77850E72">
            <w:pPr>
              <w:keepNext w:val="0"/>
              <w:keepLines w:val="0"/>
              <w:pageBreakBefore w:val="0"/>
              <w:widowControl w:val="0"/>
              <w:kinsoku/>
              <w:wordWrap/>
              <w:overflowPunct/>
              <w:topLinePunct w:val="0"/>
              <w:autoSpaceDE w:val="0"/>
              <w:autoSpaceDN w:val="0"/>
              <w:bidi w:val="0"/>
              <w:adjustRightInd w:val="0"/>
              <w:spacing w:line="380" w:lineRule="exact"/>
              <w:jc w:val="center"/>
              <w:rPr>
                <w:rFonts w:hint="eastAsia" w:ascii="宋体" w:hAnsi="宋体" w:eastAsia="宋体" w:cs="宋体"/>
                <w:sz w:val="21"/>
                <w:szCs w:val="21"/>
                <w:highlight w:val="none"/>
                <w:lang w:val="zh-CN" w:eastAsia="zh-CN"/>
              </w:rPr>
            </w:pPr>
          </w:p>
        </w:tc>
        <w:tc>
          <w:tcPr>
            <w:tcW w:w="8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12AC48">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eastAsia" w:ascii="宋体" w:hAnsi="宋体" w:eastAsia="宋体" w:cs="宋体"/>
                <w:bCs/>
                <w:snapToGrid w:val="0"/>
                <w:sz w:val="21"/>
                <w:szCs w:val="21"/>
                <w:highlight w:val="none"/>
                <w:lang w:val="en-US" w:eastAsia="zh-CN"/>
              </w:rPr>
            </w:pPr>
            <w:r>
              <w:rPr>
                <w:rFonts w:hint="eastAsia" w:ascii="宋体" w:hAnsi="宋体" w:eastAsia="宋体" w:cs="宋体"/>
                <w:bCs/>
                <w:snapToGrid w:val="0"/>
                <w:sz w:val="21"/>
                <w:szCs w:val="21"/>
                <w:highlight w:val="none"/>
                <w:lang w:val="en-US" w:eastAsia="zh-CN"/>
              </w:rPr>
              <w:t>响应文件格式符合磋商文件要求</w:t>
            </w:r>
          </w:p>
        </w:tc>
      </w:tr>
      <w:tr w14:paraId="4E130E6F">
        <w:tblPrEx>
          <w:tblCellMar>
            <w:top w:w="0" w:type="dxa"/>
            <w:left w:w="108" w:type="dxa"/>
            <w:bottom w:w="0" w:type="dxa"/>
            <w:right w:w="108" w:type="dxa"/>
          </w:tblCellMar>
        </w:tblPrEx>
        <w:trPr>
          <w:trHeight w:val="444" w:hRule="atLeast"/>
          <w:jc w:val="center"/>
        </w:trPr>
        <w:tc>
          <w:tcPr>
            <w:tcW w:w="808" w:type="dxa"/>
            <w:vMerge w:val="continue"/>
            <w:tcBorders>
              <w:left w:val="single" w:color="auto" w:sz="4" w:space="0"/>
              <w:right w:val="single" w:color="auto" w:sz="4" w:space="0"/>
            </w:tcBorders>
            <w:shd w:val="clear" w:color="000000" w:fill="FFFFFF"/>
            <w:vAlign w:val="center"/>
          </w:tcPr>
          <w:p w14:paraId="7E790D26">
            <w:pPr>
              <w:keepNext w:val="0"/>
              <w:keepLines w:val="0"/>
              <w:pageBreakBefore w:val="0"/>
              <w:widowControl w:val="0"/>
              <w:kinsoku/>
              <w:wordWrap/>
              <w:overflowPunct/>
              <w:topLinePunct w:val="0"/>
              <w:autoSpaceDE w:val="0"/>
              <w:autoSpaceDN w:val="0"/>
              <w:bidi w:val="0"/>
              <w:adjustRightInd w:val="0"/>
              <w:spacing w:line="380" w:lineRule="exact"/>
              <w:jc w:val="center"/>
              <w:rPr>
                <w:szCs w:val="21"/>
                <w:highlight w:val="none"/>
                <w:lang w:eastAsia="zh-CN"/>
              </w:rPr>
            </w:pPr>
          </w:p>
        </w:tc>
        <w:tc>
          <w:tcPr>
            <w:tcW w:w="947" w:type="dxa"/>
            <w:vMerge w:val="continue"/>
            <w:tcBorders>
              <w:left w:val="single" w:color="auto" w:sz="4" w:space="0"/>
              <w:right w:val="single" w:color="auto" w:sz="4" w:space="0"/>
            </w:tcBorders>
            <w:shd w:val="clear" w:color="000000" w:fill="FFFFFF"/>
            <w:vAlign w:val="center"/>
          </w:tcPr>
          <w:p w14:paraId="2F9DD33D">
            <w:pPr>
              <w:keepNext w:val="0"/>
              <w:keepLines w:val="0"/>
              <w:pageBreakBefore w:val="0"/>
              <w:widowControl w:val="0"/>
              <w:kinsoku/>
              <w:wordWrap/>
              <w:overflowPunct/>
              <w:topLinePunct w:val="0"/>
              <w:autoSpaceDE w:val="0"/>
              <w:autoSpaceDN w:val="0"/>
              <w:bidi w:val="0"/>
              <w:adjustRightInd w:val="0"/>
              <w:spacing w:line="380" w:lineRule="exact"/>
              <w:jc w:val="center"/>
              <w:rPr>
                <w:rFonts w:hint="eastAsia" w:ascii="宋体" w:hAnsi="宋体" w:eastAsia="宋体" w:cs="宋体"/>
                <w:sz w:val="21"/>
                <w:szCs w:val="21"/>
                <w:highlight w:val="none"/>
                <w:lang w:val="zh-CN" w:eastAsia="zh-CN"/>
              </w:rPr>
            </w:pPr>
          </w:p>
        </w:tc>
        <w:tc>
          <w:tcPr>
            <w:tcW w:w="8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F93170">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eastAsia" w:ascii="宋体" w:hAnsi="宋体" w:eastAsia="宋体" w:cs="宋体"/>
                <w:bCs/>
                <w:snapToGrid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Cs/>
                <w:snapToGrid w:val="0"/>
                <w:color w:val="000000" w:themeColor="text1"/>
                <w:sz w:val="21"/>
                <w:szCs w:val="21"/>
                <w:highlight w:val="none"/>
                <w:lang w:val="zh-CN" w:eastAsia="zh-CN"/>
                <w14:textFill>
                  <w14:solidFill>
                    <w14:schemeClr w14:val="tx1"/>
                  </w14:solidFill>
                </w14:textFill>
              </w:rPr>
              <w:t>报价不超过最高限价，高于最高限价的将被否决，按废标处理。</w:t>
            </w:r>
          </w:p>
        </w:tc>
      </w:tr>
      <w:tr w14:paraId="08D96C56">
        <w:tblPrEx>
          <w:tblCellMar>
            <w:top w:w="0" w:type="dxa"/>
            <w:left w:w="108" w:type="dxa"/>
            <w:bottom w:w="0" w:type="dxa"/>
            <w:right w:w="108" w:type="dxa"/>
          </w:tblCellMar>
        </w:tblPrEx>
        <w:trPr>
          <w:trHeight w:val="444" w:hRule="atLeast"/>
          <w:jc w:val="center"/>
        </w:trPr>
        <w:tc>
          <w:tcPr>
            <w:tcW w:w="808" w:type="dxa"/>
            <w:vMerge w:val="continue"/>
            <w:tcBorders>
              <w:left w:val="single" w:color="auto" w:sz="4" w:space="0"/>
              <w:right w:val="single" w:color="auto" w:sz="4" w:space="0"/>
            </w:tcBorders>
            <w:shd w:val="clear" w:color="000000" w:fill="FFFFFF"/>
            <w:vAlign w:val="center"/>
          </w:tcPr>
          <w:p w14:paraId="73ABB41A">
            <w:pPr>
              <w:keepNext w:val="0"/>
              <w:keepLines w:val="0"/>
              <w:pageBreakBefore w:val="0"/>
              <w:widowControl w:val="0"/>
              <w:kinsoku/>
              <w:wordWrap/>
              <w:overflowPunct/>
              <w:topLinePunct w:val="0"/>
              <w:autoSpaceDE w:val="0"/>
              <w:autoSpaceDN w:val="0"/>
              <w:bidi w:val="0"/>
              <w:adjustRightInd w:val="0"/>
              <w:spacing w:line="380" w:lineRule="exact"/>
              <w:jc w:val="center"/>
              <w:rPr>
                <w:szCs w:val="21"/>
                <w:highlight w:val="none"/>
                <w:lang w:eastAsia="zh-CN"/>
              </w:rPr>
            </w:pPr>
          </w:p>
        </w:tc>
        <w:tc>
          <w:tcPr>
            <w:tcW w:w="947" w:type="dxa"/>
            <w:vMerge w:val="continue"/>
            <w:tcBorders>
              <w:left w:val="single" w:color="auto" w:sz="4" w:space="0"/>
              <w:right w:val="single" w:color="auto" w:sz="4" w:space="0"/>
            </w:tcBorders>
            <w:shd w:val="clear" w:color="000000" w:fill="FFFFFF"/>
            <w:vAlign w:val="center"/>
          </w:tcPr>
          <w:p w14:paraId="08F8D196">
            <w:pPr>
              <w:keepNext w:val="0"/>
              <w:keepLines w:val="0"/>
              <w:pageBreakBefore w:val="0"/>
              <w:widowControl w:val="0"/>
              <w:kinsoku/>
              <w:wordWrap/>
              <w:overflowPunct/>
              <w:topLinePunct w:val="0"/>
              <w:autoSpaceDE w:val="0"/>
              <w:autoSpaceDN w:val="0"/>
              <w:bidi w:val="0"/>
              <w:adjustRightInd w:val="0"/>
              <w:spacing w:line="380" w:lineRule="exact"/>
              <w:jc w:val="center"/>
              <w:rPr>
                <w:rFonts w:hint="eastAsia" w:ascii="宋体" w:hAnsi="宋体" w:eastAsia="宋体" w:cs="宋体"/>
                <w:sz w:val="21"/>
                <w:szCs w:val="21"/>
                <w:highlight w:val="none"/>
                <w:lang w:val="zh-CN" w:eastAsia="zh-CN"/>
              </w:rPr>
            </w:pPr>
          </w:p>
        </w:tc>
        <w:tc>
          <w:tcPr>
            <w:tcW w:w="8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3DDD45">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eastAsia" w:ascii="宋体" w:hAnsi="宋体" w:eastAsia="宋体" w:cs="宋体"/>
                <w:b/>
                <w:bCs w:val="0"/>
                <w:snapToGrid w:val="0"/>
                <w:sz w:val="21"/>
                <w:szCs w:val="21"/>
                <w:highlight w:val="none"/>
                <w:lang w:val="en-US" w:eastAsia="zh-CN"/>
              </w:rPr>
            </w:pPr>
            <w:r>
              <w:rPr>
                <w:rFonts w:hint="eastAsia" w:ascii="宋体" w:hAnsi="宋体" w:eastAsia="宋体" w:cs="宋体"/>
                <w:bCs/>
                <w:snapToGrid w:val="0"/>
                <w:sz w:val="21"/>
                <w:szCs w:val="21"/>
                <w:highlight w:val="none"/>
                <w:lang w:eastAsia="zh-CN"/>
              </w:rPr>
              <w:t>响应文件没有买方不能接受的条件</w:t>
            </w:r>
          </w:p>
        </w:tc>
      </w:tr>
      <w:tr w14:paraId="04D286FF">
        <w:tblPrEx>
          <w:tblCellMar>
            <w:top w:w="0" w:type="dxa"/>
            <w:left w:w="108" w:type="dxa"/>
            <w:bottom w:w="0" w:type="dxa"/>
            <w:right w:w="108" w:type="dxa"/>
          </w:tblCellMar>
        </w:tblPrEx>
        <w:trPr>
          <w:trHeight w:val="444" w:hRule="atLeast"/>
          <w:jc w:val="center"/>
        </w:trPr>
        <w:tc>
          <w:tcPr>
            <w:tcW w:w="808" w:type="dxa"/>
            <w:vMerge w:val="continue"/>
            <w:tcBorders>
              <w:left w:val="single" w:color="auto" w:sz="4" w:space="0"/>
              <w:right w:val="single" w:color="auto" w:sz="4" w:space="0"/>
            </w:tcBorders>
            <w:shd w:val="clear" w:color="000000" w:fill="FFFFFF"/>
            <w:vAlign w:val="center"/>
          </w:tcPr>
          <w:p w14:paraId="668B1FC0">
            <w:pPr>
              <w:keepNext w:val="0"/>
              <w:keepLines w:val="0"/>
              <w:pageBreakBefore w:val="0"/>
              <w:widowControl w:val="0"/>
              <w:kinsoku/>
              <w:wordWrap/>
              <w:overflowPunct/>
              <w:topLinePunct w:val="0"/>
              <w:autoSpaceDE w:val="0"/>
              <w:autoSpaceDN w:val="0"/>
              <w:bidi w:val="0"/>
              <w:adjustRightInd w:val="0"/>
              <w:spacing w:line="380" w:lineRule="exact"/>
              <w:jc w:val="center"/>
              <w:rPr>
                <w:szCs w:val="21"/>
                <w:highlight w:val="none"/>
                <w:lang w:eastAsia="zh-CN"/>
              </w:rPr>
            </w:pPr>
          </w:p>
        </w:tc>
        <w:tc>
          <w:tcPr>
            <w:tcW w:w="947" w:type="dxa"/>
            <w:vMerge w:val="continue"/>
            <w:tcBorders>
              <w:left w:val="single" w:color="auto" w:sz="4" w:space="0"/>
              <w:right w:val="single" w:color="auto" w:sz="4" w:space="0"/>
            </w:tcBorders>
            <w:shd w:val="clear" w:color="000000" w:fill="FFFFFF"/>
            <w:vAlign w:val="center"/>
          </w:tcPr>
          <w:p w14:paraId="2D5F2ED3">
            <w:pPr>
              <w:keepNext w:val="0"/>
              <w:keepLines w:val="0"/>
              <w:pageBreakBefore w:val="0"/>
              <w:widowControl w:val="0"/>
              <w:kinsoku/>
              <w:wordWrap/>
              <w:overflowPunct/>
              <w:topLinePunct w:val="0"/>
              <w:autoSpaceDE w:val="0"/>
              <w:autoSpaceDN w:val="0"/>
              <w:bidi w:val="0"/>
              <w:adjustRightInd w:val="0"/>
              <w:spacing w:line="380" w:lineRule="exact"/>
              <w:jc w:val="center"/>
              <w:rPr>
                <w:rFonts w:hint="eastAsia" w:ascii="宋体" w:hAnsi="宋体" w:eastAsia="宋体" w:cs="宋体"/>
                <w:sz w:val="21"/>
                <w:szCs w:val="21"/>
                <w:highlight w:val="none"/>
                <w:lang w:val="zh-CN" w:eastAsia="zh-CN"/>
              </w:rPr>
            </w:pPr>
          </w:p>
        </w:tc>
        <w:tc>
          <w:tcPr>
            <w:tcW w:w="8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BD17B4">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eastAsia" w:ascii="宋体" w:hAnsi="宋体" w:eastAsia="宋体" w:cs="宋体"/>
                <w:bCs/>
                <w:snapToGrid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Cs/>
                <w:snapToGrid w:val="0"/>
                <w:sz w:val="21"/>
                <w:szCs w:val="21"/>
                <w:highlight w:val="none"/>
                <w:lang w:eastAsia="zh-CN"/>
              </w:rPr>
              <w:t>响应磋商文件规定的全部实质性条款</w:t>
            </w:r>
          </w:p>
        </w:tc>
      </w:tr>
      <w:tr w14:paraId="7CD76513">
        <w:tblPrEx>
          <w:tblCellMar>
            <w:top w:w="0" w:type="dxa"/>
            <w:left w:w="108" w:type="dxa"/>
            <w:bottom w:w="0" w:type="dxa"/>
            <w:right w:w="108" w:type="dxa"/>
          </w:tblCellMar>
        </w:tblPrEx>
        <w:trPr>
          <w:trHeight w:val="444" w:hRule="atLeast"/>
          <w:jc w:val="center"/>
        </w:trPr>
        <w:tc>
          <w:tcPr>
            <w:tcW w:w="808" w:type="dxa"/>
            <w:vMerge w:val="continue"/>
            <w:tcBorders>
              <w:left w:val="single" w:color="auto" w:sz="4" w:space="0"/>
              <w:right w:val="single" w:color="auto" w:sz="4" w:space="0"/>
            </w:tcBorders>
            <w:shd w:val="clear" w:color="000000" w:fill="FFFFFF"/>
            <w:vAlign w:val="center"/>
          </w:tcPr>
          <w:p w14:paraId="308A0D72">
            <w:pPr>
              <w:keepNext w:val="0"/>
              <w:keepLines w:val="0"/>
              <w:pageBreakBefore w:val="0"/>
              <w:widowControl w:val="0"/>
              <w:kinsoku/>
              <w:wordWrap/>
              <w:overflowPunct/>
              <w:topLinePunct w:val="0"/>
              <w:autoSpaceDE w:val="0"/>
              <w:autoSpaceDN w:val="0"/>
              <w:bidi w:val="0"/>
              <w:adjustRightInd w:val="0"/>
              <w:spacing w:line="380" w:lineRule="exact"/>
              <w:jc w:val="center"/>
              <w:rPr>
                <w:szCs w:val="21"/>
                <w:highlight w:val="none"/>
                <w:lang w:eastAsia="zh-CN"/>
              </w:rPr>
            </w:pPr>
          </w:p>
        </w:tc>
        <w:tc>
          <w:tcPr>
            <w:tcW w:w="947" w:type="dxa"/>
            <w:vMerge w:val="continue"/>
            <w:tcBorders>
              <w:left w:val="single" w:color="auto" w:sz="4" w:space="0"/>
              <w:right w:val="single" w:color="auto" w:sz="4" w:space="0"/>
            </w:tcBorders>
            <w:shd w:val="clear" w:color="000000" w:fill="FFFFFF"/>
            <w:vAlign w:val="center"/>
          </w:tcPr>
          <w:p w14:paraId="528E1FCA">
            <w:pPr>
              <w:keepNext w:val="0"/>
              <w:keepLines w:val="0"/>
              <w:pageBreakBefore w:val="0"/>
              <w:widowControl w:val="0"/>
              <w:kinsoku/>
              <w:wordWrap/>
              <w:overflowPunct/>
              <w:topLinePunct w:val="0"/>
              <w:autoSpaceDE w:val="0"/>
              <w:autoSpaceDN w:val="0"/>
              <w:bidi w:val="0"/>
              <w:adjustRightInd w:val="0"/>
              <w:spacing w:line="380" w:lineRule="exact"/>
              <w:jc w:val="center"/>
              <w:rPr>
                <w:rFonts w:hint="eastAsia" w:ascii="宋体" w:hAnsi="宋体" w:eastAsia="宋体" w:cs="宋体"/>
                <w:sz w:val="21"/>
                <w:szCs w:val="21"/>
                <w:highlight w:val="none"/>
                <w:lang w:val="zh-CN" w:eastAsia="zh-CN"/>
              </w:rPr>
            </w:pPr>
          </w:p>
        </w:tc>
        <w:tc>
          <w:tcPr>
            <w:tcW w:w="8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598D20">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default" w:ascii="宋体" w:hAnsi="宋体" w:eastAsia="宋体" w:cs="宋体"/>
                <w:bCs/>
                <w:snapToGrid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snapToGrid w:val="0"/>
                <w:sz w:val="21"/>
                <w:szCs w:val="21"/>
                <w:highlight w:val="none"/>
                <w:lang w:eastAsia="zh-CN"/>
              </w:rPr>
              <w:t>供应商只有一个有效报价</w:t>
            </w:r>
          </w:p>
        </w:tc>
      </w:tr>
      <w:tr w14:paraId="7D99EF49">
        <w:tblPrEx>
          <w:tblCellMar>
            <w:top w:w="0" w:type="dxa"/>
            <w:left w:w="108" w:type="dxa"/>
            <w:bottom w:w="0" w:type="dxa"/>
            <w:right w:w="108" w:type="dxa"/>
          </w:tblCellMar>
        </w:tblPrEx>
        <w:trPr>
          <w:trHeight w:val="394" w:hRule="atLeast"/>
          <w:jc w:val="center"/>
        </w:trPr>
        <w:tc>
          <w:tcPr>
            <w:tcW w:w="808" w:type="dxa"/>
            <w:tcBorders>
              <w:left w:val="single" w:color="auto" w:sz="4" w:space="0"/>
              <w:right w:val="single" w:color="auto" w:sz="4" w:space="0"/>
            </w:tcBorders>
            <w:shd w:val="clear" w:color="000000" w:fill="FFFFFF"/>
            <w:vAlign w:val="center"/>
          </w:tcPr>
          <w:p w14:paraId="530E64E7">
            <w:pPr>
              <w:keepNext w:val="0"/>
              <w:keepLines w:val="0"/>
              <w:pageBreakBefore w:val="0"/>
              <w:widowControl w:val="0"/>
              <w:kinsoku/>
              <w:wordWrap/>
              <w:overflowPunct/>
              <w:topLinePunct w:val="0"/>
              <w:autoSpaceDE w:val="0"/>
              <w:autoSpaceDN w:val="0"/>
              <w:bidi w:val="0"/>
              <w:adjustRightInd w:val="0"/>
              <w:spacing w:line="380" w:lineRule="exact"/>
              <w:jc w:val="center"/>
              <w:rPr>
                <w:szCs w:val="21"/>
                <w:highlight w:val="none"/>
                <w:lang w:eastAsia="zh-CN"/>
              </w:rPr>
            </w:pPr>
          </w:p>
        </w:tc>
        <w:tc>
          <w:tcPr>
            <w:tcW w:w="947" w:type="dxa"/>
            <w:tcBorders>
              <w:left w:val="single" w:color="auto" w:sz="4" w:space="0"/>
              <w:right w:val="single" w:color="auto" w:sz="4" w:space="0"/>
            </w:tcBorders>
            <w:shd w:val="clear" w:color="000000" w:fill="FFFFFF"/>
            <w:vAlign w:val="center"/>
          </w:tcPr>
          <w:p w14:paraId="66E94A10">
            <w:pPr>
              <w:keepNext w:val="0"/>
              <w:keepLines w:val="0"/>
              <w:pageBreakBefore w:val="0"/>
              <w:widowControl w:val="0"/>
              <w:kinsoku/>
              <w:wordWrap/>
              <w:overflowPunct/>
              <w:topLinePunct w:val="0"/>
              <w:autoSpaceDE w:val="0"/>
              <w:autoSpaceDN w:val="0"/>
              <w:bidi w:val="0"/>
              <w:adjustRightInd w:val="0"/>
              <w:spacing w:line="380" w:lineRule="exact"/>
              <w:jc w:val="center"/>
              <w:rPr>
                <w:rFonts w:hint="eastAsia" w:ascii="宋体" w:hAnsi="宋体" w:eastAsia="宋体" w:cs="宋体"/>
                <w:sz w:val="21"/>
                <w:szCs w:val="21"/>
                <w:highlight w:val="none"/>
                <w:lang w:val="zh-CN" w:eastAsia="zh-CN"/>
              </w:rPr>
            </w:pPr>
          </w:p>
        </w:tc>
        <w:tc>
          <w:tcPr>
            <w:tcW w:w="8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EC74DF">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default" w:ascii="宋体" w:hAnsi="宋体" w:eastAsia="宋体" w:cs="宋体"/>
                <w:bCs/>
                <w:snapToGrid w:val="0"/>
                <w:sz w:val="21"/>
                <w:szCs w:val="21"/>
                <w:highlight w:val="none"/>
                <w:lang w:val="en-US" w:eastAsia="zh-CN"/>
              </w:rPr>
            </w:pPr>
            <w:r>
              <w:rPr>
                <w:rFonts w:hint="eastAsia" w:cs="宋体"/>
                <w:bCs/>
                <w:snapToGrid w:val="0"/>
                <w:sz w:val="21"/>
                <w:szCs w:val="21"/>
                <w:highlight w:val="none"/>
                <w:lang w:val="en-US" w:eastAsia="zh-CN"/>
              </w:rPr>
              <w:t>供应商报价</w:t>
            </w:r>
            <w:r>
              <w:rPr>
                <w:rFonts w:hint="default" w:ascii="宋体" w:hAnsi="宋体" w:eastAsia="宋体" w:cs="宋体"/>
                <w:bCs/>
                <w:snapToGrid w:val="0"/>
                <w:sz w:val="21"/>
                <w:szCs w:val="21"/>
                <w:highlight w:val="none"/>
                <w:lang w:val="en-US" w:eastAsia="zh-CN"/>
              </w:rPr>
              <w:t>不存在异常低价</w:t>
            </w:r>
          </w:p>
          <w:p w14:paraId="3D48160E">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default" w:ascii="宋体" w:hAnsi="宋体" w:eastAsia="宋体" w:cs="宋体"/>
                <w:bCs/>
                <w:snapToGrid w:val="0"/>
                <w:sz w:val="21"/>
                <w:szCs w:val="21"/>
                <w:highlight w:val="none"/>
                <w:lang w:val="en-US" w:eastAsia="zh-CN"/>
              </w:rPr>
            </w:pPr>
            <w:r>
              <w:rPr>
                <w:rFonts w:hint="default" w:ascii="宋体" w:hAnsi="宋体" w:eastAsia="宋体" w:cs="宋体"/>
                <w:bCs/>
                <w:snapToGrid w:val="0"/>
                <w:sz w:val="21"/>
                <w:szCs w:val="21"/>
                <w:highlight w:val="none"/>
                <w:lang w:val="en-US" w:eastAsia="zh-CN"/>
              </w:rPr>
              <w:t>《关于推动解决政府采购异常低价问题的通知》财库〔2026〕2号</w:t>
            </w:r>
          </w:p>
        </w:tc>
      </w:tr>
      <w:tr w14:paraId="25E53346">
        <w:tblPrEx>
          <w:tblCellMar>
            <w:top w:w="0" w:type="dxa"/>
            <w:left w:w="108" w:type="dxa"/>
            <w:bottom w:w="0" w:type="dxa"/>
            <w:right w:w="108" w:type="dxa"/>
          </w:tblCellMar>
        </w:tblPrEx>
        <w:trPr>
          <w:trHeight w:val="394" w:hRule="atLeast"/>
          <w:jc w:val="center"/>
        </w:trPr>
        <w:tc>
          <w:tcPr>
            <w:tcW w:w="808" w:type="dxa"/>
            <w:tcBorders>
              <w:left w:val="single" w:color="auto" w:sz="4" w:space="0"/>
              <w:right w:val="single" w:color="auto" w:sz="4" w:space="0"/>
            </w:tcBorders>
            <w:shd w:val="clear" w:color="000000" w:fill="FFFFFF"/>
            <w:vAlign w:val="center"/>
          </w:tcPr>
          <w:p w14:paraId="6F6CCC97">
            <w:pPr>
              <w:keepNext w:val="0"/>
              <w:keepLines w:val="0"/>
              <w:pageBreakBefore w:val="0"/>
              <w:widowControl w:val="0"/>
              <w:kinsoku/>
              <w:wordWrap/>
              <w:overflowPunct/>
              <w:topLinePunct w:val="0"/>
              <w:autoSpaceDE w:val="0"/>
              <w:autoSpaceDN w:val="0"/>
              <w:bidi w:val="0"/>
              <w:adjustRightInd w:val="0"/>
              <w:spacing w:line="380" w:lineRule="exact"/>
              <w:jc w:val="center"/>
              <w:rPr>
                <w:szCs w:val="21"/>
                <w:highlight w:val="none"/>
                <w:lang w:eastAsia="zh-CN"/>
              </w:rPr>
            </w:pPr>
          </w:p>
        </w:tc>
        <w:tc>
          <w:tcPr>
            <w:tcW w:w="947" w:type="dxa"/>
            <w:tcBorders>
              <w:left w:val="single" w:color="auto" w:sz="4" w:space="0"/>
              <w:right w:val="single" w:color="auto" w:sz="4" w:space="0"/>
            </w:tcBorders>
            <w:shd w:val="clear" w:color="000000" w:fill="FFFFFF"/>
            <w:vAlign w:val="center"/>
          </w:tcPr>
          <w:p w14:paraId="2D96F992">
            <w:pPr>
              <w:keepNext w:val="0"/>
              <w:keepLines w:val="0"/>
              <w:pageBreakBefore w:val="0"/>
              <w:widowControl w:val="0"/>
              <w:kinsoku/>
              <w:wordWrap/>
              <w:overflowPunct/>
              <w:topLinePunct w:val="0"/>
              <w:autoSpaceDE w:val="0"/>
              <w:autoSpaceDN w:val="0"/>
              <w:bidi w:val="0"/>
              <w:adjustRightInd w:val="0"/>
              <w:spacing w:line="380" w:lineRule="exact"/>
              <w:jc w:val="center"/>
              <w:rPr>
                <w:rFonts w:hint="eastAsia" w:ascii="宋体" w:hAnsi="宋体" w:eastAsia="宋体" w:cs="宋体"/>
                <w:sz w:val="21"/>
                <w:szCs w:val="21"/>
                <w:highlight w:val="none"/>
                <w:lang w:val="zh-CN" w:eastAsia="zh-CN"/>
              </w:rPr>
            </w:pPr>
          </w:p>
        </w:tc>
        <w:tc>
          <w:tcPr>
            <w:tcW w:w="8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7C15DA">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eastAsia" w:ascii="宋体" w:hAnsi="宋体" w:eastAsia="宋体" w:cs="宋体"/>
                <w:bCs/>
                <w:snapToGrid w:val="0"/>
                <w:sz w:val="21"/>
                <w:szCs w:val="21"/>
                <w:highlight w:val="none"/>
                <w:lang w:eastAsia="zh-CN"/>
              </w:rPr>
            </w:pPr>
            <w:r>
              <w:rPr>
                <w:rFonts w:hint="eastAsia" w:ascii="宋体" w:hAnsi="宋体" w:eastAsia="宋体" w:cs="宋体"/>
                <w:bCs/>
                <w:snapToGrid w:val="0"/>
                <w:sz w:val="21"/>
                <w:szCs w:val="21"/>
                <w:highlight w:val="none"/>
                <w:lang w:eastAsia="zh-CN"/>
              </w:rPr>
              <w:t>响应</w:t>
            </w:r>
            <w:r>
              <w:rPr>
                <w:rFonts w:hint="eastAsia" w:asciiTheme="minorEastAsia" w:hAnsiTheme="minorEastAsia" w:eastAsiaTheme="minorEastAsia"/>
                <w:bCs/>
                <w:snapToGrid w:val="0"/>
                <w:sz w:val="21"/>
                <w:szCs w:val="21"/>
                <w:highlight w:val="none"/>
                <w:lang w:val="en-US" w:eastAsia="zh-CN"/>
              </w:rPr>
              <w:t>磋商文件规定的其他内容</w:t>
            </w:r>
          </w:p>
        </w:tc>
      </w:tr>
      <w:tr w14:paraId="721F5CD1">
        <w:tblPrEx>
          <w:tblCellMar>
            <w:top w:w="0" w:type="dxa"/>
            <w:left w:w="108" w:type="dxa"/>
            <w:bottom w:w="0" w:type="dxa"/>
            <w:right w:w="108" w:type="dxa"/>
          </w:tblCellMar>
        </w:tblPrEx>
        <w:trPr>
          <w:trHeight w:val="5772" w:hRule="atLeast"/>
          <w:jc w:val="center"/>
        </w:trPr>
        <w:tc>
          <w:tcPr>
            <w:tcW w:w="808" w:type="dxa"/>
            <w:tcBorders>
              <w:left w:val="single" w:color="auto" w:sz="4" w:space="0"/>
              <w:bottom w:val="single" w:color="auto" w:sz="4" w:space="0"/>
              <w:right w:val="single" w:color="auto" w:sz="4" w:space="0"/>
            </w:tcBorders>
            <w:shd w:val="clear" w:color="000000" w:fill="FFFFFF"/>
            <w:vAlign w:val="center"/>
          </w:tcPr>
          <w:p w14:paraId="60C01F13">
            <w:pPr>
              <w:keepNext w:val="0"/>
              <w:keepLines w:val="0"/>
              <w:pageBreakBefore w:val="0"/>
              <w:widowControl w:val="0"/>
              <w:kinsoku/>
              <w:wordWrap/>
              <w:overflowPunct/>
              <w:topLinePunct w:val="0"/>
              <w:autoSpaceDE w:val="0"/>
              <w:autoSpaceDN w:val="0"/>
              <w:bidi w:val="0"/>
              <w:adjustRightInd w:val="0"/>
              <w:spacing w:line="380" w:lineRule="exact"/>
              <w:jc w:val="center"/>
              <w:rPr>
                <w:szCs w:val="21"/>
                <w:highlight w:val="none"/>
                <w:lang w:eastAsia="zh-CN"/>
              </w:rPr>
            </w:pPr>
          </w:p>
        </w:tc>
        <w:tc>
          <w:tcPr>
            <w:tcW w:w="947" w:type="dxa"/>
            <w:tcBorders>
              <w:left w:val="single" w:color="auto" w:sz="4" w:space="0"/>
              <w:bottom w:val="single" w:color="auto" w:sz="4" w:space="0"/>
              <w:right w:val="single" w:color="auto" w:sz="4" w:space="0"/>
            </w:tcBorders>
            <w:shd w:val="clear" w:color="000000" w:fill="FFFFFF"/>
            <w:vAlign w:val="center"/>
          </w:tcPr>
          <w:p w14:paraId="2D7FCAA0">
            <w:pPr>
              <w:keepNext w:val="0"/>
              <w:keepLines w:val="0"/>
              <w:pageBreakBefore w:val="0"/>
              <w:widowControl w:val="0"/>
              <w:kinsoku/>
              <w:wordWrap/>
              <w:overflowPunct/>
              <w:topLinePunct w:val="0"/>
              <w:autoSpaceDE w:val="0"/>
              <w:autoSpaceDN w:val="0"/>
              <w:bidi w:val="0"/>
              <w:adjustRightInd w:val="0"/>
              <w:spacing w:line="380" w:lineRule="exact"/>
              <w:jc w:val="center"/>
              <w:rPr>
                <w:rFonts w:hint="eastAsia" w:ascii="宋体" w:hAnsi="宋体" w:eastAsia="宋体" w:cs="宋体"/>
                <w:sz w:val="21"/>
                <w:szCs w:val="21"/>
                <w:highlight w:val="none"/>
                <w:lang w:val="zh-CN" w:eastAsia="zh-CN"/>
              </w:rPr>
            </w:pPr>
          </w:p>
        </w:tc>
        <w:tc>
          <w:tcPr>
            <w:tcW w:w="8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22A653">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eastAsia" w:ascii="宋体" w:hAnsi="宋体" w:eastAsia="宋体" w:cs="宋体"/>
                <w:bCs/>
                <w:snapToGrid w:val="0"/>
                <w:sz w:val="21"/>
                <w:szCs w:val="21"/>
                <w:highlight w:val="none"/>
                <w:lang w:eastAsia="zh-CN"/>
              </w:rPr>
            </w:pPr>
            <w:r>
              <w:rPr>
                <w:rFonts w:hint="eastAsia" w:cs="宋体"/>
                <w:bCs/>
                <w:snapToGrid w:val="0"/>
                <w:sz w:val="21"/>
                <w:szCs w:val="21"/>
                <w:highlight w:val="none"/>
                <w:lang w:eastAsia="zh-CN"/>
              </w:rPr>
              <w:t>响应文件</w:t>
            </w:r>
            <w:r>
              <w:rPr>
                <w:rFonts w:hint="eastAsia" w:ascii="宋体" w:hAnsi="宋体" w:eastAsia="宋体" w:cs="宋体"/>
                <w:bCs/>
                <w:snapToGrid w:val="0"/>
                <w:sz w:val="21"/>
                <w:szCs w:val="21"/>
                <w:highlight w:val="none"/>
                <w:lang w:eastAsia="zh-CN"/>
              </w:rPr>
              <w:t>技术标必须遵守的统一格式和规范</w:t>
            </w:r>
          </w:p>
          <w:p w14:paraId="768466E7">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eastAsia" w:ascii="宋体" w:hAnsi="宋体" w:eastAsia="宋体" w:cs="宋体"/>
                <w:bCs/>
                <w:snapToGrid w:val="0"/>
                <w:sz w:val="21"/>
                <w:szCs w:val="21"/>
                <w:highlight w:val="none"/>
                <w:lang w:eastAsia="zh-CN"/>
              </w:rPr>
            </w:pPr>
            <w:r>
              <w:rPr>
                <w:rFonts w:hint="eastAsia" w:ascii="宋体" w:hAnsi="宋体" w:eastAsia="宋体" w:cs="宋体"/>
                <w:bCs/>
                <w:snapToGrid w:val="0"/>
                <w:sz w:val="21"/>
                <w:szCs w:val="21"/>
                <w:highlight w:val="none"/>
                <w:lang w:eastAsia="zh-CN"/>
              </w:rPr>
              <w:t>技术标文件（暗标）未按以下“盲评”要求制作的，为无效投标，除下述要求外，不得因暗标格式问题认定为无效投标：</w:t>
            </w:r>
          </w:p>
          <w:p w14:paraId="02169B94">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eastAsia" w:ascii="宋体" w:hAnsi="宋体" w:eastAsia="宋体" w:cs="宋体"/>
                <w:bCs/>
                <w:snapToGrid w:val="0"/>
                <w:sz w:val="21"/>
                <w:szCs w:val="21"/>
                <w:highlight w:val="none"/>
                <w:lang w:eastAsia="zh-CN"/>
              </w:rPr>
            </w:pPr>
            <w:r>
              <w:rPr>
                <w:rFonts w:hint="eastAsia" w:ascii="宋体" w:hAnsi="宋体" w:eastAsia="宋体" w:cs="宋体"/>
                <w:bCs/>
                <w:snapToGrid w:val="0"/>
                <w:sz w:val="21"/>
                <w:szCs w:val="21"/>
                <w:highlight w:val="none"/>
                <w:lang w:eastAsia="zh-CN"/>
              </w:rPr>
              <w:t>一、版面要求：A4纸张大小；</w:t>
            </w:r>
          </w:p>
          <w:p w14:paraId="27695057">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eastAsia" w:ascii="宋体" w:hAnsi="宋体" w:eastAsia="宋体" w:cs="宋体"/>
                <w:bCs/>
                <w:snapToGrid w:val="0"/>
                <w:sz w:val="21"/>
                <w:szCs w:val="21"/>
                <w:highlight w:val="none"/>
                <w:lang w:eastAsia="zh-CN"/>
              </w:rPr>
            </w:pPr>
            <w:r>
              <w:rPr>
                <w:rFonts w:hint="eastAsia" w:ascii="宋体" w:hAnsi="宋体" w:eastAsia="宋体" w:cs="宋体"/>
                <w:bCs/>
                <w:snapToGrid w:val="0"/>
                <w:sz w:val="21"/>
                <w:szCs w:val="21"/>
                <w:highlight w:val="none"/>
                <w:lang w:eastAsia="zh-CN"/>
              </w:rPr>
              <w:t>二、颜色要求：所有文字、图、表均为黑色；</w:t>
            </w:r>
          </w:p>
          <w:p w14:paraId="2E41FE76">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eastAsia" w:ascii="宋体" w:hAnsi="宋体" w:eastAsia="宋体" w:cs="宋体"/>
                <w:bCs/>
                <w:snapToGrid w:val="0"/>
                <w:sz w:val="21"/>
                <w:szCs w:val="21"/>
                <w:highlight w:val="none"/>
                <w:lang w:eastAsia="zh-CN"/>
              </w:rPr>
            </w:pPr>
            <w:r>
              <w:rPr>
                <w:rFonts w:hint="eastAsia" w:ascii="宋体" w:hAnsi="宋体" w:eastAsia="宋体" w:cs="宋体"/>
                <w:bCs/>
                <w:snapToGrid w:val="0"/>
                <w:sz w:val="21"/>
                <w:szCs w:val="21"/>
                <w:highlight w:val="none"/>
                <w:lang w:eastAsia="zh-CN"/>
              </w:rPr>
              <w:t>三、字体要求：标题及正文部分所用文字均采用“宋体”四号“常规”字；所有字体均不得出现加粗、加色、倾斜、下划线等标记；</w:t>
            </w:r>
          </w:p>
          <w:p w14:paraId="1125598E">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eastAsia" w:ascii="宋体" w:hAnsi="宋体" w:eastAsia="宋体" w:cs="宋体"/>
                <w:bCs/>
                <w:snapToGrid w:val="0"/>
                <w:sz w:val="21"/>
                <w:szCs w:val="21"/>
                <w:highlight w:val="none"/>
                <w:lang w:eastAsia="zh-CN"/>
              </w:rPr>
            </w:pPr>
            <w:r>
              <w:rPr>
                <w:rFonts w:hint="eastAsia" w:ascii="宋体" w:hAnsi="宋体" w:eastAsia="宋体" w:cs="宋体"/>
                <w:bCs/>
                <w:snapToGrid w:val="0"/>
                <w:sz w:val="21"/>
                <w:szCs w:val="21"/>
                <w:highlight w:val="none"/>
                <w:lang w:eastAsia="zh-CN"/>
              </w:rPr>
              <w:t>四、排版要求：页边距要求上边距2.5厘米，其余均为2厘米；不得设置封面、目录；正文行间距为固定值30磅；文字内容（含正文标题、正文）统一设为左对齐，首行缩进2字符，段落前后不设置空行；不得设置页眉、页脚和页码；</w:t>
            </w:r>
          </w:p>
          <w:p w14:paraId="398990E7">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eastAsia" w:ascii="宋体" w:hAnsi="宋体" w:eastAsia="宋体" w:cs="宋体"/>
                <w:bCs/>
                <w:snapToGrid w:val="0"/>
                <w:sz w:val="21"/>
                <w:szCs w:val="21"/>
                <w:highlight w:val="none"/>
                <w:lang w:eastAsia="zh-CN"/>
              </w:rPr>
            </w:pPr>
            <w:r>
              <w:rPr>
                <w:rFonts w:hint="eastAsia" w:ascii="宋体" w:hAnsi="宋体" w:eastAsia="宋体" w:cs="宋体"/>
                <w:bCs/>
                <w:snapToGrid w:val="0"/>
                <w:sz w:val="21"/>
                <w:szCs w:val="21"/>
                <w:highlight w:val="none"/>
                <w:lang w:eastAsia="zh-CN"/>
              </w:rPr>
              <w:t>五、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0282EAA6">
            <w:pPr>
              <w:keepNext w:val="0"/>
              <w:keepLines w:val="0"/>
              <w:pageBreakBefore w:val="0"/>
              <w:widowControl w:val="0"/>
              <w:kinsoku/>
              <w:wordWrap/>
              <w:overflowPunct/>
              <w:topLinePunct w:val="0"/>
              <w:bidi w:val="0"/>
              <w:adjustRightInd w:val="0"/>
              <w:snapToGrid w:val="0"/>
              <w:spacing w:line="380" w:lineRule="exact"/>
              <w:jc w:val="both"/>
              <w:textAlignment w:val="baseline"/>
              <w:rPr>
                <w:rFonts w:hint="eastAsia" w:ascii="宋体" w:hAnsi="宋体" w:eastAsia="宋体" w:cs="宋体"/>
                <w:bCs/>
                <w:snapToGrid w:val="0"/>
                <w:sz w:val="21"/>
                <w:szCs w:val="21"/>
                <w:highlight w:val="none"/>
                <w:lang w:eastAsia="zh-CN"/>
              </w:rPr>
            </w:pPr>
            <w:r>
              <w:rPr>
                <w:rFonts w:hint="eastAsia" w:ascii="宋体" w:hAnsi="宋体" w:eastAsia="宋体" w:cs="宋体"/>
                <w:bCs/>
                <w:snapToGrid w:val="0"/>
                <w:sz w:val="21"/>
                <w:szCs w:val="21"/>
                <w:highlight w:val="none"/>
                <w:lang w:eastAsia="zh-CN"/>
              </w:rPr>
              <w:t>六、其它：除满足上述各项要求外，构成</w:t>
            </w:r>
            <w:r>
              <w:rPr>
                <w:rFonts w:hint="eastAsia" w:cs="宋体"/>
                <w:bCs/>
                <w:snapToGrid w:val="0"/>
                <w:sz w:val="21"/>
                <w:szCs w:val="21"/>
                <w:highlight w:val="none"/>
                <w:lang w:eastAsia="zh-CN"/>
              </w:rPr>
              <w:t>响应文件</w:t>
            </w:r>
            <w:r>
              <w:rPr>
                <w:rFonts w:hint="eastAsia" w:ascii="宋体" w:hAnsi="宋体" w:eastAsia="宋体" w:cs="宋体"/>
                <w:bCs/>
                <w:snapToGrid w:val="0"/>
                <w:sz w:val="21"/>
                <w:szCs w:val="21"/>
                <w:highlight w:val="none"/>
                <w:lang w:eastAsia="zh-CN"/>
              </w:rPr>
              <w:t>的“技术暗标”的正文中均不得出现供应商的名称和其它可识别供应商身份的字符、徽标、人员名称以及其他可能被辨别出供应商身份的任何标记。</w:t>
            </w:r>
          </w:p>
        </w:tc>
      </w:tr>
    </w:tbl>
    <w:p w14:paraId="5075A2D4">
      <w:pPr>
        <w:rPr>
          <w:highlight w:val="none"/>
          <w:lang w:val="zh-CN" w:eastAsia="zh-CN"/>
        </w:rPr>
      </w:pPr>
      <w:r>
        <w:rPr>
          <w:rFonts w:hint="eastAsia"/>
          <w:highlight w:val="none"/>
          <w:lang w:eastAsia="zh-CN"/>
        </w:rPr>
        <w:t>注</w:t>
      </w:r>
      <w:r>
        <w:rPr>
          <w:rFonts w:hint="eastAsia"/>
          <w:highlight w:val="none"/>
          <w:lang w:val="zh-CN" w:eastAsia="zh-CN"/>
        </w:rPr>
        <w:t>：（1）上述内容中有一项不合格，则</w:t>
      </w:r>
      <w:r>
        <w:rPr>
          <w:rFonts w:hint="eastAsia"/>
          <w:highlight w:val="none"/>
          <w:lang w:eastAsia="zh-CN"/>
        </w:rPr>
        <w:t>初步</w:t>
      </w:r>
      <w:r>
        <w:rPr>
          <w:rFonts w:hint="eastAsia"/>
          <w:highlight w:val="none"/>
          <w:lang w:val="zh-CN" w:eastAsia="zh-CN"/>
        </w:rPr>
        <w:t>评审不合格，按废标处理，不进入后期评审。</w:t>
      </w:r>
    </w:p>
    <w:p w14:paraId="5322826C">
      <w:pPr>
        <w:rPr>
          <w:highlight w:val="none"/>
          <w:lang w:val="zh-CN" w:eastAsia="zh-CN"/>
        </w:rPr>
      </w:pPr>
      <w:r>
        <w:rPr>
          <w:rFonts w:hint="eastAsia"/>
          <w:highlight w:val="none"/>
          <w:lang w:val="zh-CN" w:eastAsia="zh-CN"/>
        </w:rPr>
        <w:t>每项审查内容合格打“√”，不合格打“×”。评审结论写“合格”或“不合格”。不合格须注明原因。（2）</w:t>
      </w:r>
      <w:r>
        <w:rPr>
          <w:rFonts w:hint="eastAsia"/>
          <w:highlight w:val="none"/>
          <w:lang w:eastAsia="zh-CN"/>
        </w:rPr>
        <w:t>供应商</w:t>
      </w:r>
      <w:r>
        <w:rPr>
          <w:rFonts w:hint="eastAsia"/>
          <w:highlight w:val="none"/>
          <w:lang w:val="zh-CN" w:eastAsia="zh-CN"/>
        </w:rPr>
        <w:t>所提供的所有证件均需在有效期内且注册单位名称与</w:t>
      </w:r>
      <w:r>
        <w:rPr>
          <w:rFonts w:hint="eastAsia"/>
          <w:highlight w:val="none"/>
          <w:lang w:eastAsia="zh-CN"/>
        </w:rPr>
        <w:t>供应商</w:t>
      </w:r>
      <w:r>
        <w:rPr>
          <w:rFonts w:hint="eastAsia"/>
          <w:highlight w:val="none"/>
          <w:lang w:val="zh-CN" w:eastAsia="zh-CN"/>
        </w:rPr>
        <w:t>的名称一致，如企业名称发生变更，需</w:t>
      </w:r>
      <w:r>
        <w:rPr>
          <w:rFonts w:hint="eastAsia"/>
          <w:highlight w:val="none"/>
          <w:lang w:eastAsia="zh-CN"/>
        </w:rPr>
        <w:t>在响应文件内附</w:t>
      </w:r>
      <w:r>
        <w:rPr>
          <w:rFonts w:hint="eastAsia"/>
          <w:highlight w:val="none"/>
          <w:lang w:val="zh-CN" w:eastAsia="zh-CN"/>
        </w:rPr>
        <w:t>主管部门出具的变更证明材料。</w:t>
      </w:r>
    </w:p>
    <w:p w14:paraId="30962586">
      <w:pPr>
        <w:rPr>
          <w:rFonts w:cs="宋体-18030"/>
          <w:b/>
          <w:bCs/>
          <w:szCs w:val="21"/>
          <w:highlight w:val="none"/>
          <w:lang w:eastAsia="zh-CN"/>
        </w:rPr>
      </w:pPr>
      <w:r>
        <w:rPr>
          <w:rFonts w:hint="eastAsia" w:cs="宋体-18030"/>
          <w:b/>
          <w:bCs/>
          <w:szCs w:val="21"/>
          <w:highlight w:val="none"/>
          <w:lang w:eastAsia="zh-CN"/>
        </w:rPr>
        <w:br w:type="page"/>
      </w:r>
    </w:p>
    <w:p w14:paraId="46EB37D4">
      <w:pPr>
        <w:rPr>
          <w:highlight w:val="none"/>
          <w:lang w:eastAsia="zh-CN"/>
        </w:rPr>
      </w:pPr>
      <w:r>
        <w:rPr>
          <w:rFonts w:hint="eastAsia" w:cs="宋体-18030"/>
          <w:b/>
          <w:bCs/>
          <w:szCs w:val="21"/>
          <w:highlight w:val="none"/>
          <w:lang w:eastAsia="zh-CN"/>
        </w:rPr>
        <w:t>详细</w:t>
      </w:r>
      <w:r>
        <w:rPr>
          <w:rFonts w:hint="eastAsia" w:cs="宋体-18030"/>
          <w:b/>
          <w:bCs/>
          <w:szCs w:val="21"/>
          <w:highlight w:val="none"/>
        </w:rPr>
        <w:t>评审表</w:t>
      </w:r>
      <w:r>
        <w:rPr>
          <w:rFonts w:hint="eastAsia" w:cs="宋体-18030"/>
          <w:b/>
          <w:bCs/>
          <w:szCs w:val="21"/>
          <w:highlight w:val="none"/>
          <w:lang w:eastAsia="zh-CN"/>
        </w:rPr>
        <w:t>：</w:t>
      </w:r>
    </w:p>
    <w:tbl>
      <w:tblPr>
        <w:tblStyle w:val="37"/>
        <w:tblW w:w="103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23"/>
        <w:gridCol w:w="386"/>
        <w:gridCol w:w="831"/>
        <w:gridCol w:w="23"/>
        <w:gridCol w:w="1240"/>
        <w:gridCol w:w="6219"/>
        <w:gridCol w:w="821"/>
      </w:tblGrid>
      <w:tr w14:paraId="5BADA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854" w:type="dxa"/>
            <w:gridSpan w:val="2"/>
            <w:vAlign w:val="top"/>
          </w:tcPr>
          <w:p w14:paraId="128AE6C2">
            <w:pPr>
              <w:pStyle w:val="63"/>
              <w:keepNext w:val="0"/>
              <w:keepLines w:val="0"/>
              <w:pageBreakBefore w:val="0"/>
              <w:widowControl w:val="0"/>
              <w:wordWrap/>
              <w:overflowPunct/>
              <w:topLinePunct w:val="0"/>
              <w:autoSpaceDN w:val="0"/>
              <w:bidi w:val="0"/>
              <w:spacing w:before="154" w:line="222" w:lineRule="auto"/>
              <w:ind w:left="235"/>
              <w:rPr>
                <w:rFonts w:hint="eastAsia" w:ascii="宋体" w:hAnsi="宋体" w:eastAsia="宋体" w:cs="宋体"/>
                <w:sz w:val="22"/>
                <w:szCs w:val="22"/>
                <w:highlight w:val="none"/>
              </w:rPr>
            </w:pPr>
            <w:r>
              <w:rPr>
                <w:rFonts w:hint="eastAsia" w:ascii="宋体" w:hAnsi="宋体" w:eastAsia="宋体" w:cs="宋体"/>
                <w:spacing w:val="-6"/>
                <w:sz w:val="22"/>
                <w:szCs w:val="22"/>
                <w:highlight w:val="none"/>
                <w14:textOutline w14:w="3831" w14:cap="flat" w14:cmpd="sng">
                  <w14:solidFill>
                    <w14:srgbClr w14:val="000000"/>
                  </w14:solidFill>
                  <w14:prstDash w14:val="solid"/>
                  <w14:miter w14:val="0"/>
                </w14:textOutline>
              </w:rPr>
              <w:t>序号</w:t>
            </w:r>
          </w:p>
        </w:tc>
        <w:tc>
          <w:tcPr>
            <w:tcW w:w="1240" w:type="dxa"/>
            <w:gridSpan w:val="3"/>
            <w:vAlign w:val="top"/>
          </w:tcPr>
          <w:p w14:paraId="5902FFC7">
            <w:pPr>
              <w:pStyle w:val="63"/>
              <w:keepNext w:val="0"/>
              <w:keepLines w:val="0"/>
              <w:pageBreakBefore w:val="0"/>
              <w:widowControl w:val="0"/>
              <w:wordWrap/>
              <w:overflowPunct/>
              <w:topLinePunct w:val="0"/>
              <w:autoSpaceDN w:val="0"/>
              <w:bidi w:val="0"/>
              <w:spacing w:before="153" w:line="221" w:lineRule="auto"/>
              <w:jc w:val="center"/>
              <w:rPr>
                <w:rFonts w:hint="eastAsia" w:ascii="宋体" w:hAnsi="宋体" w:eastAsia="宋体" w:cs="宋体"/>
                <w:spacing w:val="-10"/>
                <w:sz w:val="22"/>
                <w:szCs w:val="22"/>
                <w:highlight w:val="none"/>
                <w14:textOutline w14:w="3831" w14:cap="flat" w14:cmpd="sng">
                  <w14:solidFill>
                    <w14:srgbClr w14:val="000000"/>
                  </w14:solidFill>
                  <w14:prstDash w14:val="solid"/>
                  <w14:miter w14:val="0"/>
                </w14:textOutline>
              </w:rPr>
            </w:pPr>
          </w:p>
        </w:tc>
        <w:tc>
          <w:tcPr>
            <w:tcW w:w="1240" w:type="dxa"/>
            <w:vAlign w:val="top"/>
          </w:tcPr>
          <w:p w14:paraId="04D42F9A">
            <w:pPr>
              <w:pStyle w:val="63"/>
              <w:keepNext w:val="0"/>
              <w:keepLines w:val="0"/>
              <w:pageBreakBefore w:val="0"/>
              <w:widowControl w:val="0"/>
              <w:wordWrap/>
              <w:overflowPunct/>
              <w:topLinePunct w:val="0"/>
              <w:autoSpaceDN w:val="0"/>
              <w:bidi w:val="0"/>
              <w:spacing w:before="153" w:line="221" w:lineRule="auto"/>
              <w:jc w:val="center"/>
              <w:rPr>
                <w:rFonts w:hint="eastAsia" w:ascii="宋体" w:hAnsi="宋体" w:eastAsia="宋体" w:cs="宋体"/>
                <w:sz w:val="22"/>
                <w:szCs w:val="22"/>
                <w:highlight w:val="none"/>
              </w:rPr>
            </w:pPr>
            <w:r>
              <w:rPr>
                <w:rFonts w:hint="eastAsia" w:ascii="宋体" w:hAnsi="宋体" w:eastAsia="宋体" w:cs="宋体"/>
                <w:spacing w:val="-10"/>
                <w:sz w:val="22"/>
                <w:szCs w:val="22"/>
                <w:highlight w:val="none"/>
                <w14:textOutline w14:w="3831" w14:cap="flat" w14:cmpd="sng">
                  <w14:solidFill>
                    <w14:srgbClr w14:val="000000"/>
                  </w14:solidFill>
                  <w14:prstDash w14:val="solid"/>
                  <w14:miter w14:val="0"/>
                </w14:textOutline>
              </w:rPr>
              <w:t>评审因素</w:t>
            </w:r>
          </w:p>
        </w:tc>
        <w:tc>
          <w:tcPr>
            <w:tcW w:w="6219" w:type="dxa"/>
            <w:vAlign w:val="top"/>
          </w:tcPr>
          <w:p w14:paraId="756699C8">
            <w:pPr>
              <w:pStyle w:val="63"/>
              <w:keepNext w:val="0"/>
              <w:keepLines w:val="0"/>
              <w:pageBreakBefore w:val="0"/>
              <w:widowControl w:val="0"/>
              <w:wordWrap/>
              <w:overflowPunct/>
              <w:topLinePunct w:val="0"/>
              <w:autoSpaceDN w:val="0"/>
              <w:bidi w:val="0"/>
              <w:spacing w:before="154" w:line="221" w:lineRule="auto"/>
              <w:ind w:left="1319"/>
              <w:rPr>
                <w:rFonts w:hint="eastAsia" w:ascii="宋体" w:hAnsi="宋体" w:eastAsia="宋体" w:cs="宋体"/>
                <w:sz w:val="22"/>
                <w:szCs w:val="22"/>
                <w:highlight w:val="none"/>
              </w:rPr>
            </w:pPr>
            <w:r>
              <w:rPr>
                <w:rFonts w:hint="eastAsia" w:ascii="宋体" w:hAnsi="宋体" w:eastAsia="宋体" w:cs="宋体"/>
                <w:spacing w:val="-10"/>
                <w:sz w:val="22"/>
                <w:szCs w:val="22"/>
                <w:highlight w:val="none"/>
                <w14:textOutline w14:w="3831" w14:cap="flat" w14:cmpd="sng">
                  <w14:solidFill>
                    <w14:srgbClr w14:val="000000"/>
                  </w14:solidFill>
                  <w14:prstDash w14:val="solid"/>
                  <w14:miter w14:val="0"/>
                </w14:textOutline>
              </w:rPr>
              <w:t>评分标准</w:t>
            </w:r>
          </w:p>
        </w:tc>
        <w:tc>
          <w:tcPr>
            <w:tcW w:w="821" w:type="dxa"/>
            <w:vAlign w:val="top"/>
          </w:tcPr>
          <w:p w14:paraId="4A431587">
            <w:pPr>
              <w:pStyle w:val="63"/>
              <w:keepNext w:val="0"/>
              <w:keepLines w:val="0"/>
              <w:pageBreakBefore w:val="0"/>
              <w:widowControl w:val="0"/>
              <w:wordWrap/>
              <w:overflowPunct/>
              <w:topLinePunct w:val="0"/>
              <w:autoSpaceDN w:val="0"/>
              <w:bidi w:val="0"/>
              <w:spacing w:before="153" w:line="221" w:lineRule="auto"/>
              <w:ind w:left="240"/>
              <w:rPr>
                <w:rFonts w:hint="eastAsia" w:ascii="宋体" w:hAnsi="宋体" w:eastAsia="宋体" w:cs="宋体"/>
                <w:sz w:val="21"/>
                <w:szCs w:val="21"/>
                <w:highlight w:val="none"/>
              </w:rPr>
            </w:pPr>
            <w:r>
              <w:rPr>
                <w:rFonts w:hint="eastAsia" w:ascii="宋体" w:hAnsi="宋体" w:eastAsia="宋体" w:cs="宋体"/>
                <w:spacing w:val="-7"/>
                <w:sz w:val="21"/>
                <w:szCs w:val="21"/>
                <w:highlight w:val="none"/>
                <w14:textOutline w14:w="3831" w14:cap="flat" w14:cmpd="sng">
                  <w14:solidFill>
                    <w14:srgbClr w14:val="000000"/>
                  </w14:solidFill>
                  <w14:prstDash w14:val="solid"/>
                  <w14:miter w14:val="0"/>
                </w14:textOutline>
              </w:rPr>
              <w:t>分值</w:t>
            </w:r>
          </w:p>
        </w:tc>
      </w:tr>
      <w:tr w14:paraId="62B0C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240" w:type="dxa"/>
            <w:gridSpan w:val="3"/>
            <w:vAlign w:val="top"/>
          </w:tcPr>
          <w:p w14:paraId="2F60E521">
            <w:pPr>
              <w:pStyle w:val="63"/>
              <w:keepNext w:val="0"/>
              <w:keepLines w:val="0"/>
              <w:pageBreakBefore w:val="0"/>
              <w:widowControl w:val="0"/>
              <w:wordWrap/>
              <w:overflowPunct/>
              <w:topLinePunct w:val="0"/>
              <w:autoSpaceDN w:val="0"/>
              <w:bidi w:val="0"/>
              <w:spacing w:before="149" w:line="219" w:lineRule="auto"/>
              <w:ind w:left="119"/>
              <w:rPr>
                <w:rFonts w:hint="eastAsia" w:ascii="宋体" w:hAnsi="宋体" w:eastAsia="宋体" w:cs="宋体"/>
                <w:spacing w:val="-13"/>
                <w:sz w:val="22"/>
                <w:szCs w:val="22"/>
                <w:highlight w:val="none"/>
                <w14:textOutline w14:w="3831" w14:cap="flat" w14:cmpd="sng">
                  <w14:solidFill>
                    <w14:srgbClr w14:val="000000"/>
                  </w14:solidFill>
                  <w14:prstDash w14:val="solid"/>
                  <w14:miter w14:val="0"/>
                </w14:textOutline>
              </w:rPr>
            </w:pPr>
          </w:p>
        </w:tc>
        <w:tc>
          <w:tcPr>
            <w:tcW w:w="9134" w:type="dxa"/>
            <w:gridSpan w:val="5"/>
            <w:vAlign w:val="top"/>
          </w:tcPr>
          <w:p w14:paraId="5971DF26">
            <w:pPr>
              <w:pStyle w:val="63"/>
              <w:keepNext w:val="0"/>
              <w:keepLines w:val="0"/>
              <w:pageBreakBefore w:val="0"/>
              <w:widowControl w:val="0"/>
              <w:wordWrap/>
              <w:overflowPunct/>
              <w:topLinePunct w:val="0"/>
              <w:autoSpaceDN w:val="0"/>
              <w:bidi w:val="0"/>
              <w:spacing w:before="149" w:line="219" w:lineRule="auto"/>
              <w:ind w:left="119"/>
              <w:rPr>
                <w:rFonts w:hint="eastAsia" w:ascii="宋体" w:hAnsi="宋体" w:eastAsia="宋体" w:cs="宋体"/>
                <w:spacing w:val="-13"/>
                <w:sz w:val="22"/>
                <w:szCs w:val="22"/>
                <w:highlight w:val="none"/>
                <w14:textOutline w14:w="3831" w14:cap="flat" w14:cmpd="sng">
                  <w14:solidFill>
                    <w14:srgbClr w14:val="000000"/>
                  </w14:solidFill>
                  <w14:prstDash w14:val="solid"/>
                  <w14:miter w14:val="0"/>
                </w14:textOutline>
              </w:rPr>
            </w:pPr>
            <w:r>
              <w:rPr>
                <w:rFonts w:hint="eastAsia" w:ascii="宋体" w:hAnsi="宋体" w:eastAsia="宋体" w:cs="宋体"/>
                <w:spacing w:val="-13"/>
                <w:sz w:val="22"/>
                <w:szCs w:val="22"/>
                <w:highlight w:val="none"/>
                <w14:textOutline w14:w="3831" w14:cap="flat" w14:cmpd="sng">
                  <w14:solidFill>
                    <w14:srgbClr w14:val="000000"/>
                  </w14:solidFill>
                  <w14:prstDash w14:val="solid"/>
                  <w14:miter w14:val="0"/>
                </w14:textOutline>
              </w:rPr>
              <w:t>（一）价格评分（</w:t>
            </w:r>
            <w:r>
              <w:rPr>
                <w:rFonts w:hint="eastAsia" w:ascii="宋体" w:hAnsi="宋体" w:eastAsia="宋体" w:cs="宋体"/>
                <w:spacing w:val="-13"/>
                <w:sz w:val="22"/>
                <w:szCs w:val="22"/>
                <w:highlight w:val="none"/>
                <w:lang w:val="en-US" w:eastAsia="zh-CN"/>
                <w14:textOutline w14:w="3831" w14:cap="flat" w14:cmpd="sng">
                  <w14:solidFill>
                    <w14:srgbClr w14:val="000000"/>
                  </w14:solidFill>
                  <w14:prstDash w14:val="solid"/>
                  <w14:miter w14:val="0"/>
                </w14:textOutline>
              </w:rPr>
              <w:t>3</w:t>
            </w:r>
            <w:r>
              <w:rPr>
                <w:rFonts w:hint="eastAsia" w:ascii="宋体" w:hAnsi="宋体" w:eastAsia="宋体" w:cs="宋体"/>
                <w:spacing w:val="-13"/>
                <w:sz w:val="22"/>
                <w:szCs w:val="22"/>
                <w:highlight w:val="none"/>
                <w14:textOutline w14:w="3831" w14:cap="flat" w14:cmpd="sng">
                  <w14:solidFill>
                    <w14:srgbClr w14:val="000000"/>
                  </w14:solidFill>
                  <w14:prstDash w14:val="solid"/>
                  <w14:miter w14:val="0"/>
                </w14:textOutline>
              </w:rPr>
              <w:t>0.00</w:t>
            </w:r>
            <w:r>
              <w:rPr>
                <w:rFonts w:hint="eastAsia" w:ascii="宋体" w:hAnsi="宋体" w:eastAsia="宋体" w:cs="宋体"/>
                <w:spacing w:val="-56"/>
                <w:sz w:val="22"/>
                <w:szCs w:val="22"/>
                <w:highlight w:val="none"/>
              </w:rPr>
              <w:t xml:space="preserve"> </w:t>
            </w:r>
            <w:r>
              <w:rPr>
                <w:rFonts w:hint="eastAsia" w:ascii="宋体" w:hAnsi="宋体" w:eastAsia="宋体" w:cs="宋体"/>
                <w:spacing w:val="-13"/>
                <w:sz w:val="22"/>
                <w:szCs w:val="22"/>
                <w:highlight w:val="none"/>
                <w14:textOutline w14:w="3831" w14:cap="flat" w14:cmpd="sng">
                  <w14:solidFill>
                    <w14:srgbClr w14:val="000000"/>
                  </w14:solidFill>
                  <w14:prstDash w14:val="solid"/>
                  <w14:miter w14:val="0"/>
                </w14:textOutline>
              </w:rPr>
              <w:t>分）</w:t>
            </w:r>
          </w:p>
        </w:tc>
      </w:tr>
      <w:tr w14:paraId="7C9D0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54" w:type="dxa"/>
            <w:gridSpan w:val="2"/>
            <w:vAlign w:val="top"/>
          </w:tcPr>
          <w:p w14:paraId="7393EE3C">
            <w:pPr>
              <w:pStyle w:val="63"/>
              <w:keepNext w:val="0"/>
              <w:keepLines w:val="0"/>
              <w:pageBreakBefore w:val="0"/>
              <w:widowControl w:val="0"/>
              <w:wordWrap/>
              <w:overflowPunct/>
              <w:topLinePunct w:val="0"/>
              <w:autoSpaceDN w:val="0"/>
              <w:bidi w:val="0"/>
              <w:spacing w:before="186" w:line="183" w:lineRule="auto"/>
              <w:ind w:left="397"/>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240" w:type="dxa"/>
            <w:gridSpan w:val="3"/>
            <w:vAlign w:val="top"/>
          </w:tcPr>
          <w:p w14:paraId="7420EEB5">
            <w:pPr>
              <w:pStyle w:val="63"/>
              <w:keepNext w:val="0"/>
              <w:keepLines w:val="0"/>
              <w:pageBreakBefore w:val="0"/>
              <w:widowControl w:val="0"/>
              <w:wordWrap/>
              <w:overflowPunct/>
              <w:topLinePunct w:val="0"/>
              <w:autoSpaceDN w:val="0"/>
              <w:bidi w:val="0"/>
              <w:spacing w:before="152" w:line="219" w:lineRule="auto"/>
              <w:ind w:left="470"/>
              <w:rPr>
                <w:rFonts w:hint="eastAsia" w:ascii="宋体" w:hAnsi="宋体" w:eastAsia="宋体" w:cs="宋体"/>
                <w:spacing w:val="-11"/>
                <w:sz w:val="22"/>
                <w:szCs w:val="22"/>
                <w:highlight w:val="none"/>
              </w:rPr>
            </w:pPr>
          </w:p>
        </w:tc>
        <w:tc>
          <w:tcPr>
            <w:tcW w:w="1240" w:type="dxa"/>
            <w:vAlign w:val="top"/>
          </w:tcPr>
          <w:p w14:paraId="2462F328">
            <w:pPr>
              <w:pStyle w:val="63"/>
              <w:keepNext w:val="0"/>
              <w:keepLines w:val="0"/>
              <w:pageBreakBefore w:val="0"/>
              <w:widowControl w:val="0"/>
              <w:wordWrap/>
              <w:overflowPunct/>
              <w:topLinePunct w:val="0"/>
              <w:autoSpaceDN w:val="0"/>
              <w:bidi w:val="0"/>
              <w:spacing w:before="152" w:line="219" w:lineRule="auto"/>
              <w:jc w:val="center"/>
              <w:rPr>
                <w:rFonts w:hint="eastAsia" w:ascii="宋体" w:hAnsi="宋体" w:eastAsia="宋体" w:cs="宋体"/>
                <w:sz w:val="22"/>
                <w:szCs w:val="22"/>
                <w:highlight w:val="none"/>
              </w:rPr>
            </w:pPr>
            <w:r>
              <w:rPr>
                <w:rFonts w:hint="eastAsia" w:ascii="宋体" w:hAnsi="宋体" w:eastAsia="宋体" w:cs="宋体"/>
                <w:spacing w:val="-11"/>
                <w:sz w:val="22"/>
                <w:szCs w:val="22"/>
                <w:highlight w:val="none"/>
              </w:rPr>
              <w:t>价格评分</w:t>
            </w:r>
          </w:p>
        </w:tc>
        <w:tc>
          <w:tcPr>
            <w:tcW w:w="6219" w:type="dxa"/>
            <w:vAlign w:val="top"/>
          </w:tcPr>
          <w:p w14:paraId="24C65DA8">
            <w:pPr>
              <w:pStyle w:val="63"/>
              <w:keepNext w:val="0"/>
              <w:keepLines w:val="0"/>
              <w:pageBreakBefore w:val="0"/>
              <w:widowControl w:val="0"/>
              <w:wordWrap/>
              <w:overflowPunct/>
              <w:topLinePunct w:val="0"/>
              <w:autoSpaceDN w:val="0"/>
              <w:bidi w:val="0"/>
              <w:spacing w:before="152" w:line="220" w:lineRule="auto"/>
              <w:ind w:left="115"/>
              <w:rPr>
                <w:rFonts w:hint="eastAsia" w:ascii="宋体" w:hAnsi="宋体" w:eastAsia="宋体" w:cs="宋体"/>
                <w:sz w:val="22"/>
                <w:szCs w:val="22"/>
                <w:highlight w:val="none"/>
              </w:rPr>
            </w:pPr>
            <w:r>
              <w:rPr>
                <w:rFonts w:hint="eastAsia" w:ascii="宋体" w:hAnsi="宋体" w:eastAsia="宋体" w:cs="宋体"/>
                <w:color w:val="000000" w:themeColor="text1"/>
                <w:sz w:val="22"/>
                <w:szCs w:val="22"/>
                <w:highlight w:val="none"/>
                <w:lang w:val="zh-CN" w:eastAsia="zh-CN"/>
                <w14:textFill>
                  <w14:solidFill>
                    <w14:schemeClr w14:val="tx1"/>
                  </w14:solidFill>
                </w14:textFill>
              </w:rPr>
              <w:t>价格分统一采用低价优先法计算，即满足磋商文件要求且最后报价最低的供应商的价格为磋商基准价，其价格分为满分。</w:t>
            </w:r>
          </w:p>
        </w:tc>
        <w:tc>
          <w:tcPr>
            <w:tcW w:w="821" w:type="dxa"/>
            <w:vAlign w:val="top"/>
          </w:tcPr>
          <w:p w14:paraId="594FDDE2">
            <w:pPr>
              <w:pStyle w:val="63"/>
              <w:keepNext w:val="0"/>
              <w:keepLines w:val="0"/>
              <w:pageBreakBefore w:val="0"/>
              <w:widowControl w:val="0"/>
              <w:wordWrap/>
              <w:overflowPunct/>
              <w:topLinePunct w:val="0"/>
              <w:autoSpaceDN w:val="0"/>
              <w:bidi w:val="0"/>
              <w:spacing w:before="187" w:line="182" w:lineRule="auto"/>
              <w:ind w:left="239"/>
              <w:rPr>
                <w:rFonts w:hint="eastAsia" w:ascii="宋体" w:hAnsi="宋体" w:eastAsia="宋体" w:cs="宋体"/>
                <w:sz w:val="21"/>
                <w:szCs w:val="21"/>
                <w:highlight w:val="none"/>
              </w:rPr>
            </w:pPr>
            <w:r>
              <w:rPr>
                <w:rFonts w:hint="eastAsia" w:ascii="宋体" w:hAnsi="宋体" w:eastAsia="宋体" w:cs="宋体"/>
                <w:spacing w:val="-6"/>
                <w:sz w:val="21"/>
                <w:szCs w:val="21"/>
                <w:highlight w:val="none"/>
                <w:lang w:val="en-US" w:eastAsia="zh-CN"/>
              </w:rPr>
              <w:t>3</w:t>
            </w:r>
            <w:r>
              <w:rPr>
                <w:rFonts w:hint="eastAsia" w:ascii="宋体" w:hAnsi="宋体" w:eastAsia="宋体" w:cs="宋体"/>
                <w:spacing w:val="-6"/>
                <w:sz w:val="21"/>
                <w:szCs w:val="21"/>
                <w:highlight w:val="none"/>
              </w:rPr>
              <w:t>0.0</w:t>
            </w:r>
          </w:p>
        </w:tc>
      </w:tr>
      <w:tr w14:paraId="18C6E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40" w:type="dxa"/>
            <w:gridSpan w:val="3"/>
            <w:vAlign w:val="top"/>
          </w:tcPr>
          <w:p w14:paraId="6B9E5E15">
            <w:pPr>
              <w:pStyle w:val="63"/>
              <w:keepNext w:val="0"/>
              <w:keepLines w:val="0"/>
              <w:pageBreakBefore w:val="0"/>
              <w:widowControl w:val="0"/>
              <w:wordWrap/>
              <w:overflowPunct/>
              <w:topLinePunct w:val="0"/>
              <w:autoSpaceDN w:val="0"/>
              <w:bidi w:val="0"/>
              <w:spacing w:before="151" w:line="221" w:lineRule="auto"/>
              <w:ind w:left="119"/>
              <w:rPr>
                <w:rFonts w:hint="eastAsia" w:ascii="宋体" w:hAnsi="宋体" w:eastAsia="宋体" w:cs="宋体"/>
                <w:spacing w:val="-7"/>
                <w:sz w:val="22"/>
                <w:szCs w:val="22"/>
                <w:highlight w:val="none"/>
                <w14:textOutline w14:w="3831" w14:cap="flat" w14:cmpd="sng">
                  <w14:solidFill>
                    <w14:srgbClr w14:val="000000"/>
                  </w14:solidFill>
                  <w14:prstDash w14:val="solid"/>
                  <w14:miter w14:val="0"/>
                </w14:textOutline>
              </w:rPr>
            </w:pPr>
          </w:p>
        </w:tc>
        <w:tc>
          <w:tcPr>
            <w:tcW w:w="9134" w:type="dxa"/>
            <w:gridSpan w:val="5"/>
            <w:vAlign w:val="top"/>
          </w:tcPr>
          <w:p w14:paraId="3C01443C">
            <w:pPr>
              <w:pStyle w:val="63"/>
              <w:keepNext w:val="0"/>
              <w:keepLines w:val="0"/>
              <w:pageBreakBefore w:val="0"/>
              <w:widowControl w:val="0"/>
              <w:wordWrap/>
              <w:overflowPunct/>
              <w:topLinePunct w:val="0"/>
              <w:autoSpaceDN w:val="0"/>
              <w:bidi w:val="0"/>
              <w:spacing w:before="151" w:line="221" w:lineRule="auto"/>
              <w:ind w:left="119"/>
              <w:rPr>
                <w:rFonts w:hint="eastAsia" w:ascii="宋体" w:hAnsi="宋体" w:eastAsia="宋体" w:cs="宋体"/>
                <w:spacing w:val="-7"/>
                <w:sz w:val="22"/>
                <w:szCs w:val="22"/>
                <w:highlight w:val="none"/>
                <w14:textOutline w14:w="3831" w14:cap="flat" w14:cmpd="sng">
                  <w14:solidFill>
                    <w14:srgbClr w14:val="000000"/>
                  </w14:solidFill>
                  <w14:prstDash w14:val="solid"/>
                  <w14:miter w14:val="0"/>
                </w14:textOutline>
              </w:rPr>
            </w:pPr>
            <w:r>
              <w:rPr>
                <w:rFonts w:hint="eastAsia" w:ascii="宋体" w:hAnsi="宋体" w:eastAsia="宋体" w:cs="宋体"/>
                <w:spacing w:val="-7"/>
                <w:sz w:val="22"/>
                <w:szCs w:val="22"/>
                <w:highlight w:val="none"/>
                <w14:textOutline w14:w="3831" w14:cap="flat" w14:cmpd="sng">
                  <w14:solidFill>
                    <w14:srgbClr w14:val="000000"/>
                  </w14:solidFill>
                  <w14:prstDash w14:val="solid"/>
                  <w14:miter w14:val="0"/>
                </w14:textOutline>
              </w:rPr>
              <w:t>（二）技术评分（</w:t>
            </w:r>
            <w:r>
              <w:rPr>
                <w:rFonts w:hint="eastAsia" w:ascii="宋体" w:hAnsi="宋体" w:eastAsia="宋体" w:cs="宋体"/>
                <w:spacing w:val="-7"/>
                <w:sz w:val="22"/>
                <w:szCs w:val="22"/>
                <w:highlight w:val="none"/>
                <w:lang w:val="en-US" w:eastAsia="zh-CN"/>
                <w14:textOutline w14:w="3831" w14:cap="flat" w14:cmpd="sng">
                  <w14:solidFill>
                    <w14:srgbClr w14:val="000000"/>
                  </w14:solidFill>
                  <w14:prstDash w14:val="solid"/>
                  <w14:miter w14:val="0"/>
                </w14:textOutline>
              </w:rPr>
              <w:t>45</w:t>
            </w:r>
            <w:r>
              <w:rPr>
                <w:rFonts w:hint="eastAsia" w:ascii="宋体" w:hAnsi="宋体" w:eastAsia="宋体" w:cs="宋体"/>
                <w:spacing w:val="-7"/>
                <w:sz w:val="22"/>
                <w:szCs w:val="22"/>
                <w:highlight w:val="none"/>
                <w14:textOutline w14:w="3831" w14:cap="flat" w14:cmpd="sng">
                  <w14:solidFill>
                    <w14:srgbClr w14:val="000000"/>
                  </w14:solidFill>
                  <w14:prstDash w14:val="solid"/>
                  <w14:miter w14:val="0"/>
                </w14:textOutline>
              </w:rPr>
              <w:t>.00</w:t>
            </w:r>
            <w:r>
              <w:rPr>
                <w:rFonts w:hint="eastAsia" w:ascii="宋体" w:hAnsi="宋体" w:eastAsia="宋体" w:cs="宋体"/>
                <w:spacing w:val="-7"/>
                <w:sz w:val="22"/>
                <w:szCs w:val="22"/>
                <w:highlight w:val="none"/>
              </w:rPr>
              <w:t xml:space="preserve"> </w:t>
            </w:r>
            <w:r>
              <w:rPr>
                <w:rFonts w:hint="eastAsia" w:ascii="宋体" w:hAnsi="宋体" w:eastAsia="宋体" w:cs="宋体"/>
                <w:spacing w:val="-7"/>
                <w:sz w:val="22"/>
                <w:szCs w:val="22"/>
                <w:highlight w:val="none"/>
                <w14:textOutline w14:w="3831" w14:cap="flat" w14:cmpd="sng">
                  <w14:solidFill>
                    <w14:srgbClr w14:val="000000"/>
                  </w14:solidFill>
                  <w14:prstDash w14:val="solid"/>
                  <w14:miter w14:val="0"/>
                </w14:textOutline>
              </w:rPr>
              <w:t>分）</w:t>
            </w:r>
          </w:p>
        </w:tc>
      </w:tr>
      <w:tr w14:paraId="07A2D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3" w:hRule="atLeast"/>
          <w:jc w:val="center"/>
        </w:trPr>
        <w:tc>
          <w:tcPr>
            <w:tcW w:w="854" w:type="dxa"/>
            <w:gridSpan w:val="2"/>
            <w:vAlign w:val="center"/>
          </w:tcPr>
          <w:p w14:paraId="56AB15E5">
            <w:pPr>
              <w:pStyle w:val="63"/>
              <w:keepNext w:val="0"/>
              <w:keepLines w:val="0"/>
              <w:pageBreakBefore w:val="0"/>
              <w:widowControl w:val="0"/>
              <w:wordWrap/>
              <w:overflowPunct/>
              <w:topLinePunct w:val="0"/>
              <w:autoSpaceDN w:val="0"/>
              <w:bidi w:val="0"/>
              <w:spacing w:before="68" w:line="183" w:lineRule="auto"/>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技术</w:t>
            </w:r>
            <w:r>
              <w:rPr>
                <w:rFonts w:hint="eastAsia" w:ascii="宋体" w:hAnsi="宋体" w:eastAsia="宋体" w:cs="宋体"/>
                <w:color w:val="000000" w:themeColor="text1"/>
                <w:sz w:val="22"/>
                <w:szCs w:val="22"/>
                <w:highlight w:val="none"/>
                <w:lang w:val="en-US" w:eastAsia="zh-CN"/>
                <w14:textFill>
                  <w14:solidFill>
                    <w14:schemeClr w14:val="tx1"/>
                  </w14:solidFill>
                </w14:textFill>
              </w:rPr>
              <w:t>部分</w:t>
            </w:r>
          </w:p>
          <w:p w14:paraId="77F1CB7C">
            <w:pPr>
              <w:pStyle w:val="63"/>
              <w:keepNext w:val="0"/>
              <w:keepLines w:val="0"/>
              <w:pageBreakBefore w:val="0"/>
              <w:widowControl w:val="0"/>
              <w:wordWrap/>
              <w:overflowPunct/>
              <w:topLinePunct w:val="0"/>
              <w:autoSpaceDN w:val="0"/>
              <w:bidi w:val="0"/>
              <w:spacing w:before="68" w:line="183" w:lineRule="auto"/>
              <w:jc w:val="center"/>
              <w:rPr>
                <w:rFonts w:hint="eastAsia" w:ascii="宋体" w:hAnsi="宋体" w:eastAsia="宋体" w:cs="宋体"/>
                <w:sz w:val="22"/>
                <w:szCs w:val="22"/>
                <w:highlight w:val="none"/>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（明标部分</w:t>
            </w:r>
            <w:r>
              <w:rPr>
                <w:rFonts w:hint="eastAsia" w:ascii="宋体" w:hAnsi="宋体" w:eastAsia="宋体" w:cs="宋体"/>
                <w:color w:val="000000" w:themeColor="text1"/>
                <w:sz w:val="22"/>
                <w:szCs w:val="22"/>
                <w:highlight w:val="none"/>
                <w:lang w:val="en-US" w:eastAsia="zh-CN"/>
                <w14:textFill>
                  <w14:solidFill>
                    <w14:schemeClr w14:val="tx1"/>
                  </w14:solidFill>
                </w14:textFill>
              </w:rPr>
              <w:br w:type="textWrapping"/>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16分）</w:t>
            </w:r>
          </w:p>
        </w:tc>
        <w:tc>
          <w:tcPr>
            <w:tcW w:w="1240" w:type="dxa"/>
            <w:gridSpan w:val="3"/>
            <w:vAlign w:val="center"/>
          </w:tcPr>
          <w:p w14:paraId="397C52EB">
            <w:pPr>
              <w:pStyle w:val="63"/>
              <w:keepNext w:val="0"/>
              <w:keepLines w:val="0"/>
              <w:pageBreakBefore w:val="0"/>
              <w:widowControl w:val="0"/>
              <w:wordWrap/>
              <w:overflowPunct/>
              <w:topLinePunct w:val="0"/>
              <w:autoSpaceDN w:val="0"/>
              <w:bidi w:val="0"/>
              <w:spacing w:before="69" w:line="221" w:lineRule="auto"/>
              <w:ind w:left="181"/>
              <w:jc w:val="center"/>
              <w:rPr>
                <w:rFonts w:hint="eastAsia" w:ascii="宋体" w:hAnsi="宋体" w:eastAsia="宋体" w:cs="宋体"/>
                <w:sz w:val="22"/>
                <w:szCs w:val="22"/>
                <w:highlight w:val="none"/>
                <w:lang w:val="en-US"/>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p>
        </w:tc>
        <w:tc>
          <w:tcPr>
            <w:tcW w:w="1240" w:type="dxa"/>
            <w:vAlign w:val="center"/>
          </w:tcPr>
          <w:p w14:paraId="2B263F17">
            <w:pPr>
              <w:pStyle w:val="63"/>
              <w:keepNext w:val="0"/>
              <w:keepLines w:val="0"/>
              <w:pageBreakBefore w:val="0"/>
              <w:widowControl w:val="0"/>
              <w:wordWrap/>
              <w:overflowPunct/>
              <w:topLinePunct w:val="0"/>
              <w:autoSpaceDN w:val="0"/>
              <w:bidi w:val="0"/>
              <w:spacing w:before="69" w:line="221" w:lineRule="auto"/>
              <w:ind w:left="181"/>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悬浮拼装运动地板</w:t>
            </w:r>
          </w:p>
        </w:tc>
        <w:tc>
          <w:tcPr>
            <w:tcW w:w="6219" w:type="dxa"/>
            <w:vAlign w:val="top"/>
          </w:tcPr>
          <w:p w14:paraId="490BEEDE">
            <w:pPr>
              <w:keepNext w:val="0"/>
              <w:keepLines w:val="0"/>
              <w:pageBreakBefore w:val="0"/>
              <w:widowControl w:val="0"/>
              <w:numPr>
                <w:ilvl w:val="0"/>
                <w:numId w:val="1"/>
              </w:numPr>
              <w:wordWrap/>
              <w:overflowPunct/>
              <w:topLinePunct w:val="0"/>
              <w:autoSpaceDN w:val="0"/>
              <w:bidi w:val="0"/>
              <w:spacing w:line="276" w:lineRule="auto"/>
              <w:ind w:left="83" w:leftChars="0" w:hanging="83" w:hangingChars="38"/>
              <w:rPr>
                <w:rFonts w:hint="eastAsia" w:ascii="宋体" w:hAnsi="宋体" w:eastAsia="宋体" w:cs="宋体"/>
                <w:b w:val="0"/>
                <w:bCs/>
                <w:sz w:val="22"/>
                <w:szCs w:val="22"/>
                <w:highlight w:val="none"/>
                <w:lang w:eastAsia="zh-CN"/>
              </w:rPr>
            </w:pPr>
            <w:r>
              <w:rPr>
                <w:rFonts w:hint="eastAsia" w:ascii="宋体" w:hAnsi="宋体" w:eastAsia="宋体" w:cs="宋体"/>
                <w:sz w:val="22"/>
                <w:szCs w:val="22"/>
                <w:highlight w:val="none"/>
              </w:rPr>
              <w:t>悬浮拼装运动地板原料具有国家认可的检测机构出具的急性经皮毒性试验，急性全身毒性试验，急性经口毒性试验，急性眼刺激性腐蚀性试验后，测试无毒性或无刺激性的等不少于4种试验</w:t>
            </w:r>
            <w:r>
              <w:rPr>
                <w:rFonts w:hint="eastAsia" w:ascii="宋体" w:hAnsi="宋体" w:eastAsia="宋体" w:cs="宋体"/>
                <w:sz w:val="22"/>
                <w:szCs w:val="22"/>
                <w:highlight w:val="none"/>
                <w:lang w:val="en-US" w:eastAsia="zh-CN"/>
              </w:rPr>
              <w:t>的</w:t>
            </w:r>
            <w:r>
              <w:rPr>
                <w:rFonts w:hint="eastAsia" w:ascii="宋体" w:hAnsi="宋体" w:eastAsia="宋体" w:cs="宋体"/>
                <w:b w:val="0"/>
                <w:bCs/>
                <w:sz w:val="22"/>
                <w:szCs w:val="22"/>
                <w:highlight w:val="none"/>
              </w:rPr>
              <w:t>得4分</w:t>
            </w:r>
            <w:r>
              <w:rPr>
                <w:rFonts w:hint="eastAsia" w:ascii="宋体" w:hAnsi="宋体" w:eastAsia="宋体" w:cs="宋体"/>
                <w:b w:val="0"/>
                <w:bCs/>
                <w:sz w:val="22"/>
                <w:szCs w:val="22"/>
                <w:highlight w:val="none"/>
                <w:lang w:eastAsia="zh-CN"/>
              </w:rPr>
              <w:t>；</w:t>
            </w:r>
          </w:p>
          <w:p w14:paraId="092F390B">
            <w:pPr>
              <w:keepNext w:val="0"/>
              <w:keepLines w:val="0"/>
              <w:pageBreakBefore w:val="0"/>
              <w:widowControl w:val="0"/>
              <w:numPr>
                <w:ilvl w:val="0"/>
                <w:numId w:val="0"/>
              </w:numPr>
              <w:wordWrap/>
              <w:overflowPunct/>
              <w:topLinePunct w:val="0"/>
              <w:autoSpaceDN w:val="0"/>
              <w:bidi w:val="0"/>
              <w:spacing w:line="276" w:lineRule="auto"/>
              <w:ind w:left="71" w:leftChars="0" w:hanging="71" w:hangingChars="38"/>
              <w:rPr>
                <w:rFonts w:hint="eastAsia" w:ascii="宋体" w:hAnsi="宋体" w:eastAsia="宋体" w:cs="宋体"/>
                <w:sz w:val="22"/>
                <w:szCs w:val="22"/>
                <w:highlight w:val="none"/>
              </w:rPr>
            </w:pPr>
            <w:r>
              <w:rPr>
                <w:rFonts w:hint="eastAsia" w:ascii="宋体" w:hAnsi="宋体" w:eastAsia="宋体" w:cs="宋体"/>
                <w:b/>
                <w:bCs/>
                <w:spacing w:val="-17"/>
                <w:sz w:val="22"/>
                <w:szCs w:val="22"/>
                <w:highlight w:val="none"/>
              </w:rPr>
              <w:t>（以</w:t>
            </w:r>
            <w:r>
              <w:rPr>
                <w:rFonts w:hint="eastAsia" w:cs="宋体"/>
                <w:b/>
                <w:bCs/>
                <w:spacing w:val="-17"/>
                <w:sz w:val="22"/>
                <w:szCs w:val="22"/>
                <w:highlight w:val="none"/>
                <w:lang w:eastAsia="zh-CN"/>
              </w:rPr>
              <w:t>响应文件</w:t>
            </w:r>
            <w:r>
              <w:rPr>
                <w:rFonts w:hint="eastAsia" w:ascii="宋体" w:hAnsi="宋体" w:eastAsia="宋体" w:cs="宋体"/>
                <w:b/>
                <w:bCs/>
                <w:spacing w:val="-17"/>
                <w:sz w:val="22"/>
                <w:szCs w:val="22"/>
                <w:highlight w:val="none"/>
              </w:rPr>
              <w:t>中加盖投标供应商公章</w:t>
            </w:r>
            <w:r>
              <w:rPr>
                <w:rFonts w:hint="eastAsia" w:ascii="宋体" w:hAnsi="宋体" w:eastAsia="宋体" w:cs="宋体"/>
                <w:b/>
                <w:bCs/>
                <w:spacing w:val="3"/>
                <w:sz w:val="22"/>
                <w:szCs w:val="22"/>
                <w:highlight w:val="none"/>
              </w:rPr>
              <w:t xml:space="preserve"> </w:t>
            </w:r>
            <w:r>
              <w:rPr>
                <w:rFonts w:hint="eastAsia" w:ascii="宋体" w:hAnsi="宋体" w:eastAsia="宋体" w:cs="宋体"/>
                <w:b/>
                <w:bCs/>
                <w:spacing w:val="-17"/>
                <w:sz w:val="22"/>
                <w:szCs w:val="22"/>
                <w:highlight w:val="none"/>
              </w:rPr>
              <w:t>且具有检测资质的第三方检测机构出</w:t>
            </w:r>
            <w:r>
              <w:rPr>
                <w:rFonts w:hint="eastAsia" w:ascii="宋体" w:hAnsi="宋体" w:eastAsia="宋体" w:cs="宋体"/>
                <w:b/>
                <w:bCs/>
                <w:spacing w:val="-16"/>
                <w:sz w:val="22"/>
                <w:szCs w:val="22"/>
                <w:highlight w:val="none"/>
              </w:rPr>
              <w:t>具的检测报告扫描件为评分依据）</w:t>
            </w:r>
          </w:p>
          <w:p w14:paraId="34B89446">
            <w:pPr>
              <w:keepNext w:val="0"/>
              <w:keepLines w:val="0"/>
              <w:pageBreakBefore w:val="0"/>
              <w:widowControl w:val="0"/>
              <w:numPr>
                <w:ilvl w:val="0"/>
                <w:numId w:val="2"/>
              </w:numPr>
              <w:wordWrap/>
              <w:overflowPunct/>
              <w:topLinePunct w:val="0"/>
              <w:autoSpaceDN w:val="0"/>
              <w:bidi w:val="0"/>
              <w:spacing w:line="276" w:lineRule="auto"/>
              <w:ind w:left="83" w:leftChars="0" w:hanging="83" w:hangingChars="38"/>
              <w:rPr>
                <w:rFonts w:hint="eastAsia" w:ascii="宋体" w:hAnsi="宋体" w:eastAsia="宋体" w:cs="宋体"/>
                <w:b/>
                <w:bCs/>
                <w:sz w:val="22"/>
                <w:szCs w:val="22"/>
                <w:highlight w:val="none"/>
              </w:rPr>
            </w:pPr>
            <w:r>
              <w:rPr>
                <w:rFonts w:hint="eastAsia" w:ascii="宋体" w:hAnsi="宋体" w:eastAsia="宋体" w:cs="宋体"/>
                <w:sz w:val="22"/>
                <w:szCs w:val="22"/>
                <w:highlight w:val="none"/>
              </w:rPr>
              <w:t>悬浮拼装运动地板耐老化性臭氧老化不低于10000h后，检测周期不低于老化时长，邵氏硬度≥70Shore A</w:t>
            </w:r>
            <w:r>
              <w:rPr>
                <w:rFonts w:hint="eastAsia" w:ascii="宋体" w:hAnsi="宋体" w:eastAsia="宋体" w:cs="宋体"/>
                <w:sz w:val="22"/>
                <w:szCs w:val="22"/>
                <w:highlight w:val="none"/>
                <w:lang w:val="en-US" w:eastAsia="zh-CN"/>
              </w:rPr>
              <w:t>的</w:t>
            </w:r>
            <w:r>
              <w:rPr>
                <w:rFonts w:hint="eastAsia" w:ascii="宋体" w:hAnsi="宋体" w:eastAsia="宋体" w:cs="宋体"/>
                <w:b w:val="0"/>
                <w:bCs/>
                <w:sz w:val="22"/>
                <w:szCs w:val="22"/>
                <w:highlight w:val="none"/>
              </w:rPr>
              <w:t>得4分</w:t>
            </w:r>
            <w:r>
              <w:rPr>
                <w:rFonts w:hint="eastAsia" w:ascii="宋体" w:hAnsi="宋体" w:eastAsia="宋体" w:cs="宋体"/>
                <w:b w:val="0"/>
                <w:bCs/>
                <w:sz w:val="22"/>
                <w:szCs w:val="22"/>
                <w:highlight w:val="none"/>
                <w:lang w:eastAsia="zh-CN"/>
              </w:rPr>
              <w:t>；</w:t>
            </w:r>
          </w:p>
          <w:p w14:paraId="6B2BDD26">
            <w:pPr>
              <w:keepNext w:val="0"/>
              <w:keepLines w:val="0"/>
              <w:pageBreakBefore w:val="0"/>
              <w:widowControl w:val="0"/>
              <w:numPr>
                <w:ilvl w:val="0"/>
                <w:numId w:val="0"/>
              </w:numPr>
              <w:wordWrap/>
              <w:overflowPunct/>
              <w:topLinePunct w:val="0"/>
              <w:autoSpaceDN w:val="0"/>
              <w:bidi w:val="0"/>
              <w:spacing w:line="276" w:lineRule="auto"/>
              <w:ind w:left="71" w:leftChars="0" w:hanging="71" w:hangingChars="38"/>
              <w:rPr>
                <w:rFonts w:hint="eastAsia" w:ascii="宋体" w:hAnsi="宋体" w:eastAsia="宋体" w:cs="宋体"/>
                <w:b/>
                <w:bCs/>
                <w:sz w:val="22"/>
                <w:szCs w:val="22"/>
                <w:highlight w:val="none"/>
              </w:rPr>
            </w:pPr>
            <w:r>
              <w:rPr>
                <w:rFonts w:hint="eastAsia" w:ascii="宋体" w:hAnsi="宋体" w:eastAsia="宋体" w:cs="宋体"/>
                <w:b/>
                <w:bCs/>
                <w:spacing w:val="-17"/>
                <w:sz w:val="22"/>
                <w:szCs w:val="22"/>
                <w:highlight w:val="none"/>
              </w:rPr>
              <w:t>（以</w:t>
            </w:r>
            <w:r>
              <w:rPr>
                <w:rFonts w:hint="eastAsia" w:cs="宋体"/>
                <w:b/>
                <w:bCs/>
                <w:spacing w:val="-17"/>
                <w:sz w:val="22"/>
                <w:szCs w:val="22"/>
                <w:highlight w:val="none"/>
                <w:lang w:eastAsia="zh-CN"/>
              </w:rPr>
              <w:t>响应文件</w:t>
            </w:r>
            <w:r>
              <w:rPr>
                <w:rFonts w:hint="eastAsia" w:ascii="宋体" w:hAnsi="宋体" w:eastAsia="宋体" w:cs="宋体"/>
                <w:b/>
                <w:bCs/>
                <w:spacing w:val="-17"/>
                <w:sz w:val="22"/>
                <w:szCs w:val="22"/>
                <w:highlight w:val="none"/>
              </w:rPr>
              <w:t>中加盖投标供应商公章</w:t>
            </w:r>
            <w:r>
              <w:rPr>
                <w:rFonts w:hint="eastAsia" w:ascii="宋体" w:hAnsi="宋体" w:eastAsia="宋体" w:cs="宋体"/>
                <w:b/>
                <w:bCs/>
                <w:spacing w:val="3"/>
                <w:sz w:val="22"/>
                <w:szCs w:val="22"/>
                <w:highlight w:val="none"/>
              </w:rPr>
              <w:t xml:space="preserve"> </w:t>
            </w:r>
            <w:r>
              <w:rPr>
                <w:rFonts w:hint="eastAsia" w:ascii="宋体" w:hAnsi="宋体" w:eastAsia="宋体" w:cs="宋体"/>
                <w:b/>
                <w:bCs/>
                <w:spacing w:val="-17"/>
                <w:sz w:val="22"/>
                <w:szCs w:val="22"/>
                <w:highlight w:val="none"/>
              </w:rPr>
              <w:t>且具有检测资质的第三方检测机构出</w:t>
            </w:r>
            <w:r>
              <w:rPr>
                <w:rFonts w:hint="eastAsia" w:ascii="宋体" w:hAnsi="宋体" w:eastAsia="宋体" w:cs="宋体"/>
                <w:b/>
                <w:bCs/>
                <w:spacing w:val="-16"/>
                <w:sz w:val="22"/>
                <w:szCs w:val="22"/>
                <w:highlight w:val="none"/>
              </w:rPr>
              <w:t>具的检测报告扫描件为评分依据）</w:t>
            </w:r>
          </w:p>
          <w:p w14:paraId="16ABEE74">
            <w:pPr>
              <w:keepNext w:val="0"/>
              <w:keepLines w:val="0"/>
              <w:pageBreakBefore w:val="0"/>
              <w:widowControl w:val="0"/>
              <w:numPr>
                <w:ilvl w:val="0"/>
                <w:numId w:val="2"/>
              </w:numPr>
              <w:wordWrap/>
              <w:overflowPunct/>
              <w:topLinePunct w:val="0"/>
              <w:autoSpaceDN w:val="0"/>
              <w:bidi w:val="0"/>
              <w:spacing w:line="276" w:lineRule="auto"/>
              <w:ind w:left="83" w:leftChars="0" w:hanging="83" w:hangingChars="38"/>
              <w:rPr>
                <w:rFonts w:hint="eastAsia" w:ascii="宋体" w:hAnsi="宋体" w:eastAsia="宋体" w:cs="宋体"/>
                <w:b w:val="0"/>
                <w:bCs w:val="0"/>
                <w:sz w:val="22"/>
                <w:szCs w:val="22"/>
                <w:highlight w:val="none"/>
                <w:lang w:eastAsia="zh-CN"/>
              </w:rPr>
            </w:pPr>
            <w:r>
              <w:rPr>
                <w:rFonts w:hint="eastAsia" w:ascii="宋体" w:hAnsi="宋体" w:eastAsia="宋体" w:cs="宋体"/>
                <w:sz w:val="22"/>
                <w:szCs w:val="22"/>
                <w:highlight w:val="none"/>
              </w:rPr>
              <w:t>悬浮拼装运动地板具有国家认可的检测机构出具的附带CMA或CNAS标识的短链氯化石蜡、中链氯化石蜡、长链氯化石蜡未检出</w:t>
            </w:r>
            <w:r>
              <w:rPr>
                <w:rFonts w:hint="eastAsia" w:ascii="宋体" w:hAnsi="宋体" w:eastAsia="宋体" w:cs="宋体"/>
                <w:b w:val="0"/>
                <w:bCs w:val="0"/>
                <w:sz w:val="22"/>
                <w:szCs w:val="22"/>
                <w:highlight w:val="none"/>
              </w:rPr>
              <w:t>的得4分</w:t>
            </w:r>
            <w:r>
              <w:rPr>
                <w:rFonts w:hint="eastAsia" w:ascii="宋体" w:hAnsi="宋体" w:eastAsia="宋体" w:cs="宋体"/>
                <w:b w:val="0"/>
                <w:bCs w:val="0"/>
                <w:sz w:val="22"/>
                <w:szCs w:val="22"/>
                <w:highlight w:val="none"/>
                <w:lang w:eastAsia="zh-CN"/>
              </w:rPr>
              <w:t>；</w:t>
            </w:r>
          </w:p>
          <w:p w14:paraId="1C964DE6">
            <w:pPr>
              <w:keepNext w:val="0"/>
              <w:keepLines w:val="0"/>
              <w:pageBreakBefore w:val="0"/>
              <w:widowControl w:val="0"/>
              <w:numPr>
                <w:ilvl w:val="0"/>
                <w:numId w:val="0"/>
              </w:numPr>
              <w:wordWrap/>
              <w:overflowPunct/>
              <w:topLinePunct w:val="0"/>
              <w:autoSpaceDN w:val="0"/>
              <w:bidi w:val="0"/>
              <w:spacing w:line="276" w:lineRule="auto"/>
              <w:ind w:left="71" w:leftChars="0" w:hanging="71" w:hangingChars="38"/>
              <w:rPr>
                <w:rFonts w:hint="eastAsia" w:ascii="宋体" w:hAnsi="宋体" w:eastAsia="宋体" w:cs="宋体"/>
                <w:spacing w:val="-16"/>
                <w:sz w:val="22"/>
                <w:szCs w:val="22"/>
                <w:highlight w:val="none"/>
              </w:rPr>
            </w:pPr>
            <w:r>
              <w:rPr>
                <w:rFonts w:hint="eastAsia" w:ascii="宋体" w:hAnsi="宋体" w:eastAsia="宋体" w:cs="宋体"/>
                <w:b/>
                <w:bCs/>
                <w:spacing w:val="-17"/>
                <w:sz w:val="22"/>
                <w:szCs w:val="22"/>
                <w:highlight w:val="none"/>
              </w:rPr>
              <w:t>（以</w:t>
            </w:r>
            <w:r>
              <w:rPr>
                <w:rFonts w:hint="eastAsia" w:cs="宋体"/>
                <w:b/>
                <w:bCs/>
                <w:spacing w:val="-17"/>
                <w:sz w:val="22"/>
                <w:szCs w:val="22"/>
                <w:highlight w:val="none"/>
                <w:lang w:eastAsia="zh-CN"/>
              </w:rPr>
              <w:t>响应文件</w:t>
            </w:r>
            <w:r>
              <w:rPr>
                <w:rFonts w:hint="eastAsia" w:ascii="宋体" w:hAnsi="宋体" w:eastAsia="宋体" w:cs="宋体"/>
                <w:b/>
                <w:bCs/>
                <w:spacing w:val="-17"/>
                <w:sz w:val="22"/>
                <w:szCs w:val="22"/>
                <w:highlight w:val="none"/>
              </w:rPr>
              <w:t>中加盖投标供应商公章且具有检测资质的第三方检测机构出</w:t>
            </w:r>
            <w:r>
              <w:rPr>
                <w:rFonts w:hint="eastAsia" w:ascii="宋体" w:hAnsi="宋体" w:eastAsia="宋体" w:cs="宋体"/>
                <w:b/>
                <w:bCs/>
                <w:spacing w:val="9"/>
                <w:sz w:val="22"/>
                <w:szCs w:val="22"/>
                <w:highlight w:val="none"/>
              </w:rPr>
              <w:t xml:space="preserve"> </w:t>
            </w:r>
            <w:r>
              <w:rPr>
                <w:rFonts w:hint="eastAsia" w:ascii="宋体" w:hAnsi="宋体" w:eastAsia="宋体" w:cs="宋体"/>
                <w:b/>
                <w:bCs/>
                <w:spacing w:val="-16"/>
                <w:sz w:val="22"/>
                <w:szCs w:val="22"/>
                <w:highlight w:val="none"/>
              </w:rPr>
              <w:t>具的检测报告扫描件为评分依据）</w:t>
            </w:r>
          </w:p>
          <w:p w14:paraId="4691CE08">
            <w:pPr>
              <w:keepNext w:val="0"/>
              <w:keepLines w:val="0"/>
              <w:pageBreakBefore w:val="0"/>
              <w:widowControl w:val="0"/>
              <w:numPr>
                <w:ilvl w:val="0"/>
                <w:numId w:val="2"/>
              </w:numPr>
              <w:wordWrap/>
              <w:overflowPunct/>
              <w:topLinePunct w:val="0"/>
              <w:autoSpaceDN w:val="0"/>
              <w:bidi w:val="0"/>
              <w:spacing w:line="276" w:lineRule="auto"/>
              <w:ind w:left="83" w:leftChars="0" w:hanging="83" w:hangingChars="38"/>
              <w:rPr>
                <w:rFonts w:hint="eastAsia" w:ascii="宋体" w:hAnsi="宋体" w:eastAsia="宋体" w:cs="宋体"/>
                <w:b w:val="0"/>
                <w:bCs/>
                <w:sz w:val="22"/>
                <w:szCs w:val="22"/>
                <w:highlight w:val="none"/>
                <w:lang w:eastAsia="zh-CN"/>
              </w:rPr>
            </w:pPr>
            <w:r>
              <w:rPr>
                <w:rFonts w:hint="eastAsia" w:ascii="宋体" w:hAnsi="宋体" w:eastAsia="宋体" w:cs="宋体"/>
                <w:sz w:val="22"/>
                <w:szCs w:val="22"/>
                <w:highlight w:val="none"/>
              </w:rPr>
              <w:t>悬浮拼装运动地板</w:t>
            </w:r>
            <w:r>
              <w:rPr>
                <w:rFonts w:hint="eastAsia" w:ascii="宋体" w:hAnsi="宋体" w:eastAsia="宋体" w:cs="宋体"/>
                <w:kern w:val="0"/>
                <w:sz w:val="22"/>
                <w:szCs w:val="22"/>
                <w:highlight w:val="none"/>
              </w:rPr>
              <w:t>的耐盐腐蚀性（如雨水，汗水等），中性盐雾试验不低于6500h后，检测周期不低于老化时长，拉伸强度≥0.4MPa；断裂伸长率≥40%</w:t>
            </w:r>
            <w:r>
              <w:rPr>
                <w:rFonts w:hint="eastAsia" w:ascii="宋体" w:hAnsi="宋体" w:eastAsia="宋体" w:cs="宋体"/>
                <w:kern w:val="0"/>
                <w:sz w:val="22"/>
                <w:szCs w:val="22"/>
                <w:highlight w:val="none"/>
                <w:lang w:val="en-US" w:eastAsia="zh-CN"/>
              </w:rPr>
              <w:t>的</w:t>
            </w:r>
            <w:r>
              <w:rPr>
                <w:rFonts w:hint="eastAsia" w:ascii="宋体" w:hAnsi="宋体" w:eastAsia="宋体" w:cs="宋体"/>
                <w:b w:val="0"/>
                <w:bCs/>
                <w:sz w:val="22"/>
                <w:szCs w:val="22"/>
                <w:highlight w:val="none"/>
              </w:rPr>
              <w:t>得4分</w:t>
            </w:r>
            <w:r>
              <w:rPr>
                <w:rFonts w:hint="eastAsia" w:ascii="宋体" w:hAnsi="宋体" w:eastAsia="宋体" w:cs="宋体"/>
                <w:b w:val="0"/>
                <w:bCs/>
                <w:sz w:val="22"/>
                <w:szCs w:val="22"/>
                <w:highlight w:val="none"/>
                <w:lang w:eastAsia="zh-CN"/>
              </w:rPr>
              <w:t>；</w:t>
            </w:r>
          </w:p>
          <w:p w14:paraId="6DBDCD31">
            <w:pPr>
              <w:keepNext w:val="0"/>
              <w:keepLines w:val="0"/>
              <w:pageBreakBefore w:val="0"/>
              <w:widowControl w:val="0"/>
              <w:numPr>
                <w:ilvl w:val="0"/>
                <w:numId w:val="0"/>
              </w:numPr>
              <w:wordWrap/>
              <w:overflowPunct/>
              <w:topLinePunct w:val="0"/>
              <w:autoSpaceDN w:val="0"/>
              <w:bidi w:val="0"/>
              <w:spacing w:line="276" w:lineRule="auto"/>
              <w:ind w:left="71" w:leftChars="0" w:hanging="71" w:hangingChars="38"/>
              <w:rPr>
                <w:rFonts w:hint="eastAsia" w:ascii="宋体" w:hAnsi="宋体" w:eastAsia="宋体" w:cs="宋体"/>
                <w:sz w:val="22"/>
                <w:szCs w:val="22"/>
                <w:highlight w:val="none"/>
              </w:rPr>
            </w:pPr>
            <w:r>
              <w:rPr>
                <w:rFonts w:hint="eastAsia" w:ascii="宋体" w:hAnsi="宋体" w:eastAsia="宋体" w:cs="宋体"/>
                <w:b/>
                <w:bCs/>
                <w:spacing w:val="-17"/>
                <w:sz w:val="22"/>
                <w:szCs w:val="22"/>
                <w:highlight w:val="none"/>
              </w:rPr>
              <w:t>（以</w:t>
            </w:r>
            <w:r>
              <w:rPr>
                <w:rFonts w:hint="eastAsia" w:cs="宋体"/>
                <w:b/>
                <w:bCs/>
                <w:spacing w:val="-17"/>
                <w:sz w:val="22"/>
                <w:szCs w:val="22"/>
                <w:highlight w:val="none"/>
                <w:lang w:eastAsia="zh-CN"/>
              </w:rPr>
              <w:t>响应文件</w:t>
            </w:r>
            <w:r>
              <w:rPr>
                <w:rFonts w:hint="eastAsia" w:ascii="宋体" w:hAnsi="宋体" w:eastAsia="宋体" w:cs="宋体"/>
                <w:b/>
                <w:bCs/>
                <w:spacing w:val="-17"/>
                <w:sz w:val="22"/>
                <w:szCs w:val="22"/>
                <w:highlight w:val="none"/>
              </w:rPr>
              <w:t>中加盖投标供应商公章</w:t>
            </w:r>
            <w:r>
              <w:rPr>
                <w:rFonts w:hint="eastAsia" w:ascii="宋体" w:hAnsi="宋体" w:eastAsia="宋体" w:cs="宋体"/>
                <w:b/>
                <w:bCs/>
                <w:spacing w:val="3"/>
                <w:sz w:val="22"/>
                <w:szCs w:val="22"/>
                <w:highlight w:val="none"/>
              </w:rPr>
              <w:t xml:space="preserve"> </w:t>
            </w:r>
            <w:r>
              <w:rPr>
                <w:rFonts w:hint="eastAsia" w:ascii="宋体" w:hAnsi="宋体" w:eastAsia="宋体" w:cs="宋体"/>
                <w:b/>
                <w:bCs/>
                <w:spacing w:val="-17"/>
                <w:sz w:val="22"/>
                <w:szCs w:val="22"/>
                <w:highlight w:val="none"/>
              </w:rPr>
              <w:t>且具有检测资质的第三方检测机构出</w:t>
            </w:r>
            <w:r>
              <w:rPr>
                <w:rFonts w:hint="eastAsia" w:ascii="宋体" w:hAnsi="宋体" w:eastAsia="宋体" w:cs="宋体"/>
                <w:b/>
                <w:bCs/>
                <w:spacing w:val="9"/>
                <w:sz w:val="22"/>
                <w:szCs w:val="22"/>
                <w:highlight w:val="none"/>
              </w:rPr>
              <w:t xml:space="preserve"> </w:t>
            </w:r>
            <w:r>
              <w:rPr>
                <w:rFonts w:hint="eastAsia" w:ascii="宋体" w:hAnsi="宋体" w:eastAsia="宋体" w:cs="宋体"/>
                <w:b/>
                <w:bCs/>
                <w:spacing w:val="-16"/>
                <w:sz w:val="22"/>
                <w:szCs w:val="22"/>
                <w:highlight w:val="none"/>
              </w:rPr>
              <w:t>具的检测报告扫描件为评分依据）</w:t>
            </w:r>
          </w:p>
        </w:tc>
        <w:tc>
          <w:tcPr>
            <w:tcW w:w="821" w:type="dxa"/>
            <w:vAlign w:val="center"/>
          </w:tcPr>
          <w:p w14:paraId="62AD5FCA">
            <w:pPr>
              <w:keepNext w:val="0"/>
              <w:keepLines w:val="0"/>
              <w:pageBreakBefore w:val="0"/>
              <w:widowControl w:val="0"/>
              <w:wordWrap/>
              <w:overflowPunct/>
              <w:topLinePunct w:val="0"/>
              <w:autoSpaceDN w:val="0"/>
              <w:bidi w:val="0"/>
              <w:jc w:val="center"/>
              <w:rPr>
                <w:rFonts w:hint="eastAsia" w:ascii="宋体" w:hAnsi="宋体" w:eastAsia="宋体" w:cs="宋体"/>
                <w:sz w:val="21"/>
                <w:highlight w:val="none"/>
              </w:rPr>
            </w:pPr>
          </w:p>
          <w:p w14:paraId="24629967">
            <w:pPr>
              <w:keepNext w:val="0"/>
              <w:keepLines w:val="0"/>
              <w:pageBreakBefore w:val="0"/>
              <w:widowControl w:val="0"/>
              <w:wordWrap/>
              <w:overflowPunct/>
              <w:topLinePunct w:val="0"/>
              <w:autoSpaceDN w:val="0"/>
              <w:bidi w:val="0"/>
              <w:jc w:val="center"/>
              <w:rPr>
                <w:rFonts w:hint="eastAsia" w:ascii="宋体" w:hAnsi="宋体" w:eastAsia="宋体" w:cs="宋体"/>
                <w:sz w:val="21"/>
                <w:highlight w:val="none"/>
              </w:rPr>
            </w:pPr>
          </w:p>
          <w:p w14:paraId="22E35798">
            <w:pPr>
              <w:keepNext w:val="0"/>
              <w:keepLines w:val="0"/>
              <w:pageBreakBefore w:val="0"/>
              <w:widowControl w:val="0"/>
              <w:wordWrap/>
              <w:overflowPunct/>
              <w:topLinePunct w:val="0"/>
              <w:autoSpaceDN w:val="0"/>
              <w:bidi w:val="0"/>
              <w:jc w:val="center"/>
              <w:rPr>
                <w:rFonts w:hint="eastAsia" w:ascii="宋体" w:hAnsi="宋体" w:eastAsia="宋体" w:cs="宋体"/>
                <w:sz w:val="21"/>
                <w:highlight w:val="none"/>
              </w:rPr>
            </w:pPr>
          </w:p>
          <w:p w14:paraId="084993A5">
            <w:pPr>
              <w:pStyle w:val="63"/>
              <w:keepNext w:val="0"/>
              <w:keepLines w:val="0"/>
              <w:pageBreakBefore w:val="0"/>
              <w:widowControl w:val="0"/>
              <w:wordWrap/>
              <w:overflowPunct/>
              <w:topLinePunct w:val="0"/>
              <w:autoSpaceDN w:val="0"/>
              <w:bidi w:val="0"/>
              <w:spacing w:before="68" w:line="182" w:lineRule="auto"/>
              <w:jc w:val="center"/>
              <w:rPr>
                <w:rFonts w:hint="eastAsia" w:ascii="宋体" w:hAnsi="宋体" w:eastAsia="宋体" w:cs="宋体"/>
                <w:sz w:val="21"/>
                <w:szCs w:val="21"/>
                <w:highlight w:val="none"/>
                <w:lang w:val="en-US"/>
              </w:rPr>
            </w:pPr>
            <w:r>
              <w:rPr>
                <w:rFonts w:hint="eastAsia" w:ascii="宋体" w:hAnsi="宋体" w:eastAsia="宋体" w:cs="宋体"/>
                <w:spacing w:val="-7"/>
                <w:sz w:val="21"/>
                <w:szCs w:val="21"/>
                <w:highlight w:val="none"/>
                <w:lang w:val="en-US" w:eastAsia="zh-CN"/>
              </w:rPr>
              <w:t>16分</w:t>
            </w:r>
          </w:p>
        </w:tc>
      </w:tr>
      <w:tr w14:paraId="31E1B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5" w:hRule="atLeast"/>
          <w:jc w:val="center"/>
        </w:trPr>
        <w:tc>
          <w:tcPr>
            <w:tcW w:w="854" w:type="dxa"/>
            <w:gridSpan w:val="2"/>
            <w:vMerge w:val="restart"/>
            <w:vAlign w:val="top"/>
          </w:tcPr>
          <w:p w14:paraId="3720E21A">
            <w:pPr>
              <w:keepNext w:val="0"/>
              <w:keepLines w:val="0"/>
              <w:pageBreakBefore w:val="0"/>
              <w:widowControl w:val="0"/>
              <w:wordWrap/>
              <w:overflowPunct/>
              <w:topLinePunct w:val="0"/>
              <w:autoSpaceDN w:val="0"/>
              <w:bidi w:val="0"/>
              <w:spacing w:line="277" w:lineRule="auto"/>
              <w:rPr>
                <w:rFonts w:hint="eastAsia" w:ascii="宋体" w:hAnsi="宋体" w:eastAsia="宋体" w:cs="宋体"/>
                <w:sz w:val="22"/>
                <w:szCs w:val="22"/>
                <w:highlight w:val="none"/>
              </w:rPr>
            </w:pPr>
          </w:p>
          <w:p w14:paraId="7CF63562">
            <w:pPr>
              <w:keepNext w:val="0"/>
              <w:keepLines w:val="0"/>
              <w:pageBreakBefore w:val="0"/>
              <w:widowControl w:val="0"/>
              <w:wordWrap/>
              <w:overflowPunct/>
              <w:topLinePunct w:val="0"/>
              <w:autoSpaceDN w:val="0"/>
              <w:bidi w:val="0"/>
              <w:spacing w:line="278" w:lineRule="auto"/>
              <w:rPr>
                <w:rFonts w:hint="eastAsia" w:ascii="宋体" w:hAnsi="宋体" w:eastAsia="宋体" w:cs="宋体"/>
                <w:sz w:val="22"/>
                <w:szCs w:val="22"/>
                <w:highlight w:val="none"/>
              </w:rPr>
            </w:pPr>
          </w:p>
          <w:p w14:paraId="330878AB">
            <w:pPr>
              <w:keepNext w:val="0"/>
              <w:keepLines w:val="0"/>
              <w:pageBreakBefore w:val="0"/>
              <w:widowControl w:val="0"/>
              <w:wordWrap/>
              <w:overflowPunct/>
              <w:topLinePunct w:val="0"/>
              <w:autoSpaceDN w:val="0"/>
              <w:bidi w:val="0"/>
              <w:spacing w:line="278" w:lineRule="auto"/>
              <w:rPr>
                <w:rFonts w:hint="eastAsia" w:ascii="宋体" w:hAnsi="宋体" w:eastAsia="宋体" w:cs="宋体"/>
                <w:sz w:val="22"/>
                <w:szCs w:val="22"/>
                <w:highlight w:val="none"/>
              </w:rPr>
            </w:pPr>
          </w:p>
          <w:p w14:paraId="42317493">
            <w:pPr>
              <w:keepNext w:val="0"/>
              <w:keepLines w:val="0"/>
              <w:pageBreakBefore w:val="0"/>
              <w:widowControl w:val="0"/>
              <w:wordWrap/>
              <w:overflowPunct/>
              <w:topLinePunct w:val="0"/>
              <w:autoSpaceDN w:val="0"/>
              <w:bidi w:val="0"/>
              <w:spacing w:line="278" w:lineRule="auto"/>
              <w:rPr>
                <w:rFonts w:hint="eastAsia" w:ascii="宋体" w:hAnsi="宋体" w:eastAsia="宋体" w:cs="宋体"/>
                <w:sz w:val="22"/>
                <w:szCs w:val="22"/>
                <w:highlight w:val="none"/>
              </w:rPr>
            </w:pPr>
          </w:p>
          <w:p w14:paraId="42D7D350">
            <w:pPr>
              <w:keepNext w:val="0"/>
              <w:keepLines w:val="0"/>
              <w:pageBreakBefore w:val="0"/>
              <w:widowControl w:val="0"/>
              <w:wordWrap/>
              <w:overflowPunct/>
              <w:topLinePunct w:val="0"/>
              <w:autoSpaceDN w:val="0"/>
              <w:bidi w:val="0"/>
              <w:spacing w:line="278" w:lineRule="auto"/>
              <w:rPr>
                <w:rFonts w:hint="eastAsia" w:ascii="宋体" w:hAnsi="宋体" w:eastAsia="宋体" w:cs="宋体"/>
                <w:sz w:val="22"/>
                <w:szCs w:val="22"/>
                <w:highlight w:val="none"/>
              </w:rPr>
            </w:pPr>
          </w:p>
          <w:p w14:paraId="79C76E07">
            <w:pPr>
              <w:pStyle w:val="63"/>
              <w:keepNext w:val="0"/>
              <w:keepLines w:val="0"/>
              <w:pageBreakBefore w:val="0"/>
              <w:widowControl w:val="0"/>
              <w:wordWrap/>
              <w:overflowPunct/>
              <w:topLinePunct w:val="0"/>
              <w:autoSpaceDN w:val="0"/>
              <w:bidi w:val="0"/>
              <w:spacing w:before="68" w:line="182"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技术部分（暗标部分）</w:t>
            </w:r>
          </w:p>
          <w:p w14:paraId="0B6DAB62">
            <w:pPr>
              <w:pStyle w:val="63"/>
              <w:keepNext w:val="0"/>
              <w:keepLines w:val="0"/>
              <w:pageBreakBefore w:val="0"/>
              <w:widowControl w:val="0"/>
              <w:wordWrap/>
              <w:overflowPunct/>
              <w:topLinePunct w:val="0"/>
              <w:autoSpaceDN w:val="0"/>
              <w:bidi w:val="0"/>
              <w:spacing w:before="68" w:line="182"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（29分）</w:t>
            </w:r>
          </w:p>
          <w:p w14:paraId="63893714">
            <w:pPr>
              <w:pStyle w:val="63"/>
              <w:keepNext w:val="0"/>
              <w:keepLines w:val="0"/>
              <w:pageBreakBefore w:val="0"/>
              <w:widowControl w:val="0"/>
              <w:wordWrap/>
              <w:overflowPunct/>
              <w:topLinePunct w:val="0"/>
              <w:autoSpaceDN w:val="0"/>
              <w:bidi w:val="0"/>
              <w:spacing w:before="68" w:line="182" w:lineRule="auto"/>
              <w:ind w:left="384" w:leftChars="0"/>
              <w:rPr>
                <w:rFonts w:hint="eastAsia" w:ascii="宋体" w:hAnsi="宋体" w:eastAsia="宋体" w:cs="宋体"/>
                <w:sz w:val="22"/>
                <w:szCs w:val="22"/>
                <w:highlight w:val="none"/>
                <w:lang w:val="en-US" w:eastAsia="zh-CN"/>
              </w:rPr>
            </w:pPr>
          </w:p>
          <w:p w14:paraId="38A87F76">
            <w:pPr>
              <w:pStyle w:val="63"/>
              <w:keepNext w:val="0"/>
              <w:keepLines w:val="0"/>
              <w:pageBreakBefore w:val="0"/>
              <w:widowControl w:val="0"/>
              <w:wordWrap/>
              <w:overflowPunct/>
              <w:topLinePunct w:val="0"/>
              <w:autoSpaceDN w:val="0"/>
              <w:bidi w:val="0"/>
              <w:spacing w:before="68" w:line="182" w:lineRule="auto"/>
              <w:ind w:left="384" w:leftChars="0"/>
              <w:rPr>
                <w:rFonts w:hint="eastAsia" w:ascii="宋体" w:hAnsi="宋体" w:eastAsia="宋体" w:cs="宋体"/>
                <w:sz w:val="22"/>
                <w:szCs w:val="22"/>
                <w:highlight w:val="none"/>
                <w:lang w:val="en-US" w:eastAsia="zh-CN"/>
              </w:rPr>
            </w:pPr>
          </w:p>
        </w:tc>
        <w:tc>
          <w:tcPr>
            <w:tcW w:w="1240" w:type="dxa"/>
            <w:gridSpan w:val="3"/>
            <w:vAlign w:val="center"/>
          </w:tcPr>
          <w:p w14:paraId="6C71C3C9">
            <w:pPr>
              <w:keepNext w:val="0"/>
              <w:keepLines w:val="0"/>
              <w:pageBreakBefore w:val="0"/>
              <w:widowControl w:val="0"/>
              <w:wordWrap/>
              <w:overflowPunct/>
              <w:topLinePunct w:val="0"/>
              <w:autoSpaceDN w:val="0"/>
              <w:bidi w:val="0"/>
              <w:adjustRightInd w:val="0"/>
              <w:snapToGrid w:val="0"/>
              <w:jc w:val="center"/>
              <w:rPr>
                <w:rFonts w:hint="eastAsia" w:ascii="宋体" w:hAnsi="宋体" w:eastAsia="宋体" w:cs="宋体"/>
                <w:sz w:val="22"/>
                <w:szCs w:val="22"/>
                <w:highlight w:val="none"/>
                <w:lang w:val="en-US" w:eastAsia="zh-CN" w:bidi="ar"/>
              </w:rPr>
            </w:pPr>
            <w:r>
              <w:rPr>
                <w:rFonts w:hint="eastAsia" w:ascii="宋体" w:hAnsi="宋体" w:eastAsia="宋体" w:cs="宋体"/>
                <w:sz w:val="22"/>
                <w:szCs w:val="22"/>
                <w:highlight w:val="none"/>
                <w:lang w:val="en-US" w:eastAsia="zh-CN" w:bidi="ar"/>
              </w:rPr>
              <w:t>1</w:t>
            </w:r>
          </w:p>
        </w:tc>
        <w:tc>
          <w:tcPr>
            <w:tcW w:w="1240" w:type="dxa"/>
            <w:vAlign w:val="center"/>
          </w:tcPr>
          <w:p w14:paraId="5885CF7D">
            <w:pPr>
              <w:keepNext w:val="0"/>
              <w:keepLines w:val="0"/>
              <w:pageBreakBefore w:val="0"/>
              <w:widowControl w:val="0"/>
              <w:wordWrap/>
              <w:overflowPunct/>
              <w:topLinePunct w:val="0"/>
              <w:autoSpaceDN w:val="0"/>
              <w:bidi w:val="0"/>
              <w:adjustRightInd w:val="0"/>
              <w:snapToGrid w:val="0"/>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bidi="ar"/>
              </w:rPr>
              <w:t xml:space="preserve"> 实施方案</w:t>
            </w:r>
          </w:p>
        </w:tc>
        <w:tc>
          <w:tcPr>
            <w:tcW w:w="6219" w:type="dxa"/>
            <w:vAlign w:val="center"/>
          </w:tcPr>
          <w:p w14:paraId="51012C62">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投标人针对于本项目制定相应的实施方案，包括但不仅限于：</w:t>
            </w:r>
          </w:p>
          <w:p w14:paraId="279F3F00">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①产品的生产</w:t>
            </w:r>
            <w:r>
              <w:rPr>
                <w:rFonts w:hint="eastAsia" w:ascii="宋体" w:hAnsi="宋体" w:eastAsia="宋体" w:cs="宋体"/>
                <w:sz w:val="22"/>
                <w:szCs w:val="22"/>
                <w:highlight w:val="none"/>
                <w:lang w:val="en-US" w:eastAsia="zh-CN"/>
              </w:rPr>
              <w:t>；</w:t>
            </w:r>
          </w:p>
          <w:p w14:paraId="2F7AC76A">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②产品的运输</w:t>
            </w:r>
            <w:r>
              <w:rPr>
                <w:rFonts w:hint="eastAsia" w:ascii="宋体" w:hAnsi="宋体" w:eastAsia="宋体" w:cs="宋体"/>
                <w:sz w:val="22"/>
                <w:szCs w:val="22"/>
                <w:highlight w:val="none"/>
                <w:lang w:val="en-US" w:eastAsia="zh-CN"/>
              </w:rPr>
              <w:t>；</w:t>
            </w:r>
          </w:p>
          <w:p w14:paraId="7D400F7E">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③产品的交付</w:t>
            </w:r>
            <w:r>
              <w:rPr>
                <w:rFonts w:hint="eastAsia" w:ascii="宋体" w:hAnsi="宋体" w:eastAsia="宋体" w:cs="宋体"/>
                <w:sz w:val="22"/>
                <w:szCs w:val="22"/>
                <w:highlight w:val="none"/>
                <w:lang w:val="en-US" w:eastAsia="zh-CN"/>
              </w:rPr>
              <w:t>；</w:t>
            </w:r>
          </w:p>
          <w:p w14:paraId="53BAC2FD">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④产品的使用</w:t>
            </w:r>
            <w:r>
              <w:rPr>
                <w:rFonts w:hint="eastAsia" w:ascii="宋体" w:hAnsi="宋体" w:eastAsia="宋体" w:cs="宋体"/>
                <w:sz w:val="22"/>
                <w:szCs w:val="22"/>
                <w:highlight w:val="none"/>
                <w:lang w:val="en-US" w:eastAsia="zh-CN"/>
              </w:rPr>
              <w:t>；</w:t>
            </w:r>
          </w:p>
          <w:p w14:paraId="57668C8F">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⑤产品的验收</w:t>
            </w:r>
            <w:r>
              <w:rPr>
                <w:rFonts w:hint="eastAsia" w:ascii="宋体" w:hAnsi="宋体" w:eastAsia="宋体" w:cs="宋体"/>
                <w:sz w:val="22"/>
                <w:szCs w:val="22"/>
                <w:highlight w:val="none"/>
                <w:lang w:val="en-US" w:eastAsia="zh-CN"/>
              </w:rPr>
              <w:t>；</w:t>
            </w:r>
          </w:p>
          <w:p w14:paraId="5FBEF2E4">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⑥</w:t>
            </w:r>
            <w:r>
              <w:rPr>
                <w:rFonts w:hint="eastAsia" w:ascii="宋体" w:hAnsi="宋体" w:eastAsia="宋体" w:cs="宋体"/>
                <w:sz w:val="22"/>
                <w:szCs w:val="22"/>
                <w:highlight w:val="none"/>
                <w:lang w:val="en-US" w:eastAsia="zh-CN"/>
              </w:rPr>
              <w:t>产品售后服务。</w:t>
            </w:r>
          </w:p>
          <w:p w14:paraId="042D4288">
            <w:pPr>
              <w:keepNext w:val="0"/>
              <w:keepLines w:val="0"/>
              <w:widowControl/>
              <w:suppressLineNumbers w:val="0"/>
              <w:spacing w:line="240" w:lineRule="auto"/>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b/>
                <w:color w:val="auto"/>
                <w:sz w:val="22"/>
                <w:szCs w:val="22"/>
                <w:highlight w:val="none"/>
              </w:rPr>
              <w:t>对</w:t>
            </w:r>
            <w:r>
              <w:rPr>
                <w:rFonts w:hint="eastAsia" w:ascii="宋体" w:hAnsi="宋体" w:eastAsia="宋体" w:cs="宋体"/>
                <w:b/>
                <w:color w:val="auto"/>
                <w:sz w:val="22"/>
                <w:szCs w:val="22"/>
                <w:highlight w:val="none"/>
                <w:lang w:val="zh-CN"/>
              </w:rPr>
              <w:t>以上</w:t>
            </w:r>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lang w:val="zh-CN"/>
              </w:rPr>
              <w:t>项方案进行阐述，</w:t>
            </w:r>
            <w:r>
              <w:rPr>
                <w:rFonts w:hint="eastAsia" w:ascii="宋体" w:hAnsi="宋体" w:eastAsia="宋体" w:cs="宋体"/>
                <w:b/>
                <w:color w:val="auto"/>
                <w:sz w:val="22"/>
                <w:szCs w:val="22"/>
                <w:highlight w:val="none"/>
              </w:rPr>
              <w:t>每提供一小项内容适用于项目且无缺失的方案</w:t>
            </w: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分，方案有缺失的得</w:t>
            </w: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分，不提供不得分，满分</w:t>
            </w:r>
            <w:r>
              <w:rPr>
                <w:rFonts w:hint="eastAsia" w:ascii="宋体" w:hAnsi="宋体" w:eastAsia="宋体" w:cs="宋体"/>
                <w:b/>
                <w:color w:val="auto"/>
                <w:sz w:val="22"/>
                <w:szCs w:val="22"/>
                <w:highlight w:val="none"/>
                <w:lang w:val="en-US" w:eastAsia="zh-CN"/>
              </w:rPr>
              <w:t>12</w:t>
            </w:r>
            <w:r>
              <w:rPr>
                <w:rFonts w:hint="eastAsia" w:ascii="宋体" w:hAnsi="宋体" w:eastAsia="宋体" w:cs="宋体"/>
                <w:b/>
                <w:color w:val="auto"/>
                <w:sz w:val="22"/>
                <w:szCs w:val="22"/>
                <w:highlight w:val="none"/>
              </w:rPr>
              <w:t>分</w:t>
            </w:r>
            <w:r>
              <w:rPr>
                <w:rFonts w:hint="eastAsia" w:ascii="宋体" w:hAnsi="宋体" w:eastAsia="宋体" w:cs="宋体"/>
                <w:color w:val="auto"/>
                <w:kern w:val="0"/>
                <w:sz w:val="22"/>
                <w:szCs w:val="22"/>
                <w:highlight w:val="none"/>
                <w:lang w:val="en-US" w:eastAsia="zh-CN"/>
              </w:rPr>
              <w:t>。</w:t>
            </w:r>
          </w:p>
          <w:p w14:paraId="6AD0C972">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rPr>
            </w:pPr>
            <w:r>
              <w:rPr>
                <w:rFonts w:hint="eastAsia" w:ascii="宋体" w:hAnsi="宋体" w:eastAsia="宋体" w:cs="宋体"/>
                <w:b/>
                <w:bCs/>
                <w:color w:val="auto"/>
                <w:kern w:val="0"/>
                <w:sz w:val="22"/>
                <w:szCs w:val="22"/>
                <w:highlight w:val="none"/>
                <w:lang w:val="en-US" w:eastAsia="zh-CN"/>
              </w:rPr>
              <w:t>（缺失是指：不符合实际，存在偏离内容、内容前后不一致、文不对题、前后逻辑错误、内容缺失有瑕疵、无具体流程细节描述之处）</w:t>
            </w:r>
          </w:p>
        </w:tc>
        <w:tc>
          <w:tcPr>
            <w:tcW w:w="821" w:type="dxa"/>
            <w:vAlign w:val="center"/>
          </w:tcPr>
          <w:p w14:paraId="25D75670">
            <w:pPr>
              <w:keepNext w:val="0"/>
              <w:keepLines w:val="0"/>
              <w:pageBreakBefore w:val="0"/>
              <w:widowControl w:val="0"/>
              <w:wordWrap/>
              <w:overflowPunct/>
              <w:topLinePunct w:val="0"/>
              <w:autoSpaceDN w:val="0"/>
              <w:bidi w:val="0"/>
              <w:adjustRightInd w:val="0"/>
              <w:snapToGrid w:val="0"/>
              <w:jc w:val="center"/>
              <w:rPr>
                <w:rFonts w:hint="eastAsia" w:ascii="宋体" w:hAnsi="宋体" w:eastAsia="宋体" w:cs="宋体"/>
                <w:spacing w:val="-7"/>
                <w:sz w:val="21"/>
                <w:szCs w:val="21"/>
                <w:highlight w:val="none"/>
                <w:lang w:val="en-US" w:eastAsia="zh-CN"/>
              </w:rPr>
            </w:pPr>
            <w:r>
              <w:rPr>
                <w:rFonts w:hint="eastAsia" w:ascii="宋体" w:hAnsi="宋体" w:eastAsia="宋体" w:cs="宋体"/>
                <w:sz w:val="21"/>
                <w:szCs w:val="21"/>
                <w:highlight w:val="none"/>
                <w:lang w:bidi="ar"/>
              </w:rPr>
              <w:t>1</w:t>
            </w:r>
            <w:r>
              <w:rPr>
                <w:rFonts w:hint="eastAsia" w:ascii="宋体" w:hAnsi="宋体" w:eastAsia="宋体" w:cs="宋体"/>
                <w:sz w:val="21"/>
                <w:szCs w:val="21"/>
                <w:highlight w:val="none"/>
                <w:lang w:val="en-US" w:eastAsia="zh-CN" w:bidi="ar"/>
              </w:rPr>
              <w:t>2</w:t>
            </w:r>
            <w:r>
              <w:rPr>
                <w:rFonts w:hint="eastAsia" w:ascii="宋体" w:hAnsi="宋体" w:eastAsia="宋体" w:cs="宋体"/>
                <w:sz w:val="21"/>
                <w:szCs w:val="21"/>
                <w:highlight w:val="none"/>
                <w:lang w:bidi="ar"/>
              </w:rPr>
              <w:t>分</w:t>
            </w:r>
          </w:p>
        </w:tc>
      </w:tr>
      <w:tr w14:paraId="4C233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5" w:hRule="atLeast"/>
          <w:jc w:val="center"/>
        </w:trPr>
        <w:tc>
          <w:tcPr>
            <w:tcW w:w="854" w:type="dxa"/>
            <w:gridSpan w:val="2"/>
            <w:vMerge w:val="continue"/>
            <w:vAlign w:val="top"/>
          </w:tcPr>
          <w:p w14:paraId="6E3DA609">
            <w:pPr>
              <w:pStyle w:val="63"/>
              <w:keepNext w:val="0"/>
              <w:keepLines w:val="0"/>
              <w:pageBreakBefore w:val="0"/>
              <w:widowControl w:val="0"/>
              <w:wordWrap/>
              <w:overflowPunct/>
              <w:topLinePunct w:val="0"/>
              <w:autoSpaceDN w:val="0"/>
              <w:bidi w:val="0"/>
              <w:spacing w:before="68" w:line="182" w:lineRule="auto"/>
              <w:ind w:left="384" w:leftChars="0"/>
              <w:rPr>
                <w:rFonts w:hint="eastAsia" w:ascii="宋体" w:hAnsi="宋体" w:eastAsia="宋体" w:cs="宋体"/>
                <w:sz w:val="22"/>
                <w:szCs w:val="22"/>
                <w:highlight w:val="none"/>
                <w:lang w:val="en-US" w:eastAsia="zh-CN"/>
              </w:rPr>
            </w:pPr>
          </w:p>
        </w:tc>
        <w:tc>
          <w:tcPr>
            <w:tcW w:w="1240" w:type="dxa"/>
            <w:gridSpan w:val="3"/>
            <w:vAlign w:val="center"/>
          </w:tcPr>
          <w:p w14:paraId="39DEF755">
            <w:pPr>
              <w:keepNext w:val="0"/>
              <w:keepLines w:val="0"/>
              <w:pageBreakBefore w:val="0"/>
              <w:widowControl w:val="0"/>
              <w:wordWrap/>
              <w:overflowPunct/>
              <w:topLinePunct w:val="0"/>
              <w:autoSpaceDN w:val="0"/>
              <w:bidi w:val="0"/>
              <w:adjustRightInd w:val="0"/>
              <w:snapToGrid w:val="0"/>
              <w:jc w:val="center"/>
              <w:rPr>
                <w:rFonts w:hint="eastAsia" w:ascii="宋体" w:hAnsi="宋体" w:eastAsia="宋体" w:cs="宋体"/>
                <w:sz w:val="22"/>
                <w:szCs w:val="22"/>
                <w:highlight w:val="none"/>
                <w:lang w:val="en-US" w:eastAsia="zh-CN" w:bidi="ar"/>
              </w:rPr>
            </w:pPr>
            <w:r>
              <w:rPr>
                <w:rFonts w:hint="eastAsia" w:ascii="宋体" w:hAnsi="宋体" w:eastAsia="宋体" w:cs="宋体"/>
                <w:sz w:val="22"/>
                <w:szCs w:val="22"/>
                <w:highlight w:val="none"/>
                <w:lang w:val="en-US" w:eastAsia="zh-CN" w:bidi="ar"/>
              </w:rPr>
              <w:t>2</w:t>
            </w:r>
          </w:p>
        </w:tc>
        <w:tc>
          <w:tcPr>
            <w:tcW w:w="1240" w:type="dxa"/>
            <w:shd w:val="clear" w:color="auto" w:fill="auto"/>
            <w:vAlign w:val="center"/>
          </w:tcPr>
          <w:p w14:paraId="1BC6BA2A">
            <w:pPr>
              <w:keepNext w:val="0"/>
              <w:keepLines w:val="0"/>
              <w:pageBreakBefore w:val="0"/>
              <w:widowControl w:val="0"/>
              <w:kinsoku/>
              <w:wordWrap/>
              <w:overflowPunct/>
              <w:topLinePunct w:val="0"/>
              <w:autoSpaceDN w:val="0"/>
              <w:bidi w:val="0"/>
              <w:spacing w:line="340" w:lineRule="exact"/>
              <w:jc w:val="center"/>
              <w:textAlignment w:val="auto"/>
              <w:rPr>
                <w:rFonts w:hint="eastAsia" w:ascii="宋体" w:hAnsi="宋体" w:eastAsia="宋体" w:cs="宋体"/>
                <w:sz w:val="22"/>
                <w:szCs w:val="22"/>
                <w:highlight w:val="none"/>
                <w:lang w:val="en-US" w:eastAsia="en-US" w:bidi="ar"/>
              </w:rPr>
            </w:pPr>
            <w:r>
              <w:rPr>
                <w:rFonts w:hint="eastAsia" w:ascii="宋体" w:hAnsi="宋体" w:eastAsia="宋体" w:cs="宋体"/>
                <w:color w:val="auto"/>
                <w:kern w:val="0"/>
                <w:sz w:val="22"/>
                <w:szCs w:val="22"/>
                <w:highlight w:val="none"/>
              </w:rPr>
              <w:t>供货进度和质量保证措施</w:t>
            </w:r>
          </w:p>
        </w:tc>
        <w:tc>
          <w:tcPr>
            <w:tcW w:w="6219" w:type="dxa"/>
            <w:shd w:val="clear" w:color="auto" w:fill="auto"/>
            <w:vAlign w:val="center"/>
          </w:tcPr>
          <w:p w14:paraId="7E6B1B4F">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供货进度和质量保证措施包括但不仅限于：</w:t>
            </w:r>
          </w:p>
          <w:p w14:paraId="6D777B6A">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①供货进度保障措施；</w:t>
            </w:r>
          </w:p>
          <w:p w14:paraId="542DF40D">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②供货质量保障措施；</w:t>
            </w:r>
          </w:p>
          <w:p w14:paraId="3A6D5756">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③质量保证承诺；</w:t>
            </w:r>
          </w:p>
          <w:p w14:paraId="3FBA07F2">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④质量保证体系</w:t>
            </w:r>
            <w:r>
              <w:rPr>
                <w:rFonts w:hint="eastAsia" w:ascii="宋体" w:hAnsi="宋体" w:eastAsia="宋体" w:cs="宋体"/>
                <w:sz w:val="22"/>
                <w:szCs w:val="22"/>
                <w:highlight w:val="none"/>
                <w:lang w:val="en-US" w:eastAsia="zh-CN"/>
              </w:rPr>
              <w:t>。</w:t>
            </w:r>
          </w:p>
          <w:p w14:paraId="187069F9">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rPr>
              <w:t>对</w:t>
            </w:r>
            <w:r>
              <w:rPr>
                <w:rFonts w:hint="eastAsia" w:ascii="宋体" w:hAnsi="宋体" w:eastAsia="宋体" w:cs="宋体"/>
                <w:b/>
                <w:bCs/>
                <w:sz w:val="22"/>
                <w:szCs w:val="22"/>
                <w:highlight w:val="none"/>
                <w:lang w:val="zh-CN"/>
              </w:rPr>
              <w:t>以上</w:t>
            </w:r>
            <w:r>
              <w:rPr>
                <w:rFonts w:hint="eastAsia" w:ascii="宋体" w:hAnsi="宋体" w:eastAsia="宋体" w:cs="宋体"/>
                <w:b/>
                <w:bCs/>
                <w:sz w:val="22"/>
                <w:szCs w:val="22"/>
                <w:highlight w:val="none"/>
                <w:lang w:val="en-US" w:eastAsia="zh-CN"/>
              </w:rPr>
              <w:t>4</w:t>
            </w:r>
            <w:r>
              <w:rPr>
                <w:rFonts w:hint="eastAsia" w:ascii="宋体" w:hAnsi="宋体" w:eastAsia="宋体" w:cs="宋体"/>
                <w:b/>
                <w:bCs/>
                <w:sz w:val="22"/>
                <w:szCs w:val="22"/>
                <w:highlight w:val="none"/>
                <w:lang w:val="zh-CN"/>
              </w:rPr>
              <w:t>项方案进行阐述，</w:t>
            </w:r>
            <w:r>
              <w:rPr>
                <w:rFonts w:hint="eastAsia" w:ascii="宋体" w:hAnsi="宋体" w:eastAsia="宋体" w:cs="宋体"/>
                <w:b/>
                <w:bCs/>
                <w:sz w:val="22"/>
                <w:szCs w:val="22"/>
                <w:highlight w:val="none"/>
              </w:rPr>
              <w:t>每提供一小项内容适用于项目且无缺失的方案</w:t>
            </w:r>
            <w:r>
              <w:rPr>
                <w:rFonts w:hint="eastAsia" w:ascii="宋体" w:hAnsi="宋体" w:eastAsia="宋体" w:cs="宋体"/>
                <w:b/>
                <w:bCs/>
                <w:sz w:val="22"/>
                <w:szCs w:val="22"/>
                <w:highlight w:val="none"/>
                <w:lang w:val="en-US" w:eastAsia="zh-CN"/>
              </w:rPr>
              <w:t>得3</w:t>
            </w:r>
            <w:r>
              <w:rPr>
                <w:rFonts w:hint="eastAsia" w:ascii="宋体" w:hAnsi="宋体" w:eastAsia="宋体" w:cs="宋体"/>
                <w:b/>
                <w:bCs/>
                <w:sz w:val="22"/>
                <w:szCs w:val="22"/>
                <w:highlight w:val="none"/>
              </w:rPr>
              <w:t>分，方案有缺失的得</w:t>
            </w:r>
            <w:r>
              <w:rPr>
                <w:rFonts w:hint="eastAsia" w:ascii="宋体" w:hAnsi="宋体" w:eastAsia="宋体" w:cs="宋体"/>
                <w:b/>
                <w:bCs/>
                <w:sz w:val="22"/>
                <w:szCs w:val="22"/>
                <w:highlight w:val="none"/>
                <w:lang w:val="en-US" w:eastAsia="zh-CN"/>
              </w:rPr>
              <w:t>1</w:t>
            </w:r>
            <w:r>
              <w:rPr>
                <w:rFonts w:hint="eastAsia" w:ascii="宋体" w:hAnsi="宋体" w:eastAsia="宋体" w:cs="宋体"/>
                <w:b/>
                <w:bCs/>
                <w:sz w:val="22"/>
                <w:szCs w:val="22"/>
                <w:highlight w:val="none"/>
              </w:rPr>
              <w:t>分，不提供不得分，满分</w:t>
            </w:r>
            <w:r>
              <w:rPr>
                <w:rFonts w:hint="eastAsia" w:ascii="宋体" w:hAnsi="宋体" w:eastAsia="宋体" w:cs="宋体"/>
                <w:b/>
                <w:bCs/>
                <w:sz w:val="22"/>
                <w:szCs w:val="22"/>
                <w:highlight w:val="none"/>
                <w:lang w:val="en-US" w:eastAsia="zh-CN"/>
              </w:rPr>
              <w:t>12</w:t>
            </w:r>
            <w:r>
              <w:rPr>
                <w:rFonts w:hint="eastAsia" w:ascii="宋体" w:hAnsi="宋体" w:eastAsia="宋体" w:cs="宋体"/>
                <w:b/>
                <w:bCs/>
                <w:sz w:val="22"/>
                <w:szCs w:val="22"/>
                <w:highlight w:val="none"/>
              </w:rPr>
              <w:t>分</w:t>
            </w:r>
            <w:r>
              <w:rPr>
                <w:rFonts w:hint="eastAsia" w:ascii="宋体" w:hAnsi="宋体" w:eastAsia="宋体" w:cs="宋体"/>
                <w:b/>
                <w:bCs/>
                <w:sz w:val="22"/>
                <w:szCs w:val="22"/>
                <w:highlight w:val="none"/>
                <w:lang w:val="en-US" w:eastAsia="zh-CN"/>
              </w:rPr>
              <w:t>。</w:t>
            </w:r>
          </w:p>
          <w:p w14:paraId="034AE7D5">
            <w:pPr>
              <w:keepNext w:val="0"/>
              <w:keepLines w:val="0"/>
              <w:pageBreakBefore w:val="0"/>
              <w:widowControl w:val="0"/>
              <w:numPr>
                <w:ilvl w:val="0"/>
                <w:numId w:val="0"/>
              </w:numPr>
              <w:wordWrap/>
              <w:overflowPunct/>
              <w:topLinePunct w:val="0"/>
              <w:autoSpaceDN w:val="0"/>
              <w:bidi w:val="0"/>
              <w:spacing w:line="276" w:lineRule="auto"/>
              <w:ind w:left="0" w:leftChars="0" w:firstLine="0" w:firstLineChars="0"/>
              <w:rPr>
                <w:rFonts w:hint="eastAsia" w:ascii="宋体" w:hAnsi="宋体" w:eastAsia="宋体" w:cs="宋体"/>
                <w:sz w:val="22"/>
                <w:szCs w:val="22"/>
                <w:highlight w:val="none"/>
                <w:lang w:val="en-US" w:eastAsia="en-US" w:bidi="ar-SA"/>
              </w:rPr>
            </w:pPr>
            <w:r>
              <w:rPr>
                <w:rFonts w:hint="eastAsia" w:ascii="宋体" w:hAnsi="宋体" w:eastAsia="宋体" w:cs="宋体"/>
                <w:b/>
                <w:bCs/>
                <w:sz w:val="22"/>
                <w:szCs w:val="22"/>
                <w:highlight w:val="none"/>
                <w:lang w:val="en-US" w:eastAsia="zh-CN"/>
              </w:rPr>
              <w:t>（缺失是指：不符合实际，存在偏离内容、内容前后不一致、文不对题、前后逻辑错误、内容缺失有瑕疵、无具体流程细节描述之处）</w:t>
            </w:r>
          </w:p>
        </w:tc>
        <w:tc>
          <w:tcPr>
            <w:tcW w:w="821" w:type="dxa"/>
            <w:shd w:val="clear" w:color="auto" w:fill="auto"/>
            <w:vAlign w:val="center"/>
          </w:tcPr>
          <w:p w14:paraId="013A8076">
            <w:pPr>
              <w:keepNext w:val="0"/>
              <w:keepLines w:val="0"/>
              <w:pageBreakBefore w:val="0"/>
              <w:widowControl w:val="0"/>
              <w:kinsoku/>
              <w:wordWrap/>
              <w:overflowPunct/>
              <w:topLinePunct w:val="0"/>
              <w:autoSpaceDN w:val="0"/>
              <w:bidi w:val="0"/>
              <w:spacing w:line="340" w:lineRule="exact"/>
              <w:jc w:val="center"/>
              <w:textAlignment w:val="auto"/>
              <w:rPr>
                <w:rFonts w:hint="eastAsia" w:ascii="宋体" w:hAnsi="宋体" w:eastAsia="宋体" w:cs="宋体"/>
                <w:sz w:val="21"/>
                <w:szCs w:val="21"/>
                <w:highlight w:val="none"/>
                <w:lang w:val="en-US" w:eastAsia="en-US" w:bidi="ar"/>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2分</w:t>
            </w:r>
          </w:p>
        </w:tc>
      </w:tr>
      <w:tr w14:paraId="02EB7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jc w:val="center"/>
        </w:trPr>
        <w:tc>
          <w:tcPr>
            <w:tcW w:w="854" w:type="dxa"/>
            <w:gridSpan w:val="2"/>
            <w:vMerge w:val="continue"/>
            <w:vAlign w:val="top"/>
          </w:tcPr>
          <w:p w14:paraId="380E796F">
            <w:pPr>
              <w:pStyle w:val="63"/>
              <w:keepNext w:val="0"/>
              <w:keepLines w:val="0"/>
              <w:pageBreakBefore w:val="0"/>
              <w:widowControl w:val="0"/>
              <w:wordWrap/>
              <w:overflowPunct/>
              <w:topLinePunct w:val="0"/>
              <w:autoSpaceDN w:val="0"/>
              <w:bidi w:val="0"/>
              <w:spacing w:before="68" w:line="182" w:lineRule="auto"/>
              <w:ind w:left="384" w:leftChars="0"/>
              <w:rPr>
                <w:rFonts w:hint="eastAsia" w:ascii="宋体" w:hAnsi="宋体" w:eastAsia="宋体" w:cs="宋体"/>
                <w:sz w:val="22"/>
                <w:szCs w:val="22"/>
                <w:highlight w:val="none"/>
                <w:lang w:val="en-US" w:eastAsia="zh-CN"/>
              </w:rPr>
            </w:pPr>
          </w:p>
        </w:tc>
        <w:tc>
          <w:tcPr>
            <w:tcW w:w="1240" w:type="dxa"/>
            <w:gridSpan w:val="3"/>
            <w:vAlign w:val="center"/>
          </w:tcPr>
          <w:p w14:paraId="0BF1885F">
            <w:pPr>
              <w:keepNext w:val="0"/>
              <w:keepLines w:val="0"/>
              <w:pageBreakBefore w:val="0"/>
              <w:widowControl w:val="0"/>
              <w:kinsoku/>
              <w:wordWrap/>
              <w:overflowPunct/>
              <w:topLinePunct w:val="0"/>
              <w:autoSpaceDN w:val="0"/>
              <w:bidi w:val="0"/>
              <w:spacing w:line="34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tc>
        <w:tc>
          <w:tcPr>
            <w:tcW w:w="1240" w:type="dxa"/>
            <w:shd w:val="clear" w:color="auto" w:fill="auto"/>
            <w:vAlign w:val="center"/>
          </w:tcPr>
          <w:p w14:paraId="1622E660">
            <w:pPr>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bCs/>
                <w:color w:val="auto"/>
                <w:sz w:val="22"/>
                <w:szCs w:val="22"/>
                <w:highlight w:val="none"/>
                <w:lang w:val="en-US" w:eastAsia="zh-CN"/>
              </w:rPr>
              <w:t>安装调试方案</w:t>
            </w:r>
          </w:p>
        </w:tc>
        <w:tc>
          <w:tcPr>
            <w:tcW w:w="6219" w:type="dxa"/>
            <w:shd w:val="clear" w:color="auto" w:fill="auto"/>
            <w:vAlign w:val="center"/>
          </w:tcPr>
          <w:p w14:paraId="41A5151E">
            <w:pPr>
              <w:spacing w:line="32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zh-CN" w:eastAsia="zh-CN"/>
              </w:rPr>
              <w:t>针对本项目</w:t>
            </w:r>
            <w:r>
              <w:rPr>
                <w:rFonts w:hint="eastAsia" w:ascii="宋体" w:hAnsi="宋体" w:eastAsia="宋体" w:cs="宋体"/>
                <w:color w:val="auto"/>
                <w:sz w:val="22"/>
                <w:szCs w:val="22"/>
                <w:highlight w:val="none"/>
                <w:lang w:val="en-US" w:eastAsia="zh-CN"/>
              </w:rPr>
              <w:t>提供</w:t>
            </w:r>
            <w:r>
              <w:rPr>
                <w:rFonts w:hint="eastAsia" w:ascii="宋体" w:hAnsi="宋体" w:eastAsia="宋体" w:cs="宋体"/>
                <w:color w:val="auto"/>
                <w:sz w:val="22"/>
                <w:szCs w:val="22"/>
                <w:highlight w:val="none"/>
                <w:lang w:val="zh-CN" w:eastAsia="zh-CN"/>
              </w:rPr>
              <w:t>安装调试方案，</w:t>
            </w:r>
            <w:r>
              <w:rPr>
                <w:rFonts w:hint="eastAsia" w:ascii="宋体" w:hAnsi="宋体" w:eastAsia="宋体" w:cs="宋体"/>
                <w:color w:val="auto"/>
                <w:sz w:val="22"/>
                <w:szCs w:val="22"/>
                <w:highlight w:val="none"/>
                <w:lang w:eastAsia="zh-CN"/>
              </w:rPr>
              <w:t>包含</w:t>
            </w:r>
            <w:r>
              <w:rPr>
                <w:rFonts w:hint="eastAsia" w:ascii="宋体" w:hAnsi="宋体" w:eastAsia="宋体" w:cs="宋体"/>
                <w:color w:val="auto"/>
                <w:sz w:val="22"/>
                <w:szCs w:val="22"/>
                <w:highlight w:val="none"/>
                <w:lang w:val="zh-CN" w:eastAsia="zh-CN"/>
              </w:rPr>
              <w:t>但不限于以下方面：</w:t>
            </w:r>
            <w:r>
              <w:rPr>
                <w:rFonts w:hint="eastAsia" w:ascii="宋体" w:hAnsi="宋体" w:eastAsia="宋体" w:cs="宋体"/>
                <w:color w:val="auto"/>
                <w:sz w:val="22"/>
                <w:szCs w:val="22"/>
                <w:highlight w:val="none"/>
                <w:lang w:eastAsia="zh-CN"/>
              </w:rPr>
              <w:t xml:space="preserve"> </w:t>
            </w:r>
          </w:p>
          <w:p w14:paraId="60ED9916">
            <w:pPr>
              <w:numPr>
                <w:ilvl w:val="0"/>
                <w:numId w:val="0"/>
              </w:numPr>
              <w:spacing w:line="320" w:lineRule="exac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lang w:val="zh-CN" w:eastAsia="zh-CN"/>
              </w:rPr>
              <w:t>安装方案；</w:t>
            </w:r>
          </w:p>
          <w:p w14:paraId="100A0F35">
            <w:pPr>
              <w:numPr>
                <w:ilvl w:val="0"/>
                <w:numId w:val="0"/>
              </w:numPr>
              <w:spacing w:line="320" w:lineRule="exac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②</w:t>
            </w:r>
            <w:r>
              <w:rPr>
                <w:rFonts w:hint="eastAsia" w:ascii="宋体" w:hAnsi="宋体" w:eastAsia="宋体" w:cs="宋体"/>
                <w:color w:val="auto"/>
                <w:sz w:val="22"/>
                <w:szCs w:val="22"/>
                <w:highlight w:val="none"/>
                <w:lang w:val="zh-CN" w:eastAsia="zh-CN"/>
              </w:rPr>
              <w:t>调试方案</w:t>
            </w:r>
            <w:r>
              <w:rPr>
                <w:rFonts w:hint="eastAsia" w:ascii="宋体" w:hAnsi="宋体" w:eastAsia="宋体" w:cs="宋体"/>
                <w:color w:val="auto"/>
                <w:sz w:val="22"/>
                <w:szCs w:val="22"/>
                <w:highlight w:val="none"/>
                <w:lang w:eastAsia="zh-CN"/>
              </w:rPr>
              <w:t>；</w:t>
            </w:r>
          </w:p>
          <w:p w14:paraId="7308386C">
            <w:pPr>
              <w:numPr>
                <w:ilvl w:val="0"/>
                <w:numId w:val="0"/>
              </w:numPr>
              <w:spacing w:line="32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③</w:t>
            </w:r>
            <w:r>
              <w:rPr>
                <w:rFonts w:hint="eastAsia" w:ascii="宋体" w:hAnsi="宋体" w:eastAsia="宋体" w:cs="宋体"/>
                <w:color w:val="auto"/>
                <w:sz w:val="22"/>
                <w:szCs w:val="22"/>
                <w:highlight w:val="none"/>
                <w:lang w:val="zh-CN" w:eastAsia="zh-CN"/>
              </w:rPr>
              <w:t>验收方案；</w:t>
            </w:r>
          </w:p>
          <w:p w14:paraId="37981422">
            <w:pPr>
              <w:numPr>
                <w:ilvl w:val="0"/>
                <w:numId w:val="0"/>
              </w:numPr>
              <w:spacing w:line="32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④维修方案；</w:t>
            </w:r>
          </w:p>
          <w:p w14:paraId="50F210AA">
            <w:pPr>
              <w:numPr>
                <w:ilvl w:val="0"/>
                <w:numId w:val="0"/>
              </w:numPr>
              <w:spacing w:line="32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⑤更换方案</w:t>
            </w:r>
            <w:r>
              <w:rPr>
                <w:rFonts w:hint="eastAsia" w:ascii="宋体" w:hAnsi="宋体" w:eastAsia="宋体" w:cs="宋体"/>
                <w:color w:val="auto"/>
                <w:sz w:val="22"/>
                <w:szCs w:val="22"/>
                <w:highlight w:val="none"/>
                <w:lang w:eastAsia="zh-CN"/>
              </w:rPr>
              <w:t>等。</w:t>
            </w:r>
          </w:p>
          <w:p w14:paraId="35D3CB27">
            <w:pPr>
              <w:keepNext w:val="0"/>
              <w:keepLines w:val="0"/>
              <w:widowControl/>
              <w:suppressLineNumbers w:val="0"/>
              <w:spacing w:line="240" w:lineRule="auto"/>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b/>
                <w:color w:val="auto"/>
                <w:sz w:val="22"/>
                <w:szCs w:val="22"/>
                <w:highlight w:val="none"/>
              </w:rPr>
              <w:t>对</w:t>
            </w:r>
            <w:r>
              <w:rPr>
                <w:rFonts w:hint="eastAsia" w:ascii="宋体" w:hAnsi="宋体" w:eastAsia="宋体" w:cs="宋体"/>
                <w:b/>
                <w:color w:val="auto"/>
                <w:sz w:val="22"/>
                <w:szCs w:val="22"/>
                <w:highlight w:val="none"/>
                <w:lang w:val="zh-CN"/>
              </w:rPr>
              <w:t>以上</w:t>
            </w:r>
            <w:r>
              <w:rPr>
                <w:rFonts w:hint="eastAsia" w:ascii="宋体" w:hAnsi="宋体" w:eastAsia="宋体" w:cs="宋体"/>
                <w:b/>
                <w:color w:val="auto"/>
                <w:sz w:val="22"/>
                <w:szCs w:val="22"/>
                <w:highlight w:val="none"/>
                <w:lang w:val="en-US" w:eastAsia="zh-CN"/>
              </w:rPr>
              <w:t>5</w:t>
            </w:r>
            <w:r>
              <w:rPr>
                <w:rFonts w:hint="eastAsia" w:ascii="宋体" w:hAnsi="宋体" w:eastAsia="宋体" w:cs="宋体"/>
                <w:b/>
                <w:color w:val="auto"/>
                <w:sz w:val="22"/>
                <w:szCs w:val="22"/>
                <w:highlight w:val="none"/>
                <w:lang w:val="zh-CN"/>
              </w:rPr>
              <w:t>项方案进行阐述，</w:t>
            </w:r>
            <w:r>
              <w:rPr>
                <w:rFonts w:hint="eastAsia" w:ascii="宋体" w:hAnsi="宋体" w:eastAsia="宋体" w:cs="宋体"/>
                <w:b/>
                <w:color w:val="auto"/>
                <w:sz w:val="22"/>
                <w:szCs w:val="22"/>
                <w:highlight w:val="none"/>
              </w:rPr>
              <w:t>每提供一小项内容适用于项目且无缺失的方案</w:t>
            </w: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分，方案有缺失的得</w:t>
            </w:r>
            <w:r>
              <w:rPr>
                <w:rFonts w:hint="eastAsia" w:ascii="宋体" w:hAnsi="宋体" w:eastAsia="宋体" w:cs="宋体"/>
                <w:b/>
                <w:color w:val="auto"/>
                <w:sz w:val="22"/>
                <w:szCs w:val="22"/>
                <w:highlight w:val="none"/>
                <w:lang w:val="en-US" w:eastAsia="zh-CN"/>
              </w:rPr>
              <w:t>0.5</w:t>
            </w:r>
            <w:r>
              <w:rPr>
                <w:rFonts w:hint="eastAsia" w:ascii="宋体" w:hAnsi="宋体" w:eastAsia="宋体" w:cs="宋体"/>
                <w:b/>
                <w:color w:val="auto"/>
                <w:sz w:val="22"/>
                <w:szCs w:val="22"/>
                <w:highlight w:val="none"/>
              </w:rPr>
              <w:t>分，不提供不得分，满分</w:t>
            </w:r>
            <w:r>
              <w:rPr>
                <w:rFonts w:hint="eastAsia" w:ascii="宋体" w:hAnsi="宋体" w:eastAsia="宋体" w:cs="宋体"/>
                <w:b/>
                <w:color w:val="auto"/>
                <w:sz w:val="22"/>
                <w:szCs w:val="22"/>
                <w:highlight w:val="none"/>
                <w:lang w:val="en-US" w:eastAsia="zh-CN"/>
              </w:rPr>
              <w:t>5</w:t>
            </w:r>
            <w:r>
              <w:rPr>
                <w:rFonts w:hint="eastAsia" w:ascii="宋体" w:hAnsi="宋体" w:eastAsia="宋体" w:cs="宋体"/>
                <w:b/>
                <w:color w:val="auto"/>
                <w:sz w:val="22"/>
                <w:szCs w:val="22"/>
                <w:highlight w:val="none"/>
              </w:rPr>
              <w:t>分</w:t>
            </w:r>
            <w:r>
              <w:rPr>
                <w:rFonts w:hint="eastAsia" w:ascii="宋体" w:hAnsi="宋体" w:eastAsia="宋体" w:cs="宋体"/>
                <w:color w:val="auto"/>
                <w:kern w:val="0"/>
                <w:sz w:val="22"/>
                <w:szCs w:val="22"/>
                <w:highlight w:val="none"/>
                <w:lang w:val="en-US" w:eastAsia="zh-CN"/>
              </w:rPr>
              <w:t>。</w:t>
            </w:r>
          </w:p>
          <w:p w14:paraId="54E15C6A">
            <w:pPr>
              <w:widowControl/>
              <w:spacing w:line="360" w:lineRule="exact"/>
              <w:jc w:val="left"/>
              <w:rPr>
                <w:rFonts w:hint="eastAsia" w:ascii="宋体" w:hAnsi="宋体" w:eastAsia="宋体" w:cs="宋体"/>
                <w:color w:val="auto"/>
                <w:sz w:val="22"/>
                <w:szCs w:val="22"/>
                <w:highlight w:val="none"/>
                <w:lang w:val="en-US" w:eastAsia="en-US" w:bidi="ar-SA"/>
              </w:rPr>
            </w:pPr>
            <w:r>
              <w:rPr>
                <w:rFonts w:hint="eastAsia" w:ascii="宋体" w:hAnsi="宋体" w:eastAsia="宋体" w:cs="宋体"/>
                <w:b/>
                <w:bCs/>
                <w:color w:val="auto"/>
                <w:kern w:val="0"/>
                <w:sz w:val="22"/>
                <w:szCs w:val="22"/>
                <w:highlight w:val="none"/>
                <w:lang w:val="en-US" w:eastAsia="zh-CN"/>
              </w:rPr>
              <w:t>（缺失是指：不符合实际，存在偏离内容、内容前后不一致、文不对题、前后逻辑错误、内容缺失有瑕疵、无具体流程细节描述之处）</w:t>
            </w:r>
          </w:p>
        </w:tc>
        <w:tc>
          <w:tcPr>
            <w:tcW w:w="821" w:type="dxa"/>
            <w:shd w:val="clear" w:color="auto" w:fill="auto"/>
            <w:vAlign w:val="center"/>
          </w:tcPr>
          <w:p w14:paraId="6652C39E">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r>
      <w:tr w14:paraId="016A8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1240" w:type="dxa"/>
            <w:gridSpan w:val="3"/>
            <w:vAlign w:val="top"/>
          </w:tcPr>
          <w:p w14:paraId="3B74AA2D">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rPr>
            </w:pPr>
          </w:p>
        </w:tc>
        <w:tc>
          <w:tcPr>
            <w:tcW w:w="9134" w:type="dxa"/>
            <w:gridSpan w:val="5"/>
            <w:vAlign w:val="top"/>
          </w:tcPr>
          <w:p w14:paraId="00FF1598">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（二）</w:t>
            </w:r>
            <w:r>
              <w:rPr>
                <w:rFonts w:hint="eastAsia" w:ascii="宋体" w:hAnsi="宋体" w:eastAsia="宋体" w:cs="宋体"/>
                <w:sz w:val="22"/>
                <w:szCs w:val="22"/>
                <w:highlight w:val="none"/>
                <w:lang w:val="en-US" w:eastAsia="zh-CN"/>
              </w:rPr>
              <w:t>商务</w:t>
            </w:r>
            <w:r>
              <w:rPr>
                <w:rFonts w:hint="eastAsia" w:ascii="宋体" w:hAnsi="宋体" w:eastAsia="宋体" w:cs="宋体"/>
                <w:sz w:val="22"/>
                <w:szCs w:val="22"/>
                <w:highlight w:val="none"/>
              </w:rPr>
              <w:t>评分（</w:t>
            </w:r>
            <w:r>
              <w:rPr>
                <w:rFonts w:hint="eastAsia" w:ascii="宋体" w:hAnsi="宋体" w:eastAsia="宋体" w:cs="宋体"/>
                <w:sz w:val="22"/>
                <w:szCs w:val="22"/>
                <w:highlight w:val="none"/>
                <w:lang w:val="en-US" w:eastAsia="zh-CN"/>
              </w:rPr>
              <w:t>25</w:t>
            </w:r>
            <w:r>
              <w:rPr>
                <w:rFonts w:hint="eastAsia" w:ascii="宋体" w:hAnsi="宋体" w:eastAsia="宋体" w:cs="宋体"/>
                <w:sz w:val="22"/>
                <w:szCs w:val="22"/>
                <w:highlight w:val="none"/>
              </w:rPr>
              <w:t>.00 分）</w:t>
            </w:r>
          </w:p>
        </w:tc>
      </w:tr>
      <w:tr w14:paraId="72239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8" w:hRule="atLeast"/>
          <w:jc w:val="center"/>
        </w:trPr>
        <w:tc>
          <w:tcPr>
            <w:tcW w:w="831" w:type="dxa"/>
            <w:vMerge w:val="restart"/>
            <w:vAlign w:val="center"/>
          </w:tcPr>
          <w:p w14:paraId="774697FB">
            <w:pPr>
              <w:pStyle w:val="63"/>
              <w:keepNext w:val="0"/>
              <w:keepLines w:val="0"/>
              <w:pageBreakBefore w:val="0"/>
              <w:widowControl w:val="0"/>
              <w:wordWrap/>
              <w:overflowPunct/>
              <w:topLinePunct w:val="0"/>
              <w:autoSpaceDN w:val="0"/>
              <w:bidi w:val="0"/>
              <w:spacing w:before="68" w:line="183"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商务部分</w:t>
            </w:r>
          </w:p>
          <w:p w14:paraId="160A646B">
            <w:pPr>
              <w:pStyle w:val="63"/>
              <w:keepNext w:val="0"/>
              <w:keepLines w:val="0"/>
              <w:pageBreakBefore w:val="0"/>
              <w:widowControl w:val="0"/>
              <w:wordWrap/>
              <w:overflowPunct/>
              <w:topLinePunct w:val="0"/>
              <w:autoSpaceDN w:val="0"/>
              <w:bidi w:val="0"/>
              <w:spacing w:before="68" w:line="183" w:lineRule="auto"/>
              <w:jc w:val="center"/>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z w:val="22"/>
                <w:szCs w:val="22"/>
                <w:highlight w:val="none"/>
                <w:lang w:val="en-US" w:eastAsia="zh-CN"/>
              </w:rPr>
              <w:t>（25分）</w:t>
            </w:r>
          </w:p>
        </w:tc>
        <w:tc>
          <w:tcPr>
            <w:tcW w:w="1240" w:type="dxa"/>
            <w:gridSpan w:val="3"/>
            <w:vAlign w:val="center"/>
          </w:tcPr>
          <w:p w14:paraId="6C4ED07B">
            <w:pPr>
              <w:pStyle w:val="63"/>
              <w:keepNext w:val="0"/>
              <w:keepLines w:val="0"/>
              <w:pageBreakBefore w:val="0"/>
              <w:widowControl w:val="0"/>
              <w:wordWrap/>
              <w:overflowPunct/>
              <w:topLinePunct w:val="0"/>
              <w:autoSpaceDN w:val="0"/>
              <w:bidi w:val="0"/>
              <w:spacing w:before="68" w:line="221" w:lineRule="auto"/>
              <w:jc w:val="center"/>
              <w:rPr>
                <w:rFonts w:hint="eastAsia" w:ascii="宋体" w:hAnsi="宋体" w:eastAsia="宋体" w:cs="宋体"/>
                <w:spacing w:val="-12"/>
                <w:sz w:val="22"/>
                <w:szCs w:val="22"/>
                <w:highlight w:val="none"/>
                <w:lang w:val="en-US" w:eastAsia="zh-CN"/>
              </w:rPr>
            </w:pPr>
            <w:r>
              <w:rPr>
                <w:rFonts w:hint="eastAsia" w:ascii="宋体" w:hAnsi="宋体" w:eastAsia="宋体" w:cs="宋体"/>
                <w:spacing w:val="-12"/>
                <w:sz w:val="22"/>
                <w:szCs w:val="22"/>
                <w:highlight w:val="none"/>
                <w:lang w:val="en-US" w:eastAsia="zh-CN"/>
              </w:rPr>
              <w:t>1</w:t>
            </w:r>
          </w:p>
        </w:tc>
        <w:tc>
          <w:tcPr>
            <w:tcW w:w="1263" w:type="dxa"/>
            <w:gridSpan w:val="2"/>
            <w:vAlign w:val="center"/>
          </w:tcPr>
          <w:p w14:paraId="3EF1AF72">
            <w:pPr>
              <w:pStyle w:val="63"/>
              <w:keepNext w:val="0"/>
              <w:keepLines w:val="0"/>
              <w:pageBreakBefore w:val="0"/>
              <w:widowControl w:val="0"/>
              <w:wordWrap/>
              <w:overflowPunct/>
              <w:topLinePunct w:val="0"/>
              <w:autoSpaceDN w:val="0"/>
              <w:bidi w:val="0"/>
              <w:spacing w:before="68" w:line="221" w:lineRule="auto"/>
              <w:jc w:val="center"/>
              <w:rPr>
                <w:rFonts w:hint="eastAsia" w:ascii="宋体" w:hAnsi="宋体" w:eastAsia="宋体" w:cs="宋体"/>
                <w:spacing w:val="-7"/>
                <w:sz w:val="22"/>
                <w:szCs w:val="22"/>
                <w:highlight w:val="none"/>
                <w14:textOutline w14:w="3831" w14:cap="flat" w14:cmpd="sng">
                  <w14:solidFill>
                    <w14:srgbClr w14:val="000000"/>
                  </w14:solidFill>
                  <w14:prstDash w14:val="solid"/>
                  <w14:miter w14:val="0"/>
                </w14:textOutline>
              </w:rPr>
            </w:pPr>
            <w:r>
              <w:rPr>
                <w:rFonts w:hint="eastAsia" w:ascii="宋体" w:hAnsi="宋体" w:eastAsia="宋体" w:cs="宋体"/>
                <w:spacing w:val="-12"/>
                <w:sz w:val="22"/>
                <w:szCs w:val="22"/>
                <w:highlight w:val="none"/>
              </w:rPr>
              <w:t>企业实力</w:t>
            </w:r>
          </w:p>
        </w:tc>
        <w:tc>
          <w:tcPr>
            <w:tcW w:w="6219" w:type="dxa"/>
            <w:vAlign w:val="top"/>
          </w:tcPr>
          <w:p w14:paraId="5C96C762">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投标产品</w:t>
            </w:r>
            <w:r>
              <w:rPr>
                <w:rFonts w:hint="eastAsia" w:ascii="宋体" w:hAnsi="宋体" w:eastAsia="宋体" w:cs="宋体"/>
                <w:sz w:val="22"/>
                <w:szCs w:val="22"/>
                <w:highlight w:val="none"/>
              </w:rPr>
              <w:t>具备 ISO 9001 质量管理体系认证证书</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得</w:t>
            </w:r>
            <w:r>
              <w:rPr>
                <w:rFonts w:hint="eastAsia" w:cs="宋体"/>
                <w:sz w:val="22"/>
                <w:szCs w:val="22"/>
                <w:highlight w:val="none"/>
                <w:lang w:val="en-US" w:eastAsia="zh-CN"/>
              </w:rPr>
              <w:t>2</w:t>
            </w:r>
            <w:r>
              <w:rPr>
                <w:rFonts w:hint="eastAsia" w:ascii="宋体" w:hAnsi="宋体" w:eastAsia="宋体" w:cs="宋体"/>
                <w:sz w:val="22"/>
                <w:szCs w:val="22"/>
                <w:highlight w:val="none"/>
                <w:lang w:val="en-US" w:eastAsia="zh-CN"/>
              </w:rPr>
              <w:t>分</w:t>
            </w:r>
            <w:r>
              <w:rPr>
                <w:rFonts w:hint="eastAsia" w:ascii="宋体" w:hAnsi="宋体" w:eastAsia="宋体" w:cs="宋体"/>
                <w:sz w:val="22"/>
                <w:szCs w:val="22"/>
                <w:highlight w:val="none"/>
              </w:rPr>
              <w:t>；</w:t>
            </w:r>
          </w:p>
          <w:p w14:paraId="7CF3EDD1">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2、</w:t>
            </w:r>
            <w:r>
              <w:rPr>
                <w:rFonts w:hint="eastAsia" w:ascii="宋体" w:hAnsi="宋体" w:eastAsia="宋体" w:cs="宋体"/>
                <w:sz w:val="22"/>
                <w:szCs w:val="22"/>
                <w:highlight w:val="none"/>
                <w:lang w:val="en-US" w:eastAsia="zh-CN"/>
              </w:rPr>
              <w:t>投标产品</w:t>
            </w:r>
            <w:r>
              <w:rPr>
                <w:rFonts w:hint="eastAsia" w:ascii="宋体" w:hAnsi="宋体" w:eastAsia="宋体" w:cs="宋体"/>
                <w:sz w:val="22"/>
                <w:szCs w:val="22"/>
                <w:highlight w:val="none"/>
              </w:rPr>
              <w:t>具备 ISO 14001 环境管理体系认证证书</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得</w:t>
            </w:r>
            <w:r>
              <w:rPr>
                <w:rFonts w:hint="eastAsia" w:cs="宋体"/>
                <w:sz w:val="22"/>
                <w:szCs w:val="22"/>
                <w:highlight w:val="none"/>
                <w:lang w:val="en-US" w:eastAsia="zh-CN"/>
              </w:rPr>
              <w:t>2</w:t>
            </w:r>
            <w:r>
              <w:rPr>
                <w:rFonts w:hint="eastAsia" w:ascii="宋体" w:hAnsi="宋体" w:eastAsia="宋体" w:cs="宋体"/>
                <w:sz w:val="22"/>
                <w:szCs w:val="22"/>
                <w:highlight w:val="none"/>
                <w:lang w:val="en-US" w:eastAsia="zh-CN"/>
              </w:rPr>
              <w:t>分</w:t>
            </w:r>
            <w:r>
              <w:rPr>
                <w:rFonts w:hint="eastAsia" w:ascii="宋体" w:hAnsi="宋体" w:eastAsia="宋体" w:cs="宋体"/>
                <w:sz w:val="22"/>
                <w:szCs w:val="22"/>
                <w:highlight w:val="none"/>
              </w:rPr>
              <w:t>；</w:t>
            </w:r>
          </w:p>
          <w:p w14:paraId="144C124F">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3、</w:t>
            </w:r>
            <w:r>
              <w:rPr>
                <w:rFonts w:hint="eastAsia" w:ascii="宋体" w:hAnsi="宋体" w:eastAsia="宋体" w:cs="宋体"/>
                <w:sz w:val="22"/>
                <w:szCs w:val="22"/>
                <w:highlight w:val="none"/>
                <w:lang w:val="en-US" w:eastAsia="zh-CN"/>
              </w:rPr>
              <w:t>投标产品</w:t>
            </w:r>
            <w:r>
              <w:rPr>
                <w:rFonts w:hint="eastAsia" w:ascii="宋体" w:hAnsi="宋体" w:eastAsia="宋体" w:cs="宋体"/>
                <w:sz w:val="22"/>
                <w:szCs w:val="22"/>
                <w:highlight w:val="none"/>
              </w:rPr>
              <w:t>具备 ISO45001 职业健康安全管理体系证书</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得</w:t>
            </w:r>
            <w:r>
              <w:rPr>
                <w:rFonts w:hint="eastAsia" w:cs="宋体"/>
                <w:sz w:val="22"/>
                <w:szCs w:val="22"/>
                <w:highlight w:val="none"/>
                <w:lang w:val="en-US" w:eastAsia="zh-CN"/>
              </w:rPr>
              <w:t>2</w:t>
            </w:r>
            <w:r>
              <w:rPr>
                <w:rFonts w:hint="eastAsia" w:ascii="宋体" w:hAnsi="宋体" w:eastAsia="宋体" w:cs="宋体"/>
                <w:sz w:val="22"/>
                <w:szCs w:val="22"/>
                <w:highlight w:val="none"/>
                <w:lang w:val="en-US" w:eastAsia="zh-CN"/>
              </w:rPr>
              <w:t>分</w:t>
            </w:r>
            <w:r>
              <w:rPr>
                <w:rFonts w:hint="eastAsia" w:ascii="宋体" w:hAnsi="宋体" w:eastAsia="宋体" w:cs="宋体"/>
                <w:sz w:val="22"/>
                <w:szCs w:val="22"/>
                <w:highlight w:val="none"/>
              </w:rPr>
              <w:t>；</w:t>
            </w:r>
            <w:bookmarkStart w:id="160" w:name="_GoBack"/>
            <w:bookmarkEnd w:id="160"/>
          </w:p>
          <w:p w14:paraId="7604485A">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4、产品制造商</w:t>
            </w:r>
            <w:r>
              <w:rPr>
                <w:rFonts w:hint="eastAsia" w:ascii="宋体" w:hAnsi="宋体" w:eastAsia="宋体" w:cs="宋体"/>
                <w:sz w:val="22"/>
                <w:szCs w:val="22"/>
                <w:highlight w:val="none"/>
              </w:rPr>
              <w:t>具</w:t>
            </w:r>
            <w:r>
              <w:rPr>
                <w:rFonts w:hint="eastAsia" w:ascii="宋体" w:hAnsi="宋体" w:eastAsia="宋体" w:cs="宋体"/>
                <w:sz w:val="22"/>
                <w:szCs w:val="22"/>
                <w:highlight w:val="none"/>
                <w:lang w:val="en-US" w:eastAsia="zh-CN"/>
              </w:rPr>
              <w:t>备《服务体系完善程度认证评价规范》七星级的</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得</w:t>
            </w:r>
            <w:r>
              <w:rPr>
                <w:rFonts w:hint="eastAsia" w:cs="宋体"/>
                <w:sz w:val="22"/>
                <w:szCs w:val="22"/>
                <w:highlight w:val="none"/>
                <w:lang w:val="en-US" w:eastAsia="zh-CN"/>
              </w:rPr>
              <w:t>1</w:t>
            </w:r>
            <w:r>
              <w:rPr>
                <w:rFonts w:hint="eastAsia" w:ascii="宋体" w:hAnsi="宋体" w:eastAsia="宋体" w:cs="宋体"/>
                <w:sz w:val="22"/>
                <w:szCs w:val="22"/>
                <w:highlight w:val="none"/>
                <w:lang w:val="en-US" w:eastAsia="zh-CN"/>
              </w:rPr>
              <w:t>分</w:t>
            </w:r>
            <w:r>
              <w:rPr>
                <w:rFonts w:hint="eastAsia" w:ascii="宋体" w:hAnsi="宋体" w:eastAsia="宋体" w:cs="宋体"/>
                <w:sz w:val="22"/>
                <w:szCs w:val="22"/>
                <w:highlight w:val="none"/>
              </w:rPr>
              <w:t>；</w:t>
            </w:r>
          </w:p>
          <w:p w14:paraId="6AEA76F9">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5、产品制造商售后服务达标为七星的</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得</w:t>
            </w:r>
            <w:r>
              <w:rPr>
                <w:rFonts w:hint="eastAsia" w:cs="宋体"/>
                <w:sz w:val="22"/>
                <w:szCs w:val="22"/>
                <w:highlight w:val="none"/>
                <w:lang w:val="en-US" w:eastAsia="zh-CN"/>
              </w:rPr>
              <w:t>1</w:t>
            </w:r>
            <w:r>
              <w:rPr>
                <w:rFonts w:hint="eastAsia" w:ascii="宋体" w:hAnsi="宋体" w:eastAsia="宋体" w:cs="宋体"/>
                <w:sz w:val="22"/>
                <w:szCs w:val="22"/>
                <w:highlight w:val="none"/>
                <w:lang w:val="en-US" w:eastAsia="zh-CN"/>
              </w:rPr>
              <w:t>分</w:t>
            </w:r>
            <w:r>
              <w:rPr>
                <w:rFonts w:hint="eastAsia" w:ascii="宋体" w:hAnsi="宋体" w:eastAsia="宋体" w:cs="宋体"/>
                <w:sz w:val="22"/>
                <w:szCs w:val="22"/>
                <w:highlight w:val="none"/>
              </w:rPr>
              <w:t>；</w:t>
            </w:r>
          </w:p>
          <w:p w14:paraId="3B6997FB">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6、产品制造商具备GB/T24285-2017 健身运动安全指南标准服务能力认证证书8A级的</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得</w:t>
            </w:r>
            <w:r>
              <w:rPr>
                <w:rFonts w:hint="eastAsia" w:cs="宋体"/>
                <w:sz w:val="22"/>
                <w:szCs w:val="22"/>
                <w:highlight w:val="none"/>
                <w:lang w:val="en-US" w:eastAsia="zh-CN"/>
              </w:rPr>
              <w:t>2</w:t>
            </w:r>
            <w:r>
              <w:rPr>
                <w:rFonts w:hint="eastAsia" w:ascii="宋体" w:hAnsi="宋体" w:eastAsia="宋体" w:cs="宋体"/>
                <w:sz w:val="22"/>
                <w:szCs w:val="22"/>
                <w:highlight w:val="none"/>
                <w:lang w:val="en-US" w:eastAsia="zh-CN"/>
              </w:rPr>
              <w:t>分</w:t>
            </w:r>
            <w:r>
              <w:rPr>
                <w:rFonts w:hint="eastAsia" w:ascii="宋体" w:hAnsi="宋体" w:eastAsia="宋体" w:cs="宋体"/>
                <w:sz w:val="22"/>
                <w:szCs w:val="22"/>
                <w:highlight w:val="none"/>
              </w:rPr>
              <w:t>；</w:t>
            </w:r>
          </w:p>
          <w:p w14:paraId="1FF2C2DE">
            <w:pPr>
              <w:keepNext w:val="0"/>
              <w:keepLines w:val="0"/>
              <w:pageBreakBefore w:val="0"/>
              <w:widowControl w:val="0"/>
              <w:numPr>
                <w:ilvl w:val="0"/>
                <w:numId w:val="0"/>
              </w:numPr>
              <w:wordWrap/>
              <w:overflowPunct/>
              <w:topLinePunct w:val="0"/>
              <w:autoSpaceDN w:val="0"/>
              <w:bidi w:val="0"/>
              <w:spacing w:line="276" w:lineRule="auto"/>
              <w:ind w:left="0" w:leftChars="0" w:firstLine="0" w:firstLineChars="0"/>
              <w:rPr>
                <w:rFonts w:hint="eastAsia" w:ascii="宋体" w:hAnsi="宋体" w:eastAsia="宋体" w:cs="宋体"/>
                <w:sz w:val="22"/>
                <w:szCs w:val="22"/>
                <w:highlight w:val="none"/>
                <w:lang w:val="en-US" w:eastAsia="en-US" w:bidi="ar-SA"/>
              </w:rPr>
            </w:pPr>
            <w:r>
              <w:rPr>
                <w:rFonts w:hint="eastAsia" w:ascii="宋体" w:hAnsi="宋体" w:eastAsia="宋体" w:cs="宋体"/>
                <w:b/>
                <w:bCs/>
                <w:sz w:val="22"/>
                <w:szCs w:val="22"/>
                <w:highlight w:val="none"/>
                <w:lang w:val="en-US" w:eastAsia="zh-CN"/>
              </w:rPr>
              <w:t>（以</w:t>
            </w:r>
            <w:r>
              <w:rPr>
                <w:rFonts w:hint="eastAsia" w:cs="宋体"/>
                <w:b/>
                <w:bCs/>
                <w:sz w:val="22"/>
                <w:szCs w:val="22"/>
                <w:highlight w:val="none"/>
                <w:lang w:val="en-US" w:eastAsia="zh-CN"/>
              </w:rPr>
              <w:t>响应文件</w:t>
            </w:r>
            <w:r>
              <w:rPr>
                <w:rFonts w:hint="eastAsia" w:ascii="宋体" w:hAnsi="宋体" w:eastAsia="宋体" w:cs="宋体"/>
                <w:b/>
                <w:bCs/>
                <w:sz w:val="22"/>
                <w:szCs w:val="22"/>
                <w:highlight w:val="none"/>
                <w:lang w:val="en-US" w:eastAsia="zh-CN"/>
              </w:rPr>
              <w:t>中证明材料加盖投标供应商公章为评分依据，否则不得分）。</w:t>
            </w:r>
          </w:p>
        </w:tc>
        <w:tc>
          <w:tcPr>
            <w:tcW w:w="821" w:type="dxa"/>
            <w:vAlign w:val="center"/>
          </w:tcPr>
          <w:p w14:paraId="13299AE5">
            <w:pPr>
              <w:pStyle w:val="63"/>
              <w:keepNext w:val="0"/>
              <w:keepLines w:val="0"/>
              <w:pageBreakBefore w:val="0"/>
              <w:widowControl w:val="0"/>
              <w:wordWrap/>
              <w:overflowPunct/>
              <w:topLinePunct w:val="0"/>
              <w:autoSpaceDN w:val="0"/>
              <w:bidi w:val="0"/>
              <w:spacing w:before="69" w:line="182" w:lineRule="auto"/>
              <w:jc w:val="center"/>
              <w:rPr>
                <w:rFonts w:hint="eastAsia" w:ascii="宋体" w:hAnsi="宋体" w:eastAsia="宋体" w:cs="宋体"/>
                <w:snapToGrid w:val="0"/>
                <w:color w:val="000000"/>
                <w:spacing w:val="-7"/>
                <w:kern w:val="0"/>
                <w:sz w:val="21"/>
                <w:szCs w:val="21"/>
                <w:highlight w:val="none"/>
                <w:lang w:val="en-US" w:eastAsia="zh-CN" w:bidi="ar-SA"/>
              </w:rPr>
            </w:pPr>
            <w:r>
              <w:rPr>
                <w:rFonts w:hint="eastAsia" w:cs="宋体"/>
                <w:color w:val="000000" w:themeColor="text1"/>
                <w:spacing w:val="-7"/>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分</w:t>
            </w:r>
          </w:p>
        </w:tc>
      </w:tr>
      <w:tr w14:paraId="73837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8" w:hRule="atLeast"/>
          <w:jc w:val="center"/>
        </w:trPr>
        <w:tc>
          <w:tcPr>
            <w:tcW w:w="831" w:type="dxa"/>
            <w:vMerge w:val="continue"/>
            <w:vAlign w:val="center"/>
          </w:tcPr>
          <w:p w14:paraId="26E05D81">
            <w:pPr>
              <w:pStyle w:val="63"/>
              <w:keepNext w:val="0"/>
              <w:keepLines w:val="0"/>
              <w:pageBreakBefore w:val="0"/>
              <w:widowControl w:val="0"/>
              <w:wordWrap/>
              <w:overflowPunct/>
              <w:topLinePunct w:val="0"/>
              <w:autoSpaceDN w:val="0"/>
              <w:bidi w:val="0"/>
              <w:spacing w:before="68" w:line="183" w:lineRule="auto"/>
              <w:jc w:val="center"/>
              <w:rPr>
                <w:rFonts w:hint="eastAsia" w:ascii="宋体" w:hAnsi="宋体" w:eastAsia="宋体" w:cs="宋体"/>
                <w:sz w:val="22"/>
                <w:szCs w:val="22"/>
                <w:highlight w:val="none"/>
                <w:lang w:val="en-US" w:eastAsia="zh-CN"/>
              </w:rPr>
            </w:pPr>
          </w:p>
        </w:tc>
        <w:tc>
          <w:tcPr>
            <w:tcW w:w="1240" w:type="dxa"/>
            <w:gridSpan w:val="3"/>
            <w:vAlign w:val="center"/>
          </w:tcPr>
          <w:p w14:paraId="416D179D">
            <w:pPr>
              <w:pStyle w:val="63"/>
              <w:keepNext w:val="0"/>
              <w:keepLines w:val="0"/>
              <w:pageBreakBefore w:val="0"/>
              <w:widowControl w:val="0"/>
              <w:wordWrap/>
              <w:overflowPunct/>
              <w:topLinePunct w:val="0"/>
              <w:autoSpaceDN w:val="0"/>
              <w:bidi w:val="0"/>
              <w:spacing w:before="68" w:line="221" w:lineRule="auto"/>
              <w:jc w:val="center"/>
              <w:rPr>
                <w:rFonts w:hint="default" w:ascii="宋体" w:hAnsi="宋体" w:eastAsia="宋体" w:cs="宋体"/>
                <w:spacing w:val="-12"/>
                <w:sz w:val="22"/>
                <w:szCs w:val="22"/>
                <w:highlight w:val="none"/>
                <w:lang w:val="en-US" w:eastAsia="zh-CN"/>
              </w:rPr>
            </w:pPr>
            <w:r>
              <w:rPr>
                <w:rFonts w:hint="eastAsia" w:cs="宋体"/>
                <w:spacing w:val="-12"/>
                <w:sz w:val="22"/>
                <w:szCs w:val="22"/>
                <w:highlight w:val="none"/>
                <w:lang w:val="en-US" w:eastAsia="zh-CN"/>
              </w:rPr>
              <w:t>2</w:t>
            </w:r>
          </w:p>
        </w:tc>
        <w:tc>
          <w:tcPr>
            <w:tcW w:w="1263" w:type="dxa"/>
            <w:gridSpan w:val="2"/>
            <w:vAlign w:val="center"/>
          </w:tcPr>
          <w:p w14:paraId="7587D88F">
            <w:pPr>
              <w:jc w:val="center"/>
              <w:rPr>
                <w:rFonts w:hint="eastAsia" w:ascii="宋体" w:hAnsi="宋体" w:eastAsia="宋体" w:cs="宋体"/>
                <w:spacing w:val="-12"/>
                <w:sz w:val="22"/>
                <w:szCs w:val="22"/>
                <w:highlight w:val="none"/>
              </w:rPr>
            </w:pPr>
            <w:r>
              <w:rPr>
                <w:rFonts w:hint="eastAsia" w:ascii="宋体" w:hAnsi="宋体" w:eastAsia="宋体" w:cs="宋体"/>
                <w:color w:val="auto"/>
                <w:sz w:val="24"/>
                <w:szCs w:val="24"/>
                <w:highlight w:val="none"/>
              </w:rPr>
              <w:t>企业业绩</w:t>
            </w:r>
          </w:p>
        </w:tc>
        <w:tc>
          <w:tcPr>
            <w:tcW w:w="6219" w:type="dxa"/>
            <w:vAlign w:val="center"/>
          </w:tcPr>
          <w:p w14:paraId="476C2C6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w:t>
            </w:r>
            <w:r>
              <w:rPr>
                <w:rFonts w:hint="eastAsia" w:ascii="宋体" w:hAnsi="宋体" w:cs="宋体"/>
                <w:color w:val="auto"/>
                <w:sz w:val="24"/>
                <w:szCs w:val="24"/>
                <w:highlight w:val="none"/>
                <w:lang w:val="en-US" w:eastAsia="zh-CN"/>
              </w:rPr>
              <w:t>2023</w:t>
            </w:r>
            <w:r>
              <w:rPr>
                <w:rFonts w:hint="eastAsia" w:ascii="宋体" w:hAnsi="宋体" w:eastAsia="宋体" w:cs="宋体"/>
                <w:color w:val="auto"/>
                <w:sz w:val="24"/>
                <w:szCs w:val="24"/>
                <w:highlight w:val="none"/>
              </w:rPr>
              <w:t>-至今）完成的类似业绩，每有一项得</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分，最多得</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74C3D8BA">
            <w:pPr>
              <w:rPr>
                <w:rFonts w:hint="eastAsia" w:ascii="宋体" w:hAnsi="宋体" w:eastAsia="宋体" w:cs="宋体"/>
                <w:b/>
                <w:bCs/>
                <w:sz w:val="22"/>
                <w:szCs w:val="22"/>
                <w:highlight w:val="none"/>
                <w:lang w:val="en-US" w:eastAsia="zh-CN"/>
              </w:rPr>
            </w:pPr>
            <w:r>
              <w:rPr>
                <w:rFonts w:hint="eastAsia" w:cs="宋体"/>
                <w:b/>
                <w:bCs/>
                <w:color w:val="auto"/>
                <w:sz w:val="24"/>
                <w:szCs w:val="24"/>
                <w:highlight w:val="none"/>
                <w:lang w:val="zh-CN"/>
              </w:rPr>
              <w:t>响应文件</w:t>
            </w:r>
            <w:r>
              <w:rPr>
                <w:rFonts w:hint="eastAsia" w:ascii="宋体" w:hAnsi="宋体" w:eastAsia="宋体" w:cs="宋体"/>
                <w:b/>
                <w:bCs/>
                <w:color w:val="auto"/>
                <w:sz w:val="24"/>
                <w:szCs w:val="24"/>
                <w:highlight w:val="none"/>
                <w:lang w:val="zh-CN"/>
              </w:rPr>
              <w:t>内附合同或中标通知书复印件加盖公章。（所提供业绩至少包含一种本次采购设备。经销商可提供本单位的销售业绩或者设备厂家供货业绩，若提供厂家业绩，</w:t>
            </w:r>
            <w:r>
              <w:rPr>
                <w:rFonts w:hint="eastAsia" w:cs="宋体"/>
                <w:b/>
                <w:bCs/>
                <w:color w:val="auto"/>
                <w:sz w:val="24"/>
                <w:szCs w:val="24"/>
                <w:highlight w:val="none"/>
                <w:lang w:val="zh-CN"/>
              </w:rPr>
              <w:t>响应文件</w:t>
            </w:r>
            <w:r>
              <w:rPr>
                <w:rFonts w:hint="eastAsia" w:ascii="宋体" w:hAnsi="宋体" w:eastAsia="宋体" w:cs="宋体"/>
                <w:b/>
                <w:bCs/>
                <w:color w:val="auto"/>
                <w:sz w:val="24"/>
                <w:szCs w:val="24"/>
                <w:highlight w:val="none"/>
                <w:lang w:val="zh-CN"/>
              </w:rPr>
              <w:t>中的复印件需加盖厂家及投标供应商的公章。）</w:t>
            </w:r>
          </w:p>
        </w:tc>
        <w:tc>
          <w:tcPr>
            <w:tcW w:w="821" w:type="dxa"/>
            <w:vAlign w:val="center"/>
          </w:tcPr>
          <w:p w14:paraId="263BA83F">
            <w:pPr>
              <w:pStyle w:val="63"/>
              <w:keepNext w:val="0"/>
              <w:keepLines w:val="0"/>
              <w:pageBreakBefore w:val="0"/>
              <w:widowControl w:val="0"/>
              <w:wordWrap/>
              <w:overflowPunct/>
              <w:topLinePunct w:val="0"/>
              <w:autoSpaceDN w:val="0"/>
              <w:bidi w:val="0"/>
              <w:spacing w:before="69" w:line="182" w:lineRule="auto"/>
              <w:jc w:val="center"/>
              <w:rPr>
                <w:rFonts w:hint="default" w:ascii="宋体" w:hAnsi="宋体" w:eastAsia="宋体" w:cs="宋体"/>
                <w:spacing w:val="-7"/>
                <w:sz w:val="21"/>
                <w:szCs w:val="21"/>
                <w:highlight w:val="none"/>
                <w:lang w:val="en-US" w:eastAsia="zh-CN"/>
              </w:rPr>
            </w:pPr>
            <w:r>
              <w:rPr>
                <w:rFonts w:hint="eastAsia" w:cs="宋体"/>
                <w:spacing w:val="-7"/>
                <w:sz w:val="21"/>
                <w:szCs w:val="21"/>
                <w:highlight w:val="none"/>
                <w:lang w:val="en-US" w:eastAsia="zh-CN"/>
              </w:rPr>
              <w:t>3分</w:t>
            </w:r>
          </w:p>
        </w:tc>
      </w:tr>
      <w:tr w14:paraId="3D03D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 w:hRule="atLeast"/>
          <w:jc w:val="center"/>
        </w:trPr>
        <w:tc>
          <w:tcPr>
            <w:tcW w:w="831" w:type="dxa"/>
            <w:vMerge w:val="continue"/>
            <w:shd w:val="clear" w:color="auto" w:fill="auto"/>
            <w:vAlign w:val="top"/>
          </w:tcPr>
          <w:p w14:paraId="07B63559">
            <w:pPr>
              <w:pStyle w:val="63"/>
              <w:keepNext w:val="0"/>
              <w:keepLines w:val="0"/>
              <w:pageBreakBefore w:val="0"/>
              <w:widowControl w:val="0"/>
              <w:wordWrap/>
              <w:overflowPunct/>
              <w:topLinePunct w:val="0"/>
              <w:autoSpaceDN w:val="0"/>
              <w:bidi w:val="0"/>
              <w:spacing w:before="68" w:line="183" w:lineRule="auto"/>
              <w:ind w:left="397" w:leftChars="0"/>
              <w:rPr>
                <w:rFonts w:hint="eastAsia" w:ascii="宋体" w:hAnsi="宋体" w:eastAsia="宋体" w:cs="宋体"/>
                <w:snapToGrid w:val="0"/>
                <w:color w:val="000000"/>
                <w:kern w:val="0"/>
                <w:sz w:val="22"/>
                <w:szCs w:val="22"/>
                <w:highlight w:val="none"/>
                <w:lang w:val="en-US" w:eastAsia="zh-CN" w:bidi="ar-SA"/>
              </w:rPr>
            </w:pPr>
          </w:p>
        </w:tc>
        <w:tc>
          <w:tcPr>
            <w:tcW w:w="1240" w:type="dxa"/>
            <w:gridSpan w:val="3"/>
            <w:shd w:val="clear" w:color="auto" w:fill="auto"/>
            <w:vAlign w:val="center"/>
          </w:tcPr>
          <w:p w14:paraId="39E60392">
            <w:pPr>
              <w:keepNext w:val="0"/>
              <w:keepLines w:val="0"/>
              <w:pageBreakBefore w:val="0"/>
              <w:widowControl w:val="0"/>
              <w:wordWrap/>
              <w:overflowPunct/>
              <w:topLinePunct w:val="0"/>
              <w:autoSpaceDN w:val="0"/>
              <w:bidi w:val="0"/>
              <w:adjustRightInd w:val="0"/>
              <w:snapToGrid w:val="0"/>
              <w:jc w:val="center"/>
              <w:rPr>
                <w:rFonts w:hint="eastAsia" w:ascii="宋体" w:hAnsi="宋体" w:eastAsia="宋体" w:cs="宋体"/>
                <w:snapToGrid w:val="0"/>
                <w:color w:val="auto"/>
                <w:spacing w:val="-12"/>
                <w:kern w:val="0"/>
                <w:sz w:val="22"/>
                <w:szCs w:val="22"/>
                <w:highlight w:val="none"/>
                <w:lang w:val="en-US" w:eastAsia="zh-CN" w:bidi="ar-SA"/>
              </w:rPr>
            </w:pPr>
            <w:r>
              <w:rPr>
                <w:rFonts w:hint="eastAsia" w:ascii="宋体" w:hAnsi="宋体" w:eastAsia="宋体" w:cs="宋体"/>
                <w:snapToGrid w:val="0"/>
                <w:color w:val="auto"/>
                <w:spacing w:val="-12"/>
                <w:kern w:val="0"/>
                <w:sz w:val="22"/>
                <w:szCs w:val="22"/>
                <w:highlight w:val="none"/>
                <w:lang w:val="en-US" w:eastAsia="zh-CN" w:bidi="ar-SA"/>
              </w:rPr>
              <w:t xml:space="preserve">2 </w:t>
            </w:r>
          </w:p>
        </w:tc>
        <w:tc>
          <w:tcPr>
            <w:tcW w:w="1263" w:type="dxa"/>
            <w:gridSpan w:val="2"/>
            <w:shd w:val="clear" w:color="auto" w:fill="auto"/>
            <w:vAlign w:val="center"/>
          </w:tcPr>
          <w:p w14:paraId="38717ADB">
            <w:pPr>
              <w:keepNext w:val="0"/>
              <w:keepLines w:val="0"/>
              <w:pageBreakBefore w:val="0"/>
              <w:widowControl w:val="0"/>
              <w:wordWrap/>
              <w:overflowPunct/>
              <w:topLinePunct w:val="0"/>
              <w:autoSpaceDN w:val="0"/>
              <w:bidi w:val="0"/>
              <w:adjustRightInd w:val="0"/>
              <w:snapToGrid w:val="0"/>
              <w:jc w:val="center"/>
              <w:rPr>
                <w:rFonts w:hint="eastAsia" w:ascii="宋体" w:hAnsi="宋体" w:eastAsia="宋体" w:cs="宋体"/>
                <w:color w:val="auto"/>
                <w:spacing w:val="-11"/>
                <w:sz w:val="22"/>
                <w:szCs w:val="22"/>
                <w:highlight w:val="none"/>
              </w:rPr>
            </w:pPr>
            <w:r>
              <w:rPr>
                <w:rFonts w:hint="eastAsia" w:ascii="宋体" w:hAnsi="宋体" w:eastAsia="宋体" w:cs="宋体"/>
                <w:color w:val="auto"/>
                <w:spacing w:val="-11"/>
                <w:sz w:val="22"/>
                <w:szCs w:val="22"/>
                <w:highlight w:val="none"/>
                <w:lang w:val="en-US" w:eastAsia="zh-CN"/>
              </w:rPr>
              <w:t>产品</w:t>
            </w:r>
            <w:r>
              <w:rPr>
                <w:rFonts w:hint="eastAsia" w:ascii="宋体" w:hAnsi="宋体" w:eastAsia="宋体" w:cs="宋体"/>
                <w:color w:val="auto"/>
                <w:spacing w:val="-11"/>
                <w:sz w:val="22"/>
                <w:szCs w:val="22"/>
                <w:highlight w:val="none"/>
              </w:rPr>
              <w:t>保险</w:t>
            </w:r>
          </w:p>
          <w:p w14:paraId="67F8FF89">
            <w:pPr>
              <w:keepNext w:val="0"/>
              <w:keepLines w:val="0"/>
              <w:pageBreakBefore w:val="0"/>
              <w:widowControl w:val="0"/>
              <w:wordWrap/>
              <w:overflowPunct/>
              <w:topLinePunct w:val="0"/>
              <w:autoSpaceDN w:val="0"/>
              <w:bidi w:val="0"/>
              <w:adjustRightInd w:val="0"/>
              <w:snapToGrid w:val="0"/>
              <w:jc w:val="center"/>
              <w:rPr>
                <w:rFonts w:hint="eastAsia" w:ascii="宋体" w:hAnsi="宋体" w:eastAsia="宋体" w:cs="宋体"/>
                <w:snapToGrid w:val="0"/>
                <w:color w:val="auto"/>
                <w:spacing w:val="-12"/>
                <w:kern w:val="0"/>
                <w:sz w:val="22"/>
                <w:szCs w:val="22"/>
                <w:highlight w:val="none"/>
                <w:lang w:val="en-US" w:eastAsia="en-US" w:bidi="ar-SA"/>
              </w:rPr>
            </w:pPr>
          </w:p>
        </w:tc>
        <w:tc>
          <w:tcPr>
            <w:tcW w:w="6219" w:type="dxa"/>
            <w:shd w:val="clear" w:color="auto" w:fill="auto"/>
            <w:vAlign w:val="center"/>
          </w:tcPr>
          <w:p w14:paraId="40971ED8">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依据生产企业提供的保险 类别及保险额度进行评比：</w:t>
            </w:r>
          </w:p>
          <w:p w14:paraId="45F78523">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1、投标产品质量险累计赔偿最高限额 5000 万元以上（含 5000 万元） ；</w:t>
            </w:r>
          </w:p>
          <w:p w14:paraId="488DB7DA">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2、投标产品责任险累计赔偿最高限额 5000 万元以上（含 5000 万元）；</w:t>
            </w:r>
          </w:p>
          <w:p w14:paraId="53CED114">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3、 投标产品公众责任险累计赔偿最高限额 5000 万元以上（含 5000 万元）；</w:t>
            </w:r>
          </w:p>
          <w:p w14:paraId="00E94E1B">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4、投标产品人身伤害责任保险（意外伤害险）累计赔偿最高限额</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000 万元以上（含</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000 万元） 。</w:t>
            </w:r>
          </w:p>
          <w:p w14:paraId="56A8F59E">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以上每满足一项得 </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 xml:space="preserve"> 分，不满足不得分，满分</w:t>
            </w:r>
            <w:r>
              <w:rPr>
                <w:rFonts w:hint="eastAsia" w:ascii="宋体" w:hAnsi="宋体" w:eastAsia="宋体" w:cs="宋体"/>
                <w:sz w:val="22"/>
                <w:szCs w:val="22"/>
                <w:highlight w:val="none"/>
                <w:lang w:val="en-US" w:eastAsia="zh-CN"/>
              </w:rPr>
              <w:t>12</w:t>
            </w:r>
            <w:r>
              <w:rPr>
                <w:rFonts w:hint="eastAsia" w:ascii="宋体" w:hAnsi="宋体" w:eastAsia="宋体" w:cs="宋体"/>
                <w:sz w:val="22"/>
                <w:szCs w:val="22"/>
                <w:highlight w:val="none"/>
              </w:rPr>
              <w:t>分。</w:t>
            </w:r>
          </w:p>
          <w:p w14:paraId="3B6F8AB2">
            <w:pPr>
              <w:keepNext w:val="0"/>
              <w:keepLines w:val="0"/>
              <w:pageBreakBefore w:val="0"/>
              <w:widowControl w:val="0"/>
              <w:numPr>
                <w:ilvl w:val="0"/>
                <w:numId w:val="0"/>
              </w:numPr>
              <w:wordWrap/>
              <w:overflowPunct/>
              <w:topLinePunct w:val="0"/>
              <w:autoSpaceDN w:val="0"/>
              <w:bidi w:val="0"/>
              <w:spacing w:line="276" w:lineRule="auto"/>
              <w:rPr>
                <w:rFonts w:hint="eastAsia" w:ascii="宋体" w:hAnsi="宋体" w:eastAsia="宋体" w:cs="宋体"/>
                <w:sz w:val="22"/>
                <w:szCs w:val="22"/>
                <w:highlight w:val="none"/>
                <w:lang w:val="en-US" w:eastAsia="en-US"/>
              </w:rPr>
            </w:pPr>
            <w:r>
              <w:rPr>
                <w:rFonts w:hint="eastAsia" w:ascii="宋体" w:hAnsi="宋体" w:eastAsia="宋体" w:cs="宋体"/>
                <w:b/>
                <w:bCs/>
                <w:sz w:val="22"/>
                <w:szCs w:val="22"/>
                <w:highlight w:val="none"/>
              </w:rPr>
              <w:t>（以</w:t>
            </w:r>
            <w:r>
              <w:rPr>
                <w:rFonts w:hint="eastAsia" w:cs="宋体"/>
                <w:b/>
                <w:bCs/>
                <w:sz w:val="22"/>
                <w:szCs w:val="22"/>
                <w:highlight w:val="none"/>
                <w:lang w:eastAsia="zh-CN"/>
              </w:rPr>
              <w:t>响应文件</w:t>
            </w:r>
            <w:r>
              <w:rPr>
                <w:rFonts w:hint="eastAsia" w:ascii="宋体" w:hAnsi="宋体" w:eastAsia="宋体" w:cs="宋体"/>
                <w:b/>
                <w:bCs/>
                <w:sz w:val="22"/>
                <w:szCs w:val="22"/>
                <w:highlight w:val="none"/>
              </w:rPr>
              <w:t>中加盖投标供应商公章的保险单扫描件为评分依据，保险时间需在有效期</w:t>
            </w:r>
            <w:r>
              <w:rPr>
                <w:rFonts w:hint="eastAsia" w:ascii="宋体" w:hAnsi="宋体" w:eastAsia="宋体" w:cs="宋体"/>
                <w:b/>
                <w:bCs/>
                <w:sz w:val="22"/>
                <w:szCs w:val="22"/>
                <w:highlight w:val="none"/>
                <w:lang w:val="en-US" w:eastAsia="zh-CN"/>
              </w:rPr>
              <w:t>内</w:t>
            </w:r>
            <w:r>
              <w:rPr>
                <w:rFonts w:hint="eastAsia" w:ascii="宋体" w:hAnsi="宋体" w:eastAsia="宋体" w:cs="宋体"/>
                <w:b/>
                <w:bCs/>
                <w:sz w:val="22"/>
                <w:szCs w:val="22"/>
                <w:highlight w:val="none"/>
              </w:rPr>
              <w:t>，过期的不得分。）</w:t>
            </w:r>
          </w:p>
        </w:tc>
        <w:tc>
          <w:tcPr>
            <w:tcW w:w="821" w:type="dxa"/>
            <w:shd w:val="clear" w:color="auto" w:fill="auto"/>
            <w:vAlign w:val="center"/>
          </w:tcPr>
          <w:p w14:paraId="690801AD">
            <w:pPr>
              <w:pStyle w:val="63"/>
              <w:keepNext w:val="0"/>
              <w:keepLines w:val="0"/>
              <w:pageBreakBefore w:val="0"/>
              <w:widowControl w:val="0"/>
              <w:wordWrap/>
              <w:overflowPunct/>
              <w:topLinePunct w:val="0"/>
              <w:autoSpaceDN w:val="0"/>
              <w:bidi w:val="0"/>
              <w:spacing w:before="69" w:line="182" w:lineRule="auto"/>
              <w:ind w:left="292" w:leftChars="0"/>
              <w:jc w:val="both"/>
              <w:rPr>
                <w:rFonts w:hint="eastAsia" w:ascii="宋体" w:hAnsi="宋体" w:eastAsia="宋体" w:cs="宋体"/>
                <w:snapToGrid w:val="0"/>
                <w:color w:val="000000"/>
                <w:spacing w:val="-7"/>
                <w:kern w:val="0"/>
                <w:sz w:val="21"/>
                <w:szCs w:val="21"/>
                <w:highlight w:val="none"/>
                <w:lang w:val="en-US" w:eastAsia="zh-CN" w:bidi="ar-SA"/>
              </w:rPr>
            </w:pPr>
            <w:r>
              <w:rPr>
                <w:rFonts w:hint="eastAsia" w:ascii="宋体" w:hAnsi="宋体" w:eastAsia="宋体" w:cs="宋体"/>
                <w:spacing w:val="-7"/>
                <w:sz w:val="21"/>
                <w:szCs w:val="21"/>
                <w:highlight w:val="none"/>
                <w:lang w:val="en-US" w:eastAsia="zh-CN"/>
              </w:rPr>
              <w:t>12分</w:t>
            </w:r>
          </w:p>
        </w:tc>
      </w:tr>
    </w:tbl>
    <w:p w14:paraId="09BB3D1A">
      <w:pPr>
        <w:wordWrap w:val="0"/>
        <w:jc w:val="center"/>
        <w:rPr>
          <w:rFonts w:asciiTheme="minorEastAsia" w:hAnsiTheme="minorEastAsia" w:eastAsiaTheme="minorEastAsia" w:cstheme="minorEastAsia"/>
          <w:color w:val="000000" w:themeColor="text1"/>
          <w:sz w:val="21"/>
          <w:highlight w:val="none"/>
          <w:lang w:eastAsia="zh-CN"/>
          <w14:textFill>
            <w14:solidFill>
              <w14:schemeClr w14:val="tx1"/>
            </w14:solidFill>
          </w14:textFill>
        </w:rPr>
      </w:pPr>
      <w:bookmarkStart w:id="118" w:name="_bookmark86"/>
      <w:bookmarkEnd w:id="118"/>
    </w:p>
    <w:p w14:paraId="2A7C8214">
      <w:pPr>
        <w:wordWrap w:val="0"/>
        <w:jc w:val="center"/>
        <w:rPr>
          <w:rFonts w:asciiTheme="minorEastAsia" w:hAnsiTheme="minorEastAsia" w:eastAsiaTheme="minorEastAsia" w:cstheme="minorEastAsia"/>
          <w:color w:val="000000" w:themeColor="text1"/>
          <w:sz w:val="21"/>
          <w:highlight w:val="none"/>
          <w:lang w:eastAsia="zh-CN"/>
          <w14:textFill>
            <w14:solidFill>
              <w14:schemeClr w14:val="tx1"/>
            </w14:solidFill>
          </w14:textFill>
        </w:rPr>
      </w:pPr>
    </w:p>
    <w:p w14:paraId="0235244E">
      <w:pPr>
        <w:wordWrap w:val="0"/>
        <w:jc w:val="center"/>
        <w:rPr>
          <w:rFonts w:asciiTheme="minorEastAsia" w:hAnsiTheme="minorEastAsia" w:eastAsiaTheme="minorEastAsia" w:cstheme="minorEastAsia"/>
          <w:color w:val="000000" w:themeColor="text1"/>
          <w:sz w:val="21"/>
          <w:highlight w:val="none"/>
          <w:lang w:eastAsia="zh-CN"/>
          <w14:textFill>
            <w14:solidFill>
              <w14:schemeClr w14:val="tx1"/>
            </w14:solidFill>
          </w14:textFill>
        </w:rPr>
      </w:pPr>
    </w:p>
    <w:p w14:paraId="0EE4A911">
      <w:pPr>
        <w:rPr>
          <w:rFonts w:hint="eastAsia"/>
          <w:b/>
          <w:bCs/>
          <w:color w:val="000000" w:themeColor="text1"/>
          <w:sz w:val="28"/>
          <w:szCs w:val="28"/>
          <w:highlight w:val="none"/>
          <w:lang w:eastAsia="zh-CN"/>
          <w14:textFill>
            <w14:solidFill>
              <w14:schemeClr w14:val="tx1"/>
            </w14:solidFill>
          </w14:textFill>
        </w:rPr>
      </w:pPr>
      <w:r>
        <w:rPr>
          <w:rFonts w:hint="eastAsia"/>
          <w:b/>
          <w:bCs/>
          <w:color w:val="000000" w:themeColor="text1"/>
          <w:sz w:val="28"/>
          <w:szCs w:val="28"/>
          <w:highlight w:val="none"/>
          <w:lang w:eastAsia="zh-CN"/>
          <w14:textFill>
            <w14:solidFill>
              <w14:schemeClr w14:val="tx1"/>
            </w14:solidFill>
          </w14:textFill>
        </w:rPr>
        <w:br w:type="page"/>
      </w:r>
    </w:p>
    <w:p w14:paraId="76D5C183">
      <w:pPr>
        <w:keepNext w:val="0"/>
        <w:keepLines w:val="0"/>
        <w:pageBreakBefore w:val="0"/>
        <w:widowControl w:val="0"/>
        <w:kinsoku/>
        <w:wordWrap w:val="0"/>
        <w:overflowPunct/>
        <w:topLinePunct w:val="0"/>
        <w:autoSpaceDE/>
        <w:autoSpaceDN/>
        <w:bidi w:val="0"/>
        <w:adjustRightInd/>
        <w:snapToGrid/>
        <w:spacing w:line="420" w:lineRule="exact"/>
        <w:ind w:firstLine="562" w:firstLineChars="200"/>
        <w:jc w:val="both"/>
        <w:textAlignment w:val="auto"/>
        <w:rPr>
          <w:b/>
          <w:bCs/>
          <w:color w:val="000000" w:themeColor="text1"/>
          <w:sz w:val="28"/>
          <w:szCs w:val="28"/>
          <w:highlight w:val="none"/>
          <w:lang w:eastAsia="zh-CN"/>
          <w14:textFill>
            <w14:solidFill>
              <w14:schemeClr w14:val="tx1"/>
            </w14:solidFill>
          </w14:textFill>
        </w:rPr>
      </w:pPr>
      <w:r>
        <w:rPr>
          <w:rFonts w:hint="eastAsia"/>
          <w:b/>
          <w:bCs/>
          <w:color w:val="000000" w:themeColor="text1"/>
          <w:sz w:val="28"/>
          <w:szCs w:val="28"/>
          <w:highlight w:val="none"/>
          <w:lang w:eastAsia="zh-CN"/>
          <w14:textFill>
            <w14:solidFill>
              <w14:schemeClr w14:val="tx1"/>
            </w14:solidFill>
          </w14:textFill>
        </w:rPr>
        <w:t>1.评审方法</w:t>
      </w:r>
    </w:p>
    <w:p w14:paraId="5FDE28AA">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本次评审采用综合评分法。磋商小组对满足磋商文件实质性要求的响应文件，按照本章第 2.2 款规定的评分标准进行打分，并按得分由高到低顺序推荐成交候选供应商，或根据采购人授权直接确定成交供应商，但磋商报价低于其成本的除外。综合评分相等时，以最后报价低的优先；最后报价也相等的，以技术方案得分高的优先；如果技术方案得分也相等，</w:t>
      </w:r>
      <w:r>
        <w:rPr>
          <w:rFonts w:hint="eastAsia"/>
          <w:highlight w:val="none"/>
          <w:lang w:eastAsia="zh-CN"/>
        </w:rPr>
        <w:t>由采购人或其授权的磋商小组自行确定</w:t>
      </w:r>
      <w:r>
        <w:rPr>
          <w:rFonts w:hint="eastAsia"/>
          <w:color w:val="000000" w:themeColor="text1"/>
          <w:highlight w:val="none"/>
          <w:lang w:eastAsia="zh-CN"/>
          <w14:textFill>
            <w14:solidFill>
              <w14:schemeClr w14:val="tx1"/>
            </w14:solidFill>
          </w14:textFill>
        </w:rPr>
        <w:t>。</w:t>
      </w:r>
    </w:p>
    <w:p w14:paraId="715AEF9B">
      <w:pPr>
        <w:keepNext w:val="0"/>
        <w:keepLines w:val="0"/>
        <w:pageBreakBefore w:val="0"/>
        <w:widowControl w:val="0"/>
        <w:kinsoku/>
        <w:wordWrap w:val="0"/>
        <w:overflowPunct/>
        <w:topLinePunct w:val="0"/>
        <w:autoSpaceDE/>
        <w:autoSpaceDN/>
        <w:bidi w:val="0"/>
        <w:adjustRightInd/>
        <w:snapToGrid/>
        <w:spacing w:line="420" w:lineRule="exact"/>
        <w:ind w:firstLine="562" w:firstLineChars="200"/>
        <w:jc w:val="both"/>
        <w:textAlignment w:val="auto"/>
        <w:rPr>
          <w:b/>
          <w:bCs/>
          <w:color w:val="000000" w:themeColor="text1"/>
          <w:sz w:val="28"/>
          <w:szCs w:val="28"/>
          <w:highlight w:val="none"/>
          <w:lang w:eastAsia="zh-CN"/>
          <w14:textFill>
            <w14:solidFill>
              <w14:schemeClr w14:val="tx1"/>
            </w14:solidFill>
          </w14:textFill>
        </w:rPr>
      </w:pPr>
      <w:bookmarkStart w:id="119" w:name="_bookmark88"/>
      <w:bookmarkEnd w:id="119"/>
      <w:r>
        <w:rPr>
          <w:rFonts w:hint="eastAsia"/>
          <w:b/>
          <w:bCs/>
          <w:color w:val="000000" w:themeColor="text1"/>
          <w:sz w:val="28"/>
          <w:szCs w:val="28"/>
          <w:highlight w:val="none"/>
          <w:lang w:eastAsia="zh-CN"/>
          <w14:textFill>
            <w14:solidFill>
              <w14:schemeClr w14:val="tx1"/>
            </w14:solidFill>
          </w14:textFill>
        </w:rPr>
        <w:t>2.  评审标准</w:t>
      </w:r>
    </w:p>
    <w:p w14:paraId="0D26C7D8">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sz w:val="21"/>
          <w:szCs w:val="21"/>
          <w:highlight w:val="none"/>
          <w:lang w:eastAsia="zh-CN"/>
          <w14:textFill>
            <w14:solidFill>
              <w14:schemeClr w14:val="tx1"/>
            </w14:solidFill>
          </w14:textFill>
        </w:rPr>
      </w:pPr>
      <w:bookmarkStart w:id="120" w:name="_bookmark89"/>
      <w:bookmarkEnd w:id="120"/>
      <w:r>
        <w:rPr>
          <w:rFonts w:hint="eastAsia"/>
          <w:color w:val="000000" w:themeColor="text1"/>
          <w:sz w:val="21"/>
          <w:szCs w:val="21"/>
          <w:highlight w:val="none"/>
          <w:lang w:eastAsia="zh-CN"/>
          <w14:textFill>
            <w14:solidFill>
              <w14:schemeClr w14:val="tx1"/>
            </w14:solidFill>
          </w14:textFill>
        </w:rPr>
        <w:t>2.1</w:t>
      </w:r>
      <w:r>
        <w:rPr>
          <w:rFonts w:hint="eastAsia"/>
          <w:color w:val="000000" w:themeColor="text1"/>
          <w:spacing w:val="69"/>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eastAsia="zh-CN"/>
          <w14:textFill>
            <w14:solidFill>
              <w14:schemeClr w14:val="tx1"/>
            </w14:solidFill>
          </w14:textFill>
        </w:rPr>
        <w:t>初步评审标准</w:t>
      </w:r>
    </w:p>
    <w:p w14:paraId="1B2B1F44">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2.1.1 资格评审标准：见评审办法前附表。</w:t>
      </w:r>
    </w:p>
    <w:p w14:paraId="723319EF">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2.1.2 符合性评审标准：见评审办法前附表。</w:t>
      </w:r>
    </w:p>
    <w:p w14:paraId="465873A2">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sz w:val="21"/>
          <w:szCs w:val="21"/>
          <w:highlight w:val="none"/>
          <w:lang w:eastAsia="zh-CN"/>
          <w14:textFill>
            <w14:solidFill>
              <w14:schemeClr w14:val="tx1"/>
            </w14:solidFill>
          </w14:textFill>
        </w:rPr>
      </w:pPr>
      <w:bookmarkStart w:id="121" w:name="_bookmark90"/>
      <w:bookmarkEnd w:id="121"/>
      <w:r>
        <w:rPr>
          <w:rFonts w:hint="eastAsia"/>
          <w:color w:val="000000" w:themeColor="text1"/>
          <w:sz w:val="21"/>
          <w:szCs w:val="21"/>
          <w:highlight w:val="none"/>
          <w:lang w:eastAsia="zh-CN"/>
          <w14:textFill>
            <w14:solidFill>
              <w14:schemeClr w14:val="tx1"/>
            </w14:solidFill>
          </w14:textFill>
        </w:rPr>
        <w:t>2.2</w:t>
      </w:r>
      <w:r>
        <w:rPr>
          <w:rFonts w:hint="eastAsia"/>
          <w:color w:val="000000" w:themeColor="text1"/>
          <w:spacing w:val="69"/>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eastAsia="zh-CN"/>
          <w14:textFill>
            <w14:solidFill>
              <w14:schemeClr w14:val="tx1"/>
            </w14:solidFill>
          </w14:textFill>
        </w:rPr>
        <w:t>分值构成与评分标准</w:t>
      </w:r>
    </w:p>
    <w:p w14:paraId="381F5455">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2.2.1  分值构成</w:t>
      </w:r>
    </w:p>
    <w:p w14:paraId="0ADD8A5F">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商务评分部分</w:t>
      </w:r>
      <w:r>
        <w:rPr>
          <w:rFonts w:hint="eastAsia"/>
          <w:color w:val="000000" w:themeColor="text1"/>
          <w:highlight w:val="none"/>
          <w:lang w:eastAsia="zh-CN"/>
          <w14:textFill>
            <w14:solidFill>
              <w14:schemeClr w14:val="tx1"/>
            </w14:solidFill>
          </w14:textFill>
        </w:rPr>
        <w:t>：见评审办法前附表；</w:t>
      </w:r>
    </w:p>
    <w:p w14:paraId="1B8E4E41">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（2）技术评分部分：见评审办法前附表；</w:t>
      </w:r>
    </w:p>
    <w:p w14:paraId="14B97EAB">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（3）磋商报价：见评审办法前附表；</w:t>
      </w:r>
    </w:p>
    <w:p w14:paraId="4FE3B644">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 xml:space="preserve">2.2.2 评审基准价计算 </w:t>
      </w:r>
    </w:p>
    <w:p w14:paraId="02F7B4B8">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 xml:space="preserve">评审基准价计算方法：见评审办法前附表。 </w:t>
      </w:r>
    </w:p>
    <w:p w14:paraId="46B488EC">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2.2.3  评分标准</w:t>
      </w:r>
    </w:p>
    <w:p w14:paraId="485A7F10">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bookmarkStart w:id="122" w:name="_bookmark91"/>
      <w:bookmarkEnd w:id="122"/>
      <w:r>
        <w:rPr>
          <w:rFonts w:hint="eastAsia"/>
          <w:color w:val="000000" w:themeColor="text1"/>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商务评分部分</w:t>
      </w:r>
      <w:r>
        <w:rPr>
          <w:rFonts w:hint="eastAsia"/>
          <w:color w:val="000000" w:themeColor="text1"/>
          <w:highlight w:val="none"/>
          <w:lang w:eastAsia="zh-CN"/>
          <w14:textFill>
            <w14:solidFill>
              <w14:schemeClr w14:val="tx1"/>
            </w14:solidFill>
          </w14:textFill>
        </w:rPr>
        <w:t>：见评审办法前附表；</w:t>
      </w:r>
    </w:p>
    <w:p w14:paraId="4C3C3E19">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（2）技术评分部分：见评审办法前附表；</w:t>
      </w:r>
    </w:p>
    <w:p w14:paraId="46F8A7E0">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（3）磋商报价：见评审办法前附表；</w:t>
      </w:r>
    </w:p>
    <w:p w14:paraId="2388BB5D">
      <w:pPr>
        <w:keepNext w:val="0"/>
        <w:keepLines w:val="0"/>
        <w:pageBreakBefore w:val="0"/>
        <w:widowControl w:val="0"/>
        <w:kinsoku/>
        <w:wordWrap w:val="0"/>
        <w:overflowPunct/>
        <w:topLinePunct w:val="0"/>
        <w:autoSpaceDE/>
        <w:autoSpaceDN/>
        <w:bidi w:val="0"/>
        <w:adjustRightInd/>
        <w:snapToGrid/>
        <w:spacing w:line="420" w:lineRule="exact"/>
        <w:ind w:firstLine="562" w:firstLineChars="200"/>
        <w:jc w:val="both"/>
        <w:textAlignment w:val="auto"/>
        <w:rPr>
          <w:b/>
          <w:bCs/>
          <w:color w:val="000000" w:themeColor="text1"/>
          <w:sz w:val="28"/>
          <w:szCs w:val="28"/>
          <w:highlight w:val="none"/>
          <w:lang w:eastAsia="zh-CN"/>
          <w14:textFill>
            <w14:solidFill>
              <w14:schemeClr w14:val="tx1"/>
            </w14:solidFill>
          </w14:textFill>
        </w:rPr>
      </w:pPr>
      <w:r>
        <w:rPr>
          <w:rFonts w:hint="eastAsia"/>
          <w:b/>
          <w:bCs/>
          <w:color w:val="000000" w:themeColor="text1"/>
          <w:sz w:val="28"/>
          <w:szCs w:val="28"/>
          <w:highlight w:val="none"/>
          <w:lang w:eastAsia="zh-CN"/>
          <w14:textFill>
            <w14:solidFill>
              <w14:schemeClr w14:val="tx1"/>
            </w14:solidFill>
          </w14:textFill>
        </w:rPr>
        <w:t>3.  评审程序</w:t>
      </w:r>
    </w:p>
    <w:p w14:paraId="48B37342">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sz w:val="21"/>
          <w:szCs w:val="21"/>
          <w:highlight w:val="none"/>
          <w:lang w:eastAsia="zh-CN"/>
          <w14:textFill>
            <w14:solidFill>
              <w14:schemeClr w14:val="tx1"/>
            </w14:solidFill>
          </w14:textFill>
        </w:rPr>
      </w:pPr>
      <w:bookmarkStart w:id="123" w:name="_bookmark92"/>
      <w:bookmarkEnd w:id="123"/>
      <w:r>
        <w:rPr>
          <w:rFonts w:hint="eastAsia"/>
          <w:color w:val="000000" w:themeColor="text1"/>
          <w:sz w:val="21"/>
          <w:szCs w:val="21"/>
          <w:highlight w:val="none"/>
          <w:lang w:eastAsia="zh-CN"/>
          <w14:textFill>
            <w14:solidFill>
              <w14:schemeClr w14:val="tx1"/>
            </w14:solidFill>
          </w14:textFill>
        </w:rPr>
        <w:t>3.1  初步评审</w:t>
      </w:r>
    </w:p>
    <w:p w14:paraId="023A3789">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val="zh-CN"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3.1.1 磋商小组依据本章第 2.1 款规定的标准对响应文件进行初步评审。有一项不符合评审标准的，磋商小组应当否决其磋商。</w:t>
      </w:r>
      <w:r>
        <w:rPr>
          <w:rFonts w:hint="eastAsia"/>
          <w:color w:val="000000" w:themeColor="text1"/>
          <w:highlight w:val="none"/>
          <w:lang w:val="zh-CN" w:eastAsia="zh-CN"/>
          <w14:textFill>
            <w14:solidFill>
              <w14:schemeClr w14:val="tx1"/>
            </w14:solidFill>
          </w14:textFill>
        </w:rPr>
        <w:t>只有当通过初步评审的</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lang w:val="zh-CN" w:eastAsia="zh-CN"/>
          <w14:textFill>
            <w14:solidFill>
              <w14:schemeClr w14:val="tx1"/>
            </w14:solidFill>
          </w14:textFill>
        </w:rPr>
        <w:t>超过3家（包含3家）时，才能进入详细评审，否则视为具有竞争性</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lang w:val="zh-CN" w:eastAsia="zh-CN"/>
          <w14:textFill>
            <w14:solidFill>
              <w14:schemeClr w14:val="tx1"/>
            </w14:solidFill>
          </w14:textFill>
        </w:rPr>
        <w:t>不足3家，应当重新</w:t>
      </w:r>
      <w:r>
        <w:rPr>
          <w:rFonts w:hint="eastAsia"/>
          <w:color w:val="000000" w:themeColor="text1"/>
          <w:highlight w:val="none"/>
          <w:lang w:eastAsia="zh-CN"/>
          <w14:textFill>
            <w14:solidFill>
              <w14:schemeClr w14:val="tx1"/>
            </w14:solidFill>
          </w14:textFill>
        </w:rPr>
        <w:t>组织采购活动</w:t>
      </w:r>
      <w:r>
        <w:rPr>
          <w:rFonts w:hint="eastAsia"/>
          <w:color w:val="000000" w:themeColor="text1"/>
          <w:highlight w:val="none"/>
          <w:lang w:val="zh-CN" w:eastAsia="zh-CN"/>
          <w14:textFill>
            <w14:solidFill>
              <w14:schemeClr w14:val="tx1"/>
            </w14:solidFill>
          </w14:textFill>
        </w:rPr>
        <w:t>。</w:t>
      </w:r>
    </w:p>
    <w:p w14:paraId="61185F3A">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val="zh-CN" w:eastAsia="zh-CN"/>
          <w14:textFill>
            <w14:solidFill>
              <w14:schemeClr w14:val="tx1"/>
            </w14:solidFill>
          </w14:textFill>
        </w:rPr>
      </w:pPr>
      <w:r>
        <w:rPr>
          <w:rFonts w:hint="eastAsia"/>
          <w:color w:val="000000" w:themeColor="text1"/>
          <w:highlight w:val="none"/>
          <w:lang w:val="zh-CN"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val="zh-CN" w:eastAsia="zh-CN"/>
          <w14:textFill>
            <w14:solidFill>
              <w14:schemeClr w14:val="tx1"/>
            </w14:solidFill>
          </w14:textFill>
        </w:rPr>
        <w:t>政府采购应当采购本国货物。按照财政部《政府采购进口产品管理办法》规定确需采购进口产品的，实行审核管理。经审核允许采购进口产品的，不得排斥符合要求的本国产品。在采购文件中未标明采购进口产品的，均为采购本国产品。供应商必须提供本国产品，提供进口产品的，磋商无效。进口产品是指通过中国海关报关验放进入中国境内且产自关境外的产品。</w:t>
      </w:r>
    </w:p>
    <w:p w14:paraId="6D7DF817">
      <w:pPr>
        <w:keepNext w:val="0"/>
        <w:keepLines w:val="0"/>
        <w:pageBreakBefore w:val="0"/>
        <w:widowControl w:val="0"/>
        <w:kinsoku/>
        <w:overflowPunct/>
        <w:topLinePunct w:val="0"/>
        <w:autoSpaceDE/>
        <w:autoSpaceDN/>
        <w:bidi w:val="0"/>
        <w:adjustRightInd/>
        <w:snapToGrid/>
        <w:spacing w:line="420" w:lineRule="exact"/>
        <w:ind w:firstLine="440" w:firstLineChars="200"/>
        <w:textAlignment w:val="auto"/>
        <w:rPr>
          <w:rFonts w:ascii="宋体" w:hAnsi="宋体"/>
          <w:color w:val="000000" w:themeColor="text1"/>
          <w:sz w:val="21"/>
          <w:szCs w:val="2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技术参数中标识为核心产品的，核心产品提供相同品牌、相同型号且通过资格审查、符合性审查的不同投标供应商参加同一合同项下投标的，按一家投标供应商计算，评审后得分最高的同品牌同型号投标供应商获得中标人推荐资格；评审得分相同的，参照本办法规定确定一个供应商获得中标人推荐资格，其他同品牌同型号供应商不作为中标候选人。符合性审查后，因提供相同品牌、相同型号产品的不同供应商按一家计算而导致有效供应商不足3家的，应予废标。</w:t>
      </w:r>
    </w:p>
    <w:p w14:paraId="3535D864">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3.1.2</w:t>
      </w:r>
      <w:r>
        <w:rPr>
          <w:rFonts w:hint="eastAsia"/>
          <w:color w:val="000000" w:themeColor="text1"/>
          <w:spacing w:val="50"/>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供应商有以下情形之一的，磋商小组应当否决其磋商：</w:t>
      </w:r>
    </w:p>
    <w:p w14:paraId="740C2544">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（1）响应文件没有对磋商文件的实质性要求和条件作出响应，或者对磋商文件的偏差超出 磋商文件规定的偏差范围或最高项数；</w:t>
      </w:r>
    </w:p>
    <w:p w14:paraId="5F67E547">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（2）有串通投标、弄虚作假、行贿等违法行为。</w:t>
      </w:r>
    </w:p>
    <w:p w14:paraId="56877B8B">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3.1.3 磋商报价有算术错误及其他错误的，磋商小组按以下原则要求供应商对磋商报价进 行修正，并要求供应商书面澄清确认。供应商拒不澄清确认的，磋商小组应当否决其磋商：</w:t>
      </w:r>
    </w:p>
    <w:p w14:paraId="6C7709E9">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（1）响应文件中的大写金额与小写金额不一致的，以大写金额为准；</w:t>
      </w:r>
    </w:p>
    <w:p w14:paraId="6D3B5A60">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（2）总价金额与单价金额不一致的，以单价金额为准，但单价金额小数点有明显错误的除 外。</w:t>
      </w:r>
    </w:p>
    <w:p w14:paraId="51CB2903">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sz w:val="21"/>
          <w:szCs w:val="21"/>
          <w:highlight w:val="none"/>
          <w:lang w:eastAsia="zh-CN"/>
          <w14:textFill>
            <w14:solidFill>
              <w14:schemeClr w14:val="tx1"/>
            </w14:solidFill>
          </w14:textFill>
        </w:rPr>
      </w:pPr>
      <w:bookmarkStart w:id="124" w:name="_bookmark93"/>
      <w:bookmarkEnd w:id="124"/>
      <w:r>
        <w:rPr>
          <w:rFonts w:hint="eastAsia"/>
          <w:color w:val="000000" w:themeColor="text1"/>
          <w:sz w:val="21"/>
          <w:szCs w:val="21"/>
          <w:highlight w:val="none"/>
          <w:lang w:eastAsia="zh-CN"/>
          <w14:textFill>
            <w14:solidFill>
              <w14:schemeClr w14:val="tx1"/>
            </w14:solidFill>
          </w14:textFill>
        </w:rPr>
        <w:t>3.2  详细评审</w:t>
      </w:r>
    </w:p>
    <w:p w14:paraId="6A8A89B1">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 xml:space="preserve">3.2.1 </w:t>
      </w:r>
      <w:r>
        <w:rPr>
          <w:rFonts w:hint="eastAsia"/>
          <w:color w:val="000000" w:themeColor="text1"/>
          <w:spacing w:val="-2"/>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磋商小组</w:t>
      </w:r>
      <w:r>
        <w:rPr>
          <w:rFonts w:hint="eastAsia"/>
          <w:color w:val="000000" w:themeColor="text1"/>
          <w:spacing w:val="-3"/>
          <w:highlight w:val="none"/>
          <w:lang w:eastAsia="zh-CN"/>
          <w14:textFill>
            <w14:solidFill>
              <w14:schemeClr w14:val="tx1"/>
            </w14:solidFill>
          </w14:textFill>
        </w:rPr>
        <w:t>按</w:t>
      </w:r>
      <w:r>
        <w:rPr>
          <w:rFonts w:hint="eastAsia"/>
          <w:color w:val="000000" w:themeColor="text1"/>
          <w:highlight w:val="none"/>
          <w:lang w:eastAsia="zh-CN"/>
          <w14:textFill>
            <w14:solidFill>
              <w14:schemeClr w14:val="tx1"/>
            </w14:solidFill>
          </w14:textFill>
        </w:rPr>
        <w:t>本</w:t>
      </w:r>
      <w:r>
        <w:rPr>
          <w:rFonts w:hint="eastAsia"/>
          <w:color w:val="000000" w:themeColor="text1"/>
          <w:spacing w:val="-3"/>
          <w:highlight w:val="none"/>
          <w:lang w:eastAsia="zh-CN"/>
          <w14:textFill>
            <w14:solidFill>
              <w14:schemeClr w14:val="tx1"/>
            </w14:solidFill>
          </w14:textFill>
        </w:rPr>
        <w:t>章</w:t>
      </w:r>
      <w:r>
        <w:rPr>
          <w:rFonts w:hint="eastAsia"/>
          <w:color w:val="000000" w:themeColor="text1"/>
          <w:highlight w:val="none"/>
          <w:lang w:eastAsia="zh-CN"/>
          <w14:textFill>
            <w14:solidFill>
              <w14:schemeClr w14:val="tx1"/>
            </w14:solidFill>
          </w14:textFill>
        </w:rPr>
        <w:t>第</w:t>
      </w:r>
      <w:r>
        <w:rPr>
          <w:rFonts w:hint="eastAsia"/>
          <w:color w:val="000000" w:themeColor="text1"/>
          <w:spacing w:val="-64"/>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2.2</w:t>
      </w:r>
      <w:r>
        <w:rPr>
          <w:rFonts w:hint="eastAsia"/>
          <w:color w:val="000000" w:themeColor="text1"/>
          <w:spacing w:val="-12"/>
          <w:highlight w:val="none"/>
          <w:lang w:eastAsia="zh-CN"/>
          <w14:textFill>
            <w14:solidFill>
              <w14:schemeClr w14:val="tx1"/>
            </w14:solidFill>
          </w14:textFill>
        </w:rPr>
        <w:t xml:space="preserve"> </w:t>
      </w:r>
      <w:r>
        <w:rPr>
          <w:rFonts w:hint="eastAsia"/>
          <w:color w:val="000000" w:themeColor="text1"/>
          <w:spacing w:val="-3"/>
          <w:highlight w:val="none"/>
          <w:lang w:eastAsia="zh-CN"/>
          <w14:textFill>
            <w14:solidFill>
              <w14:schemeClr w14:val="tx1"/>
            </w14:solidFill>
          </w14:textFill>
        </w:rPr>
        <w:t>款</w:t>
      </w:r>
      <w:r>
        <w:rPr>
          <w:rFonts w:hint="eastAsia"/>
          <w:color w:val="000000" w:themeColor="text1"/>
          <w:highlight w:val="none"/>
          <w:lang w:eastAsia="zh-CN"/>
          <w14:textFill>
            <w14:solidFill>
              <w14:schemeClr w14:val="tx1"/>
            </w14:solidFill>
          </w14:textFill>
        </w:rPr>
        <w:t>规</w:t>
      </w:r>
      <w:r>
        <w:rPr>
          <w:rFonts w:hint="eastAsia"/>
          <w:color w:val="000000" w:themeColor="text1"/>
          <w:spacing w:val="-3"/>
          <w:highlight w:val="none"/>
          <w:lang w:eastAsia="zh-CN"/>
          <w14:textFill>
            <w14:solidFill>
              <w14:schemeClr w14:val="tx1"/>
            </w14:solidFill>
          </w14:textFill>
        </w:rPr>
        <w:t>定</w:t>
      </w:r>
      <w:r>
        <w:rPr>
          <w:rFonts w:hint="eastAsia"/>
          <w:color w:val="000000" w:themeColor="text1"/>
          <w:highlight w:val="none"/>
          <w:lang w:eastAsia="zh-CN"/>
          <w14:textFill>
            <w14:solidFill>
              <w14:schemeClr w14:val="tx1"/>
            </w14:solidFill>
          </w14:textFill>
        </w:rPr>
        <w:t>的</w:t>
      </w:r>
      <w:r>
        <w:rPr>
          <w:rFonts w:hint="eastAsia"/>
          <w:color w:val="000000" w:themeColor="text1"/>
          <w:spacing w:val="-3"/>
          <w:highlight w:val="none"/>
          <w:lang w:eastAsia="zh-CN"/>
          <w14:textFill>
            <w14:solidFill>
              <w14:schemeClr w14:val="tx1"/>
            </w14:solidFill>
          </w14:textFill>
        </w:rPr>
        <w:t>量</w:t>
      </w:r>
      <w:r>
        <w:rPr>
          <w:rFonts w:hint="eastAsia"/>
          <w:color w:val="000000" w:themeColor="text1"/>
          <w:highlight w:val="none"/>
          <w:lang w:eastAsia="zh-CN"/>
          <w14:textFill>
            <w14:solidFill>
              <w14:schemeClr w14:val="tx1"/>
            </w14:solidFill>
          </w14:textFill>
        </w:rPr>
        <w:t>化</w:t>
      </w:r>
      <w:r>
        <w:rPr>
          <w:rFonts w:hint="eastAsia"/>
          <w:color w:val="000000" w:themeColor="text1"/>
          <w:spacing w:val="-3"/>
          <w:highlight w:val="none"/>
          <w:lang w:eastAsia="zh-CN"/>
          <w14:textFill>
            <w14:solidFill>
              <w14:schemeClr w14:val="tx1"/>
            </w14:solidFill>
          </w14:textFill>
        </w:rPr>
        <w:t>因</w:t>
      </w:r>
      <w:r>
        <w:rPr>
          <w:rFonts w:hint="eastAsia"/>
          <w:color w:val="000000" w:themeColor="text1"/>
          <w:highlight w:val="none"/>
          <w:lang w:eastAsia="zh-CN"/>
          <w14:textFill>
            <w14:solidFill>
              <w14:schemeClr w14:val="tx1"/>
            </w14:solidFill>
          </w14:textFill>
        </w:rPr>
        <w:t>素</w:t>
      </w:r>
      <w:r>
        <w:rPr>
          <w:rFonts w:hint="eastAsia"/>
          <w:color w:val="000000" w:themeColor="text1"/>
          <w:spacing w:val="-3"/>
          <w:highlight w:val="none"/>
          <w:lang w:eastAsia="zh-CN"/>
          <w14:textFill>
            <w14:solidFill>
              <w14:schemeClr w14:val="tx1"/>
            </w14:solidFill>
          </w14:textFill>
        </w:rPr>
        <w:t>和</w:t>
      </w:r>
      <w:r>
        <w:rPr>
          <w:rFonts w:hint="eastAsia"/>
          <w:color w:val="000000" w:themeColor="text1"/>
          <w:highlight w:val="none"/>
          <w:lang w:eastAsia="zh-CN"/>
          <w14:textFill>
            <w14:solidFill>
              <w14:schemeClr w14:val="tx1"/>
            </w14:solidFill>
          </w14:textFill>
        </w:rPr>
        <w:t>分值</w:t>
      </w:r>
      <w:r>
        <w:rPr>
          <w:rFonts w:hint="eastAsia"/>
          <w:color w:val="000000" w:themeColor="text1"/>
          <w:spacing w:val="-3"/>
          <w:highlight w:val="none"/>
          <w:lang w:eastAsia="zh-CN"/>
          <w14:textFill>
            <w14:solidFill>
              <w14:schemeClr w14:val="tx1"/>
            </w14:solidFill>
          </w14:textFill>
        </w:rPr>
        <w:t>进</w:t>
      </w:r>
      <w:r>
        <w:rPr>
          <w:rFonts w:hint="eastAsia"/>
          <w:color w:val="000000" w:themeColor="text1"/>
          <w:highlight w:val="none"/>
          <w:lang w:eastAsia="zh-CN"/>
          <w14:textFill>
            <w14:solidFill>
              <w14:schemeClr w14:val="tx1"/>
            </w14:solidFill>
          </w14:textFill>
        </w:rPr>
        <w:t>行</w:t>
      </w:r>
      <w:r>
        <w:rPr>
          <w:rFonts w:hint="eastAsia"/>
          <w:color w:val="000000" w:themeColor="text1"/>
          <w:spacing w:val="-3"/>
          <w:highlight w:val="none"/>
          <w:lang w:eastAsia="zh-CN"/>
          <w14:textFill>
            <w14:solidFill>
              <w14:schemeClr w14:val="tx1"/>
            </w14:solidFill>
          </w14:textFill>
        </w:rPr>
        <w:t>打</w:t>
      </w:r>
      <w:r>
        <w:rPr>
          <w:rFonts w:hint="eastAsia"/>
          <w:color w:val="000000" w:themeColor="text1"/>
          <w:highlight w:val="none"/>
          <w:lang w:eastAsia="zh-CN"/>
          <w14:textFill>
            <w14:solidFill>
              <w14:schemeClr w14:val="tx1"/>
            </w14:solidFill>
          </w14:textFill>
        </w:rPr>
        <w:t>分</w:t>
      </w:r>
      <w:r>
        <w:rPr>
          <w:rFonts w:hint="eastAsia"/>
          <w:color w:val="000000" w:themeColor="text1"/>
          <w:spacing w:val="-108"/>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并</w:t>
      </w:r>
      <w:r>
        <w:rPr>
          <w:rFonts w:hint="eastAsia"/>
          <w:color w:val="000000" w:themeColor="text1"/>
          <w:spacing w:val="-3"/>
          <w:highlight w:val="none"/>
          <w:lang w:eastAsia="zh-CN"/>
          <w14:textFill>
            <w14:solidFill>
              <w14:schemeClr w14:val="tx1"/>
            </w14:solidFill>
          </w14:textFill>
        </w:rPr>
        <w:t>计</w:t>
      </w:r>
      <w:r>
        <w:rPr>
          <w:rFonts w:hint="eastAsia"/>
          <w:color w:val="000000" w:themeColor="text1"/>
          <w:highlight w:val="none"/>
          <w:lang w:eastAsia="zh-CN"/>
          <w14:textFill>
            <w14:solidFill>
              <w14:schemeClr w14:val="tx1"/>
            </w14:solidFill>
          </w14:textFill>
        </w:rPr>
        <w:t>算</w:t>
      </w:r>
      <w:r>
        <w:rPr>
          <w:rFonts w:hint="eastAsia"/>
          <w:color w:val="000000" w:themeColor="text1"/>
          <w:spacing w:val="-3"/>
          <w:highlight w:val="none"/>
          <w:lang w:eastAsia="zh-CN"/>
          <w14:textFill>
            <w14:solidFill>
              <w14:schemeClr w14:val="tx1"/>
            </w14:solidFill>
          </w14:textFill>
        </w:rPr>
        <w:t>出综</w:t>
      </w:r>
      <w:r>
        <w:rPr>
          <w:rFonts w:hint="eastAsia"/>
          <w:color w:val="000000" w:themeColor="text1"/>
          <w:highlight w:val="none"/>
          <w:lang w:eastAsia="zh-CN"/>
          <w14:textFill>
            <w14:solidFill>
              <w14:schemeClr w14:val="tx1"/>
            </w14:solidFill>
          </w14:textFill>
        </w:rPr>
        <w:t>合评</w:t>
      </w:r>
      <w:r>
        <w:rPr>
          <w:rFonts w:hint="eastAsia"/>
          <w:color w:val="000000" w:themeColor="text1"/>
          <w:spacing w:val="-3"/>
          <w:highlight w:val="none"/>
          <w:lang w:eastAsia="zh-CN"/>
          <w14:textFill>
            <w14:solidFill>
              <w14:schemeClr w14:val="tx1"/>
            </w14:solidFill>
          </w14:textFill>
        </w:rPr>
        <w:t>估</w:t>
      </w:r>
      <w:r>
        <w:rPr>
          <w:rFonts w:hint="eastAsia"/>
          <w:color w:val="000000" w:themeColor="text1"/>
          <w:highlight w:val="none"/>
          <w:lang w:eastAsia="zh-CN"/>
          <w14:textFill>
            <w14:solidFill>
              <w14:schemeClr w14:val="tx1"/>
            </w14:solidFill>
          </w14:textFill>
        </w:rPr>
        <w:t>得</w:t>
      </w:r>
      <w:r>
        <w:rPr>
          <w:rFonts w:hint="eastAsia"/>
          <w:color w:val="000000" w:themeColor="text1"/>
          <w:spacing w:val="-3"/>
          <w:highlight w:val="none"/>
          <w:lang w:eastAsia="zh-CN"/>
          <w14:textFill>
            <w14:solidFill>
              <w14:schemeClr w14:val="tx1"/>
            </w14:solidFill>
          </w14:textFill>
        </w:rPr>
        <w:t>分</w:t>
      </w:r>
      <w:r>
        <w:rPr>
          <w:rFonts w:hint="eastAsia"/>
          <w:color w:val="000000" w:themeColor="text1"/>
          <w:highlight w:val="none"/>
          <w:lang w:eastAsia="zh-CN"/>
          <w14:textFill>
            <w14:solidFill>
              <w14:schemeClr w14:val="tx1"/>
            </w14:solidFill>
          </w14:textFill>
        </w:rPr>
        <w:t>。</w:t>
      </w:r>
    </w:p>
    <w:p w14:paraId="256BAD96">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（1）按本章第</w:t>
      </w:r>
      <w:r>
        <w:rPr>
          <w:rFonts w:hint="eastAsia"/>
          <w:color w:val="000000" w:themeColor="text1"/>
          <w:spacing w:val="-57"/>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2.2.3（1）目规定的评审因素和分值对商务</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部分</w:t>
      </w:r>
      <w:r>
        <w:rPr>
          <w:rFonts w:hint="eastAsia"/>
          <w:color w:val="000000" w:themeColor="text1"/>
          <w:highlight w:val="none"/>
          <w:lang w:eastAsia="zh-CN"/>
          <w14:textFill>
            <w14:solidFill>
              <w14:schemeClr w14:val="tx1"/>
            </w14:solidFill>
          </w14:textFill>
        </w:rPr>
        <w:t>计算出得分</w:t>
      </w:r>
      <w:r>
        <w:rPr>
          <w:rFonts w:hint="eastAsia"/>
          <w:color w:val="000000" w:themeColor="text1"/>
          <w:spacing w:val="-55"/>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A；</w:t>
      </w:r>
    </w:p>
    <w:p w14:paraId="4749FC40">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（2）按本章第</w:t>
      </w:r>
      <w:r>
        <w:rPr>
          <w:rFonts w:hint="eastAsia"/>
          <w:color w:val="000000" w:themeColor="text1"/>
          <w:spacing w:val="-58"/>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2.2.3（2）目规定的评审因素和分值对技术部分计算出得分</w:t>
      </w:r>
      <w:r>
        <w:rPr>
          <w:rFonts w:hint="eastAsia"/>
          <w:color w:val="000000" w:themeColor="text1"/>
          <w:spacing w:val="-56"/>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B；</w:t>
      </w:r>
    </w:p>
    <w:p w14:paraId="6523F0F2">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（3）按本章第</w:t>
      </w:r>
      <w:r>
        <w:rPr>
          <w:rFonts w:hint="eastAsia"/>
          <w:color w:val="000000" w:themeColor="text1"/>
          <w:spacing w:val="-58"/>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2.2.3（3）目规定的评审因素和分值对磋商报价计算出得分</w:t>
      </w:r>
      <w:r>
        <w:rPr>
          <w:rFonts w:hint="eastAsia"/>
          <w:color w:val="000000" w:themeColor="text1"/>
          <w:spacing w:val="-58"/>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C；</w:t>
      </w:r>
    </w:p>
    <w:p w14:paraId="3AAD87E4">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3.2.2 评分分值计算保留小数点后两位，小数点后第三位“四舍五入”。</w:t>
      </w:r>
    </w:p>
    <w:p w14:paraId="1C58A67B">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3.2.3 供应商得分=A+B+C。</w:t>
      </w:r>
    </w:p>
    <w:p w14:paraId="551E5077">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 xml:space="preserve">3.2.4 </w:t>
      </w:r>
      <w:r>
        <w:rPr>
          <w:rFonts w:hint="eastAsia"/>
          <w:color w:val="000000" w:themeColor="text1"/>
          <w:spacing w:val="-4"/>
          <w:highlight w:val="none"/>
          <w:lang w:eastAsia="zh-CN"/>
          <w14:textFill>
            <w14:solidFill>
              <w14:schemeClr w14:val="tx1"/>
            </w14:solidFill>
          </w14:textFill>
        </w:rPr>
        <w:t>磋商小组发现供应商的报价明显低于其他磋商报价，使得其磋商报价可能低于其个</w:t>
      </w:r>
      <w:r>
        <w:rPr>
          <w:rFonts w:hint="eastAsia"/>
          <w:color w:val="000000" w:themeColor="text1"/>
          <w:spacing w:val="-1"/>
          <w:highlight w:val="none"/>
          <w:lang w:eastAsia="zh-CN"/>
          <w14:textFill>
            <w14:solidFill>
              <w14:schemeClr w14:val="tx1"/>
            </w14:solidFill>
          </w14:textFill>
        </w:rPr>
        <w:t>别成本的，应当要求该供应商作出书面说明并提供相应的证明材料。供应商不能合理说明或者不能提供相应证明材料的，磋商小组应当</w:t>
      </w:r>
      <w:r>
        <w:rPr>
          <w:rFonts w:hint="eastAsia"/>
          <w:color w:val="000000" w:themeColor="text1"/>
          <w:highlight w:val="none"/>
          <w:lang w:eastAsia="zh-CN"/>
          <w14:textFill>
            <w14:solidFill>
              <w14:schemeClr w14:val="tx1"/>
            </w14:solidFill>
          </w14:textFill>
        </w:rPr>
        <w:t>认</w:t>
      </w:r>
      <w:r>
        <w:rPr>
          <w:rFonts w:hint="eastAsia"/>
          <w:color w:val="000000" w:themeColor="text1"/>
          <w:spacing w:val="-3"/>
          <w:highlight w:val="none"/>
          <w:lang w:eastAsia="zh-CN"/>
          <w14:textFill>
            <w14:solidFill>
              <w14:schemeClr w14:val="tx1"/>
            </w14:solidFill>
          </w14:textFill>
        </w:rPr>
        <w:t>定</w:t>
      </w:r>
      <w:r>
        <w:rPr>
          <w:rFonts w:hint="eastAsia"/>
          <w:color w:val="000000" w:themeColor="text1"/>
          <w:highlight w:val="none"/>
          <w:lang w:eastAsia="zh-CN"/>
          <w14:textFill>
            <w14:solidFill>
              <w14:schemeClr w14:val="tx1"/>
            </w14:solidFill>
          </w14:textFill>
        </w:rPr>
        <w:t>该</w:t>
      </w:r>
      <w:r>
        <w:rPr>
          <w:rFonts w:hint="eastAsia"/>
          <w:color w:val="000000" w:themeColor="text1"/>
          <w:spacing w:val="-3"/>
          <w:highlight w:val="none"/>
          <w:lang w:eastAsia="zh-CN"/>
          <w14:textFill>
            <w14:solidFill>
              <w14:schemeClr w14:val="tx1"/>
            </w14:solidFill>
          </w14:textFill>
        </w:rPr>
        <w:t>供应商以</w:t>
      </w:r>
      <w:r>
        <w:rPr>
          <w:rFonts w:hint="eastAsia"/>
          <w:color w:val="000000" w:themeColor="text1"/>
          <w:highlight w:val="none"/>
          <w:lang w:eastAsia="zh-CN"/>
          <w14:textFill>
            <w14:solidFill>
              <w14:schemeClr w14:val="tx1"/>
            </w14:solidFill>
          </w14:textFill>
        </w:rPr>
        <w:t>低</w:t>
      </w:r>
      <w:r>
        <w:rPr>
          <w:rFonts w:hint="eastAsia"/>
          <w:color w:val="000000" w:themeColor="text1"/>
          <w:spacing w:val="-3"/>
          <w:highlight w:val="none"/>
          <w:lang w:eastAsia="zh-CN"/>
          <w14:textFill>
            <w14:solidFill>
              <w14:schemeClr w14:val="tx1"/>
            </w14:solidFill>
          </w14:textFill>
        </w:rPr>
        <w:t>于</w:t>
      </w:r>
      <w:r>
        <w:rPr>
          <w:rFonts w:hint="eastAsia"/>
          <w:color w:val="000000" w:themeColor="text1"/>
          <w:highlight w:val="none"/>
          <w:lang w:eastAsia="zh-CN"/>
          <w14:textFill>
            <w14:solidFill>
              <w14:schemeClr w14:val="tx1"/>
            </w14:solidFill>
          </w14:textFill>
        </w:rPr>
        <w:t>成</w:t>
      </w:r>
      <w:r>
        <w:rPr>
          <w:rFonts w:hint="eastAsia"/>
          <w:color w:val="000000" w:themeColor="text1"/>
          <w:spacing w:val="-3"/>
          <w:highlight w:val="none"/>
          <w:lang w:eastAsia="zh-CN"/>
          <w14:textFill>
            <w14:solidFill>
              <w14:schemeClr w14:val="tx1"/>
            </w14:solidFill>
          </w14:textFill>
        </w:rPr>
        <w:t>本</w:t>
      </w:r>
      <w:r>
        <w:rPr>
          <w:rFonts w:hint="eastAsia"/>
          <w:color w:val="000000" w:themeColor="text1"/>
          <w:highlight w:val="none"/>
          <w:lang w:eastAsia="zh-CN"/>
          <w14:textFill>
            <w14:solidFill>
              <w14:schemeClr w14:val="tx1"/>
            </w14:solidFill>
          </w14:textFill>
        </w:rPr>
        <w:t>报</w:t>
      </w:r>
      <w:r>
        <w:rPr>
          <w:rFonts w:hint="eastAsia"/>
          <w:color w:val="000000" w:themeColor="text1"/>
          <w:spacing w:val="-3"/>
          <w:highlight w:val="none"/>
          <w:lang w:eastAsia="zh-CN"/>
          <w14:textFill>
            <w14:solidFill>
              <w14:schemeClr w14:val="tx1"/>
            </w14:solidFill>
          </w14:textFill>
        </w:rPr>
        <w:t>价</w:t>
      </w:r>
      <w:r>
        <w:rPr>
          <w:rFonts w:hint="eastAsia"/>
          <w:color w:val="000000" w:themeColor="text1"/>
          <w:highlight w:val="none"/>
          <w:lang w:eastAsia="zh-CN"/>
          <w14:textFill>
            <w14:solidFill>
              <w14:schemeClr w14:val="tx1"/>
            </w14:solidFill>
          </w14:textFill>
        </w:rPr>
        <w:t>竞标</w:t>
      </w:r>
      <w:r>
        <w:rPr>
          <w:rFonts w:hint="eastAsia"/>
          <w:color w:val="000000" w:themeColor="text1"/>
          <w:spacing w:val="-94"/>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并否</w:t>
      </w:r>
      <w:r>
        <w:rPr>
          <w:rFonts w:hint="eastAsia"/>
          <w:color w:val="000000" w:themeColor="text1"/>
          <w:spacing w:val="-3"/>
          <w:highlight w:val="none"/>
          <w:lang w:eastAsia="zh-CN"/>
          <w14:textFill>
            <w14:solidFill>
              <w14:schemeClr w14:val="tx1"/>
            </w14:solidFill>
          </w14:textFill>
        </w:rPr>
        <w:t>决其磋商</w:t>
      </w:r>
      <w:r>
        <w:rPr>
          <w:rFonts w:hint="eastAsia"/>
          <w:color w:val="000000" w:themeColor="text1"/>
          <w:highlight w:val="none"/>
          <w:lang w:eastAsia="zh-CN"/>
          <w14:textFill>
            <w14:solidFill>
              <w14:schemeClr w14:val="tx1"/>
            </w14:solidFill>
          </w14:textFill>
        </w:rPr>
        <w:t>。</w:t>
      </w:r>
    </w:p>
    <w:p w14:paraId="46F745CB">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sz w:val="21"/>
          <w:szCs w:val="21"/>
          <w:highlight w:val="none"/>
          <w:lang w:eastAsia="zh-CN"/>
          <w14:textFill>
            <w14:solidFill>
              <w14:schemeClr w14:val="tx1"/>
            </w14:solidFill>
          </w14:textFill>
        </w:rPr>
      </w:pPr>
      <w:bookmarkStart w:id="125" w:name="_bookmark94"/>
      <w:bookmarkEnd w:id="125"/>
      <w:r>
        <w:rPr>
          <w:rFonts w:hint="eastAsia"/>
          <w:color w:val="000000" w:themeColor="text1"/>
          <w:sz w:val="21"/>
          <w:szCs w:val="21"/>
          <w:highlight w:val="none"/>
          <w:lang w:eastAsia="zh-CN"/>
          <w14:textFill>
            <w14:solidFill>
              <w14:schemeClr w14:val="tx1"/>
            </w14:solidFill>
          </w14:textFill>
        </w:rPr>
        <w:t>3.3  磋商文件的澄清</w:t>
      </w:r>
    </w:p>
    <w:p w14:paraId="3716EADC">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3.3.1 在评审过程中，磋商小组会可以书面形式要求供应商对响应文件中含义不明确、对同类问题表述不一致或者有明显文字和计算错误的内容作必要的澄清、说明或补正。澄清、说明 或补正应以书面方式进行。磋商小组会不接受供应商主动提出的澄清、说明或补正。</w:t>
      </w:r>
    </w:p>
    <w:p w14:paraId="446164D0">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3.3.2 澄清、说明或补正不得超出磋商文件的范围且不得改变响应文件的实质性内容，并构 成响应文件的组成部分。</w:t>
      </w:r>
    </w:p>
    <w:p w14:paraId="1E71836F">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3.3.3  磋商小组</w:t>
      </w:r>
      <w:r>
        <w:rPr>
          <w:rFonts w:hint="eastAsia"/>
          <w:color w:val="000000" w:themeColor="text1"/>
          <w:spacing w:val="-3"/>
          <w:highlight w:val="none"/>
          <w:lang w:eastAsia="zh-CN"/>
          <w14:textFill>
            <w14:solidFill>
              <w14:schemeClr w14:val="tx1"/>
            </w14:solidFill>
          </w14:textFill>
        </w:rPr>
        <w:t>对</w:t>
      </w:r>
      <w:r>
        <w:rPr>
          <w:rFonts w:hint="eastAsia"/>
          <w:color w:val="000000" w:themeColor="text1"/>
          <w:highlight w:val="none"/>
          <w:lang w:eastAsia="zh-CN"/>
          <w14:textFill>
            <w14:solidFill>
              <w14:schemeClr w14:val="tx1"/>
            </w14:solidFill>
          </w14:textFill>
        </w:rPr>
        <w:t>供应商提交</w:t>
      </w:r>
      <w:r>
        <w:rPr>
          <w:rFonts w:hint="eastAsia"/>
          <w:color w:val="000000" w:themeColor="text1"/>
          <w:spacing w:val="-3"/>
          <w:highlight w:val="none"/>
          <w:lang w:eastAsia="zh-CN"/>
          <w14:textFill>
            <w14:solidFill>
              <w14:schemeClr w14:val="tx1"/>
            </w14:solidFill>
          </w14:textFill>
        </w:rPr>
        <w:t>的</w:t>
      </w:r>
      <w:r>
        <w:rPr>
          <w:rFonts w:hint="eastAsia"/>
          <w:color w:val="000000" w:themeColor="text1"/>
          <w:highlight w:val="none"/>
          <w:lang w:eastAsia="zh-CN"/>
          <w14:textFill>
            <w14:solidFill>
              <w14:schemeClr w14:val="tx1"/>
            </w14:solidFill>
          </w14:textFill>
        </w:rPr>
        <w:t>澄清</w:t>
      </w:r>
      <w:r>
        <w:rPr>
          <w:rFonts w:hint="eastAsia"/>
          <w:color w:val="000000" w:themeColor="text1"/>
          <w:spacing w:val="-94"/>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说</w:t>
      </w:r>
      <w:r>
        <w:rPr>
          <w:rFonts w:hint="eastAsia"/>
          <w:color w:val="000000" w:themeColor="text1"/>
          <w:spacing w:val="-3"/>
          <w:highlight w:val="none"/>
          <w:lang w:eastAsia="zh-CN"/>
          <w14:textFill>
            <w14:solidFill>
              <w14:schemeClr w14:val="tx1"/>
            </w14:solidFill>
          </w14:textFill>
        </w:rPr>
        <w:t>明</w:t>
      </w:r>
      <w:r>
        <w:rPr>
          <w:rFonts w:hint="eastAsia"/>
          <w:color w:val="000000" w:themeColor="text1"/>
          <w:highlight w:val="none"/>
          <w:lang w:eastAsia="zh-CN"/>
          <w14:textFill>
            <w14:solidFill>
              <w14:schemeClr w14:val="tx1"/>
            </w14:solidFill>
          </w14:textFill>
        </w:rPr>
        <w:t>或</w:t>
      </w:r>
      <w:r>
        <w:rPr>
          <w:rFonts w:hint="eastAsia"/>
          <w:color w:val="000000" w:themeColor="text1"/>
          <w:spacing w:val="-3"/>
          <w:highlight w:val="none"/>
          <w:lang w:eastAsia="zh-CN"/>
          <w14:textFill>
            <w14:solidFill>
              <w14:schemeClr w14:val="tx1"/>
            </w14:solidFill>
          </w14:textFill>
        </w:rPr>
        <w:t>补</w:t>
      </w:r>
      <w:r>
        <w:rPr>
          <w:rFonts w:hint="eastAsia"/>
          <w:color w:val="000000" w:themeColor="text1"/>
          <w:highlight w:val="none"/>
          <w:lang w:eastAsia="zh-CN"/>
          <w14:textFill>
            <w14:solidFill>
              <w14:schemeClr w14:val="tx1"/>
            </w14:solidFill>
          </w14:textFill>
        </w:rPr>
        <w:t>正</w:t>
      </w:r>
      <w:r>
        <w:rPr>
          <w:rFonts w:hint="eastAsia"/>
          <w:color w:val="000000" w:themeColor="text1"/>
          <w:spacing w:val="-3"/>
          <w:highlight w:val="none"/>
          <w:lang w:eastAsia="zh-CN"/>
          <w14:textFill>
            <w14:solidFill>
              <w14:schemeClr w14:val="tx1"/>
            </w14:solidFill>
          </w14:textFill>
        </w:rPr>
        <w:t>有</w:t>
      </w:r>
      <w:r>
        <w:rPr>
          <w:rFonts w:hint="eastAsia"/>
          <w:color w:val="000000" w:themeColor="text1"/>
          <w:highlight w:val="none"/>
          <w:lang w:eastAsia="zh-CN"/>
          <w14:textFill>
            <w14:solidFill>
              <w14:schemeClr w14:val="tx1"/>
            </w14:solidFill>
          </w14:textFill>
        </w:rPr>
        <w:t>疑问的</w:t>
      </w:r>
      <w:r>
        <w:rPr>
          <w:rFonts w:hint="eastAsia"/>
          <w:color w:val="000000" w:themeColor="text1"/>
          <w:spacing w:val="-94"/>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可</w:t>
      </w:r>
      <w:r>
        <w:rPr>
          <w:rFonts w:hint="eastAsia"/>
          <w:color w:val="000000" w:themeColor="text1"/>
          <w:spacing w:val="-3"/>
          <w:highlight w:val="none"/>
          <w:lang w:eastAsia="zh-CN"/>
          <w14:textFill>
            <w14:solidFill>
              <w14:schemeClr w14:val="tx1"/>
            </w14:solidFill>
          </w14:textFill>
        </w:rPr>
        <w:t>以</w:t>
      </w:r>
      <w:r>
        <w:rPr>
          <w:rFonts w:hint="eastAsia"/>
          <w:color w:val="000000" w:themeColor="text1"/>
          <w:highlight w:val="none"/>
          <w:lang w:eastAsia="zh-CN"/>
          <w14:textFill>
            <w14:solidFill>
              <w14:schemeClr w14:val="tx1"/>
            </w14:solidFill>
          </w14:textFill>
        </w:rPr>
        <w:t>要</w:t>
      </w:r>
      <w:r>
        <w:rPr>
          <w:rFonts w:hint="eastAsia"/>
          <w:color w:val="000000" w:themeColor="text1"/>
          <w:spacing w:val="-3"/>
          <w:highlight w:val="none"/>
          <w:lang w:eastAsia="zh-CN"/>
          <w14:textFill>
            <w14:solidFill>
              <w14:schemeClr w14:val="tx1"/>
            </w14:solidFill>
          </w14:textFill>
        </w:rPr>
        <w:t>求</w:t>
      </w:r>
      <w:r>
        <w:rPr>
          <w:rFonts w:hint="eastAsia"/>
          <w:color w:val="000000" w:themeColor="text1"/>
          <w:highlight w:val="none"/>
          <w:lang w:eastAsia="zh-CN"/>
          <w14:textFill>
            <w14:solidFill>
              <w14:schemeClr w14:val="tx1"/>
            </w14:solidFill>
          </w14:textFill>
        </w:rPr>
        <w:t>供应商</w:t>
      </w:r>
      <w:r>
        <w:rPr>
          <w:rFonts w:hint="eastAsia"/>
          <w:color w:val="000000" w:themeColor="text1"/>
          <w:spacing w:val="-3"/>
          <w:highlight w:val="none"/>
          <w:lang w:eastAsia="zh-CN"/>
          <w14:textFill>
            <w14:solidFill>
              <w14:schemeClr w14:val="tx1"/>
            </w14:solidFill>
          </w14:textFill>
        </w:rPr>
        <w:t>进</w:t>
      </w:r>
      <w:r>
        <w:rPr>
          <w:rFonts w:hint="eastAsia"/>
          <w:color w:val="000000" w:themeColor="text1"/>
          <w:highlight w:val="none"/>
          <w:lang w:eastAsia="zh-CN"/>
          <w14:textFill>
            <w14:solidFill>
              <w14:schemeClr w14:val="tx1"/>
            </w14:solidFill>
          </w14:textFill>
        </w:rPr>
        <w:t>一步</w:t>
      </w:r>
      <w:r>
        <w:rPr>
          <w:rFonts w:hint="eastAsia"/>
          <w:color w:val="000000" w:themeColor="text1"/>
          <w:spacing w:val="-3"/>
          <w:highlight w:val="none"/>
          <w:lang w:eastAsia="zh-CN"/>
          <w14:textFill>
            <w14:solidFill>
              <w14:schemeClr w14:val="tx1"/>
            </w14:solidFill>
          </w14:textFill>
        </w:rPr>
        <w:t>澄</w:t>
      </w:r>
      <w:r>
        <w:rPr>
          <w:rFonts w:hint="eastAsia"/>
          <w:color w:val="000000" w:themeColor="text1"/>
          <w:highlight w:val="none"/>
          <w:lang w:eastAsia="zh-CN"/>
          <w14:textFill>
            <w14:solidFill>
              <w14:schemeClr w14:val="tx1"/>
            </w14:solidFill>
          </w14:textFill>
        </w:rPr>
        <w:t>清、说明或补正，直至满足磋商小组的要求。</w:t>
      </w:r>
    </w:p>
    <w:p w14:paraId="3BA1FA60">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sz w:val="21"/>
          <w:szCs w:val="21"/>
          <w:highlight w:val="none"/>
          <w:lang w:eastAsia="zh-CN"/>
          <w14:textFill>
            <w14:solidFill>
              <w14:schemeClr w14:val="tx1"/>
            </w14:solidFill>
          </w14:textFill>
        </w:rPr>
      </w:pPr>
      <w:bookmarkStart w:id="126" w:name="_bookmark95"/>
      <w:bookmarkEnd w:id="126"/>
      <w:r>
        <w:rPr>
          <w:rFonts w:hint="eastAsia"/>
          <w:color w:val="000000" w:themeColor="text1"/>
          <w:sz w:val="21"/>
          <w:szCs w:val="21"/>
          <w:highlight w:val="none"/>
          <w:lang w:eastAsia="zh-CN"/>
          <w14:textFill>
            <w14:solidFill>
              <w14:schemeClr w14:val="tx1"/>
            </w14:solidFill>
          </w14:textFill>
        </w:rPr>
        <w:t>3.4  评审结果</w:t>
      </w:r>
    </w:p>
    <w:p w14:paraId="41363C2F">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3.4.1 除第二章“供应商须知”前附表授权直接确定成交供应商外，磋商小组按照得分由高到低的顺序推荐成交候选供应商，并标明排序。</w:t>
      </w:r>
    </w:p>
    <w:p w14:paraId="0EC5C17C">
      <w:pPr>
        <w:pStyle w:val="8"/>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3.4.2 磋商小组完成评审后，应当向采购人提交书面评审报告和中标候选供应商名单。</w:t>
      </w:r>
      <w:bookmarkStart w:id="127" w:name="_bookmark96"/>
      <w:bookmarkEnd w:id="127"/>
    </w:p>
    <w:p w14:paraId="7A19D384">
      <w:pPr>
        <w:rPr>
          <w:b/>
          <w:bCs/>
          <w:sz w:val="30"/>
          <w:szCs w:val="30"/>
          <w:highlight w:val="none"/>
          <w:lang w:eastAsia="zh-CN"/>
        </w:rPr>
      </w:pPr>
      <w:r>
        <w:rPr>
          <w:rFonts w:hint="eastAsia"/>
          <w:b/>
          <w:bCs/>
          <w:sz w:val="30"/>
          <w:szCs w:val="30"/>
          <w:highlight w:val="none"/>
          <w:lang w:eastAsia="zh-CN"/>
        </w:rPr>
        <w:br w:type="page"/>
      </w:r>
    </w:p>
    <w:p w14:paraId="1B15B45B">
      <w:pPr>
        <w:autoSpaceDE w:val="0"/>
        <w:autoSpaceDN w:val="0"/>
        <w:adjustRightInd w:val="0"/>
        <w:spacing w:line="400" w:lineRule="exact"/>
        <w:jc w:val="center"/>
        <w:rPr>
          <w:b/>
          <w:bCs/>
          <w:sz w:val="30"/>
          <w:szCs w:val="30"/>
          <w:highlight w:val="none"/>
          <w:lang w:eastAsia="zh-CN"/>
        </w:rPr>
      </w:pPr>
      <w:r>
        <w:rPr>
          <w:rFonts w:hint="eastAsia"/>
          <w:b/>
          <w:bCs/>
          <w:sz w:val="30"/>
          <w:szCs w:val="30"/>
          <w:highlight w:val="none"/>
          <w:lang w:eastAsia="zh-CN"/>
        </w:rPr>
        <w:t>政府采购政策</w:t>
      </w:r>
    </w:p>
    <w:p w14:paraId="72DF7D8B">
      <w:pPr>
        <w:autoSpaceDE w:val="0"/>
        <w:autoSpaceDN w:val="0"/>
        <w:adjustRightInd w:val="0"/>
        <w:spacing w:line="400" w:lineRule="exact"/>
        <w:ind w:firstLine="422" w:firstLineChars="200"/>
        <w:rPr>
          <w:b/>
          <w:sz w:val="21"/>
          <w:szCs w:val="18"/>
          <w:highlight w:val="none"/>
          <w:lang w:eastAsia="zh-CN"/>
        </w:rPr>
      </w:pPr>
    </w:p>
    <w:p w14:paraId="42396C8B">
      <w:pPr>
        <w:spacing w:line="360" w:lineRule="auto"/>
        <w:ind w:firstLine="420" w:firstLineChars="200"/>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1.根据《政府采购促进中小企业发展管理办法》（财库〔2020〕46号文件）、《关于进一步加大政府采购支持中小企业力度的通知》（财库〔2022〕19号）的规定，执行价格评审优惠的扶持政策，对小型和微型企业承接主体给予10%的扣除，用扣除后的价格参与评审。</w:t>
      </w:r>
      <w:r>
        <w:rPr>
          <w:rFonts w:hint="eastAsia" w:ascii="宋体" w:hAnsi="宋体" w:eastAsia="宋体" w:cs="宋体"/>
          <w:b/>
          <w:bCs/>
          <w:color w:val="000000" w:themeColor="text1"/>
          <w:sz w:val="21"/>
          <w:szCs w:val="21"/>
          <w:highlight w:val="none"/>
          <w:lang w:eastAsia="zh-CN"/>
          <w14:textFill>
            <w14:solidFill>
              <w14:schemeClr w14:val="tx1"/>
            </w14:solidFill>
          </w14:textFill>
        </w:rPr>
        <w:t>中小企业参加政府采购活动，应当出具本办法规定的《中小企业声明函》。</w:t>
      </w:r>
    </w:p>
    <w:p w14:paraId="635FE46D">
      <w:pPr>
        <w:spacing w:line="360" w:lineRule="auto"/>
        <w:ind w:firstLine="420" w:firstLineChars="200"/>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提供本企业制造的货物、承担的工程或者服务，或者提供其他中小企业制造的货物。 本项所称货物不包括使用大型企业注册商标的货物。所称中小企业划分标准，是指国务院有关部门根据企业从业人员、营业收入、资产总额等指标制定的中小企业划型标准。小型、微型企业提供中型企业制造的货物的，视同为中型企业。</w:t>
      </w:r>
    </w:p>
    <w:p w14:paraId="3A43374C">
      <w:pPr>
        <w:spacing w:line="360" w:lineRule="auto"/>
        <w:ind w:firstLine="420" w:firstLineChars="200"/>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如果一个采购项目或采购包含有多个采购标的的，则每个采购标的均应由中小企业制造,才享受中小微企业政策。</w:t>
      </w:r>
    </w:p>
    <w:p w14:paraId="2A39F340">
      <w:pPr>
        <w:spacing w:line="360" w:lineRule="auto"/>
        <w:ind w:firstLine="420" w:firstLineChars="200"/>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 xml:space="preserve">按照财政部《关于政府采购支持监狱企业发展有关问题的通知》（财库[2014]68号）的规定，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 </w:t>
      </w:r>
    </w:p>
    <w:p w14:paraId="6551542F">
      <w:pPr>
        <w:spacing w:line="360" w:lineRule="auto"/>
        <w:ind w:firstLine="420" w:firstLineChars="200"/>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按照《三部门联合发布关于促进残疾人就业政府采购政策的通知》（财库〔2017〕141号）的规定，在政府采购活动中，残疾人福利性单位视同小型、微型企业，享受预留份额、评审中价格扣除等促进中小企业发展的政府采购政策。符合条件的残疾人福利性单位在参加政府采购活动时，应当提供财库〔2017〕141号文规定的《残疾人福利性单位声明函》，并对声明的真实性负责。残疾人福利性单位属于小型、微型企业的，不重复享受政策。</w:t>
      </w:r>
    </w:p>
    <w:p w14:paraId="035701D6">
      <w:pPr>
        <w:spacing w:line="360" w:lineRule="auto"/>
        <w:ind w:firstLine="420" w:firstLineChars="200"/>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.对于列入财政部、国家发改委、信息产业部发布的《无线局域网认证产品政府采购清单》的产品，对其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价格给予3%的价格扣除，并按扣除后的价格参加排序。采购项目或者分包中既包含清单中产品也包含非清单中产品的，只对列入清单的产品按其在总报价中所占的比例给予价格扣除。</w:t>
      </w:r>
    </w:p>
    <w:p w14:paraId="6B632EA4">
      <w:pPr>
        <w:spacing w:line="360" w:lineRule="auto"/>
        <w:ind w:firstLine="420" w:firstLineChars="200"/>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.投标产品同时列入上述多个清单的，将上述规定的价格扣除比例叠加后计算价格扣除。</w:t>
      </w:r>
    </w:p>
    <w:p w14:paraId="223EA28B">
      <w:pPr>
        <w:spacing w:line="360" w:lineRule="auto"/>
        <w:ind w:firstLine="420" w:firstLineChars="200"/>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、采购项目中如含有计算机，必须预装正版操作系统软件产品，所采购的其他软件必须为正版软件，否则投标无效。</w:t>
      </w:r>
    </w:p>
    <w:p w14:paraId="3B03096A">
      <w:pPr>
        <w:spacing w:line="360" w:lineRule="auto"/>
        <w:ind w:firstLine="420" w:firstLineChars="200"/>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、采购货物中含信息安全产品，必须是列入财政部会同有关部门制定下发的《信息安全产品强制性认证目录》的产品，承接主体须附中国信息安全认证中心按国家标准认证颁发的有效认证证书，否则投标无效。</w:t>
      </w:r>
      <w:bookmarkStart w:id="128" w:name="_Toc16043"/>
    </w:p>
    <w:p w14:paraId="4DCD1B82">
      <w:pPr>
        <w:spacing w:line="360" w:lineRule="auto"/>
        <w:ind w:firstLine="420" w:firstLineChars="200"/>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6.对本国产品的支持政策</w:t>
      </w:r>
    </w:p>
    <w:p w14:paraId="7206B4B0">
      <w:pPr>
        <w:spacing w:line="360" w:lineRule="auto"/>
        <w:ind w:firstLine="420" w:firstLineChars="200"/>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2D6826C9">
      <w:pPr>
        <w:spacing w:line="360" w:lineRule="auto"/>
        <w:ind w:firstLine="420" w:firstLineChars="200"/>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8610DFB">
      <w:pPr>
        <w:spacing w:line="360" w:lineRule="auto"/>
        <w:ind w:firstLine="420" w:firstLineChars="200"/>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p>
    <w:p w14:paraId="2A3F4588">
      <w:pPr>
        <w:spacing w:line="360" w:lineRule="auto"/>
        <w:ind w:firstLine="422" w:firstLineChars="200"/>
        <w:rPr>
          <w:rFonts w:hint="eastAsia" w:ascii="宋体" w:hAnsi="宋体" w:eastAsia="宋体" w:cs="宋体"/>
          <w:b/>
          <w:bCs/>
          <w:color w:val="000000" w:themeColor="text1"/>
          <w:sz w:val="21"/>
          <w:szCs w:val="21"/>
          <w:highlight w:val="none"/>
          <w:lang w:val="zh-CN" w:eastAsia="zh-CN"/>
          <w14:textFill>
            <w14:solidFill>
              <w14:schemeClr w14:val="tx1"/>
            </w14:solidFill>
          </w14:textFill>
        </w:rPr>
      </w:pPr>
      <w:r>
        <w:rPr>
          <w:rFonts w:hint="eastAsia" w:ascii="宋体" w:hAnsi="宋体" w:eastAsia="宋体" w:cs="宋体"/>
          <w:b/>
          <w:bCs/>
          <w:color w:val="000000" w:themeColor="text1"/>
          <w:sz w:val="21"/>
          <w:szCs w:val="21"/>
          <w:highlight w:val="none"/>
          <w:lang w:val="zh-CN" w:eastAsia="zh-CN"/>
          <w14:textFill>
            <w14:solidFill>
              <w14:schemeClr w14:val="tx1"/>
            </w14:solidFill>
          </w14:textFill>
        </w:rPr>
        <w:t>本项目所属行业为</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工业</w:t>
      </w:r>
      <w:r>
        <w:rPr>
          <w:rFonts w:hint="eastAsia" w:ascii="宋体" w:hAnsi="宋体" w:eastAsia="宋体" w:cs="宋体"/>
          <w:b/>
          <w:bCs/>
          <w:color w:val="000000" w:themeColor="text1"/>
          <w:sz w:val="21"/>
          <w:szCs w:val="21"/>
          <w:highlight w:val="none"/>
          <w:lang w:val="zh-CN" w:eastAsia="zh-CN"/>
          <w14:textFill>
            <w14:solidFill>
              <w14:schemeClr w14:val="tx1"/>
            </w14:solidFill>
          </w14:textFill>
        </w:rPr>
        <w:t>。</w:t>
      </w:r>
      <w:bookmarkEnd w:id="128"/>
    </w:p>
    <w:p w14:paraId="4ACD957A">
      <w:pPr>
        <w:spacing w:line="360" w:lineRule="auto"/>
        <w:ind w:firstLine="422" w:firstLineChars="200"/>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以联合体形式参加政府采购活动，联合体各方均为中小企业的，联合体视同中小企业。其中，联合体各方均为小微企业的，联合体视同小微企业。</w:t>
      </w:r>
    </w:p>
    <w:p w14:paraId="04B96FED">
      <w:pPr>
        <w:autoSpaceDE w:val="0"/>
        <w:autoSpaceDN w:val="0"/>
        <w:adjustRightInd w:val="0"/>
        <w:spacing w:line="360" w:lineRule="exact"/>
        <w:ind w:firstLine="440"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p>
    <w:p w14:paraId="5DADABAC">
      <w:pPr>
        <w:wordWrap w:val="0"/>
        <w:rPr>
          <w:rFonts w:asciiTheme="minorEastAsia" w:hAnsiTheme="minorEastAsia" w:eastAsiaTheme="minorEastAsia" w:cstheme="minorEastAsia"/>
          <w:color w:val="000000" w:themeColor="text1"/>
          <w:sz w:val="32"/>
          <w:szCs w:val="32"/>
          <w:highlight w:val="none"/>
          <w:lang w:eastAsia="zh-CN"/>
          <w14:textFill>
            <w14:solidFill>
              <w14:schemeClr w14:val="tx1"/>
            </w14:solidFill>
          </w14:textFill>
        </w:rPr>
      </w:pPr>
    </w:p>
    <w:p w14:paraId="273896AF">
      <w:pPr>
        <w:pStyle w:val="2"/>
        <w:wordWrap w:val="0"/>
        <w:spacing w:after="240" w:afterLines="100" w:line="240" w:lineRule="auto"/>
        <w:ind w:left="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bookmarkStart w:id="129" w:name="_Toc29955"/>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第四章  合同条款及格式</w:t>
      </w:r>
      <w:bookmarkEnd w:id="129"/>
    </w:p>
    <w:p w14:paraId="43A0C21E">
      <w:pPr>
        <w:pStyle w:val="8"/>
        <w:wordWrap w:val="0"/>
        <w:rPr>
          <w:rFonts w:asciiTheme="minorEastAsia" w:hAnsiTheme="minorEastAsia" w:eastAsiaTheme="minorEastAsia" w:cstheme="minorEastAsia"/>
          <w:b/>
          <w:color w:val="000000" w:themeColor="text1"/>
          <w:sz w:val="20"/>
          <w:highlight w:val="none"/>
          <w:lang w:eastAsia="zh-CN"/>
          <w14:textFill>
            <w14:solidFill>
              <w14:schemeClr w14:val="tx1"/>
            </w14:solidFill>
          </w14:textFill>
        </w:rPr>
      </w:pPr>
    </w:p>
    <w:p w14:paraId="3DB1D97B">
      <w:pPr>
        <w:pStyle w:val="8"/>
        <w:wordWrap w:val="0"/>
        <w:spacing w:before="10"/>
        <w:rPr>
          <w:rFonts w:asciiTheme="minorEastAsia" w:hAnsiTheme="minorEastAsia" w:eastAsiaTheme="minorEastAsia" w:cstheme="minorEastAsia"/>
          <w:color w:val="000000" w:themeColor="text1"/>
          <w:sz w:val="18"/>
          <w:highlight w:val="none"/>
          <w:lang w:eastAsia="zh-CN"/>
          <w14:textFill>
            <w14:solidFill>
              <w14:schemeClr w14:val="tx1"/>
            </w14:solidFill>
          </w14:textFill>
        </w:rPr>
      </w:pPr>
    </w:p>
    <w:p w14:paraId="380D56AB">
      <w:pPr>
        <w:pStyle w:val="8"/>
        <w:spacing w:after="0"/>
        <w:ind w:firstLine="884"/>
        <w:jc w:val="center"/>
        <w:rPr>
          <w:rFonts w:hint="eastAsia" w:ascii="宋体" w:hAnsi="宋体" w:cs="宋体"/>
          <w:b/>
          <w:bCs/>
          <w:spacing w:val="-20"/>
          <w:kern w:val="44"/>
          <w:sz w:val="32"/>
          <w:szCs w:val="32"/>
          <w:highlight w:val="none"/>
        </w:rPr>
      </w:pPr>
      <w:bookmarkStart w:id="130" w:name="_Toc26276"/>
      <w:r>
        <w:rPr>
          <w:rFonts w:hint="eastAsia" w:ascii="宋体" w:hAnsi="宋体" w:cs="宋体"/>
          <w:b/>
          <w:bCs/>
          <w:spacing w:val="-20"/>
          <w:kern w:val="44"/>
          <w:sz w:val="32"/>
          <w:szCs w:val="32"/>
          <w:highlight w:val="none"/>
        </w:rPr>
        <w:t>政府采购货物买卖合同</w:t>
      </w:r>
    </w:p>
    <w:p w14:paraId="56BCC525">
      <w:pPr>
        <w:pStyle w:val="8"/>
        <w:spacing w:after="0"/>
        <w:ind w:firstLine="884"/>
        <w:jc w:val="center"/>
        <w:rPr>
          <w:rFonts w:hint="eastAsia" w:ascii="宋体" w:hAnsi="宋体" w:cs="宋体"/>
          <w:b/>
          <w:bCs/>
          <w:spacing w:val="-20"/>
          <w:kern w:val="44"/>
          <w:sz w:val="32"/>
          <w:szCs w:val="32"/>
          <w:highlight w:val="none"/>
        </w:rPr>
      </w:pPr>
      <w:r>
        <w:rPr>
          <w:rFonts w:hint="eastAsia" w:ascii="宋体" w:hAnsi="宋体" w:cs="宋体"/>
          <w:b/>
          <w:bCs/>
          <w:spacing w:val="-20"/>
          <w:kern w:val="44"/>
          <w:sz w:val="32"/>
          <w:szCs w:val="32"/>
          <w:highlight w:val="none"/>
        </w:rPr>
        <w:t>（试行）</w:t>
      </w:r>
    </w:p>
    <w:p w14:paraId="01E6B647">
      <w:pPr>
        <w:ind w:firstLine="342"/>
        <w:rPr>
          <w:rFonts w:hint="eastAsia" w:ascii="宋体" w:hAnsi="宋体" w:cs="宋体"/>
          <w:b/>
          <w:bCs/>
          <w:spacing w:val="-20"/>
          <w:kern w:val="44"/>
          <w:sz w:val="21"/>
          <w:szCs w:val="21"/>
          <w:highlight w:val="none"/>
        </w:rPr>
      </w:pPr>
    </w:p>
    <w:p w14:paraId="38BEB57F">
      <w:pPr>
        <w:ind w:firstLine="342"/>
        <w:rPr>
          <w:rFonts w:hint="eastAsia" w:ascii="宋体" w:hAnsi="宋体" w:cs="宋体"/>
          <w:b/>
          <w:bCs/>
          <w:spacing w:val="-20"/>
          <w:kern w:val="44"/>
          <w:sz w:val="21"/>
          <w:szCs w:val="21"/>
          <w:highlight w:val="none"/>
        </w:rPr>
      </w:pPr>
    </w:p>
    <w:p w14:paraId="0AE3A9F8">
      <w:pPr>
        <w:ind w:firstLine="342"/>
        <w:rPr>
          <w:rFonts w:hint="eastAsia" w:ascii="宋体" w:hAnsi="宋体" w:cs="宋体"/>
          <w:b/>
          <w:bCs/>
          <w:spacing w:val="-20"/>
          <w:kern w:val="44"/>
          <w:sz w:val="21"/>
          <w:szCs w:val="21"/>
          <w:highlight w:val="none"/>
        </w:rPr>
      </w:pPr>
    </w:p>
    <w:p w14:paraId="4A5D9848">
      <w:pPr>
        <w:spacing w:line="360" w:lineRule="auto"/>
        <w:ind w:left="440" w:leftChars="200" w:firstLine="420"/>
        <w:rPr>
          <w:rFonts w:hint="eastAsia" w:ascii="宋体" w:hAnsi="宋体" w:cs="宋体"/>
          <w:sz w:val="21"/>
          <w:szCs w:val="21"/>
          <w:highlight w:val="none"/>
        </w:rPr>
      </w:pPr>
      <w:r>
        <w:rPr>
          <w:rFonts w:hint="eastAsia" w:ascii="宋体" w:hAnsi="宋体" w:cs="宋体"/>
          <w:sz w:val="21"/>
          <w:szCs w:val="21"/>
          <w:highlight w:val="none"/>
        </w:rPr>
        <w:t>项目名称：</w:t>
      </w:r>
      <w:r>
        <w:rPr>
          <w:rFonts w:hint="eastAsia" w:ascii="宋体" w:hAnsi="宋体" w:cs="宋体"/>
          <w:sz w:val="21"/>
          <w:szCs w:val="21"/>
          <w:highlight w:val="none"/>
          <w:u w:val="single"/>
        </w:rPr>
        <w:t xml:space="preserve">                             </w:t>
      </w:r>
    </w:p>
    <w:p w14:paraId="394956CE">
      <w:pPr>
        <w:spacing w:line="360" w:lineRule="auto"/>
        <w:ind w:left="440" w:leftChars="200" w:firstLine="420"/>
        <w:rPr>
          <w:rFonts w:hint="eastAsia" w:ascii="宋体" w:hAnsi="宋体" w:cs="宋体"/>
          <w:sz w:val="21"/>
          <w:szCs w:val="21"/>
          <w:highlight w:val="none"/>
          <w:u w:val="single"/>
        </w:rPr>
      </w:pPr>
      <w:r>
        <w:rPr>
          <w:rFonts w:hint="eastAsia" w:ascii="宋体" w:hAnsi="宋体" w:cs="宋体"/>
          <w:sz w:val="21"/>
          <w:szCs w:val="21"/>
          <w:highlight w:val="none"/>
        </w:rPr>
        <w:t>合同编号：</w:t>
      </w:r>
      <w:r>
        <w:rPr>
          <w:rFonts w:hint="eastAsia" w:ascii="宋体" w:hAnsi="宋体" w:cs="宋体"/>
          <w:sz w:val="21"/>
          <w:szCs w:val="21"/>
          <w:highlight w:val="none"/>
          <w:u w:val="single"/>
        </w:rPr>
        <w:t xml:space="preserve">                             </w:t>
      </w:r>
    </w:p>
    <w:p w14:paraId="769B3B2E">
      <w:pPr>
        <w:spacing w:line="360" w:lineRule="auto"/>
        <w:ind w:left="440" w:leftChars="200" w:firstLine="420"/>
        <w:rPr>
          <w:rFonts w:hint="eastAsia" w:ascii="宋体" w:hAnsi="宋体" w:cs="宋体"/>
          <w:sz w:val="21"/>
          <w:szCs w:val="21"/>
          <w:highlight w:val="none"/>
        </w:rPr>
      </w:pPr>
      <w:r>
        <w:rPr>
          <w:rFonts w:hint="eastAsia" w:ascii="宋体" w:hAnsi="宋体" w:cs="宋体"/>
          <w:sz w:val="21"/>
          <w:szCs w:val="21"/>
          <w:highlight w:val="none"/>
        </w:rPr>
        <w:t>甲    方：</w:t>
      </w:r>
      <w:r>
        <w:rPr>
          <w:rFonts w:hint="eastAsia" w:ascii="宋体" w:hAnsi="宋体" w:cs="宋体"/>
          <w:sz w:val="21"/>
          <w:szCs w:val="21"/>
          <w:highlight w:val="none"/>
          <w:u w:val="single"/>
        </w:rPr>
        <w:t xml:space="preserve">                             </w:t>
      </w:r>
    </w:p>
    <w:p w14:paraId="305D628F">
      <w:pPr>
        <w:spacing w:line="360" w:lineRule="auto"/>
        <w:ind w:left="440" w:leftChars="200" w:firstLine="420"/>
        <w:rPr>
          <w:rFonts w:hint="eastAsia" w:ascii="宋体" w:hAnsi="宋体" w:cs="宋体"/>
          <w:sz w:val="21"/>
          <w:szCs w:val="21"/>
          <w:highlight w:val="none"/>
          <w:u w:val="single"/>
        </w:rPr>
      </w:pPr>
      <w:r>
        <w:rPr>
          <w:rFonts w:hint="eastAsia" w:ascii="宋体" w:hAnsi="宋体" w:cs="宋体"/>
          <w:sz w:val="21"/>
          <w:szCs w:val="21"/>
          <w:highlight w:val="none"/>
        </w:rPr>
        <w:t>乙    方：</w:t>
      </w:r>
      <w:r>
        <w:rPr>
          <w:rFonts w:hint="eastAsia" w:ascii="宋体" w:hAnsi="宋体" w:cs="宋体"/>
          <w:sz w:val="21"/>
          <w:szCs w:val="21"/>
          <w:highlight w:val="none"/>
          <w:u w:val="single"/>
        </w:rPr>
        <w:t xml:space="preserve">                             </w:t>
      </w:r>
    </w:p>
    <w:p w14:paraId="1139F986">
      <w:pPr>
        <w:spacing w:line="360" w:lineRule="auto"/>
        <w:ind w:left="440" w:leftChars="200" w:firstLine="420"/>
        <w:rPr>
          <w:rFonts w:hint="eastAsia" w:ascii="宋体" w:hAnsi="宋体" w:cs="宋体"/>
          <w:sz w:val="21"/>
          <w:szCs w:val="21"/>
          <w:highlight w:val="none"/>
        </w:rPr>
      </w:pPr>
      <w:r>
        <w:rPr>
          <w:rFonts w:hint="eastAsia" w:ascii="宋体" w:hAnsi="宋体" w:cs="宋体"/>
          <w:sz w:val="21"/>
          <w:szCs w:val="21"/>
          <w:highlight w:val="none"/>
        </w:rPr>
        <w:t>签订时间：</w:t>
      </w:r>
      <w:r>
        <w:rPr>
          <w:rFonts w:hint="eastAsia" w:ascii="宋体" w:hAnsi="宋体" w:cs="宋体"/>
          <w:sz w:val="21"/>
          <w:szCs w:val="21"/>
          <w:highlight w:val="none"/>
          <w:u w:val="single"/>
        </w:rPr>
        <w:t xml:space="preserve">                             </w:t>
      </w:r>
    </w:p>
    <w:p w14:paraId="7F31E91F">
      <w:pPr>
        <w:ind w:firstLine="420"/>
        <w:rPr>
          <w:rFonts w:hint="eastAsia" w:ascii="宋体" w:hAnsi="宋体" w:cs="宋体"/>
          <w:sz w:val="21"/>
          <w:szCs w:val="21"/>
          <w:highlight w:val="none"/>
        </w:rPr>
      </w:pPr>
    </w:p>
    <w:p w14:paraId="5621CA1B">
      <w:pPr>
        <w:ind w:firstLine="420"/>
        <w:rPr>
          <w:rFonts w:hint="eastAsia" w:ascii="宋体" w:hAnsi="宋体" w:cs="宋体"/>
          <w:sz w:val="21"/>
          <w:szCs w:val="21"/>
          <w:highlight w:val="none"/>
        </w:rPr>
      </w:pPr>
      <w:r>
        <w:rPr>
          <w:rFonts w:hint="eastAsia" w:ascii="宋体" w:hAnsi="宋体" w:cs="宋体"/>
          <w:sz w:val="21"/>
          <w:szCs w:val="21"/>
          <w:highlight w:val="none"/>
        </w:rPr>
        <w:br w:type="page"/>
      </w:r>
    </w:p>
    <w:p w14:paraId="21449CA9">
      <w:pPr>
        <w:ind w:firstLine="420"/>
        <w:jc w:val="center"/>
        <w:rPr>
          <w:rFonts w:hint="eastAsia" w:ascii="宋体" w:hAnsi="宋体" w:cs="宋体"/>
          <w:sz w:val="21"/>
          <w:szCs w:val="21"/>
          <w:highlight w:val="none"/>
        </w:rPr>
      </w:pPr>
      <w:r>
        <w:rPr>
          <w:rFonts w:hint="eastAsia" w:ascii="宋体" w:hAnsi="宋体" w:cs="宋体"/>
          <w:sz w:val="21"/>
          <w:szCs w:val="21"/>
          <w:highlight w:val="none"/>
        </w:rPr>
        <w:t>使 用 说 明</w:t>
      </w:r>
    </w:p>
    <w:p w14:paraId="17AB57BD">
      <w:pPr>
        <w:ind w:firstLine="420" w:firstLineChars="200"/>
        <w:rPr>
          <w:rFonts w:hint="eastAsia" w:ascii="宋体" w:hAnsi="宋体" w:cs="宋体"/>
          <w:sz w:val="21"/>
          <w:szCs w:val="21"/>
          <w:highlight w:val="none"/>
        </w:rPr>
      </w:pPr>
    </w:p>
    <w:p w14:paraId="76396BAE">
      <w:pPr>
        <w:ind w:firstLine="420" w:firstLineChars="200"/>
        <w:rPr>
          <w:rFonts w:hint="eastAsia" w:ascii="宋体" w:hAnsi="宋体" w:cs="宋体"/>
          <w:sz w:val="21"/>
          <w:szCs w:val="21"/>
          <w:highlight w:val="none"/>
        </w:rPr>
      </w:pPr>
      <w:r>
        <w:rPr>
          <w:rFonts w:hint="eastAsia" w:ascii="宋体" w:hAnsi="宋体" w:cs="宋体"/>
          <w:sz w:val="21"/>
          <w:szCs w:val="21"/>
          <w:highlight w:val="none"/>
        </w:rPr>
        <w:t>1.本合同标准文本适用于购买现成货物的采购项目，不包括需要供应商定制开发、创新研发的货物采购项目。</w:t>
      </w:r>
    </w:p>
    <w:p w14:paraId="3ED28C93">
      <w:pPr>
        <w:ind w:firstLine="420"/>
        <w:rPr>
          <w:rFonts w:hint="eastAsia" w:ascii="宋体" w:hAnsi="宋体" w:cs="宋体"/>
          <w:sz w:val="21"/>
          <w:szCs w:val="21"/>
          <w:highlight w:val="none"/>
        </w:rPr>
      </w:pPr>
      <w:r>
        <w:rPr>
          <w:rFonts w:hint="eastAsia" w:ascii="宋体" w:hAnsi="宋体" w:cs="宋体"/>
          <w:sz w:val="21"/>
          <w:szCs w:val="21"/>
          <w:highlight w:val="none"/>
        </w:rPr>
        <w:t xml:space="preserve">   2.本合同标准文本为政府采购货物买卖合同编制提供参考，可以结合采购项目具体情况，对文本作必要的调整修订后使用。</w:t>
      </w:r>
    </w:p>
    <w:p w14:paraId="4B2BFBE7">
      <w:pPr>
        <w:ind w:firstLine="420" w:firstLineChars="200"/>
        <w:rPr>
          <w:rFonts w:hint="eastAsia" w:ascii="宋体" w:hAnsi="宋体" w:cs="宋体"/>
          <w:sz w:val="21"/>
          <w:szCs w:val="21"/>
          <w:highlight w:val="none"/>
        </w:rPr>
      </w:pPr>
      <w:r>
        <w:rPr>
          <w:rFonts w:hint="eastAsia" w:ascii="宋体" w:hAnsi="宋体" w:cs="宋体"/>
          <w:sz w:val="21"/>
          <w:szCs w:val="21"/>
          <w:highlight w:val="none"/>
        </w:rPr>
        <w:t>3.本合同标准文本各条款中，如涉及填写多家供应商、制造商，多种采购标的、分包主要内容等信息的，可根据采购项目具体情况添加信息项。</w:t>
      </w:r>
    </w:p>
    <w:p w14:paraId="01FD4A01">
      <w:pPr>
        <w:ind w:firstLine="420" w:firstLineChars="200"/>
        <w:jc w:val="both"/>
        <w:rPr>
          <w:rFonts w:hint="eastAsia" w:ascii="宋体" w:hAnsi="宋体" w:cs="宋体"/>
          <w:sz w:val="21"/>
          <w:szCs w:val="21"/>
          <w:highlight w:val="none"/>
        </w:rPr>
        <w:sectPr>
          <w:footerReference r:id="rId4" w:type="default"/>
          <w:pgSz w:w="11906" w:h="16838"/>
          <w:pgMar w:top="1304" w:right="1304" w:bottom="1304"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A6E20E1">
      <w:pPr>
        <w:pStyle w:val="3"/>
        <w:adjustRightInd w:val="0"/>
        <w:snapToGrid w:val="0"/>
        <w:spacing w:line="400" w:lineRule="exact"/>
        <w:ind w:firstLine="420"/>
        <w:jc w:val="center"/>
        <w:rPr>
          <w:rFonts w:hint="eastAsia" w:ascii="黑体" w:hAnsi="华文中宋"/>
          <w:b w:val="0"/>
          <w:sz w:val="21"/>
          <w:szCs w:val="21"/>
          <w:highlight w:val="none"/>
        </w:rPr>
      </w:pPr>
      <w:bookmarkStart w:id="131" w:name="_Toc22209"/>
      <w:r>
        <w:rPr>
          <w:rFonts w:hint="eastAsia" w:ascii="黑体" w:hAnsi="黑体"/>
          <w:b w:val="0"/>
          <w:sz w:val="21"/>
          <w:szCs w:val="21"/>
          <w:highlight w:val="none"/>
        </w:rPr>
        <w:t xml:space="preserve">第一节 </w:t>
      </w:r>
      <w:r>
        <w:rPr>
          <w:rFonts w:hint="eastAsia" w:ascii="黑体" w:hAnsi="华文中宋"/>
          <w:b w:val="0"/>
          <w:sz w:val="21"/>
          <w:szCs w:val="21"/>
          <w:highlight w:val="none"/>
        </w:rPr>
        <w:t>政府采购合同协议书</w:t>
      </w:r>
      <w:bookmarkEnd w:id="131"/>
    </w:p>
    <w:p w14:paraId="104AA02E">
      <w:pPr>
        <w:pStyle w:val="3"/>
        <w:adjustRightInd w:val="0"/>
        <w:snapToGrid w:val="0"/>
        <w:spacing w:line="400" w:lineRule="exact"/>
        <w:ind w:firstLine="420"/>
        <w:jc w:val="center"/>
        <w:rPr>
          <w:rFonts w:hint="eastAsia" w:ascii="黑体" w:hAnsi="华文中宋"/>
          <w:b w:val="0"/>
          <w:sz w:val="21"/>
          <w:szCs w:val="21"/>
          <w:highlight w:val="none"/>
        </w:rPr>
      </w:pPr>
    </w:p>
    <w:p w14:paraId="6487F329">
      <w:pPr>
        <w:adjustRightInd w:val="0"/>
        <w:snapToGrid w:val="0"/>
        <w:spacing w:line="400" w:lineRule="exact"/>
        <w:ind w:firstLine="420"/>
        <w:rPr>
          <w:rFonts w:hint="eastAsia" w:ascii="宋体" w:hAnsi="宋体"/>
          <w:sz w:val="21"/>
          <w:szCs w:val="21"/>
          <w:highlight w:val="none"/>
        </w:rPr>
      </w:pPr>
      <w:r>
        <w:rPr>
          <w:rFonts w:hint="eastAsia" w:ascii="宋体" w:hAnsi="宋体"/>
          <w:sz w:val="21"/>
          <w:szCs w:val="21"/>
          <w:highlight w:val="none"/>
        </w:rPr>
        <w:t>甲方（全称）：</w:t>
      </w:r>
      <w:r>
        <w:rPr>
          <w:rFonts w:hint="eastAsia" w:ascii="宋体" w:hAnsi="宋体"/>
          <w:sz w:val="21"/>
          <w:szCs w:val="21"/>
          <w:highlight w:val="none"/>
          <w:u w:val="single"/>
        </w:rPr>
        <w:t xml:space="preserve">                        </w:t>
      </w:r>
      <w:r>
        <w:rPr>
          <w:rFonts w:hint="eastAsia" w:ascii="宋体" w:hAnsi="宋体"/>
          <w:sz w:val="21"/>
          <w:szCs w:val="21"/>
          <w:highlight w:val="none"/>
        </w:rPr>
        <w:t>（采购人、受采购人委托签订合同的单位或采购文件约定的合同甲方）</w:t>
      </w:r>
    </w:p>
    <w:p w14:paraId="620401D4">
      <w:pPr>
        <w:adjustRightInd w:val="0"/>
        <w:snapToGrid w:val="0"/>
        <w:spacing w:line="400" w:lineRule="exact"/>
        <w:ind w:firstLine="420"/>
        <w:rPr>
          <w:rFonts w:hint="eastAsia" w:ascii="宋体" w:hAnsi="宋体"/>
          <w:sz w:val="21"/>
          <w:szCs w:val="21"/>
          <w:highlight w:val="none"/>
        </w:rPr>
      </w:pPr>
      <w:r>
        <w:rPr>
          <w:rFonts w:hint="eastAsia" w:ascii="宋体" w:hAnsi="宋体"/>
          <w:sz w:val="21"/>
          <w:szCs w:val="21"/>
          <w:highlight w:val="none"/>
        </w:rPr>
        <w:t>乙方1（全称）：</w:t>
      </w:r>
      <w:r>
        <w:rPr>
          <w:rFonts w:hint="eastAsia" w:ascii="宋体" w:hAnsi="宋体"/>
          <w:sz w:val="21"/>
          <w:szCs w:val="21"/>
          <w:highlight w:val="none"/>
          <w:u w:val="single"/>
        </w:rPr>
        <w:t xml:space="preserve">                       </w:t>
      </w:r>
      <w:r>
        <w:rPr>
          <w:rFonts w:hint="eastAsia" w:ascii="宋体" w:hAnsi="宋体"/>
          <w:sz w:val="21"/>
          <w:szCs w:val="21"/>
          <w:highlight w:val="none"/>
        </w:rPr>
        <w:t>（供应商）</w:t>
      </w:r>
    </w:p>
    <w:p w14:paraId="142CE5E0">
      <w:pPr>
        <w:adjustRightInd w:val="0"/>
        <w:snapToGrid w:val="0"/>
        <w:spacing w:line="400" w:lineRule="exact"/>
        <w:ind w:firstLine="420"/>
        <w:rPr>
          <w:rFonts w:hint="eastAsia" w:ascii="宋体" w:hAnsi="宋体"/>
          <w:sz w:val="21"/>
          <w:szCs w:val="21"/>
          <w:highlight w:val="none"/>
        </w:rPr>
      </w:pPr>
      <w:r>
        <w:rPr>
          <w:rFonts w:hint="eastAsia" w:ascii="宋体" w:hAnsi="宋体"/>
          <w:sz w:val="21"/>
          <w:szCs w:val="21"/>
          <w:highlight w:val="none"/>
        </w:rPr>
        <w:t>乙方2（全称）：</w:t>
      </w:r>
      <w:r>
        <w:rPr>
          <w:rFonts w:hint="eastAsia" w:ascii="宋体" w:hAnsi="宋体"/>
          <w:sz w:val="21"/>
          <w:szCs w:val="21"/>
          <w:highlight w:val="none"/>
          <w:u w:val="single"/>
        </w:rPr>
        <w:t xml:space="preserve">                        </w:t>
      </w:r>
      <w:r>
        <w:rPr>
          <w:rFonts w:hint="eastAsia" w:ascii="宋体" w:hAnsi="宋体"/>
          <w:sz w:val="21"/>
          <w:szCs w:val="21"/>
          <w:highlight w:val="none"/>
        </w:rPr>
        <w:t>（联合体成员供应商或其他合同主体）（如有）</w:t>
      </w:r>
    </w:p>
    <w:p w14:paraId="0A5D480E">
      <w:pPr>
        <w:adjustRightInd w:val="0"/>
        <w:snapToGrid w:val="0"/>
        <w:spacing w:line="400" w:lineRule="exact"/>
        <w:ind w:firstLine="420"/>
        <w:rPr>
          <w:rFonts w:hint="eastAsia" w:ascii="宋体" w:hAnsi="宋体"/>
          <w:sz w:val="21"/>
          <w:szCs w:val="21"/>
          <w:highlight w:val="none"/>
        </w:rPr>
      </w:pPr>
      <w:r>
        <w:rPr>
          <w:rFonts w:hint="eastAsia"/>
          <w:sz w:val="21"/>
          <w:szCs w:val="21"/>
          <w:highlight w:val="none"/>
        </w:rPr>
        <w:t>乙方</w:t>
      </w:r>
      <w:r>
        <w:rPr>
          <w:rFonts w:hint="eastAsia" w:ascii="宋体" w:hAnsi="宋体"/>
          <w:sz w:val="21"/>
          <w:szCs w:val="21"/>
          <w:highlight w:val="none"/>
        </w:rPr>
        <w:t>3</w:t>
      </w:r>
      <w:r>
        <w:rPr>
          <w:rFonts w:hint="eastAsia"/>
          <w:sz w:val="21"/>
          <w:szCs w:val="21"/>
          <w:highlight w:val="none"/>
        </w:rPr>
        <w:t>（全称）</w:t>
      </w:r>
      <w:r>
        <w:rPr>
          <w:rFonts w:hint="eastAsia" w:ascii="宋体" w:hAnsi="宋体"/>
          <w:sz w:val="21"/>
          <w:szCs w:val="21"/>
          <w:highlight w:val="none"/>
          <w:u w:val="single"/>
        </w:rPr>
        <w:t xml:space="preserve">                          </w:t>
      </w:r>
      <w:r>
        <w:rPr>
          <w:rFonts w:hint="eastAsia" w:ascii="宋体" w:hAnsi="宋体"/>
          <w:sz w:val="21"/>
          <w:szCs w:val="21"/>
          <w:highlight w:val="none"/>
        </w:rPr>
        <w:t>（联合体成员供应商或其他合同主体）（如有）</w:t>
      </w:r>
    </w:p>
    <w:p w14:paraId="182B4A63">
      <w:pPr>
        <w:spacing w:line="400" w:lineRule="exact"/>
        <w:ind w:firstLine="420"/>
        <w:rPr>
          <w:sz w:val="21"/>
          <w:szCs w:val="21"/>
          <w:highlight w:val="none"/>
        </w:rPr>
      </w:pPr>
    </w:p>
    <w:p w14:paraId="70A95404">
      <w:pPr>
        <w:pStyle w:val="9"/>
        <w:adjustRightInd w:val="0"/>
        <w:snapToGrid w:val="0"/>
        <w:spacing w:after="0" w:line="400" w:lineRule="exact"/>
        <w:ind w:left="0" w:leftChars="0" w:firstLine="420" w:firstLineChars="200"/>
        <w:rPr>
          <w:rFonts w:hint="eastAsia" w:ascii="宋体" w:hAnsi="宋体"/>
          <w:sz w:val="21"/>
          <w:szCs w:val="21"/>
          <w:highlight w:val="none"/>
        </w:rPr>
      </w:pPr>
      <w:r>
        <w:rPr>
          <w:rFonts w:hint="eastAsia" w:ascii="宋体" w:hAnsi="宋体"/>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CC41465">
      <w:pPr>
        <w:numPr>
          <w:ilvl w:val="0"/>
          <w:numId w:val="3"/>
        </w:numPr>
        <w:adjustRightInd w:val="0"/>
        <w:snapToGrid w:val="0"/>
        <w:spacing w:line="400" w:lineRule="exact"/>
        <w:ind w:firstLine="422" w:firstLineChars="200"/>
        <w:rPr>
          <w:rFonts w:hint="eastAsia" w:ascii="宋体" w:hAnsi="宋体"/>
          <w:b/>
          <w:sz w:val="21"/>
          <w:szCs w:val="21"/>
          <w:highlight w:val="none"/>
        </w:rPr>
      </w:pPr>
      <w:r>
        <w:rPr>
          <w:rFonts w:hint="eastAsia" w:ascii="宋体" w:hAnsi="宋体"/>
          <w:b/>
          <w:sz w:val="21"/>
          <w:szCs w:val="21"/>
          <w:highlight w:val="none"/>
        </w:rPr>
        <w:t>项目信息</w:t>
      </w:r>
    </w:p>
    <w:p w14:paraId="5AF8005A">
      <w:pPr>
        <w:pStyle w:val="9"/>
        <w:numPr>
          <w:ilvl w:val="0"/>
          <w:numId w:val="4"/>
        </w:numPr>
        <w:adjustRightInd w:val="0"/>
        <w:snapToGrid w:val="0"/>
        <w:spacing w:after="0" w:line="400" w:lineRule="exact"/>
        <w:ind w:left="0" w:leftChars="0" w:firstLine="420" w:firstLineChars="200"/>
        <w:rPr>
          <w:rFonts w:hint="eastAsia" w:ascii="宋体" w:hAnsi="宋体"/>
          <w:sz w:val="21"/>
          <w:szCs w:val="21"/>
          <w:highlight w:val="none"/>
          <w:u w:val="single"/>
        </w:rPr>
      </w:pPr>
      <w:r>
        <w:rPr>
          <w:rFonts w:hint="eastAsia" w:ascii="宋体" w:hAnsi="宋体"/>
          <w:sz w:val="21"/>
          <w:szCs w:val="21"/>
          <w:highlight w:val="none"/>
        </w:rPr>
        <w:t>采购项目名称：</w:t>
      </w:r>
      <w:r>
        <w:rPr>
          <w:rFonts w:ascii="宋体" w:hAnsi="宋体"/>
          <w:sz w:val="21"/>
          <w:szCs w:val="21"/>
          <w:highlight w:val="none"/>
          <w:u w:val="single"/>
        </w:rPr>
        <w:t xml:space="preserve">                                          </w:t>
      </w:r>
    </w:p>
    <w:p w14:paraId="30F62AF8">
      <w:pPr>
        <w:pStyle w:val="9"/>
        <w:numPr>
          <w:ilvl w:val="0"/>
          <w:numId w:val="0"/>
        </w:numPr>
        <w:tabs>
          <w:tab w:val="left" w:pos="999"/>
        </w:tabs>
        <w:adjustRightInd w:val="0"/>
        <w:snapToGrid w:val="0"/>
        <w:spacing w:after="0" w:line="400" w:lineRule="exact"/>
        <w:rPr>
          <w:rFonts w:hint="eastAsia" w:ascii="宋体" w:hAnsi="宋体"/>
          <w:sz w:val="21"/>
          <w:szCs w:val="21"/>
          <w:highlight w:val="none"/>
        </w:rPr>
      </w:pPr>
      <w:r>
        <w:rPr>
          <w:rFonts w:hint="eastAsia" w:ascii="宋体" w:hAnsi="宋体"/>
          <w:sz w:val="21"/>
          <w:szCs w:val="21"/>
          <w:highlight w:val="none"/>
        </w:rPr>
        <w:t xml:space="preserve">         采购项目编号：</w:t>
      </w:r>
      <w:r>
        <w:rPr>
          <w:rFonts w:ascii="宋体" w:hAnsi="宋体"/>
          <w:sz w:val="21"/>
          <w:szCs w:val="21"/>
          <w:highlight w:val="none"/>
          <w:u w:val="single"/>
        </w:rPr>
        <w:t xml:space="preserve">                                          </w:t>
      </w:r>
    </w:p>
    <w:p w14:paraId="31029395">
      <w:pPr>
        <w:pStyle w:val="9"/>
        <w:adjustRightInd w:val="0"/>
        <w:snapToGrid w:val="0"/>
        <w:spacing w:after="0" w:line="400" w:lineRule="exact"/>
        <w:ind w:left="0" w:leftChars="0" w:firstLine="420" w:firstLineChars="200"/>
        <w:rPr>
          <w:rFonts w:hint="eastAsia" w:ascii="宋体" w:hAnsi="宋体"/>
          <w:sz w:val="21"/>
          <w:szCs w:val="21"/>
          <w:highlight w:val="none"/>
        </w:rPr>
      </w:pPr>
      <w:r>
        <w:rPr>
          <w:rFonts w:hint="eastAsia" w:ascii="宋体" w:hAnsi="宋体"/>
          <w:sz w:val="21"/>
          <w:szCs w:val="21"/>
          <w:highlight w:val="none"/>
        </w:rPr>
        <w:t>（2）采购计划编号：</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 xml:space="preserve"> </w:t>
      </w:r>
    </w:p>
    <w:p w14:paraId="757A2324">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（3）项目内容：</w:t>
      </w:r>
    </w:p>
    <w:p w14:paraId="5D176E3C">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 xml:space="preserve">     采购标的及数量（台/套</w:t>
      </w:r>
      <w:r>
        <w:rPr>
          <w:rFonts w:ascii="宋体" w:hAnsi="宋体"/>
          <w:sz w:val="21"/>
          <w:szCs w:val="21"/>
          <w:highlight w:val="none"/>
          <w:lang w:val="en"/>
        </w:rPr>
        <w:t>/</w:t>
      </w:r>
      <w:r>
        <w:rPr>
          <w:rFonts w:hint="eastAsia" w:ascii="宋体" w:hAnsi="宋体"/>
          <w:sz w:val="21"/>
          <w:szCs w:val="21"/>
          <w:highlight w:val="none"/>
          <w:lang w:val="en"/>
        </w:rPr>
        <w:t>个</w:t>
      </w:r>
      <w:r>
        <w:rPr>
          <w:rFonts w:ascii="宋体" w:hAnsi="宋体"/>
          <w:sz w:val="21"/>
          <w:szCs w:val="21"/>
          <w:highlight w:val="none"/>
          <w:lang w:val="en"/>
        </w:rPr>
        <w:t>/</w:t>
      </w:r>
      <w:r>
        <w:rPr>
          <w:rFonts w:hint="eastAsia" w:ascii="宋体" w:hAnsi="宋体"/>
          <w:sz w:val="21"/>
          <w:szCs w:val="21"/>
          <w:highlight w:val="none"/>
          <w:lang w:val="en"/>
        </w:rPr>
        <w:t>架</w:t>
      </w:r>
      <w:r>
        <w:rPr>
          <w:rFonts w:ascii="宋体" w:hAnsi="宋体"/>
          <w:sz w:val="21"/>
          <w:szCs w:val="21"/>
          <w:highlight w:val="none"/>
          <w:lang w:val="en"/>
        </w:rPr>
        <w:t>/</w:t>
      </w:r>
      <w:r>
        <w:rPr>
          <w:rFonts w:hint="eastAsia" w:ascii="宋体" w:hAnsi="宋体"/>
          <w:sz w:val="21"/>
          <w:szCs w:val="21"/>
          <w:highlight w:val="none"/>
          <w:lang w:val="en"/>
        </w:rPr>
        <w:t>组等</w:t>
      </w:r>
      <w:r>
        <w:rPr>
          <w:rFonts w:hint="eastAsia" w:ascii="宋体" w:hAnsi="宋体"/>
          <w:sz w:val="21"/>
          <w:szCs w:val="21"/>
          <w:highlight w:val="none"/>
        </w:rPr>
        <w:t>）：</w:t>
      </w:r>
      <w:r>
        <w:rPr>
          <w:rFonts w:hint="eastAsia" w:ascii="宋体" w:hAnsi="宋体"/>
          <w:sz w:val="21"/>
          <w:szCs w:val="21"/>
          <w:highlight w:val="none"/>
          <w:u w:val="single"/>
        </w:rPr>
        <w:t xml:space="preserve">                       </w:t>
      </w:r>
      <w:r>
        <w:rPr>
          <w:rFonts w:hint="eastAsia" w:ascii="宋体" w:hAnsi="宋体"/>
          <w:sz w:val="21"/>
          <w:szCs w:val="21"/>
          <w:highlight w:val="none"/>
        </w:rPr>
        <w:t xml:space="preserve">          </w:t>
      </w:r>
    </w:p>
    <w:p w14:paraId="01A668A7">
      <w:pPr>
        <w:numPr>
          <w:ilvl w:val="0"/>
          <w:numId w:val="0"/>
        </w:numPr>
        <w:adjustRightInd w:val="0"/>
        <w:snapToGrid w:val="0"/>
        <w:spacing w:line="400" w:lineRule="exact"/>
        <w:ind w:firstLine="420" w:firstLineChars="200"/>
        <w:rPr>
          <w:rFonts w:hint="eastAsia" w:ascii="宋体" w:hAnsi="宋体" w:cs="宋体"/>
          <w:sz w:val="21"/>
          <w:szCs w:val="21"/>
          <w:highlight w:val="none"/>
          <w:lang w:val="en"/>
        </w:rPr>
      </w:pPr>
      <w:r>
        <w:rPr>
          <w:rFonts w:hint="eastAsia" w:ascii="宋体" w:hAnsi="宋体"/>
          <w:sz w:val="21"/>
          <w:szCs w:val="21"/>
          <w:highlight w:val="none"/>
        </w:rPr>
        <w:t xml:space="preserve">     </w:t>
      </w:r>
      <w:r>
        <w:rPr>
          <w:rFonts w:hint="eastAsia" w:ascii="宋体" w:hAnsi="宋体" w:cs="宋体"/>
          <w:sz w:val="21"/>
          <w:szCs w:val="21"/>
          <w:highlight w:val="none"/>
        </w:rPr>
        <w:t>品牌：</w:t>
      </w:r>
      <w:r>
        <w:rPr>
          <w:rFonts w:hint="eastAsia" w:ascii="宋体" w:hAnsi="宋体" w:cs="宋体"/>
          <w:sz w:val="21"/>
          <w:szCs w:val="21"/>
          <w:highlight w:val="none"/>
          <w:u w:val="single"/>
        </w:rPr>
        <w:t xml:space="preserve">      </w:t>
      </w:r>
      <w:r>
        <w:rPr>
          <w:rFonts w:ascii="宋体" w:hAnsi="宋体" w:cs="宋体"/>
          <w:sz w:val="21"/>
          <w:szCs w:val="21"/>
          <w:highlight w:val="none"/>
          <w:u w:val="single"/>
          <w:lang w:val="en"/>
        </w:rPr>
        <w:t xml:space="preserve">   </w:t>
      </w:r>
      <w:r>
        <w:rPr>
          <w:rFonts w:hint="eastAsia" w:ascii="宋体" w:hAnsi="宋体" w:cs="宋体"/>
          <w:sz w:val="21"/>
          <w:szCs w:val="21"/>
          <w:highlight w:val="none"/>
          <w:u w:val="single"/>
        </w:rPr>
        <w:t xml:space="preserve">    </w:t>
      </w:r>
      <w:r>
        <w:rPr>
          <w:rFonts w:ascii="宋体" w:hAnsi="宋体" w:cs="宋体"/>
          <w:sz w:val="21"/>
          <w:szCs w:val="21"/>
          <w:highlight w:val="none"/>
          <w:u w:val="single"/>
          <w:lang w:val="en"/>
        </w:rPr>
        <w:t xml:space="preserve"> </w:t>
      </w:r>
      <w:r>
        <w:rPr>
          <w:rFonts w:hint="eastAsia" w:ascii="宋体" w:hAnsi="宋体" w:cs="宋体"/>
          <w:sz w:val="21"/>
          <w:szCs w:val="21"/>
          <w:highlight w:val="none"/>
          <w:u w:val="single"/>
        </w:rPr>
        <w:t xml:space="preserve"> </w:t>
      </w:r>
      <w:r>
        <w:rPr>
          <w:rFonts w:ascii="宋体" w:hAnsi="宋体" w:cs="宋体"/>
          <w:sz w:val="21"/>
          <w:szCs w:val="21"/>
          <w:highlight w:val="none"/>
          <w:lang w:val="en"/>
        </w:rPr>
        <w:t xml:space="preserve">     </w:t>
      </w:r>
      <w:r>
        <w:rPr>
          <w:rFonts w:hint="eastAsia" w:ascii="宋体" w:hAnsi="宋体" w:cs="宋体"/>
          <w:sz w:val="21"/>
          <w:szCs w:val="21"/>
          <w:highlight w:val="none"/>
        </w:rPr>
        <w:t>规格型号：</w:t>
      </w:r>
      <w:r>
        <w:rPr>
          <w:rFonts w:hint="eastAsia" w:ascii="宋体" w:hAnsi="宋体" w:cs="宋体"/>
          <w:sz w:val="21"/>
          <w:szCs w:val="21"/>
          <w:highlight w:val="none"/>
          <w:u w:val="single"/>
        </w:rPr>
        <w:t xml:space="preserve">   </w:t>
      </w:r>
      <w:r>
        <w:rPr>
          <w:rFonts w:ascii="宋体" w:hAnsi="宋体" w:cs="宋体"/>
          <w:sz w:val="21"/>
          <w:szCs w:val="21"/>
          <w:highlight w:val="none"/>
          <w:u w:val="single"/>
          <w:lang w:val="en"/>
        </w:rPr>
        <w:t xml:space="preserve">  </w:t>
      </w:r>
      <w:r>
        <w:rPr>
          <w:rFonts w:hint="eastAsia" w:ascii="宋体" w:hAnsi="宋体" w:cs="宋体"/>
          <w:sz w:val="21"/>
          <w:szCs w:val="21"/>
          <w:highlight w:val="none"/>
          <w:u w:val="single"/>
        </w:rPr>
        <w:t xml:space="preserve">       </w:t>
      </w:r>
      <w:r>
        <w:rPr>
          <w:rFonts w:ascii="宋体" w:hAnsi="宋体" w:cs="宋体"/>
          <w:sz w:val="21"/>
          <w:szCs w:val="21"/>
          <w:highlight w:val="none"/>
          <w:u w:val="single"/>
          <w:lang w:val="en"/>
        </w:rPr>
        <w:t xml:space="preserve">   </w:t>
      </w:r>
    </w:p>
    <w:p w14:paraId="7C454048">
      <w:pPr>
        <w:adjustRightInd w:val="0"/>
        <w:snapToGrid w:val="0"/>
        <w:spacing w:line="400" w:lineRule="exact"/>
        <w:ind w:firstLine="945" w:firstLineChars="450"/>
        <w:rPr>
          <w:rFonts w:hint="eastAsia" w:ascii="宋体" w:hAnsi="宋体"/>
          <w:sz w:val="21"/>
          <w:szCs w:val="21"/>
          <w:highlight w:val="none"/>
          <w:u w:val="single"/>
        </w:rPr>
      </w:pPr>
      <w:r>
        <w:rPr>
          <w:rFonts w:hint="eastAsia" w:ascii="宋体" w:hAnsi="宋体"/>
          <w:sz w:val="21"/>
          <w:szCs w:val="21"/>
          <w:highlight w:val="none"/>
        </w:rPr>
        <w:t>采购标的的技术要求、商务要求具体见附件。</w:t>
      </w:r>
    </w:p>
    <w:p w14:paraId="5254D740">
      <w:pPr>
        <w:numPr>
          <w:ilvl w:val="0"/>
          <w:numId w:val="0"/>
        </w:numPr>
        <w:adjustRightInd w:val="0"/>
        <w:snapToGrid w:val="0"/>
        <w:spacing w:line="400" w:lineRule="exact"/>
        <w:ind w:firstLine="945" w:firstLineChars="450"/>
        <w:rPr>
          <w:rFonts w:hint="eastAsia" w:ascii="宋体" w:hAnsi="宋体" w:cs="宋体"/>
          <w:sz w:val="21"/>
          <w:szCs w:val="21"/>
          <w:highlight w:val="none"/>
        </w:rPr>
      </w:pPr>
      <w:r>
        <w:rPr>
          <w:rFonts w:hint="eastAsia" w:ascii="汉仪书宋二S" w:hAnsi="汉仪书宋二S" w:eastAsia="汉仪书宋二S" w:cs="汉仪书宋二S"/>
          <w:sz w:val="21"/>
          <w:szCs w:val="21"/>
          <w:highlight w:val="none"/>
        </w:rPr>
        <w:t>①</w:t>
      </w:r>
      <w:r>
        <w:rPr>
          <w:rFonts w:hint="eastAsia" w:ascii="宋体" w:hAnsi="宋体" w:cs="宋体"/>
          <w:sz w:val="21"/>
          <w:szCs w:val="21"/>
          <w:highlight w:val="none"/>
        </w:rPr>
        <w:t>涉及信息类产品，请填写该产品关键部件的品牌、型号：</w:t>
      </w:r>
    </w:p>
    <w:p w14:paraId="2E1ADCD5">
      <w:pPr>
        <w:numPr>
          <w:ilvl w:val="0"/>
          <w:numId w:val="0"/>
        </w:numPr>
        <w:adjustRightInd w:val="0"/>
        <w:snapToGrid w:val="0"/>
        <w:spacing w:line="400" w:lineRule="exact"/>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 xml:space="preserve">     标的名称：</w:t>
      </w:r>
      <w:r>
        <w:rPr>
          <w:rFonts w:hint="eastAsia" w:ascii="宋体" w:hAnsi="宋体" w:cs="宋体"/>
          <w:sz w:val="21"/>
          <w:szCs w:val="21"/>
          <w:highlight w:val="none"/>
          <w:u w:val="single"/>
        </w:rPr>
        <w:t xml:space="preserve">      </w:t>
      </w:r>
      <w:r>
        <w:rPr>
          <w:rFonts w:ascii="宋体" w:hAnsi="宋体" w:cs="宋体"/>
          <w:sz w:val="21"/>
          <w:szCs w:val="21"/>
          <w:highlight w:val="none"/>
          <w:u w:val="single"/>
          <w:lang w:val="en"/>
        </w:rPr>
        <w:t xml:space="preserve">               </w:t>
      </w:r>
      <w:r>
        <w:rPr>
          <w:rFonts w:hint="eastAsia" w:ascii="宋体" w:hAnsi="宋体" w:cs="宋体"/>
          <w:sz w:val="21"/>
          <w:szCs w:val="21"/>
          <w:highlight w:val="none"/>
          <w:u w:val="single"/>
        </w:rPr>
        <w:t xml:space="preserve">    </w:t>
      </w:r>
    </w:p>
    <w:p w14:paraId="75B2E6DB">
      <w:pPr>
        <w:numPr>
          <w:ilvl w:val="0"/>
          <w:numId w:val="0"/>
        </w:numPr>
        <w:adjustRightInd w:val="0"/>
        <w:snapToGrid w:val="0"/>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     关键部件：</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品牌：</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型号：</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p w14:paraId="5329F3FC">
      <w:pPr>
        <w:pStyle w:val="59"/>
        <w:ind w:firstLine="42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kern w:val="2"/>
          <w:sz w:val="21"/>
          <w:highlight w:val="none"/>
        </w:rPr>
        <w:t>关键部件</w:t>
      </w:r>
      <w:r>
        <w:rPr>
          <w:rFonts w:hint="eastAsia" w:ascii="宋体" w:hAnsi="宋体" w:eastAsia="宋体" w:cs="宋体"/>
          <w:sz w:val="21"/>
          <w:highlight w:val="none"/>
        </w:rPr>
        <w:t>：</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p>
    <w:p w14:paraId="15C1BD3A">
      <w:pPr>
        <w:pStyle w:val="59"/>
        <w:ind w:firstLine="420"/>
        <w:rPr>
          <w:rFonts w:hint="eastAsia" w:ascii="宋体" w:hAnsi="宋体" w:eastAsia="宋体" w:cs="宋体"/>
          <w:sz w:val="21"/>
          <w:highlight w:val="none"/>
        </w:rPr>
      </w:pPr>
      <w:r>
        <w:rPr>
          <w:rFonts w:hint="eastAsia" w:ascii="宋体" w:hAnsi="宋体" w:eastAsia="宋体" w:cs="宋体"/>
          <w:sz w:val="21"/>
          <w:highlight w:val="none"/>
        </w:rPr>
        <w:t xml:space="preserve">     关键部件：</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p>
    <w:p w14:paraId="0336A4E7">
      <w:pPr>
        <w:pStyle w:val="59"/>
        <w:numPr>
          <w:ilvl w:val="0"/>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35564FA5">
      <w:pPr>
        <w:pStyle w:val="59"/>
        <w:numPr>
          <w:ilvl w:val="0"/>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汉仪书宋二S" w:hAnsi="汉仪书宋二S" w:eastAsia="汉仪书宋二S" w:cs="汉仪书宋二S"/>
          <w:sz w:val="21"/>
          <w:highlight w:val="none"/>
        </w:rPr>
        <w:t>②</w:t>
      </w:r>
      <w:r>
        <w:rPr>
          <w:rFonts w:hint="eastAsia" w:ascii="宋体" w:hAnsi="宋体" w:eastAsia="宋体" w:cs="宋体"/>
          <w:sz w:val="21"/>
          <w:highlight w:val="none"/>
        </w:rPr>
        <w:t>涉及车辆采购，请填写是否属于新能源汽车：</w:t>
      </w:r>
    </w:p>
    <w:p w14:paraId="10BC9E13">
      <w:pPr>
        <w:pStyle w:val="59"/>
        <w:numPr>
          <w:ilvl w:val="0"/>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是，《政府采购品目分类目录》底级品目名称：</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数量：</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金额：</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p>
    <w:p w14:paraId="16FF90D7">
      <w:pPr>
        <w:pStyle w:val="59"/>
        <w:numPr>
          <w:ilvl w:val="0"/>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否</w:t>
      </w:r>
    </w:p>
    <w:p w14:paraId="2920B403">
      <w:pPr>
        <w:pStyle w:val="59"/>
        <w:numPr>
          <w:ilvl w:val="0"/>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ascii="宋体" w:hAnsi="宋体" w:eastAsia="宋体" w:cs="宋体"/>
          <w:sz w:val="21"/>
          <w:highlight w:val="none"/>
          <w:lang w:val="en"/>
        </w:rPr>
        <w:t>4</w:t>
      </w:r>
      <w:r>
        <w:rPr>
          <w:rFonts w:hint="eastAsia" w:ascii="宋体" w:hAnsi="宋体" w:eastAsia="宋体" w:cs="宋体"/>
          <w:sz w:val="21"/>
          <w:highlight w:val="none"/>
        </w:rPr>
        <w:t>）政府采购组织形式：</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政府集中采购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部门集中采购  </w:t>
      </w:r>
      <w:r>
        <w:rPr>
          <w:rFonts w:hint="eastAsia" w:ascii="宋体" w:hAnsi="宋体" w:eastAsia="宋体" w:cs="宋体"/>
          <w:sz w:val="21"/>
          <w:highlight w:val="none"/>
        </w:rPr>
        <w:sym w:font="Wingdings" w:char="00A8"/>
      </w:r>
      <w:r>
        <w:rPr>
          <w:rFonts w:hint="eastAsia" w:ascii="宋体" w:hAnsi="宋体" w:eastAsia="宋体" w:cs="宋体"/>
          <w:sz w:val="21"/>
          <w:highlight w:val="none"/>
        </w:rPr>
        <w:t>分散采购</w:t>
      </w:r>
    </w:p>
    <w:p w14:paraId="1252E82A">
      <w:pPr>
        <w:pStyle w:val="59"/>
        <w:numPr>
          <w:ilvl w:val="0"/>
          <w:numId w:val="0"/>
        </w:numPr>
        <w:snapToGrid w:val="0"/>
        <w:ind w:firstLine="420"/>
        <w:rPr>
          <w:rFonts w:hint="eastAsia" w:ascii="宋体" w:hAnsi="宋体" w:eastAsia="宋体" w:cs="宋体"/>
          <w:sz w:val="21"/>
          <w:highlight w:val="none"/>
        </w:rPr>
      </w:pPr>
      <w:r>
        <w:rPr>
          <w:rFonts w:hint="eastAsia" w:ascii="宋体" w:hAnsi="宋体" w:eastAsia="宋体" w:cs="宋体"/>
          <w:sz w:val="21"/>
          <w:highlight w:val="none"/>
        </w:rPr>
        <w:t>（</w:t>
      </w:r>
      <w:r>
        <w:rPr>
          <w:rFonts w:ascii="宋体" w:hAnsi="宋体" w:eastAsia="宋体" w:cs="宋体"/>
          <w:sz w:val="21"/>
          <w:highlight w:val="none"/>
          <w:lang w:val="en"/>
        </w:rPr>
        <w:t>5</w:t>
      </w:r>
      <w:r>
        <w:rPr>
          <w:rFonts w:hint="eastAsia" w:ascii="宋体" w:hAnsi="宋体" w:eastAsia="宋体" w:cs="宋体"/>
          <w:sz w:val="21"/>
          <w:highlight w:val="none"/>
        </w:rPr>
        <w:t>）政府采购方式：</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公开招标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邀请招标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竞争性谈判 </w:t>
      </w:r>
      <w:r>
        <w:rPr>
          <w:rFonts w:hint="eastAsia" w:ascii="宋体" w:hAnsi="宋体" w:eastAsia="宋体" w:cs="宋体"/>
          <w:sz w:val="21"/>
          <w:highlight w:val="none"/>
        </w:rPr>
        <w:sym w:font="Wingdings" w:char="00A8"/>
      </w:r>
      <w:r>
        <w:rPr>
          <w:rFonts w:hint="eastAsia" w:ascii="宋体" w:hAnsi="宋体" w:eastAsia="宋体" w:cs="宋体"/>
          <w:sz w:val="21"/>
          <w:highlight w:val="none"/>
        </w:rPr>
        <w:t>竞争性磋商</w:t>
      </w:r>
    </w:p>
    <w:p w14:paraId="425DDDA7">
      <w:pPr>
        <w:pStyle w:val="59"/>
        <w:numPr>
          <w:ilvl w:val="0"/>
          <w:numId w:val="0"/>
        </w:numPr>
        <w:snapToGrid w:val="0"/>
        <w:ind w:firstLine="420"/>
        <w:rPr>
          <w:rFonts w:hint="eastAsia" w:ascii="宋体" w:hAnsi="宋体" w:eastAsia="宋体" w:cs="宋体"/>
          <w:sz w:val="21"/>
          <w:highlight w:val="none"/>
          <w:u w:val="single"/>
        </w:rPr>
      </w:pPr>
      <w:r>
        <w:rPr>
          <w:rFonts w:hint="eastAsia" w:ascii="宋体" w:hAnsi="宋体" w:cs="宋体"/>
          <w:sz w:val="21"/>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询价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单一来源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框架协议 </w:t>
      </w:r>
      <w:r>
        <w:rPr>
          <w:rFonts w:hint="eastAsia" w:ascii="宋体" w:hAnsi="宋体" w:eastAsia="宋体" w:cs="宋体"/>
          <w:sz w:val="21"/>
          <w:highlight w:val="none"/>
        </w:rPr>
        <w:sym w:font="Wingdings" w:char="00A8"/>
      </w:r>
      <w:r>
        <w:rPr>
          <w:rFonts w:hint="eastAsia" w:ascii="宋体" w:hAnsi="宋体" w:eastAsia="宋体" w:cs="宋体"/>
          <w:sz w:val="21"/>
          <w:highlight w:val="none"/>
        </w:rPr>
        <w:t>其他：</w:t>
      </w:r>
      <w:r>
        <w:rPr>
          <w:rFonts w:hint="eastAsia" w:ascii="宋体" w:hAnsi="宋体" w:eastAsia="宋体" w:cs="宋体"/>
          <w:sz w:val="21"/>
          <w:highlight w:val="none"/>
          <w:u w:val="single"/>
        </w:rPr>
        <w:t xml:space="preserve">          </w:t>
      </w:r>
    </w:p>
    <w:p w14:paraId="78B42207">
      <w:pPr>
        <w:pStyle w:val="59"/>
        <w:numPr>
          <w:ilvl w:val="0"/>
          <w:numId w:val="0"/>
        </w:numPr>
        <w:snapToGrid w:val="0"/>
        <w:ind w:firstLine="420"/>
        <w:rPr>
          <w:rFonts w:hint="eastAsia" w:ascii="宋体" w:hAnsi="宋体" w:eastAsia="宋体" w:cs="宋体"/>
          <w:sz w:val="21"/>
          <w:highlight w:val="none"/>
        </w:rPr>
      </w:pPr>
      <w:r>
        <w:rPr>
          <w:rFonts w:hint="eastAsia" w:ascii="宋体" w:hAnsi="宋体" w:eastAsia="宋体" w:cs="宋体"/>
          <w:sz w:val="21"/>
          <w:highlight w:val="none"/>
        </w:rPr>
        <w:t>（注：在框架协议采购的第二阶段，可选择使用该合同文本）</w:t>
      </w:r>
    </w:p>
    <w:p w14:paraId="53AEEF5C">
      <w:pPr>
        <w:pStyle w:val="59"/>
        <w:numPr>
          <w:ilvl w:val="0"/>
          <w:numId w:val="0"/>
        </w:numPr>
        <w:snapToGrid w:val="0"/>
        <w:ind w:firstLine="210" w:firstLineChars="100"/>
        <w:rPr>
          <w:rFonts w:hint="eastAsia" w:ascii="宋体" w:hAnsi="宋体" w:eastAsia="宋体" w:cs="Times New Roman"/>
          <w:kern w:val="2"/>
          <w:sz w:val="21"/>
          <w:highlight w:val="none"/>
        </w:rPr>
      </w:pPr>
      <w:r>
        <w:rPr>
          <w:rFonts w:hint="eastAsia" w:ascii="宋体" w:hAnsi="宋体"/>
          <w:sz w:val="21"/>
          <w:highlight w:val="none"/>
        </w:rPr>
        <w:t xml:space="preserve"> （</w:t>
      </w:r>
      <w:r>
        <w:rPr>
          <w:rFonts w:ascii="宋体" w:hAnsi="宋体"/>
          <w:sz w:val="21"/>
          <w:highlight w:val="none"/>
          <w:lang w:val="en"/>
        </w:rPr>
        <w:t>6</w:t>
      </w:r>
      <w:r>
        <w:rPr>
          <w:rFonts w:hint="eastAsia" w:ascii="宋体" w:hAnsi="宋体"/>
          <w:sz w:val="21"/>
          <w:highlight w:val="none"/>
        </w:rPr>
        <w:t>）</w:t>
      </w:r>
      <w:r>
        <w:rPr>
          <w:rFonts w:hint="eastAsia" w:ascii="宋体" w:hAnsi="宋体" w:eastAsia="宋体" w:cs="Times New Roman"/>
          <w:kern w:val="2"/>
          <w:sz w:val="21"/>
          <w:highlight w:val="none"/>
        </w:rPr>
        <w:t>中标（成交）采购标的制造商是否为中小企业：</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 xml:space="preserve">是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否</w:t>
      </w:r>
    </w:p>
    <w:p w14:paraId="0D9E5225">
      <w:pPr>
        <w:numPr>
          <w:ilvl w:val="0"/>
          <w:numId w:val="0"/>
        </w:numPr>
        <w:adjustRightInd w:val="0"/>
        <w:snapToGrid w:val="0"/>
        <w:spacing w:line="400" w:lineRule="exact"/>
        <w:rPr>
          <w:rFonts w:hint="eastAsia" w:ascii="宋体" w:hAnsi="宋体"/>
          <w:iCs/>
          <w:sz w:val="21"/>
          <w:szCs w:val="21"/>
          <w:highlight w:val="none"/>
        </w:rPr>
      </w:pPr>
      <w:r>
        <w:rPr>
          <w:rFonts w:hint="eastAsia" w:ascii="宋体" w:hAnsi="宋体"/>
          <w:sz w:val="21"/>
          <w:szCs w:val="21"/>
          <w:highlight w:val="none"/>
        </w:rPr>
        <w:t xml:space="preserve">         本合同是否为专门面向中小企业的采购合同（中小企业预留合同）：</w:t>
      </w:r>
      <w:r>
        <w:rPr>
          <w:rFonts w:hint="eastAsia" w:ascii="宋体" w:hAnsi="宋体"/>
          <w:iCs/>
          <w:sz w:val="21"/>
          <w:szCs w:val="21"/>
          <w:highlight w:val="none"/>
        </w:rPr>
        <w:sym w:font="Wingdings" w:char="00A8"/>
      </w:r>
      <w:r>
        <w:rPr>
          <w:rFonts w:hint="eastAsia" w:ascii="宋体" w:hAnsi="宋体"/>
          <w:iCs/>
          <w:sz w:val="21"/>
          <w:szCs w:val="21"/>
          <w:highlight w:val="none"/>
        </w:rPr>
        <w:t xml:space="preserve">是    </w:t>
      </w:r>
      <w:r>
        <w:rPr>
          <w:rFonts w:hint="eastAsia" w:ascii="宋体" w:hAnsi="宋体"/>
          <w:iCs/>
          <w:sz w:val="21"/>
          <w:szCs w:val="21"/>
          <w:highlight w:val="none"/>
        </w:rPr>
        <w:sym w:font="Wingdings" w:char="00A8"/>
      </w:r>
      <w:r>
        <w:rPr>
          <w:rFonts w:hint="eastAsia" w:ascii="宋体" w:hAnsi="宋体"/>
          <w:iCs/>
          <w:sz w:val="21"/>
          <w:szCs w:val="21"/>
          <w:highlight w:val="none"/>
        </w:rPr>
        <w:t>否</w:t>
      </w:r>
    </w:p>
    <w:p w14:paraId="56B1845B">
      <w:pPr>
        <w:numPr>
          <w:ilvl w:val="0"/>
          <w:numId w:val="0"/>
        </w:numPr>
        <w:adjustRightInd w:val="0"/>
        <w:snapToGrid w:val="0"/>
        <w:spacing w:line="400" w:lineRule="exact"/>
        <w:rPr>
          <w:rFonts w:hint="eastAsia" w:ascii="宋体" w:hAnsi="宋体"/>
          <w:iCs/>
          <w:sz w:val="21"/>
          <w:szCs w:val="21"/>
          <w:highlight w:val="none"/>
        </w:rPr>
      </w:pPr>
      <w:r>
        <w:rPr>
          <w:rFonts w:hint="eastAsia"/>
          <w:sz w:val="21"/>
          <w:szCs w:val="21"/>
          <w:highlight w:val="none"/>
        </w:rPr>
        <w:t xml:space="preserve">         若本项目不专门面向中小企业采购，是否给予小微企业评审优惠：</w:t>
      </w:r>
      <w:r>
        <w:rPr>
          <w:rFonts w:hint="eastAsia" w:ascii="宋体" w:hAnsi="宋体"/>
          <w:iCs/>
          <w:sz w:val="21"/>
          <w:szCs w:val="21"/>
          <w:highlight w:val="none"/>
        </w:rPr>
        <w:sym w:font="Wingdings" w:char="00A8"/>
      </w:r>
      <w:r>
        <w:rPr>
          <w:rFonts w:hint="eastAsia" w:ascii="宋体" w:hAnsi="宋体"/>
          <w:iCs/>
          <w:sz w:val="21"/>
          <w:szCs w:val="21"/>
          <w:highlight w:val="none"/>
        </w:rPr>
        <w:t xml:space="preserve">是   </w:t>
      </w:r>
      <w:r>
        <w:rPr>
          <w:rFonts w:hint="eastAsia" w:ascii="宋体" w:hAnsi="宋体"/>
          <w:iCs/>
          <w:sz w:val="21"/>
          <w:szCs w:val="21"/>
          <w:highlight w:val="none"/>
        </w:rPr>
        <w:sym w:font="Wingdings" w:char="00A8"/>
      </w:r>
      <w:r>
        <w:rPr>
          <w:rFonts w:hint="eastAsia" w:ascii="宋体" w:hAnsi="宋体"/>
          <w:iCs/>
          <w:sz w:val="21"/>
          <w:szCs w:val="21"/>
          <w:highlight w:val="none"/>
        </w:rPr>
        <w:t>否</w:t>
      </w:r>
    </w:p>
    <w:p w14:paraId="7098B4F8">
      <w:pPr>
        <w:numPr>
          <w:ilvl w:val="0"/>
          <w:numId w:val="0"/>
        </w:numPr>
        <w:adjustRightInd w:val="0"/>
        <w:snapToGrid w:val="0"/>
        <w:spacing w:line="400" w:lineRule="exact"/>
        <w:rPr>
          <w:rFonts w:hint="eastAsia" w:ascii="宋体" w:hAnsi="宋体"/>
          <w:iCs/>
          <w:sz w:val="21"/>
          <w:szCs w:val="21"/>
          <w:highlight w:val="none"/>
        </w:rPr>
      </w:pPr>
      <w:r>
        <w:rPr>
          <w:rFonts w:hint="eastAsia"/>
          <w:sz w:val="21"/>
          <w:szCs w:val="21"/>
          <w:highlight w:val="none"/>
        </w:rPr>
        <w:t xml:space="preserve">         中标（成交）采购标的制造商是否为残疾人福利性单位：</w:t>
      </w:r>
      <w:r>
        <w:rPr>
          <w:rFonts w:hint="eastAsia" w:ascii="宋体" w:hAnsi="宋体"/>
          <w:iCs/>
          <w:sz w:val="21"/>
          <w:szCs w:val="21"/>
          <w:highlight w:val="none"/>
        </w:rPr>
        <w:sym w:font="Wingdings" w:char="00A8"/>
      </w:r>
      <w:r>
        <w:rPr>
          <w:rFonts w:hint="eastAsia" w:ascii="宋体" w:hAnsi="宋体"/>
          <w:iCs/>
          <w:sz w:val="21"/>
          <w:szCs w:val="21"/>
          <w:highlight w:val="none"/>
        </w:rPr>
        <w:t xml:space="preserve">是   </w:t>
      </w:r>
      <w:r>
        <w:rPr>
          <w:rFonts w:hint="eastAsia" w:ascii="宋体" w:hAnsi="宋体"/>
          <w:iCs/>
          <w:sz w:val="21"/>
          <w:szCs w:val="21"/>
          <w:highlight w:val="none"/>
        </w:rPr>
        <w:sym w:font="Wingdings" w:char="00A8"/>
      </w:r>
      <w:r>
        <w:rPr>
          <w:rFonts w:hint="eastAsia" w:ascii="宋体" w:hAnsi="宋体"/>
          <w:iCs/>
          <w:sz w:val="21"/>
          <w:szCs w:val="21"/>
          <w:highlight w:val="none"/>
        </w:rPr>
        <w:t>否</w:t>
      </w:r>
    </w:p>
    <w:p w14:paraId="0D9961F5">
      <w:pPr>
        <w:snapToGrid w:val="0"/>
        <w:spacing w:line="400" w:lineRule="exact"/>
        <w:ind w:firstLine="420"/>
        <w:rPr>
          <w:sz w:val="21"/>
          <w:szCs w:val="21"/>
          <w:highlight w:val="none"/>
        </w:rPr>
      </w:pPr>
      <w:r>
        <w:rPr>
          <w:rFonts w:hint="eastAsia"/>
          <w:sz w:val="21"/>
          <w:szCs w:val="21"/>
          <w:highlight w:val="none"/>
        </w:rPr>
        <w:t xml:space="preserve">         中标（成交）采购标的制造商是否为监狱企业：</w:t>
      </w:r>
      <w:r>
        <w:rPr>
          <w:rFonts w:hint="eastAsia" w:ascii="宋体" w:hAnsi="宋体"/>
          <w:iCs/>
          <w:sz w:val="21"/>
          <w:szCs w:val="21"/>
          <w:highlight w:val="none"/>
        </w:rPr>
        <w:sym w:font="Wingdings" w:char="00A8"/>
      </w:r>
      <w:r>
        <w:rPr>
          <w:rFonts w:hint="eastAsia" w:ascii="宋体" w:hAnsi="宋体"/>
          <w:iCs/>
          <w:sz w:val="21"/>
          <w:szCs w:val="21"/>
          <w:highlight w:val="none"/>
        </w:rPr>
        <w:t xml:space="preserve">是       </w:t>
      </w:r>
      <w:r>
        <w:rPr>
          <w:rFonts w:hint="eastAsia" w:ascii="宋体" w:hAnsi="宋体"/>
          <w:iCs/>
          <w:sz w:val="21"/>
          <w:szCs w:val="21"/>
          <w:highlight w:val="none"/>
        </w:rPr>
        <w:sym w:font="Wingdings" w:char="00A8"/>
      </w:r>
      <w:r>
        <w:rPr>
          <w:rFonts w:hint="eastAsia" w:ascii="宋体" w:hAnsi="宋体"/>
          <w:iCs/>
          <w:sz w:val="21"/>
          <w:szCs w:val="21"/>
          <w:highlight w:val="none"/>
        </w:rPr>
        <w:t>否</w:t>
      </w:r>
    </w:p>
    <w:p w14:paraId="5E831263">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lang w:val="en"/>
        </w:rPr>
        <w:t>7</w:t>
      </w:r>
      <w:r>
        <w:rPr>
          <w:rFonts w:hint="eastAsia" w:ascii="宋体" w:hAnsi="宋体"/>
          <w:sz w:val="21"/>
          <w:szCs w:val="21"/>
          <w:highlight w:val="none"/>
        </w:rPr>
        <w:t>）合同是否分包：</w:t>
      </w:r>
      <w:r>
        <w:rPr>
          <w:rFonts w:hint="eastAsia" w:ascii="宋体" w:hAnsi="宋体"/>
          <w:iCs/>
          <w:sz w:val="21"/>
          <w:szCs w:val="21"/>
          <w:highlight w:val="none"/>
        </w:rPr>
        <w:sym w:font="Wingdings" w:char="00A8"/>
      </w:r>
      <w:r>
        <w:rPr>
          <w:rFonts w:hint="eastAsia" w:ascii="宋体" w:hAnsi="宋体"/>
          <w:iCs/>
          <w:sz w:val="21"/>
          <w:szCs w:val="21"/>
          <w:highlight w:val="none"/>
        </w:rPr>
        <w:t xml:space="preserve">是       </w:t>
      </w:r>
      <w:r>
        <w:rPr>
          <w:rFonts w:hint="eastAsia" w:ascii="宋体" w:hAnsi="宋体"/>
          <w:iCs/>
          <w:sz w:val="21"/>
          <w:szCs w:val="21"/>
          <w:highlight w:val="none"/>
        </w:rPr>
        <w:sym w:font="Wingdings" w:char="00A8"/>
      </w:r>
      <w:r>
        <w:rPr>
          <w:rFonts w:hint="eastAsia" w:ascii="宋体" w:hAnsi="宋体"/>
          <w:iCs/>
          <w:sz w:val="21"/>
          <w:szCs w:val="21"/>
          <w:highlight w:val="none"/>
        </w:rPr>
        <w:t>否</w:t>
      </w:r>
    </w:p>
    <w:p w14:paraId="20AAB34C">
      <w:pPr>
        <w:adjustRightInd w:val="0"/>
        <w:snapToGrid w:val="0"/>
        <w:spacing w:line="400" w:lineRule="exact"/>
        <w:ind w:firstLine="840" w:firstLineChars="400"/>
        <w:rPr>
          <w:rFonts w:hint="eastAsia" w:ascii="宋体" w:hAnsi="宋体"/>
          <w:sz w:val="21"/>
          <w:szCs w:val="21"/>
          <w:highlight w:val="none"/>
          <w:u w:val="single"/>
        </w:rPr>
      </w:pPr>
      <w:r>
        <w:rPr>
          <w:rFonts w:hint="eastAsia" w:ascii="宋体" w:hAnsi="宋体"/>
          <w:sz w:val="21"/>
          <w:szCs w:val="21"/>
          <w:highlight w:val="none"/>
        </w:rPr>
        <w:t xml:space="preserve"> 分包主要内容：</w:t>
      </w:r>
      <w:r>
        <w:rPr>
          <w:rFonts w:hint="eastAsia" w:ascii="宋体" w:hAnsi="宋体"/>
          <w:sz w:val="21"/>
          <w:szCs w:val="21"/>
          <w:highlight w:val="none"/>
          <w:u w:val="single"/>
        </w:rPr>
        <w:t xml:space="preserve">                                            </w:t>
      </w:r>
    </w:p>
    <w:p w14:paraId="4ABB2522">
      <w:pPr>
        <w:adjustRightInd w:val="0"/>
        <w:snapToGrid w:val="0"/>
        <w:spacing w:line="400" w:lineRule="exact"/>
        <w:ind w:firstLine="840" w:firstLineChars="400"/>
        <w:rPr>
          <w:rFonts w:hint="eastAsia" w:ascii="宋体" w:hAnsi="宋体"/>
          <w:sz w:val="21"/>
          <w:szCs w:val="21"/>
          <w:highlight w:val="none"/>
        </w:rPr>
      </w:pPr>
      <w:r>
        <w:rPr>
          <w:rFonts w:hint="eastAsia" w:ascii="宋体" w:hAnsi="宋体"/>
          <w:sz w:val="21"/>
          <w:szCs w:val="21"/>
          <w:highlight w:val="none"/>
        </w:rPr>
        <w:t xml:space="preserve"> 分包供应商/制造商名称（如供应商和制造商不同，请分别填写）：</w:t>
      </w:r>
    </w:p>
    <w:p w14:paraId="72E8093A">
      <w:pPr>
        <w:adjustRightInd w:val="0"/>
        <w:snapToGrid w:val="0"/>
        <w:spacing w:line="400" w:lineRule="exact"/>
        <w:ind w:firstLine="840" w:firstLineChars="400"/>
        <w:rPr>
          <w:rFonts w:hint="eastAsia" w:ascii="宋体" w:hAnsi="宋体"/>
          <w:sz w:val="21"/>
          <w:szCs w:val="21"/>
          <w:highlight w:val="none"/>
          <w:u w:val="single"/>
        </w:rPr>
      </w:pPr>
      <w:r>
        <w:rPr>
          <w:rFonts w:hint="eastAsia" w:ascii="宋体" w:hAnsi="宋体"/>
          <w:sz w:val="21"/>
          <w:szCs w:val="21"/>
          <w:highlight w:val="none"/>
        </w:rPr>
        <w:t xml:space="preserve"> </w:t>
      </w:r>
      <w:r>
        <w:rPr>
          <w:rFonts w:hint="eastAsia" w:ascii="宋体" w:hAnsi="宋体"/>
          <w:sz w:val="21"/>
          <w:szCs w:val="21"/>
          <w:highlight w:val="none"/>
          <w:u w:val="single"/>
        </w:rPr>
        <w:t xml:space="preserve">                                                          </w:t>
      </w:r>
    </w:p>
    <w:p w14:paraId="736F8403">
      <w:pPr>
        <w:adjustRightInd w:val="0"/>
        <w:snapToGrid w:val="0"/>
        <w:spacing w:line="400" w:lineRule="exact"/>
        <w:ind w:firstLine="840" w:firstLineChars="400"/>
        <w:rPr>
          <w:rFonts w:hint="eastAsia" w:ascii="宋体" w:hAnsi="宋体"/>
          <w:sz w:val="21"/>
          <w:szCs w:val="21"/>
          <w:highlight w:val="none"/>
        </w:rPr>
      </w:pPr>
      <w:r>
        <w:rPr>
          <w:rFonts w:hint="eastAsia" w:ascii="宋体" w:hAnsi="宋体"/>
          <w:sz w:val="21"/>
          <w:szCs w:val="21"/>
          <w:highlight w:val="none"/>
        </w:rPr>
        <w:t xml:space="preserve"> 分包供应商/制造商类型（如果供应商和制造商不同，只填写制造商类型）：</w:t>
      </w:r>
    </w:p>
    <w:p w14:paraId="12832C68">
      <w:pPr>
        <w:adjustRightInd w:val="0"/>
        <w:snapToGrid w:val="0"/>
        <w:spacing w:line="400" w:lineRule="exact"/>
        <w:ind w:firstLine="840" w:firstLineChars="400"/>
        <w:rPr>
          <w:rFonts w:hint="eastAsia" w:ascii="宋体" w:hAnsi="宋体"/>
          <w:iCs/>
          <w:sz w:val="21"/>
          <w:szCs w:val="21"/>
          <w:highlight w:val="none"/>
        </w:rPr>
      </w:pPr>
      <w:r>
        <w:rPr>
          <w:rFonts w:hint="eastAsia" w:ascii="宋体" w:hAnsi="宋体"/>
          <w:iCs/>
          <w:sz w:val="21"/>
          <w:szCs w:val="21"/>
          <w:highlight w:val="none"/>
        </w:rPr>
        <w:t xml:space="preserve"> </w:t>
      </w:r>
      <w:r>
        <w:rPr>
          <w:rFonts w:hint="eastAsia" w:ascii="宋体" w:hAnsi="宋体"/>
          <w:iCs/>
          <w:sz w:val="21"/>
          <w:szCs w:val="21"/>
          <w:highlight w:val="none"/>
        </w:rPr>
        <w:sym w:font="Wingdings" w:char="00A8"/>
      </w:r>
      <w:r>
        <w:rPr>
          <w:rFonts w:hint="eastAsia" w:ascii="宋体" w:hAnsi="宋体"/>
          <w:iCs/>
          <w:sz w:val="21"/>
          <w:szCs w:val="21"/>
          <w:highlight w:val="none"/>
        </w:rPr>
        <w:t xml:space="preserve">大型企业  </w:t>
      </w:r>
      <w:r>
        <w:rPr>
          <w:rFonts w:hint="eastAsia" w:ascii="宋体" w:hAnsi="宋体"/>
          <w:iCs/>
          <w:sz w:val="21"/>
          <w:szCs w:val="21"/>
          <w:highlight w:val="none"/>
        </w:rPr>
        <w:sym w:font="Wingdings" w:char="00A8"/>
      </w:r>
      <w:r>
        <w:rPr>
          <w:rFonts w:hint="eastAsia" w:ascii="宋体" w:hAnsi="宋体"/>
          <w:iCs/>
          <w:sz w:val="21"/>
          <w:szCs w:val="21"/>
          <w:highlight w:val="none"/>
        </w:rPr>
        <w:t xml:space="preserve">中型企业  </w:t>
      </w:r>
      <w:r>
        <w:rPr>
          <w:rFonts w:hint="eastAsia" w:ascii="宋体" w:hAnsi="宋体"/>
          <w:iCs/>
          <w:sz w:val="21"/>
          <w:szCs w:val="21"/>
          <w:highlight w:val="none"/>
        </w:rPr>
        <w:sym w:font="Wingdings" w:char="00A8"/>
      </w:r>
      <w:r>
        <w:rPr>
          <w:rFonts w:hint="eastAsia" w:ascii="宋体" w:hAnsi="宋体"/>
          <w:iCs/>
          <w:sz w:val="21"/>
          <w:szCs w:val="21"/>
          <w:highlight w:val="none"/>
        </w:rPr>
        <w:t xml:space="preserve">小微型企业  </w:t>
      </w:r>
    </w:p>
    <w:p w14:paraId="10D01FB0">
      <w:pPr>
        <w:adjustRightInd w:val="0"/>
        <w:snapToGrid w:val="0"/>
        <w:spacing w:line="400" w:lineRule="exact"/>
        <w:ind w:firstLine="840" w:firstLineChars="400"/>
        <w:rPr>
          <w:rFonts w:eastAsia="华文楷体"/>
          <w:sz w:val="21"/>
          <w:szCs w:val="21"/>
          <w:highlight w:val="none"/>
        </w:rPr>
      </w:pPr>
      <w:r>
        <w:rPr>
          <w:rFonts w:hint="eastAsia" w:ascii="宋体" w:hAnsi="宋体"/>
          <w:iCs/>
          <w:sz w:val="21"/>
          <w:szCs w:val="21"/>
          <w:highlight w:val="none"/>
        </w:rPr>
        <w:t xml:space="preserve"> </w:t>
      </w:r>
      <w:r>
        <w:rPr>
          <w:rFonts w:hint="eastAsia" w:ascii="宋体" w:hAnsi="宋体"/>
          <w:iCs/>
          <w:sz w:val="21"/>
          <w:szCs w:val="21"/>
          <w:highlight w:val="none"/>
        </w:rPr>
        <w:sym w:font="Wingdings" w:char="00A8"/>
      </w:r>
      <w:r>
        <w:rPr>
          <w:rFonts w:hint="eastAsia" w:ascii="宋体" w:hAnsi="宋体"/>
          <w:iCs/>
          <w:sz w:val="21"/>
          <w:szCs w:val="21"/>
          <w:highlight w:val="none"/>
        </w:rPr>
        <w:t xml:space="preserve">残疾人福利性单位 </w:t>
      </w:r>
      <w:r>
        <w:rPr>
          <w:rFonts w:hint="eastAsia" w:ascii="宋体" w:hAnsi="宋体"/>
          <w:iCs/>
          <w:sz w:val="21"/>
          <w:szCs w:val="21"/>
          <w:highlight w:val="none"/>
        </w:rPr>
        <w:sym w:font="Wingdings" w:char="00A8"/>
      </w:r>
      <w:r>
        <w:rPr>
          <w:rFonts w:hint="eastAsia" w:ascii="宋体" w:hAnsi="宋体"/>
          <w:iCs/>
          <w:sz w:val="21"/>
          <w:szCs w:val="21"/>
          <w:highlight w:val="none"/>
        </w:rPr>
        <w:t xml:space="preserve">监狱企业 </w:t>
      </w:r>
      <w:r>
        <w:rPr>
          <w:rFonts w:hint="eastAsia" w:ascii="宋体" w:hAnsi="宋体"/>
          <w:iCs/>
          <w:sz w:val="21"/>
          <w:szCs w:val="21"/>
          <w:highlight w:val="none"/>
        </w:rPr>
        <w:sym w:font="Wingdings" w:char="00A8"/>
      </w:r>
      <w:r>
        <w:rPr>
          <w:rFonts w:hint="eastAsia" w:ascii="宋体" w:hAnsi="宋体"/>
          <w:iCs/>
          <w:sz w:val="21"/>
          <w:szCs w:val="21"/>
          <w:highlight w:val="none"/>
        </w:rPr>
        <w:t>其他</w:t>
      </w:r>
    </w:p>
    <w:p w14:paraId="0A244EF5">
      <w:pPr>
        <w:numPr>
          <w:ilvl w:val="0"/>
          <w:numId w:val="0"/>
        </w:numPr>
        <w:adjustRightInd w:val="0"/>
        <w:snapToGrid w:val="0"/>
        <w:spacing w:line="400" w:lineRule="exact"/>
        <w:rPr>
          <w:rFonts w:hint="eastAsia" w:ascii="宋体" w:hAnsi="宋体" w:cs="宋体"/>
          <w:iCs/>
          <w:sz w:val="21"/>
          <w:szCs w:val="21"/>
          <w:highlight w:val="none"/>
        </w:rPr>
      </w:pPr>
      <w:r>
        <w:rPr>
          <w:rFonts w:hint="eastAsia" w:ascii="宋体" w:hAnsi="宋体"/>
          <w:sz w:val="21"/>
          <w:szCs w:val="21"/>
          <w:highlight w:val="none"/>
        </w:rPr>
        <w:t xml:space="preserve">    </w:t>
      </w:r>
      <w:r>
        <w:rPr>
          <w:rFonts w:hint="eastAsia" w:ascii="宋体" w:hAnsi="宋体" w:cs="宋体"/>
          <w:sz w:val="21"/>
          <w:szCs w:val="21"/>
          <w:highlight w:val="none"/>
        </w:rPr>
        <w:t>（</w:t>
      </w:r>
      <w:r>
        <w:rPr>
          <w:rFonts w:ascii="宋体" w:hAnsi="宋体" w:cs="宋体"/>
          <w:sz w:val="21"/>
          <w:szCs w:val="21"/>
          <w:highlight w:val="none"/>
          <w:lang w:val="en"/>
        </w:rPr>
        <w:t>8</w:t>
      </w:r>
      <w:r>
        <w:rPr>
          <w:rFonts w:hint="eastAsia" w:ascii="宋体" w:hAnsi="宋体" w:cs="宋体"/>
          <w:sz w:val="21"/>
          <w:szCs w:val="21"/>
          <w:highlight w:val="none"/>
        </w:rPr>
        <w:t>）中标（成交）供应商是否为外商投资企业：</w:t>
      </w:r>
      <w:r>
        <w:rPr>
          <w:rFonts w:hint="eastAsia" w:ascii="宋体" w:hAnsi="宋体" w:cs="宋体"/>
          <w:iCs/>
          <w:sz w:val="21"/>
          <w:szCs w:val="21"/>
          <w:highlight w:val="none"/>
        </w:rPr>
        <w:sym w:font="Wingdings" w:char="00A8"/>
      </w:r>
      <w:r>
        <w:rPr>
          <w:rFonts w:hint="eastAsia" w:ascii="宋体" w:hAnsi="宋体" w:cs="宋体"/>
          <w:iCs/>
          <w:sz w:val="21"/>
          <w:szCs w:val="21"/>
          <w:highlight w:val="none"/>
        </w:rPr>
        <w:t xml:space="preserve">是       </w:t>
      </w:r>
      <w:r>
        <w:rPr>
          <w:rFonts w:hint="eastAsia" w:ascii="宋体" w:hAnsi="宋体" w:cs="宋体"/>
          <w:iCs/>
          <w:sz w:val="21"/>
          <w:szCs w:val="21"/>
          <w:highlight w:val="none"/>
        </w:rPr>
        <w:sym w:font="Wingdings" w:char="00A8"/>
      </w:r>
      <w:r>
        <w:rPr>
          <w:rFonts w:hint="eastAsia" w:ascii="宋体" w:hAnsi="宋体" w:cs="宋体"/>
          <w:iCs/>
          <w:sz w:val="21"/>
          <w:szCs w:val="21"/>
          <w:highlight w:val="none"/>
        </w:rPr>
        <w:t>否</w:t>
      </w:r>
    </w:p>
    <w:p w14:paraId="0A153D9B">
      <w:pPr>
        <w:pStyle w:val="59"/>
        <w:tabs>
          <w:tab w:val="left" w:pos="1340"/>
        </w:tabs>
        <w:ind w:firstLine="420"/>
        <w:rPr>
          <w:rFonts w:hint="eastAsia" w:ascii="宋体" w:hAnsi="宋体" w:eastAsia="宋体" w:cs="宋体"/>
          <w:sz w:val="21"/>
          <w:highlight w:val="none"/>
          <w:u w:val="single"/>
        </w:rPr>
      </w:pPr>
      <w:r>
        <w:rPr>
          <w:rFonts w:hint="eastAsia" w:ascii="宋体" w:hAnsi="宋体" w:eastAsia="宋体" w:cs="宋体"/>
          <w:sz w:val="21"/>
          <w:highlight w:val="none"/>
        </w:rPr>
        <w:t xml:space="preserve">     外商投资企业类型：</w:t>
      </w:r>
      <w:r>
        <w:rPr>
          <w:rFonts w:hint="eastAsia" w:ascii="宋体" w:hAnsi="宋体" w:eastAsia="宋体" w:cs="宋体"/>
          <w:iCs/>
          <w:sz w:val="21"/>
          <w:highlight w:val="none"/>
        </w:rPr>
        <w:sym w:font="Wingdings" w:char="00A8"/>
      </w:r>
      <w:r>
        <w:rPr>
          <w:rFonts w:hint="eastAsia" w:ascii="宋体" w:hAnsi="宋体" w:eastAsia="宋体" w:cs="宋体"/>
          <w:sz w:val="21"/>
          <w:highlight w:val="none"/>
        </w:rPr>
        <w:t xml:space="preserve">全部由外国投资者投资  </w:t>
      </w:r>
      <w:r>
        <w:rPr>
          <w:rFonts w:hint="eastAsia" w:ascii="宋体" w:hAnsi="宋体" w:eastAsia="宋体" w:cs="宋体"/>
          <w:iCs/>
          <w:sz w:val="21"/>
          <w:highlight w:val="none"/>
        </w:rPr>
        <w:sym w:font="Wingdings" w:char="00A8"/>
      </w:r>
      <w:r>
        <w:rPr>
          <w:rFonts w:hint="eastAsia" w:ascii="宋体" w:hAnsi="宋体" w:eastAsia="宋体" w:cs="宋体"/>
          <w:iCs/>
          <w:sz w:val="21"/>
          <w:highlight w:val="none"/>
        </w:rPr>
        <w:t>部分由外国投资者投资</w:t>
      </w:r>
    </w:p>
    <w:p w14:paraId="443FE9BD">
      <w:pPr>
        <w:numPr>
          <w:ilvl w:val="0"/>
          <w:numId w:val="0"/>
        </w:numPr>
        <w:adjustRightInd w:val="0"/>
        <w:snapToGrid w:val="0"/>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w:t>
      </w:r>
      <w:r>
        <w:rPr>
          <w:rFonts w:ascii="宋体" w:hAnsi="宋体" w:cs="宋体"/>
          <w:sz w:val="21"/>
          <w:szCs w:val="21"/>
          <w:highlight w:val="none"/>
          <w:lang w:val="en"/>
        </w:rPr>
        <w:t>9</w:t>
      </w:r>
      <w:r>
        <w:rPr>
          <w:rFonts w:hint="eastAsia" w:ascii="宋体" w:hAnsi="宋体" w:cs="宋体"/>
          <w:sz w:val="21"/>
          <w:szCs w:val="21"/>
          <w:highlight w:val="none"/>
        </w:rPr>
        <w:t>）是否涉及进口产品：</w:t>
      </w:r>
    </w:p>
    <w:p w14:paraId="2A8A3969">
      <w:pPr>
        <w:numPr>
          <w:ilvl w:val="0"/>
          <w:numId w:val="0"/>
        </w:numPr>
        <w:adjustRightInd w:val="0"/>
        <w:snapToGrid w:val="0"/>
        <w:spacing w:line="400" w:lineRule="exact"/>
        <w:ind w:firstLine="840" w:firstLineChars="400"/>
        <w:rPr>
          <w:rFonts w:hint="eastAsia" w:ascii="宋体" w:hAnsi="宋体" w:cs="宋体"/>
          <w:sz w:val="21"/>
          <w:szCs w:val="21"/>
          <w:highlight w:val="none"/>
          <w:u w:val="single"/>
        </w:rPr>
      </w:pPr>
      <w:r>
        <w:rPr>
          <w:rFonts w:hint="eastAsia" w:ascii="宋体" w:hAnsi="宋体" w:cs="宋体"/>
          <w:sz w:val="21"/>
          <w:szCs w:val="21"/>
          <w:highlight w:val="none"/>
        </w:rPr>
        <w:t xml:space="preserve"> </w:t>
      </w:r>
      <w:r>
        <w:rPr>
          <w:rFonts w:hint="eastAsia" w:ascii="宋体" w:hAnsi="宋体" w:cs="宋体"/>
          <w:sz w:val="21"/>
          <w:szCs w:val="21"/>
          <w:highlight w:val="none"/>
        </w:rPr>
        <w:sym w:font="Wingdings" w:char="00A8"/>
      </w:r>
      <w:r>
        <w:rPr>
          <w:rFonts w:hint="eastAsia" w:ascii="宋体" w:hAnsi="宋体" w:cs="宋体"/>
          <w:sz w:val="21"/>
          <w:szCs w:val="21"/>
          <w:highlight w:val="none"/>
        </w:rPr>
        <w:t>是，《政府采购品目分类目录》底级品目名称：</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金额：</w:t>
      </w:r>
      <w:r>
        <w:rPr>
          <w:rFonts w:hint="eastAsia" w:ascii="宋体" w:hAnsi="宋体" w:cs="宋体"/>
          <w:sz w:val="21"/>
          <w:szCs w:val="21"/>
          <w:highlight w:val="none"/>
          <w:u w:val="single"/>
        </w:rPr>
        <w:t xml:space="preserve">        </w:t>
      </w:r>
    </w:p>
    <w:p w14:paraId="32708F08">
      <w:pPr>
        <w:numPr>
          <w:ilvl w:val="0"/>
          <w:numId w:val="0"/>
        </w:numPr>
        <w:adjustRightInd w:val="0"/>
        <w:snapToGrid w:val="0"/>
        <w:spacing w:line="400" w:lineRule="exact"/>
        <w:ind w:firstLine="840" w:firstLineChars="400"/>
        <w:rPr>
          <w:rFonts w:hint="eastAsia" w:ascii="宋体" w:hAnsi="宋体"/>
          <w:sz w:val="21"/>
          <w:szCs w:val="21"/>
          <w:highlight w:val="none"/>
        </w:rPr>
      </w:pPr>
      <w:r>
        <w:rPr>
          <w:rFonts w:hint="eastAsia" w:ascii="宋体" w:hAnsi="宋体" w:cs="宋体"/>
          <w:sz w:val="21"/>
          <w:szCs w:val="21"/>
          <w:highlight w:val="none"/>
        </w:rPr>
        <w:t xml:space="preserve">        国别：</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品牌：</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规格型号：</w:t>
      </w:r>
      <w:r>
        <w:rPr>
          <w:rFonts w:hint="eastAsia" w:ascii="宋体" w:hAnsi="宋体" w:cs="宋体"/>
          <w:sz w:val="21"/>
          <w:szCs w:val="21"/>
          <w:highlight w:val="none"/>
          <w:u w:val="single"/>
        </w:rPr>
        <w:t xml:space="preserve">        </w:t>
      </w:r>
      <w:r>
        <w:rPr>
          <w:rFonts w:hint="eastAsia" w:ascii="宋体" w:hAnsi="宋体"/>
          <w:sz w:val="21"/>
          <w:szCs w:val="21"/>
          <w:highlight w:val="none"/>
        </w:rPr>
        <w:t xml:space="preserve">      </w:t>
      </w:r>
    </w:p>
    <w:p w14:paraId="26E297F1">
      <w:pPr>
        <w:adjustRightInd w:val="0"/>
        <w:snapToGrid w:val="0"/>
        <w:spacing w:line="400" w:lineRule="exact"/>
        <w:ind w:firstLine="840" w:firstLineChars="400"/>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rPr>
        <w:sym w:font="Wingdings" w:char="00A8"/>
      </w:r>
      <w:r>
        <w:rPr>
          <w:rFonts w:hint="eastAsia" w:ascii="宋体" w:hAnsi="宋体"/>
          <w:sz w:val="21"/>
          <w:szCs w:val="21"/>
          <w:highlight w:val="none"/>
        </w:rPr>
        <w:t>否</w:t>
      </w:r>
    </w:p>
    <w:p w14:paraId="1E93C5C9">
      <w:pPr>
        <w:numPr>
          <w:ilvl w:val="0"/>
          <w:numId w:val="0"/>
        </w:numPr>
        <w:tabs>
          <w:tab w:val="left" w:pos="740"/>
        </w:tabs>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（1</w:t>
      </w:r>
      <w:r>
        <w:rPr>
          <w:rFonts w:ascii="宋体" w:hAnsi="宋体"/>
          <w:sz w:val="21"/>
          <w:szCs w:val="21"/>
          <w:highlight w:val="none"/>
          <w:lang w:val="en"/>
        </w:rPr>
        <w:t>0</w:t>
      </w:r>
      <w:r>
        <w:rPr>
          <w:rFonts w:hint="eastAsia" w:ascii="宋体" w:hAnsi="宋体"/>
          <w:sz w:val="21"/>
          <w:szCs w:val="21"/>
          <w:highlight w:val="none"/>
        </w:rPr>
        <w:t>）是否涉及节能产品：</w:t>
      </w:r>
    </w:p>
    <w:p w14:paraId="0E1DDA20">
      <w:pPr>
        <w:numPr>
          <w:ilvl w:val="0"/>
          <w:numId w:val="0"/>
        </w:numPr>
        <w:tabs>
          <w:tab w:val="left" w:pos="740"/>
        </w:tabs>
        <w:adjustRightInd w:val="0"/>
        <w:snapToGrid w:val="0"/>
        <w:spacing w:line="400" w:lineRule="exact"/>
        <w:rPr>
          <w:rFonts w:hint="eastAsia" w:ascii="宋体" w:hAnsi="宋体"/>
          <w:iCs/>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rPr>
        <w:sym w:font="Wingdings" w:char="00A8"/>
      </w:r>
      <w:r>
        <w:rPr>
          <w:rFonts w:hint="eastAsia" w:ascii="宋体" w:hAnsi="宋体"/>
          <w:sz w:val="21"/>
          <w:szCs w:val="21"/>
          <w:highlight w:val="none"/>
        </w:rPr>
        <w:t>是，《节能产品政府采购品目清单》的底级品目名称：</w:t>
      </w:r>
      <w:r>
        <w:rPr>
          <w:rFonts w:hint="eastAsia" w:ascii="宋体" w:hAnsi="宋体"/>
          <w:sz w:val="21"/>
          <w:szCs w:val="21"/>
          <w:highlight w:val="none"/>
          <w:u w:val="single"/>
        </w:rPr>
        <w:t xml:space="preserve">         </w:t>
      </w:r>
      <w:r>
        <w:rPr>
          <w:rFonts w:hint="eastAsia" w:ascii="宋体" w:hAnsi="宋体"/>
          <w:iCs/>
          <w:sz w:val="21"/>
          <w:szCs w:val="21"/>
          <w:highlight w:val="none"/>
        </w:rPr>
        <w:t xml:space="preserve">     </w:t>
      </w:r>
    </w:p>
    <w:p w14:paraId="0BB41E73">
      <w:pPr>
        <w:numPr>
          <w:ilvl w:val="0"/>
          <w:numId w:val="0"/>
        </w:numPr>
        <w:tabs>
          <w:tab w:val="left" w:pos="740"/>
        </w:tabs>
        <w:adjustRightInd w:val="0"/>
        <w:snapToGrid w:val="0"/>
        <w:spacing w:line="400" w:lineRule="exact"/>
        <w:rPr>
          <w:rFonts w:hint="eastAsia" w:ascii="宋体" w:hAnsi="宋体"/>
          <w:iCs/>
          <w:sz w:val="21"/>
          <w:szCs w:val="21"/>
          <w:highlight w:val="none"/>
        </w:rPr>
      </w:pPr>
      <w:r>
        <w:rPr>
          <w:rFonts w:hint="eastAsia" w:ascii="宋体" w:hAnsi="宋体"/>
          <w:iCs/>
          <w:sz w:val="21"/>
          <w:szCs w:val="21"/>
          <w:highlight w:val="none"/>
        </w:rPr>
        <w:t xml:space="preserve">                </w:t>
      </w:r>
      <w:r>
        <w:rPr>
          <w:rFonts w:hint="eastAsia" w:ascii="宋体" w:hAnsi="宋体"/>
          <w:iCs/>
          <w:sz w:val="21"/>
          <w:szCs w:val="21"/>
          <w:highlight w:val="none"/>
        </w:rPr>
        <w:sym w:font="Wingdings" w:char="00A8"/>
      </w:r>
      <w:r>
        <w:rPr>
          <w:rFonts w:hint="eastAsia" w:ascii="宋体" w:hAnsi="宋体"/>
          <w:iCs/>
          <w:sz w:val="21"/>
          <w:szCs w:val="21"/>
          <w:highlight w:val="none"/>
        </w:rPr>
        <w:t xml:space="preserve">强制采购       </w:t>
      </w:r>
      <w:r>
        <w:rPr>
          <w:rFonts w:hint="eastAsia" w:ascii="宋体" w:hAnsi="宋体"/>
          <w:iCs/>
          <w:sz w:val="21"/>
          <w:szCs w:val="21"/>
          <w:highlight w:val="none"/>
        </w:rPr>
        <w:sym w:font="Wingdings" w:char="00A8"/>
      </w:r>
      <w:r>
        <w:rPr>
          <w:rFonts w:hint="eastAsia" w:ascii="宋体" w:hAnsi="宋体"/>
          <w:iCs/>
          <w:sz w:val="21"/>
          <w:szCs w:val="21"/>
          <w:highlight w:val="none"/>
        </w:rPr>
        <w:t xml:space="preserve">优先采购    </w:t>
      </w:r>
    </w:p>
    <w:p w14:paraId="3660BF4E">
      <w:pPr>
        <w:numPr>
          <w:ilvl w:val="0"/>
          <w:numId w:val="0"/>
        </w:numPr>
        <w:tabs>
          <w:tab w:val="left" w:pos="740"/>
        </w:tabs>
        <w:adjustRightInd w:val="0"/>
        <w:snapToGrid w:val="0"/>
        <w:spacing w:line="400" w:lineRule="exact"/>
        <w:rPr>
          <w:rFonts w:hint="eastAsia" w:ascii="宋体" w:hAnsi="宋体"/>
          <w:sz w:val="21"/>
          <w:szCs w:val="21"/>
          <w:highlight w:val="none"/>
        </w:rPr>
      </w:pPr>
      <w:r>
        <w:rPr>
          <w:rFonts w:hint="eastAsia" w:ascii="宋体" w:hAnsi="宋体"/>
          <w:iCs/>
          <w:sz w:val="21"/>
          <w:szCs w:val="21"/>
          <w:highlight w:val="none"/>
        </w:rPr>
        <w:t xml:space="preserve">         </w:t>
      </w:r>
      <w:r>
        <w:rPr>
          <w:rFonts w:hint="eastAsia" w:ascii="宋体" w:hAnsi="宋体"/>
          <w:sz w:val="21"/>
          <w:szCs w:val="21"/>
          <w:highlight w:val="none"/>
        </w:rPr>
        <w:sym w:font="Wingdings" w:char="00A8"/>
      </w:r>
      <w:r>
        <w:rPr>
          <w:rFonts w:hint="eastAsia" w:ascii="宋体" w:hAnsi="宋体"/>
          <w:sz w:val="21"/>
          <w:szCs w:val="21"/>
          <w:highlight w:val="none"/>
        </w:rPr>
        <w:t>否</w:t>
      </w:r>
    </w:p>
    <w:p w14:paraId="301ED41C">
      <w:pPr>
        <w:numPr>
          <w:ilvl w:val="0"/>
          <w:numId w:val="0"/>
        </w:numPr>
        <w:tabs>
          <w:tab w:val="left" w:pos="740"/>
        </w:tabs>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是否涉及环境标志产品：</w:t>
      </w:r>
    </w:p>
    <w:p w14:paraId="363D5AF9">
      <w:pPr>
        <w:numPr>
          <w:ilvl w:val="0"/>
          <w:numId w:val="0"/>
        </w:numPr>
        <w:tabs>
          <w:tab w:val="left" w:pos="740"/>
        </w:tabs>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rPr>
        <w:sym w:font="Wingdings" w:char="00A8"/>
      </w:r>
      <w:r>
        <w:rPr>
          <w:rFonts w:hint="eastAsia" w:ascii="宋体" w:hAnsi="宋体"/>
          <w:sz w:val="21"/>
          <w:szCs w:val="21"/>
          <w:highlight w:val="none"/>
        </w:rPr>
        <w:t>是，《环境标志产品政府采购品目清单》的底级品目名称：</w:t>
      </w:r>
      <w:r>
        <w:rPr>
          <w:rFonts w:hint="eastAsia" w:ascii="宋体" w:hAnsi="宋体"/>
          <w:sz w:val="21"/>
          <w:szCs w:val="21"/>
          <w:highlight w:val="none"/>
          <w:u w:val="single"/>
        </w:rPr>
        <w:t xml:space="preserve">         </w:t>
      </w:r>
      <w:r>
        <w:rPr>
          <w:rFonts w:hint="eastAsia" w:ascii="宋体" w:hAnsi="宋体"/>
          <w:iCs/>
          <w:sz w:val="21"/>
          <w:szCs w:val="21"/>
          <w:highlight w:val="none"/>
        </w:rPr>
        <w:t xml:space="preserve"> </w:t>
      </w:r>
    </w:p>
    <w:p w14:paraId="4FE67F54">
      <w:pPr>
        <w:numPr>
          <w:ilvl w:val="0"/>
          <w:numId w:val="0"/>
        </w:numPr>
        <w:tabs>
          <w:tab w:val="left" w:pos="740"/>
        </w:tabs>
        <w:adjustRightInd w:val="0"/>
        <w:snapToGrid w:val="0"/>
        <w:spacing w:line="400" w:lineRule="exact"/>
        <w:rPr>
          <w:rFonts w:hint="eastAsia" w:ascii="宋体" w:hAnsi="宋体"/>
          <w:iCs/>
          <w:sz w:val="21"/>
          <w:szCs w:val="21"/>
          <w:highlight w:val="none"/>
        </w:rPr>
      </w:pPr>
      <w:r>
        <w:rPr>
          <w:rFonts w:hint="eastAsia" w:ascii="宋体" w:hAnsi="宋体"/>
          <w:iCs/>
          <w:sz w:val="21"/>
          <w:szCs w:val="21"/>
          <w:highlight w:val="none"/>
        </w:rPr>
        <w:t xml:space="preserve">                </w:t>
      </w:r>
      <w:r>
        <w:rPr>
          <w:rFonts w:hint="eastAsia" w:ascii="宋体" w:hAnsi="宋体"/>
          <w:iCs/>
          <w:sz w:val="21"/>
          <w:szCs w:val="21"/>
          <w:highlight w:val="none"/>
        </w:rPr>
        <w:sym w:font="Wingdings" w:char="00A8"/>
      </w:r>
      <w:r>
        <w:rPr>
          <w:rFonts w:hint="eastAsia" w:ascii="宋体" w:hAnsi="宋体"/>
          <w:iCs/>
          <w:sz w:val="21"/>
          <w:szCs w:val="21"/>
          <w:highlight w:val="none"/>
        </w:rPr>
        <w:t xml:space="preserve">强制采购       </w:t>
      </w:r>
      <w:r>
        <w:rPr>
          <w:rFonts w:hint="eastAsia" w:ascii="宋体" w:hAnsi="宋体"/>
          <w:iCs/>
          <w:sz w:val="21"/>
          <w:szCs w:val="21"/>
          <w:highlight w:val="none"/>
        </w:rPr>
        <w:sym w:font="Wingdings" w:char="00A8"/>
      </w:r>
      <w:r>
        <w:rPr>
          <w:rFonts w:hint="eastAsia" w:ascii="宋体" w:hAnsi="宋体"/>
          <w:iCs/>
          <w:sz w:val="21"/>
          <w:szCs w:val="21"/>
          <w:highlight w:val="none"/>
        </w:rPr>
        <w:t xml:space="preserve">优先采购    </w:t>
      </w:r>
    </w:p>
    <w:p w14:paraId="58F954CA">
      <w:pPr>
        <w:numPr>
          <w:ilvl w:val="0"/>
          <w:numId w:val="0"/>
        </w:numPr>
        <w:tabs>
          <w:tab w:val="left" w:pos="740"/>
        </w:tabs>
        <w:adjustRightInd w:val="0"/>
        <w:snapToGrid w:val="0"/>
        <w:spacing w:line="400" w:lineRule="exact"/>
        <w:rPr>
          <w:rFonts w:hint="eastAsia" w:ascii="宋体" w:hAnsi="宋体"/>
          <w:sz w:val="21"/>
          <w:szCs w:val="21"/>
          <w:highlight w:val="none"/>
        </w:rPr>
      </w:pPr>
      <w:r>
        <w:rPr>
          <w:rFonts w:hint="eastAsia" w:ascii="宋体" w:hAnsi="宋体"/>
          <w:iCs/>
          <w:sz w:val="21"/>
          <w:szCs w:val="21"/>
          <w:highlight w:val="none"/>
        </w:rPr>
        <w:t xml:space="preserve">         </w:t>
      </w:r>
      <w:r>
        <w:rPr>
          <w:rFonts w:hint="eastAsia" w:ascii="宋体" w:hAnsi="宋体"/>
          <w:sz w:val="21"/>
          <w:szCs w:val="21"/>
          <w:highlight w:val="none"/>
        </w:rPr>
        <w:sym w:font="Wingdings" w:char="00A8"/>
      </w:r>
      <w:r>
        <w:rPr>
          <w:rFonts w:hint="eastAsia" w:ascii="宋体" w:hAnsi="宋体"/>
          <w:sz w:val="21"/>
          <w:szCs w:val="21"/>
          <w:highlight w:val="none"/>
        </w:rPr>
        <w:t>否</w:t>
      </w:r>
    </w:p>
    <w:p w14:paraId="641446D0">
      <w:pPr>
        <w:pStyle w:val="59"/>
        <w:numPr>
          <w:ilvl w:val="0"/>
          <w:numId w:val="0"/>
        </w:numPr>
        <w:snapToGrid w:val="0"/>
        <w:rPr>
          <w:rFonts w:hint="eastAsia" w:ascii="宋体" w:hAnsi="宋体" w:eastAsia="宋体" w:cs="Times New Roman"/>
          <w:kern w:val="2"/>
          <w:sz w:val="21"/>
          <w:highlight w:val="none"/>
        </w:rPr>
      </w:pPr>
      <w:r>
        <w:rPr>
          <w:rFonts w:hint="eastAsia" w:ascii="宋体" w:hAnsi="宋体"/>
          <w:sz w:val="21"/>
          <w:highlight w:val="none"/>
        </w:rPr>
        <w:t xml:space="preserve">          </w:t>
      </w:r>
      <w:r>
        <w:rPr>
          <w:rFonts w:hint="eastAsia" w:ascii="宋体" w:hAnsi="宋体" w:eastAsia="宋体" w:cs="Times New Roman"/>
          <w:kern w:val="2"/>
          <w:sz w:val="21"/>
          <w:highlight w:val="none"/>
        </w:rPr>
        <w:t xml:space="preserve">是否涉及绿色产品： </w:t>
      </w:r>
    </w:p>
    <w:p w14:paraId="06AC784F">
      <w:pPr>
        <w:pStyle w:val="59"/>
        <w:ind w:firstLine="420" w:firstLineChars="0"/>
        <w:rPr>
          <w:rFonts w:hint="eastAsia" w:ascii="宋体" w:hAnsi="宋体" w:eastAsia="宋体"/>
          <w:sz w:val="21"/>
          <w:highlight w:val="none"/>
          <w:u w:val="single"/>
        </w:rPr>
      </w:pPr>
      <w:r>
        <w:rPr>
          <w:rFonts w:hint="eastAsia" w:ascii="宋体" w:hAnsi="宋体" w:eastAsia="宋体" w:cs="Times New Roman"/>
          <w:kern w:val="2"/>
          <w:sz w:val="21"/>
          <w:highlight w:val="none"/>
        </w:rPr>
        <w:t xml:space="preserve">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是，绿色产品政府采购相关政策确定的底级品目名称：</w:t>
      </w:r>
      <w:r>
        <w:rPr>
          <w:rFonts w:hint="eastAsia" w:ascii="宋体" w:hAnsi="宋体" w:eastAsia="宋体"/>
          <w:sz w:val="21"/>
          <w:highlight w:val="none"/>
          <w:u w:val="single"/>
        </w:rPr>
        <w:t xml:space="preserve">         </w:t>
      </w:r>
    </w:p>
    <w:p w14:paraId="42D4EF60">
      <w:pPr>
        <w:numPr>
          <w:ilvl w:val="0"/>
          <w:numId w:val="0"/>
        </w:numPr>
        <w:tabs>
          <w:tab w:val="left" w:pos="740"/>
        </w:tabs>
        <w:adjustRightInd w:val="0"/>
        <w:snapToGrid w:val="0"/>
        <w:spacing w:line="400" w:lineRule="exact"/>
        <w:rPr>
          <w:rFonts w:hint="eastAsia" w:ascii="宋体" w:hAnsi="宋体"/>
          <w:iCs/>
          <w:sz w:val="21"/>
          <w:szCs w:val="21"/>
          <w:highlight w:val="none"/>
        </w:rPr>
      </w:pPr>
      <w:r>
        <w:rPr>
          <w:rFonts w:hint="eastAsia" w:ascii="宋体" w:hAnsi="宋体"/>
          <w:iCs/>
          <w:sz w:val="21"/>
          <w:szCs w:val="21"/>
          <w:highlight w:val="none"/>
        </w:rPr>
        <w:t xml:space="preserve">                </w:t>
      </w:r>
      <w:r>
        <w:rPr>
          <w:rFonts w:hint="eastAsia" w:ascii="宋体" w:hAnsi="宋体"/>
          <w:iCs/>
          <w:sz w:val="21"/>
          <w:szCs w:val="21"/>
          <w:highlight w:val="none"/>
        </w:rPr>
        <w:sym w:font="Wingdings" w:char="00A8"/>
      </w:r>
      <w:r>
        <w:rPr>
          <w:rFonts w:hint="eastAsia" w:ascii="宋体" w:hAnsi="宋体"/>
          <w:iCs/>
          <w:sz w:val="21"/>
          <w:szCs w:val="21"/>
          <w:highlight w:val="none"/>
        </w:rPr>
        <w:t xml:space="preserve">强制采购       </w:t>
      </w:r>
      <w:r>
        <w:rPr>
          <w:rFonts w:hint="eastAsia" w:ascii="宋体" w:hAnsi="宋体"/>
          <w:iCs/>
          <w:sz w:val="21"/>
          <w:szCs w:val="21"/>
          <w:highlight w:val="none"/>
        </w:rPr>
        <w:sym w:font="Wingdings" w:char="00A8"/>
      </w:r>
      <w:r>
        <w:rPr>
          <w:rFonts w:hint="eastAsia" w:ascii="宋体" w:hAnsi="宋体"/>
          <w:iCs/>
          <w:sz w:val="21"/>
          <w:szCs w:val="21"/>
          <w:highlight w:val="none"/>
        </w:rPr>
        <w:t xml:space="preserve">优先采购    </w:t>
      </w:r>
    </w:p>
    <w:p w14:paraId="08961602">
      <w:pPr>
        <w:pStyle w:val="59"/>
        <w:ind w:firstLine="420" w:firstLineChars="0"/>
        <w:rPr>
          <w:rFonts w:hint="eastAsia" w:ascii="宋体" w:hAnsi="宋体"/>
          <w:sz w:val="21"/>
          <w:highlight w:val="none"/>
        </w:rPr>
      </w:pPr>
      <w:r>
        <w:rPr>
          <w:rFonts w:hint="eastAsia" w:ascii="宋体" w:hAnsi="宋体" w:eastAsia="宋体" w:cs="Times New Roman"/>
          <w:kern w:val="2"/>
          <w:sz w:val="21"/>
          <w:highlight w:val="none"/>
        </w:rPr>
        <w:t xml:space="preserve">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否</w:t>
      </w:r>
    </w:p>
    <w:p w14:paraId="28B64E3E">
      <w:pPr>
        <w:numPr>
          <w:ilvl w:val="0"/>
          <w:numId w:val="0"/>
        </w:numPr>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（1</w:t>
      </w:r>
      <w:r>
        <w:rPr>
          <w:rFonts w:ascii="宋体" w:hAnsi="宋体"/>
          <w:sz w:val="21"/>
          <w:szCs w:val="21"/>
          <w:highlight w:val="none"/>
          <w:lang w:val="en"/>
        </w:rPr>
        <w:t>1</w:t>
      </w:r>
      <w:r>
        <w:rPr>
          <w:rFonts w:hint="eastAsia" w:ascii="宋体" w:hAnsi="宋体"/>
          <w:sz w:val="21"/>
          <w:szCs w:val="21"/>
          <w:highlight w:val="none"/>
        </w:rPr>
        <w:t>）涉及商品包装和快递包装的，是否参考《商品包装政府采购需求标准（试行）》、《快递包装政府采购需求标准（试行）》明确产品及相关快递服务的具体包装要求：</w:t>
      </w:r>
    </w:p>
    <w:p w14:paraId="2E2B09E4">
      <w:pPr>
        <w:numPr>
          <w:ilvl w:val="0"/>
          <w:numId w:val="0"/>
        </w:numPr>
        <w:adjustRightInd w:val="0"/>
        <w:snapToGrid w:val="0"/>
        <w:spacing w:line="400" w:lineRule="exact"/>
        <w:ind w:firstLine="840" w:firstLineChars="400"/>
        <w:rPr>
          <w:rFonts w:hint="eastAsia" w:ascii="宋体" w:hAnsi="宋体"/>
          <w:sz w:val="21"/>
          <w:szCs w:val="21"/>
          <w:highlight w:val="none"/>
        </w:rPr>
      </w:pPr>
      <w:r>
        <w:rPr>
          <w:rFonts w:hint="eastAsia" w:ascii="宋体" w:hAnsi="宋体"/>
          <w:sz w:val="21"/>
          <w:szCs w:val="21"/>
          <w:highlight w:val="none"/>
        </w:rPr>
        <w:sym w:font="Wingdings" w:char="00A8"/>
      </w:r>
      <w:r>
        <w:rPr>
          <w:rFonts w:hint="eastAsia" w:ascii="宋体" w:hAnsi="宋体"/>
          <w:sz w:val="21"/>
          <w:szCs w:val="21"/>
          <w:highlight w:val="none"/>
        </w:rPr>
        <w:t xml:space="preserve">是       </w:t>
      </w:r>
      <w:r>
        <w:rPr>
          <w:rFonts w:hint="eastAsia" w:ascii="宋体" w:hAnsi="宋体"/>
          <w:sz w:val="21"/>
          <w:szCs w:val="21"/>
          <w:highlight w:val="none"/>
        </w:rPr>
        <w:sym w:font="Wingdings" w:char="00A8"/>
      </w:r>
      <w:r>
        <w:rPr>
          <w:rFonts w:hint="eastAsia" w:ascii="宋体" w:hAnsi="宋体"/>
          <w:sz w:val="21"/>
          <w:szCs w:val="21"/>
          <w:highlight w:val="none"/>
        </w:rPr>
        <w:t xml:space="preserve">否      </w:t>
      </w:r>
      <w:r>
        <w:rPr>
          <w:rFonts w:hint="eastAsia" w:ascii="宋体" w:hAnsi="宋体"/>
          <w:sz w:val="21"/>
          <w:szCs w:val="21"/>
          <w:highlight w:val="none"/>
        </w:rPr>
        <w:sym w:font="Wingdings" w:char="00A8"/>
      </w:r>
      <w:r>
        <w:rPr>
          <w:rFonts w:hint="eastAsia" w:ascii="宋体" w:hAnsi="宋体"/>
          <w:sz w:val="21"/>
          <w:szCs w:val="21"/>
          <w:highlight w:val="none"/>
        </w:rPr>
        <w:t>不涉及</w:t>
      </w:r>
    </w:p>
    <w:p w14:paraId="5D4E5381">
      <w:pPr>
        <w:numPr>
          <w:ilvl w:val="0"/>
          <w:numId w:val="3"/>
        </w:numPr>
        <w:adjustRightInd w:val="0"/>
        <w:snapToGrid w:val="0"/>
        <w:spacing w:line="400" w:lineRule="exact"/>
        <w:ind w:firstLine="422" w:firstLineChars="200"/>
        <w:rPr>
          <w:rFonts w:hint="eastAsia" w:ascii="宋体" w:hAnsi="宋体"/>
          <w:b/>
          <w:sz w:val="21"/>
          <w:szCs w:val="21"/>
          <w:highlight w:val="none"/>
        </w:rPr>
      </w:pPr>
      <w:r>
        <w:rPr>
          <w:rFonts w:hint="eastAsia" w:ascii="宋体" w:hAnsi="宋体"/>
          <w:b/>
          <w:sz w:val="21"/>
          <w:szCs w:val="21"/>
          <w:highlight w:val="none"/>
        </w:rPr>
        <w:t>合同金额</w:t>
      </w:r>
    </w:p>
    <w:p w14:paraId="1BE908AE">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（1）合同金额小写：</w:t>
      </w:r>
      <w:r>
        <w:rPr>
          <w:rFonts w:hint="eastAsia" w:ascii="宋体" w:hAnsi="宋体"/>
          <w:sz w:val="21"/>
          <w:szCs w:val="21"/>
          <w:highlight w:val="none"/>
          <w:u w:val="single"/>
        </w:rPr>
        <w:t xml:space="preserve">                           </w:t>
      </w:r>
    </w:p>
    <w:p w14:paraId="7DF4B4CB">
      <w:pPr>
        <w:adjustRightInd w:val="0"/>
        <w:snapToGrid w:val="0"/>
        <w:spacing w:line="400" w:lineRule="exact"/>
        <w:ind w:firstLine="420"/>
        <w:rPr>
          <w:rFonts w:hint="eastAsia" w:ascii="宋体" w:hAnsi="宋体"/>
          <w:sz w:val="21"/>
          <w:szCs w:val="21"/>
          <w:highlight w:val="none"/>
          <w:u w:val="single"/>
        </w:rPr>
      </w:pPr>
      <w:r>
        <w:rPr>
          <w:rFonts w:hint="eastAsia" w:ascii="宋体" w:hAnsi="宋体"/>
          <w:sz w:val="21"/>
          <w:szCs w:val="21"/>
          <w:highlight w:val="none"/>
        </w:rPr>
        <w:t xml:space="preserve">             大写：</w:t>
      </w:r>
      <w:r>
        <w:rPr>
          <w:rFonts w:hint="eastAsia" w:ascii="宋体" w:hAnsi="宋体"/>
          <w:sz w:val="21"/>
          <w:szCs w:val="21"/>
          <w:highlight w:val="none"/>
          <w:u w:val="single"/>
        </w:rPr>
        <w:t xml:space="preserve">                           </w:t>
      </w:r>
    </w:p>
    <w:p w14:paraId="7262EBEB">
      <w:pPr>
        <w:adjustRightInd w:val="0"/>
        <w:snapToGrid w:val="0"/>
        <w:spacing w:line="400" w:lineRule="exact"/>
        <w:ind w:firstLine="420"/>
        <w:rPr>
          <w:rFonts w:hint="eastAsia" w:ascii="宋体" w:hAnsi="宋体"/>
          <w:sz w:val="21"/>
          <w:szCs w:val="21"/>
          <w:highlight w:val="none"/>
        </w:rPr>
      </w:pPr>
      <w:r>
        <w:rPr>
          <w:rFonts w:hint="eastAsia" w:ascii="宋体" w:hAnsi="宋体"/>
          <w:sz w:val="21"/>
          <w:szCs w:val="21"/>
          <w:highlight w:val="none"/>
        </w:rPr>
        <w:t xml:space="preserve">         分包金额（如有）小写：</w:t>
      </w:r>
      <w:r>
        <w:rPr>
          <w:rFonts w:hint="eastAsia" w:ascii="宋体" w:hAnsi="宋体"/>
          <w:sz w:val="21"/>
          <w:szCs w:val="21"/>
          <w:highlight w:val="none"/>
          <w:u w:val="single"/>
        </w:rPr>
        <w:t xml:space="preserve">                   </w:t>
      </w:r>
    </w:p>
    <w:p w14:paraId="3A760558">
      <w:pPr>
        <w:adjustRightInd w:val="0"/>
        <w:snapToGrid w:val="0"/>
        <w:spacing w:line="400" w:lineRule="exact"/>
        <w:ind w:firstLine="420"/>
        <w:rPr>
          <w:rFonts w:hint="eastAsia" w:ascii="宋体" w:hAnsi="宋体"/>
          <w:sz w:val="21"/>
          <w:szCs w:val="21"/>
          <w:highlight w:val="none"/>
          <w:u w:val="single"/>
        </w:rPr>
      </w:pP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大写：</w:t>
      </w:r>
      <w:r>
        <w:rPr>
          <w:rFonts w:hint="eastAsia" w:ascii="宋体" w:hAnsi="宋体"/>
          <w:sz w:val="21"/>
          <w:szCs w:val="21"/>
          <w:highlight w:val="none"/>
          <w:u w:val="single"/>
        </w:rPr>
        <w:t xml:space="preserve">                       </w:t>
      </w:r>
    </w:p>
    <w:p w14:paraId="54350551">
      <w:pPr>
        <w:adjustRightInd w:val="0"/>
        <w:snapToGrid w:val="0"/>
        <w:spacing w:line="400" w:lineRule="exact"/>
        <w:ind w:firstLine="420"/>
        <w:rPr>
          <w:rFonts w:hint="eastAsia" w:ascii="宋体" w:hAnsi="宋体"/>
          <w:sz w:val="21"/>
          <w:szCs w:val="21"/>
          <w:highlight w:val="none"/>
        </w:rPr>
      </w:pPr>
      <w:r>
        <w:rPr>
          <w:rFonts w:hint="eastAsia" w:ascii="宋体" w:hAnsi="宋体"/>
          <w:sz w:val="21"/>
          <w:szCs w:val="21"/>
          <w:highlight w:val="none"/>
        </w:rPr>
        <w:t xml:space="preserve">    （注：固定单价合同应填写单价和最高限价）</w:t>
      </w:r>
    </w:p>
    <w:p w14:paraId="6314BA85">
      <w:pPr>
        <w:numPr>
          <w:ilvl w:val="0"/>
          <w:numId w:val="0"/>
        </w:numPr>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（2）合同定价方式（采用组合定价方式的，可以勾选多项）：</w:t>
      </w:r>
    </w:p>
    <w:p w14:paraId="7B61B576">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iCs/>
          <w:sz w:val="21"/>
          <w:szCs w:val="21"/>
          <w:highlight w:val="none"/>
        </w:rPr>
        <w:t xml:space="preserve">  </w:t>
      </w:r>
      <w:r>
        <w:rPr>
          <w:rFonts w:hint="eastAsia" w:ascii="宋体" w:hAnsi="宋体"/>
          <w:iCs/>
          <w:sz w:val="21"/>
          <w:szCs w:val="21"/>
          <w:highlight w:val="none"/>
        </w:rPr>
        <w:sym w:font="Wingdings" w:char="00A8"/>
      </w:r>
      <w:r>
        <w:rPr>
          <w:rFonts w:hint="eastAsia" w:ascii="宋体" w:hAnsi="宋体"/>
          <w:iCs/>
          <w:sz w:val="21"/>
          <w:szCs w:val="21"/>
          <w:highlight w:val="none"/>
        </w:rPr>
        <w:t xml:space="preserve">固定总价 </w:t>
      </w:r>
      <w:r>
        <w:rPr>
          <w:rFonts w:hint="eastAsia" w:ascii="宋体" w:hAnsi="宋体"/>
          <w:iCs/>
          <w:sz w:val="21"/>
          <w:szCs w:val="21"/>
          <w:highlight w:val="none"/>
        </w:rPr>
        <w:sym w:font="Wingdings" w:char="00A8"/>
      </w:r>
      <w:r>
        <w:rPr>
          <w:rFonts w:hint="eastAsia" w:ascii="宋体" w:hAnsi="宋体"/>
          <w:iCs/>
          <w:sz w:val="21"/>
          <w:szCs w:val="21"/>
          <w:highlight w:val="none"/>
        </w:rPr>
        <w:t xml:space="preserve">固定单价 </w:t>
      </w:r>
      <w:r>
        <w:rPr>
          <w:rFonts w:hint="eastAsia" w:ascii="宋体" w:hAnsi="宋体"/>
          <w:iCs/>
          <w:sz w:val="21"/>
          <w:szCs w:val="21"/>
          <w:highlight w:val="none"/>
        </w:rPr>
        <w:sym w:font="Wingdings" w:char="00A8"/>
      </w:r>
      <w:r>
        <w:rPr>
          <w:rFonts w:hint="eastAsia" w:ascii="宋体" w:hAnsi="宋体"/>
          <w:iCs/>
          <w:sz w:val="21"/>
          <w:szCs w:val="21"/>
          <w:highlight w:val="none"/>
        </w:rPr>
        <w:t xml:space="preserve">固定费率 </w:t>
      </w:r>
      <w:r>
        <w:rPr>
          <w:rFonts w:hint="eastAsia" w:ascii="宋体" w:hAnsi="宋体"/>
          <w:iCs/>
          <w:sz w:val="21"/>
          <w:szCs w:val="21"/>
          <w:highlight w:val="none"/>
        </w:rPr>
        <w:sym w:font="Wingdings" w:char="00A8"/>
      </w:r>
      <w:r>
        <w:rPr>
          <w:rFonts w:hint="eastAsia" w:ascii="宋体" w:hAnsi="宋体"/>
          <w:iCs/>
          <w:sz w:val="21"/>
          <w:szCs w:val="21"/>
          <w:highlight w:val="none"/>
        </w:rPr>
        <w:t xml:space="preserve">成本补偿 </w:t>
      </w:r>
      <w:r>
        <w:rPr>
          <w:rFonts w:hint="eastAsia" w:ascii="宋体" w:hAnsi="宋体"/>
          <w:iCs/>
          <w:sz w:val="21"/>
          <w:szCs w:val="21"/>
          <w:highlight w:val="none"/>
        </w:rPr>
        <w:sym w:font="Wingdings" w:char="00A8"/>
      </w:r>
      <w:r>
        <w:rPr>
          <w:rFonts w:hint="eastAsia" w:ascii="宋体" w:hAnsi="宋体"/>
          <w:iCs/>
          <w:sz w:val="21"/>
          <w:szCs w:val="21"/>
          <w:highlight w:val="none"/>
        </w:rPr>
        <w:t xml:space="preserve">绩效激励 </w:t>
      </w:r>
      <w:r>
        <w:rPr>
          <w:rFonts w:hint="eastAsia" w:ascii="宋体" w:hAnsi="宋体"/>
          <w:iCs/>
          <w:sz w:val="21"/>
          <w:szCs w:val="21"/>
          <w:highlight w:val="none"/>
        </w:rPr>
        <w:sym w:font="Wingdings" w:char="00A8"/>
      </w:r>
      <w:r>
        <w:rPr>
          <w:rFonts w:hint="eastAsia" w:ascii="宋体" w:hAnsi="宋体"/>
          <w:iCs/>
          <w:sz w:val="21"/>
          <w:szCs w:val="21"/>
          <w:highlight w:val="none"/>
        </w:rPr>
        <w:t>其他</w:t>
      </w:r>
      <w:r>
        <w:rPr>
          <w:rFonts w:hint="eastAsia" w:ascii="宋体" w:hAnsi="宋体"/>
          <w:sz w:val="21"/>
          <w:szCs w:val="21"/>
          <w:highlight w:val="none"/>
          <w:u w:val="single"/>
        </w:rPr>
        <w:t xml:space="preserve">       </w:t>
      </w:r>
    </w:p>
    <w:p w14:paraId="36CF1E61">
      <w:pPr>
        <w:pStyle w:val="60"/>
        <w:spacing w:line="40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（3）付款方式（按项目实际勾选填写）：</w:t>
      </w:r>
    </w:p>
    <w:p w14:paraId="7F5618B5">
      <w:pPr>
        <w:adjustRightInd w:val="0"/>
        <w:snapToGrid w:val="0"/>
        <w:spacing w:line="400" w:lineRule="exact"/>
        <w:ind w:firstLine="630" w:firstLineChars="300"/>
        <w:rPr>
          <w:rFonts w:hint="eastAsia" w:ascii="宋体" w:hAnsi="宋体"/>
          <w:sz w:val="21"/>
          <w:szCs w:val="21"/>
          <w:highlight w:val="none"/>
          <w:u w:val="single"/>
        </w:rPr>
      </w:pPr>
      <w:r>
        <w:rPr>
          <w:rFonts w:hint="eastAsia" w:ascii="宋体" w:hAnsi="宋体"/>
          <w:sz w:val="21"/>
          <w:szCs w:val="21"/>
          <w:highlight w:val="none"/>
        </w:rPr>
        <w:sym w:font="Wingdings" w:char="00A8"/>
      </w:r>
      <w:r>
        <w:rPr>
          <w:rFonts w:hint="eastAsia" w:ascii="宋体" w:hAnsi="宋体"/>
          <w:sz w:val="21"/>
          <w:szCs w:val="21"/>
          <w:highlight w:val="none"/>
        </w:rPr>
        <w:t>全额付款：</w:t>
      </w:r>
      <w:r>
        <w:rPr>
          <w:rFonts w:hint="eastAsia" w:ascii="宋体" w:hAnsi="宋体"/>
          <w:sz w:val="21"/>
          <w:szCs w:val="21"/>
          <w:highlight w:val="none"/>
          <w:u w:val="single"/>
        </w:rPr>
        <w:t xml:space="preserve">     （应明确一次性支付合同款项的条件）                    </w:t>
      </w:r>
    </w:p>
    <w:p w14:paraId="13F4013C">
      <w:pPr>
        <w:snapToGrid w:val="0"/>
        <w:spacing w:line="400" w:lineRule="exact"/>
        <w:ind w:firstLine="630" w:firstLineChars="300"/>
        <w:rPr>
          <w:sz w:val="21"/>
          <w:szCs w:val="21"/>
          <w:highlight w:val="none"/>
        </w:rPr>
      </w:pPr>
      <w:r>
        <w:rPr>
          <w:rFonts w:hint="eastAsia" w:ascii="宋体" w:hAnsi="宋体"/>
          <w:sz w:val="21"/>
          <w:szCs w:val="21"/>
          <w:highlight w:val="none"/>
        </w:rPr>
        <w:sym w:font="Wingdings" w:char="00A8"/>
      </w:r>
      <w:r>
        <w:rPr>
          <w:rFonts w:hint="eastAsia" w:ascii="宋体" w:hAnsi="宋体"/>
          <w:sz w:val="21"/>
          <w:szCs w:val="21"/>
          <w:highlight w:val="none"/>
        </w:rPr>
        <w:t>分期付款：</w:t>
      </w:r>
      <w:r>
        <w:rPr>
          <w:rFonts w:hint="eastAsia" w:ascii="宋体" w:hAnsi="宋体"/>
          <w:sz w:val="21"/>
          <w:szCs w:val="21"/>
          <w:highlight w:val="none"/>
          <w:u w:val="single"/>
        </w:rPr>
        <w:t xml:space="preserve">  （应明确分期支付合同款项的各期比例和支付条件，各期支付条件应与分期履约验收情况挂钩） </w:t>
      </w:r>
      <w:r>
        <w:rPr>
          <w:rFonts w:hint="eastAsia" w:ascii="宋体" w:hAnsi="宋体"/>
          <w:sz w:val="21"/>
          <w:szCs w:val="21"/>
          <w:highlight w:val="none"/>
        </w:rPr>
        <w:t>，其中涉及预付款的：</w:t>
      </w:r>
      <w:r>
        <w:rPr>
          <w:rFonts w:hint="eastAsia" w:ascii="宋体" w:hAnsi="宋体"/>
          <w:sz w:val="21"/>
          <w:szCs w:val="21"/>
          <w:highlight w:val="none"/>
          <w:u w:val="single"/>
        </w:rPr>
        <w:t xml:space="preserve"> （应明确预付款的支付比例和支付条件） </w:t>
      </w:r>
    </w:p>
    <w:p w14:paraId="574DE7C2">
      <w:pPr>
        <w:adjustRightInd w:val="0"/>
        <w:snapToGrid w:val="0"/>
        <w:spacing w:line="400" w:lineRule="exact"/>
        <w:ind w:firstLine="630" w:firstLineChars="300"/>
        <w:rPr>
          <w:rFonts w:hint="eastAsia" w:ascii="宋体" w:hAnsi="宋体"/>
          <w:sz w:val="21"/>
          <w:szCs w:val="21"/>
          <w:highlight w:val="none"/>
          <w:u w:val="single"/>
        </w:rPr>
      </w:pPr>
      <w:r>
        <w:rPr>
          <w:rFonts w:hint="eastAsia" w:ascii="宋体" w:hAnsi="宋体"/>
          <w:sz w:val="21"/>
          <w:szCs w:val="21"/>
          <w:highlight w:val="none"/>
        </w:rPr>
        <w:sym w:font="Wingdings" w:char="00A8"/>
      </w:r>
      <w:r>
        <w:rPr>
          <w:rFonts w:hint="eastAsia" w:ascii="宋体" w:hAnsi="宋体"/>
          <w:sz w:val="21"/>
          <w:szCs w:val="21"/>
          <w:highlight w:val="none"/>
        </w:rPr>
        <w:t>成本补偿：</w:t>
      </w:r>
      <w:r>
        <w:rPr>
          <w:rFonts w:hint="eastAsia" w:ascii="宋体" w:hAnsi="宋体"/>
          <w:sz w:val="21"/>
          <w:szCs w:val="21"/>
          <w:highlight w:val="none"/>
          <w:u w:val="single"/>
        </w:rPr>
        <w:t xml:space="preserve">      （应明确按照成本补偿方式的支付方式和支付条件）   </w:t>
      </w:r>
    </w:p>
    <w:p w14:paraId="06457EF6">
      <w:pPr>
        <w:adjustRightInd w:val="0"/>
        <w:snapToGrid w:val="0"/>
        <w:spacing w:line="400" w:lineRule="exact"/>
        <w:ind w:firstLine="630" w:firstLineChars="300"/>
        <w:rPr>
          <w:rFonts w:hint="eastAsia" w:ascii="宋体" w:hAnsi="宋体"/>
          <w:sz w:val="21"/>
          <w:szCs w:val="21"/>
          <w:highlight w:val="none"/>
        </w:rPr>
      </w:pPr>
      <w:r>
        <w:rPr>
          <w:rFonts w:hint="eastAsia" w:ascii="宋体" w:hAnsi="宋体"/>
          <w:sz w:val="21"/>
          <w:szCs w:val="21"/>
          <w:highlight w:val="none"/>
        </w:rPr>
        <w:sym w:font="Wingdings" w:char="00A8"/>
      </w:r>
      <w:r>
        <w:rPr>
          <w:rFonts w:hint="eastAsia" w:ascii="宋体" w:hAnsi="宋体"/>
          <w:sz w:val="21"/>
          <w:szCs w:val="21"/>
          <w:highlight w:val="none"/>
        </w:rPr>
        <w:t>绩效激励：</w:t>
      </w:r>
      <w:r>
        <w:rPr>
          <w:rFonts w:hint="eastAsia" w:ascii="宋体" w:hAnsi="宋体"/>
          <w:sz w:val="21"/>
          <w:szCs w:val="21"/>
          <w:highlight w:val="none"/>
          <w:u w:val="single"/>
        </w:rPr>
        <w:t xml:space="preserve">      （应明确按照绩效激励方式的支付方式和支付条件）   </w:t>
      </w:r>
    </w:p>
    <w:p w14:paraId="7E67F82B">
      <w:pPr>
        <w:numPr>
          <w:ilvl w:val="0"/>
          <w:numId w:val="3"/>
        </w:numPr>
        <w:adjustRightInd w:val="0"/>
        <w:snapToGrid w:val="0"/>
        <w:spacing w:line="400" w:lineRule="exact"/>
        <w:ind w:firstLine="422" w:firstLineChars="200"/>
        <w:rPr>
          <w:rFonts w:hint="eastAsia" w:ascii="宋体" w:hAnsi="宋体"/>
          <w:b/>
          <w:sz w:val="21"/>
          <w:szCs w:val="21"/>
          <w:highlight w:val="none"/>
          <w:u w:val="single"/>
        </w:rPr>
      </w:pPr>
      <w:r>
        <w:rPr>
          <w:rFonts w:hint="eastAsia" w:ascii="宋体" w:hAnsi="宋体"/>
          <w:b/>
          <w:sz w:val="21"/>
          <w:szCs w:val="21"/>
          <w:highlight w:val="none"/>
        </w:rPr>
        <w:t>合同履行</w:t>
      </w:r>
    </w:p>
    <w:p w14:paraId="39CB121B">
      <w:pPr>
        <w:adjustRightInd w:val="0"/>
        <w:snapToGrid w:val="0"/>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（1）起始日期：</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日，完成日期：</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p>
    <w:p w14:paraId="57DD4DEE">
      <w:pPr>
        <w:adjustRightInd w:val="0"/>
        <w:snapToGrid w:val="0"/>
        <w:spacing w:line="400" w:lineRule="exact"/>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（2）履约地点</w:t>
      </w:r>
      <w:r>
        <w:rPr>
          <w:rFonts w:hint="eastAsia" w:ascii="宋体" w:hAnsi="宋体" w:cs="宋体"/>
          <w:bCs/>
          <w:sz w:val="21"/>
          <w:szCs w:val="21"/>
          <w:highlight w:val="none"/>
        </w:rPr>
        <w:t>：</w:t>
      </w:r>
      <w:r>
        <w:rPr>
          <w:rFonts w:hint="eastAsia" w:ascii="宋体" w:hAnsi="宋体" w:cs="宋体"/>
          <w:sz w:val="21"/>
          <w:szCs w:val="21"/>
          <w:highlight w:val="none"/>
          <w:u w:val="single"/>
        </w:rPr>
        <w:t xml:space="preserve">                             </w:t>
      </w:r>
    </w:p>
    <w:p w14:paraId="678CC5AC">
      <w:pPr>
        <w:adjustRightInd w:val="0"/>
        <w:snapToGrid w:val="0"/>
        <w:spacing w:line="400" w:lineRule="exact"/>
        <w:ind w:firstLine="420" w:firstLineChars="200"/>
        <w:rPr>
          <w:rFonts w:hint="eastAsia" w:ascii="宋体" w:hAnsi="宋体" w:cs="宋体"/>
          <w:sz w:val="21"/>
          <w:szCs w:val="21"/>
          <w:highlight w:val="none"/>
        </w:rPr>
      </w:pPr>
      <w:r>
        <w:rPr>
          <w:rFonts w:hint="eastAsia" w:ascii="宋体" w:hAnsi="宋体" w:cs="宋体"/>
          <w:bCs/>
          <w:sz w:val="21"/>
          <w:szCs w:val="21"/>
          <w:highlight w:val="none"/>
        </w:rPr>
        <w:t>（3）履约担保：</w:t>
      </w:r>
      <w:r>
        <w:rPr>
          <w:rFonts w:hint="eastAsia" w:ascii="宋体" w:hAnsi="宋体" w:cs="宋体"/>
          <w:sz w:val="21"/>
          <w:szCs w:val="21"/>
          <w:highlight w:val="none"/>
        </w:rPr>
        <w:t>是否收取履约保证金：</w:t>
      </w:r>
      <w:r>
        <w:rPr>
          <w:rFonts w:hint="eastAsia" w:ascii="宋体" w:hAnsi="宋体" w:cs="宋体"/>
          <w:sz w:val="21"/>
          <w:szCs w:val="21"/>
          <w:highlight w:val="none"/>
        </w:rPr>
        <w:sym w:font="Wingdings" w:char="00A8"/>
      </w:r>
      <w:r>
        <w:rPr>
          <w:rFonts w:hint="eastAsia" w:ascii="宋体" w:hAnsi="宋体" w:cs="宋体"/>
          <w:sz w:val="21"/>
          <w:szCs w:val="21"/>
          <w:highlight w:val="none"/>
        </w:rPr>
        <w:t xml:space="preserve">是    </w:t>
      </w:r>
      <w:r>
        <w:rPr>
          <w:rFonts w:hint="eastAsia" w:ascii="宋体" w:hAnsi="宋体" w:cs="宋体"/>
          <w:sz w:val="21"/>
          <w:szCs w:val="21"/>
          <w:highlight w:val="none"/>
        </w:rPr>
        <w:sym w:font="Wingdings" w:char="00A8"/>
      </w:r>
      <w:r>
        <w:rPr>
          <w:rFonts w:hint="eastAsia" w:ascii="宋体" w:hAnsi="宋体" w:cs="宋体"/>
          <w:sz w:val="21"/>
          <w:szCs w:val="21"/>
          <w:highlight w:val="none"/>
        </w:rPr>
        <w:t>否</w:t>
      </w:r>
    </w:p>
    <w:p w14:paraId="348AD026">
      <w:pPr>
        <w:pStyle w:val="59"/>
        <w:ind w:firstLine="420"/>
        <w:rPr>
          <w:rFonts w:hint="eastAsia" w:ascii="宋体" w:hAnsi="宋体" w:eastAsia="宋体" w:cs="宋体"/>
          <w:sz w:val="21"/>
          <w:highlight w:val="none"/>
        </w:rPr>
      </w:pPr>
      <w:r>
        <w:rPr>
          <w:rFonts w:hint="eastAsia" w:ascii="宋体" w:hAnsi="宋体" w:cs="宋体"/>
          <w:bCs/>
          <w:sz w:val="21"/>
          <w:highlight w:val="none"/>
        </w:rPr>
        <w:t xml:space="preserve">  </w:t>
      </w:r>
      <w:r>
        <w:rPr>
          <w:rFonts w:hint="eastAsia" w:ascii="宋体" w:hAnsi="宋体" w:eastAsia="宋体" w:cs="宋体"/>
          <w:sz w:val="21"/>
          <w:highlight w:val="none"/>
        </w:rPr>
        <w:t xml:space="preserve">  收取履约保证金形式：</w:t>
      </w:r>
      <w:r>
        <w:rPr>
          <w:rFonts w:hint="eastAsia" w:ascii="宋体" w:hAnsi="宋体" w:eastAsia="宋体" w:cs="宋体"/>
          <w:bCs/>
          <w:sz w:val="21"/>
          <w:highlight w:val="none"/>
          <w:u w:val="single"/>
        </w:rPr>
        <w:t xml:space="preserve">                            </w:t>
      </w:r>
    </w:p>
    <w:p w14:paraId="2A689681">
      <w:pPr>
        <w:pStyle w:val="59"/>
        <w:ind w:firstLine="420"/>
        <w:rPr>
          <w:rFonts w:hint="eastAsia" w:ascii="宋体" w:hAnsi="宋体" w:eastAsia="宋体" w:cs="宋体"/>
          <w:sz w:val="21"/>
          <w:highlight w:val="none"/>
        </w:rPr>
      </w:pPr>
      <w:r>
        <w:rPr>
          <w:rFonts w:hint="eastAsia" w:ascii="宋体" w:hAnsi="宋体" w:eastAsia="宋体" w:cs="宋体"/>
          <w:sz w:val="21"/>
          <w:highlight w:val="none"/>
        </w:rPr>
        <w:t xml:space="preserve">    收取履约保证金金额：</w:t>
      </w:r>
      <w:r>
        <w:rPr>
          <w:rFonts w:hint="eastAsia" w:ascii="宋体" w:hAnsi="宋体" w:eastAsia="宋体" w:cs="宋体"/>
          <w:bCs/>
          <w:sz w:val="21"/>
          <w:highlight w:val="none"/>
          <w:u w:val="single"/>
        </w:rPr>
        <w:t xml:space="preserve">                            </w:t>
      </w:r>
    </w:p>
    <w:p w14:paraId="0AD555D8">
      <w:pPr>
        <w:snapToGrid w:val="0"/>
        <w:spacing w:line="400" w:lineRule="exact"/>
        <w:ind w:firstLine="420" w:firstLineChars="200"/>
        <w:rPr>
          <w:rFonts w:hint="eastAsia" w:ascii="宋体" w:hAnsi="宋体" w:cs="宋体"/>
          <w:sz w:val="21"/>
          <w:szCs w:val="21"/>
          <w:highlight w:val="none"/>
        </w:rPr>
      </w:pPr>
      <w:r>
        <w:rPr>
          <w:rFonts w:hint="eastAsia" w:ascii="宋体" w:hAnsi="宋体" w:cs="宋体"/>
          <w:bCs/>
          <w:sz w:val="21"/>
          <w:szCs w:val="21"/>
          <w:highlight w:val="none"/>
        </w:rPr>
        <w:t xml:space="preserve">    履约担保期限：</w:t>
      </w:r>
      <w:r>
        <w:rPr>
          <w:rFonts w:hint="eastAsia" w:ascii="宋体" w:hAnsi="宋体" w:cs="宋体"/>
          <w:bCs/>
          <w:sz w:val="21"/>
          <w:szCs w:val="21"/>
          <w:highlight w:val="none"/>
          <w:u w:val="single"/>
        </w:rPr>
        <w:t xml:space="preserve">                                  </w:t>
      </w:r>
    </w:p>
    <w:p w14:paraId="40F89265">
      <w:pPr>
        <w:adjustRightInd w:val="0"/>
        <w:snapToGrid w:val="0"/>
        <w:spacing w:line="400" w:lineRule="exact"/>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（4）分期履行要求：</w:t>
      </w:r>
      <w:r>
        <w:rPr>
          <w:rFonts w:hint="eastAsia" w:ascii="宋体" w:hAnsi="宋体" w:cs="宋体"/>
          <w:bCs/>
          <w:sz w:val="21"/>
          <w:szCs w:val="21"/>
          <w:highlight w:val="none"/>
          <w:u w:val="single"/>
        </w:rPr>
        <w:t xml:space="preserve">                                                        </w:t>
      </w:r>
    </w:p>
    <w:p w14:paraId="1CEAFBD1">
      <w:pPr>
        <w:adjustRightInd w:val="0"/>
        <w:snapToGrid w:val="0"/>
        <w:spacing w:line="400" w:lineRule="exact"/>
        <w:ind w:firstLine="420" w:firstLineChars="200"/>
        <w:rPr>
          <w:rFonts w:hint="eastAsia" w:ascii="宋体" w:hAnsi="宋体" w:cs="宋体"/>
          <w:sz w:val="21"/>
          <w:szCs w:val="21"/>
          <w:highlight w:val="none"/>
          <w:u w:val="single"/>
        </w:rPr>
      </w:pPr>
      <w:r>
        <w:rPr>
          <w:rFonts w:hint="eastAsia" w:ascii="宋体" w:hAnsi="宋体" w:cs="宋体"/>
          <w:bCs/>
          <w:sz w:val="21"/>
          <w:szCs w:val="21"/>
          <w:highlight w:val="none"/>
        </w:rPr>
        <w:t>（5）风险处置措施和替代方案：</w:t>
      </w:r>
      <w:r>
        <w:rPr>
          <w:rFonts w:hint="eastAsia" w:ascii="宋体" w:hAnsi="宋体" w:cs="宋体"/>
          <w:color w:val="0000FF"/>
          <w:sz w:val="21"/>
          <w:szCs w:val="21"/>
          <w:highlight w:val="none"/>
          <w:u w:val="single"/>
        </w:rPr>
        <w:t xml:space="preserve"> </w:t>
      </w:r>
      <w:r>
        <w:rPr>
          <w:rFonts w:hint="eastAsia" w:ascii="宋体" w:hAnsi="宋体" w:cs="宋体"/>
          <w:color w:val="000000"/>
          <w:sz w:val="21"/>
          <w:szCs w:val="21"/>
          <w:highlight w:val="none"/>
          <w:u w:val="single"/>
        </w:rPr>
        <w:t xml:space="preserve">              </w:t>
      </w:r>
      <w:r>
        <w:rPr>
          <w:rFonts w:hint="eastAsia" w:ascii="宋体" w:hAnsi="宋体" w:cs="宋体"/>
          <w:sz w:val="21"/>
          <w:szCs w:val="21"/>
          <w:highlight w:val="none"/>
          <w:u w:val="single"/>
        </w:rPr>
        <w:t xml:space="preserve">                                          </w:t>
      </w:r>
    </w:p>
    <w:p w14:paraId="2A36516E">
      <w:pPr>
        <w:numPr>
          <w:ilvl w:val="0"/>
          <w:numId w:val="3"/>
        </w:numPr>
        <w:adjustRightInd w:val="0"/>
        <w:snapToGrid w:val="0"/>
        <w:spacing w:line="400" w:lineRule="exact"/>
        <w:ind w:firstLine="422" w:firstLineChars="200"/>
        <w:rPr>
          <w:rFonts w:hint="eastAsia" w:ascii="宋体" w:hAnsi="宋体"/>
          <w:b/>
          <w:sz w:val="21"/>
          <w:szCs w:val="21"/>
          <w:highlight w:val="none"/>
        </w:rPr>
      </w:pPr>
      <w:r>
        <w:rPr>
          <w:rFonts w:hint="eastAsia" w:ascii="宋体" w:hAnsi="宋体"/>
          <w:b/>
          <w:sz w:val="21"/>
          <w:szCs w:val="21"/>
          <w:highlight w:val="none"/>
        </w:rPr>
        <w:t>合同验收</w:t>
      </w:r>
    </w:p>
    <w:p w14:paraId="6654E922">
      <w:pPr>
        <w:numPr>
          <w:ilvl w:val="0"/>
          <w:numId w:val="5"/>
        </w:numPr>
        <w:adjustRightInd w:val="0"/>
        <w:snapToGrid w:val="0"/>
        <w:spacing w:line="400" w:lineRule="exact"/>
        <w:ind w:firstLine="420" w:firstLineChars="200"/>
        <w:rPr>
          <w:rFonts w:hint="eastAsia" w:ascii="宋体" w:hAnsi="宋体"/>
          <w:bCs/>
          <w:sz w:val="21"/>
          <w:szCs w:val="21"/>
          <w:highlight w:val="none"/>
        </w:rPr>
      </w:pPr>
      <w:r>
        <w:rPr>
          <w:rFonts w:hint="eastAsia" w:ascii="宋体" w:hAnsi="宋体"/>
          <w:bCs/>
          <w:sz w:val="21"/>
          <w:szCs w:val="21"/>
          <w:highlight w:val="none"/>
        </w:rPr>
        <w:t>验收组织方式：</w:t>
      </w:r>
      <w:r>
        <w:rPr>
          <w:rFonts w:hint="eastAsia" w:ascii="宋体" w:hAnsi="宋体" w:cs="宋体"/>
          <w:sz w:val="21"/>
          <w:szCs w:val="21"/>
          <w:highlight w:val="none"/>
        </w:rPr>
        <w:sym w:font="Wingdings" w:char="00A8"/>
      </w:r>
      <w:r>
        <w:rPr>
          <w:rFonts w:hint="eastAsia" w:ascii="宋体" w:hAnsi="宋体"/>
          <w:bCs/>
          <w:sz w:val="21"/>
          <w:szCs w:val="21"/>
          <w:highlight w:val="none"/>
        </w:rPr>
        <w:t xml:space="preserve">自行组织 </w:t>
      </w:r>
      <w:r>
        <w:rPr>
          <w:rFonts w:hint="eastAsia" w:ascii="宋体" w:hAnsi="宋体" w:cs="宋体"/>
          <w:sz w:val="21"/>
          <w:szCs w:val="21"/>
          <w:highlight w:val="none"/>
        </w:rPr>
        <w:sym w:font="Wingdings" w:char="00A8"/>
      </w:r>
      <w:r>
        <w:rPr>
          <w:rFonts w:hint="eastAsia" w:ascii="宋体" w:hAnsi="宋体"/>
          <w:bCs/>
          <w:sz w:val="21"/>
          <w:szCs w:val="21"/>
          <w:highlight w:val="none"/>
        </w:rPr>
        <w:t>委托第三方组织</w:t>
      </w:r>
    </w:p>
    <w:p w14:paraId="70B256D1">
      <w:pPr>
        <w:adjustRightInd w:val="0"/>
        <w:snapToGrid w:val="0"/>
        <w:spacing w:line="400" w:lineRule="exact"/>
        <w:ind w:firstLine="420"/>
        <w:rPr>
          <w:rFonts w:hint="eastAsia" w:ascii="宋体" w:hAnsi="宋体"/>
          <w:bCs/>
          <w:sz w:val="21"/>
          <w:szCs w:val="21"/>
          <w:highlight w:val="none"/>
        </w:rPr>
      </w:pPr>
      <w:r>
        <w:rPr>
          <w:rFonts w:hint="eastAsia" w:ascii="宋体" w:hAnsi="宋体"/>
          <w:bCs/>
          <w:sz w:val="21"/>
          <w:szCs w:val="21"/>
          <w:highlight w:val="none"/>
        </w:rPr>
        <w:t xml:space="preserve">         验收主体：</w:t>
      </w:r>
      <w:r>
        <w:rPr>
          <w:rFonts w:hint="eastAsia" w:ascii="宋体" w:hAnsi="宋体"/>
          <w:bCs/>
          <w:sz w:val="21"/>
          <w:szCs w:val="21"/>
          <w:highlight w:val="none"/>
          <w:u w:val="single"/>
        </w:rPr>
        <w:t xml:space="preserve">                  </w:t>
      </w:r>
    </w:p>
    <w:p w14:paraId="3EB474CE">
      <w:pPr>
        <w:adjustRightInd w:val="0"/>
        <w:snapToGrid w:val="0"/>
        <w:spacing w:line="400" w:lineRule="exact"/>
        <w:ind w:firstLine="420"/>
        <w:rPr>
          <w:rFonts w:hint="eastAsia" w:ascii="宋体" w:hAnsi="宋体"/>
          <w:bCs/>
          <w:sz w:val="21"/>
          <w:szCs w:val="21"/>
          <w:highlight w:val="none"/>
        </w:rPr>
      </w:pPr>
      <w:r>
        <w:rPr>
          <w:rFonts w:hint="eastAsia" w:ascii="宋体" w:hAnsi="宋体"/>
          <w:bCs/>
          <w:sz w:val="21"/>
          <w:szCs w:val="21"/>
          <w:highlight w:val="none"/>
        </w:rPr>
        <w:t xml:space="preserve">        是否邀请本项目的其他供应商参加验收：</w:t>
      </w:r>
      <w:r>
        <w:rPr>
          <w:rFonts w:hint="eastAsia" w:ascii="宋体" w:hAnsi="宋体" w:cs="宋体"/>
          <w:sz w:val="21"/>
          <w:szCs w:val="21"/>
          <w:highlight w:val="none"/>
        </w:rPr>
        <w:sym w:font="Wingdings" w:char="00A8"/>
      </w:r>
      <w:r>
        <w:rPr>
          <w:rFonts w:hint="eastAsia" w:ascii="宋体" w:hAnsi="宋体"/>
          <w:bCs/>
          <w:sz w:val="21"/>
          <w:szCs w:val="21"/>
          <w:highlight w:val="none"/>
        </w:rPr>
        <w:t xml:space="preserve">是  </w:t>
      </w:r>
      <w:r>
        <w:rPr>
          <w:rFonts w:hint="eastAsia" w:ascii="宋体" w:hAnsi="宋体" w:cs="宋体"/>
          <w:sz w:val="21"/>
          <w:szCs w:val="21"/>
          <w:highlight w:val="none"/>
        </w:rPr>
        <w:sym w:font="Wingdings" w:char="00A8"/>
      </w:r>
      <w:r>
        <w:rPr>
          <w:rFonts w:hint="eastAsia" w:ascii="宋体" w:hAnsi="宋体"/>
          <w:bCs/>
          <w:sz w:val="21"/>
          <w:szCs w:val="21"/>
          <w:highlight w:val="none"/>
        </w:rPr>
        <w:t>否</w:t>
      </w:r>
    </w:p>
    <w:p w14:paraId="695FF315">
      <w:pPr>
        <w:adjustRightInd w:val="0"/>
        <w:snapToGrid w:val="0"/>
        <w:spacing w:line="400" w:lineRule="exact"/>
        <w:ind w:firstLine="840" w:firstLineChars="400"/>
        <w:rPr>
          <w:rFonts w:hint="eastAsia" w:ascii="宋体" w:hAnsi="宋体"/>
          <w:bCs/>
          <w:sz w:val="21"/>
          <w:szCs w:val="21"/>
          <w:highlight w:val="none"/>
        </w:rPr>
      </w:pPr>
      <w:r>
        <w:rPr>
          <w:rFonts w:hint="eastAsia" w:ascii="宋体" w:hAnsi="宋体"/>
          <w:bCs/>
          <w:sz w:val="21"/>
          <w:szCs w:val="21"/>
          <w:highlight w:val="none"/>
        </w:rPr>
        <w:t>是否邀请专家参加验收：</w:t>
      </w:r>
      <w:r>
        <w:rPr>
          <w:rFonts w:hint="eastAsia" w:ascii="宋体" w:hAnsi="宋体" w:cs="宋体"/>
          <w:sz w:val="21"/>
          <w:szCs w:val="21"/>
          <w:highlight w:val="none"/>
        </w:rPr>
        <w:sym w:font="Wingdings" w:char="00A8"/>
      </w:r>
      <w:r>
        <w:rPr>
          <w:rFonts w:hint="eastAsia" w:ascii="宋体" w:hAnsi="宋体"/>
          <w:bCs/>
          <w:sz w:val="21"/>
          <w:szCs w:val="21"/>
          <w:highlight w:val="none"/>
        </w:rPr>
        <w:t xml:space="preserve">是  </w:t>
      </w:r>
      <w:r>
        <w:rPr>
          <w:rFonts w:hint="eastAsia" w:ascii="宋体" w:hAnsi="宋体" w:cs="宋体"/>
          <w:sz w:val="21"/>
          <w:szCs w:val="21"/>
          <w:highlight w:val="none"/>
        </w:rPr>
        <w:sym w:font="Wingdings" w:char="00A8"/>
      </w:r>
      <w:r>
        <w:rPr>
          <w:rFonts w:hint="eastAsia" w:ascii="宋体" w:hAnsi="宋体"/>
          <w:bCs/>
          <w:sz w:val="21"/>
          <w:szCs w:val="21"/>
          <w:highlight w:val="none"/>
        </w:rPr>
        <w:t>否</w:t>
      </w:r>
    </w:p>
    <w:p w14:paraId="17A5B87C">
      <w:pPr>
        <w:adjustRightInd w:val="0"/>
        <w:snapToGrid w:val="0"/>
        <w:spacing w:line="400" w:lineRule="exact"/>
        <w:ind w:firstLine="840" w:firstLineChars="400"/>
        <w:rPr>
          <w:rFonts w:hint="eastAsia" w:ascii="宋体" w:hAnsi="宋体"/>
          <w:bCs/>
          <w:sz w:val="21"/>
          <w:szCs w:val="21"/>
          <w:highlight w:val="none"/>
        </w:rPr>
      </w:pPr>
      <w:r>
        <w:rPr>
          <w:rFonts w:hint="eastAsia" w:ascii="宋体" w:hAnsi="宋体"/>
          <w:bCs/>
          <w:sz w:val="21"/>
          <w:szCs w:val="21"/>
          <w:highlight w:val="none"/>
        </w:rPr>
        <w:t>是否邀请服务对象参加验收：</w:t>
      </w:r>
      <w:r>
        <w:rPr>
          <w:rFonts w:hint="eastAsia" w:ascii="宋体" w:hAnsi="宋体" w:cs="宋体"/>
          <w:sz w:val="21"/>
          <w:szCs w:val="21"/>
          <w:highlight w:val="none"/>
        </w:rPr>
        <w:sym w:font="Wingdings" w:char="00A8"/>
      </w:r>
      <w:r>
        <w:rPr>
          <w:rFonts w:hint="eastAsia" w:ascii="宋体" w:hAnsi="宋体"/>
          <w:bCs/>
          <w:sz w:val="21"/>
          <w:szCs w:val="21"/>
          <w:highlight w:val="none"/>
        </w:rPr>
        <w:t xml:space="preserve">是  </w:t>
      </w:r>
      <w:r>
        <w:rPr>
          <w:rFonts w:hint="eastAsia" w:ascii="宋体" w:hAnsi="宋体" w:cs="宋体"/>
          <w:sz w:val="21"/>
          <w:szCs w:val="21"/>
          <w:highlight w:val="none"/>
        </w:rPr>
        <w:sym w:font="Wingdings" w:char="00A8"/>
      </w:r>
      <w:r>
        <w:rPr>
          <w:rFonts w:hint="eastAsia" w:ascii="宋体" w:hAnsi="宋体"/>
          <w:bCs/>
          <w:sz w:val="21"/>
          <w:szCs w:val="21"/>
          <w:highlight w:val="none"/>
        </w:rPr>
        <w:t>否</w:t>
      </w:r>
    </w:p>
    <w:p w14:paraId="1E9CE2BF">
      <w:pPr>
        <w:adjustRightInd w:val="0"/>
        <w:snapToGrid w:val="0"/>
        <w:spacing w:line="400" w:lineRule="exact"/>
        <w:ind w:firstLine="840" w:firstLineChars="400"/>
        <w:rPr>
          <w:rFonts w:hint="eastAsia" w:ascii="宋体" w:hAnsi="宋体"/>
          <w:bCs/>
          <w:sz w:val="21"/>
          <w:szCs w:val="21"/>
          <w:highlight w:val="none"/>
        </w:rPr>
      </w:pPr>
      <w:r>
        <w:rPr>
          <w:rFonts w:hint="eastAsia" w:ascii="宋体" w:hAnsi="宋体"/>
          <w:bCs/>
          <w:sz w:val="21"/>
          <w:szCs w:val="21"/>
          <w:highlight w:val="none"/>
        </w:rPr>
        <w:t>是否邀请第三方检测机构参加验收：</w:t>
      </w:r>
      <w:r>
        <w:rPr>
          <w:rFonts w:hint="eastAsia" w:ascii="宋体" w:hAnsi="宋体" w:cs="宋体"/>
          <w:sz w:val="21"/>
          <w:szCs w:val="21"/>
          <w:highlight w:val="none"/>
        </w:rPr>
        <w:sym w:font="Wingdings" w:char="00A8"/>
      </w:r>
      <w:r>
        <w:rPr>
          <w:rFonts w:hint="eastAsia" w:ascii="宋体" w:hAnsi="宋体"/>
          <w:bCs/>
          <w:sz w:val="21"/>
          <w:szCs w:val="21"/>
          <w:highlight w:val="none"/>
        </w:rPr>
        <w:t xml:space="preserve">是  </w:t>
      </w:r>
      <w:r>
        <w:rPr>
          <w:rFonts w:hint="eastAsia" w:ascii="宋体" w:hAnsi="宋体" w:cs="宋体"/>
          <w:sz w:val="21"/>
          <w:szCs w:val="21"/>
          <w:highlight w:val="none"/>
        </w:rPr>
        <w:sym w:font="Wingdings" w:char="00A8"/>
      </w:r>
      <w:r>
        <w:rPr>
          <w:rFonts w:hint="eastAsia" w:ascii="宋体" w:hAnsi="宋体"/>
          <w:bCs/>
          <w:sz w:val="21"/>
          <w:szCs w:val="21"/>
          <w:highlight w:val="none"/>
        </w:rPr>
        <w:t>否</w:t>
      </w:r>
    </w:p>
    <w:p w14:paraId="7BD198A1">
      <w:pPr>
        <w:adjustRightInd w:val="0"/>
        <w:snapToGrid w:val="0"/>
        <w:spacing w:line="400" w:lineRule="exact"/>
        <w:ind w:firstLine="840" w:firstLineChars="400"/>
        <w:rPr>
          <w:rFonts w:hint="eastAsia" w:ascii="宋体" w:hAnsi="宋体"/>
          <w:bCs/>
          <w:sz w:val="21"/>
          <w:szCs w:val="21"/>
          <w:highlight w:val="none"/>
        </w:rPr>
      </w:pPr>
      <w:r>
        <w:rPr>
          <w:rFonts w:hint="eastAsia" w:ascii="宋体" w:hAnsi="宋体"/>
          <w:bCs/>
          <w:sz w:val="21"/>
          <w:szCs w:val="21"/>
          <w:highlight w:val="none"/>
        </w:rPr>
        <w:t>是否进行抽查检测：</w:t>
      </w:r>
      <w:r>
        <w:rPr>
          <w:rFonts w:hint="eastAsia" w:ascii="宋体" w:hAnsi="宋体" w:cs="宋体"/>
          <w:sz w:val="21"/>
          <w:szCs w:val="21"/>
          <w:highlight w:val="none"/>
        </w:rPr>
        <w:sym w:font="Wingdings" w:char="00A8"/>
      </w:r>
      <w:r>
        <w:rPr>
          <w:rFonts w:hint="eastAsia" w:ascii="宋体" w:hAnsi="宋体"/>
          <w:bCs/>
          <w:sz w:val="21"/>
          <w:szCs w:val="21"/>
          <w:highlight w:val="none"/>
        </w:rPr>
        <w:t>是，抽查比例：</w:t>
      </w:r>
      <w:r>
        <w:rPr>
          <w:rFonts w:hint="eastAsia" w:ascii="宋体" w:hAnsi="宋体"/>
          <w:bCs/>
          <w:sz w:val="21"/>
          <w:szCs w:val="21"/>
          <w:highlight w:val="none"/>
          <w:u w:val="single"/>
        </w:rPr>
        <w:t xml:space="preserve">        </w:t>
      </w:r>
      <w:r>
        <w:rPr>
          <w:rFonts w:hint="eastAsia" w:ascii="宋体" w:hAnsi="宋体"/>
          <w:bCs/>
          <w:sz w:val="21"/>
          <w:szCs w:val="21"/>
          <w:highlight w:val="none"/>
        </w:rPr>
        <w:t xml:space="preserve"> </w:t>
      </w:r>
      <w:r>
        <w:rPr>
          <w:rFonts w:hint="eastAsia" w:ascii="宋体" w:hAnsi="宋体" w:cs="宋体"/>
          <w:sz w:val="21"/>
          <w:szCs w:val="21"/>
          <w:highlight w:val="none"/>
        </w:rPr>
        <w:sym w:font="Wingdings" w:char="00A8"/>
      </w:r>
      <w:r>
        <w:rPr>
          <w:rFonts w:hint="eastAsia" w:ascii="宋体" w:hAnsi="宋体"/>
          <w:bCs/>
          <w:sz w:val="21"/>
          <w:szCs w:val="21"/>
          <w:highlight w:val="none"/>
        </w:rPr>
        <w:t>否</w:t>
      </w:r>
    </w:p>
    <w:p w14:paraId="2A724BD3">
      <w:pPr>
        <w:adjustRightInd w:val="0"/>
        <w:snapToGrid w:val="0"/>
        <w:spacing w:line="400" w:lineRule="exact"/>
        <w:ind w:firstLine="840" w:firstLineChars="400"/>
        <w:rPr>
          <w:rFonts w:hint="eastAsia" w:ascii="宋体" w:hAnsi="宋体"/>
          <w:bCs/>
          <w:sz w:val="21"/>
          <w:szCs w:val="21"/>
          <w:highlight w:val="none"/>
          <w:u w:val="single"/>
        </w:rPr>
      </w:pPr>
      <w:r>
        <w:rPr>
          <w:rFonts w:hint="eastAsia" w:ascii="宋体" w:hAnsi="宋体"/>
          <w:bCs/>
          <w:sz w:val="21"/>
          <w:szCs w:val="21"/>
          <w:highlight w:val="none"/>
        </w:rPr>
        <w:t>是否存在破坏性检测：</w:t>
      </w:r>
      <w:r>
        <w:rPr>
          <w:rFonts w:hint="eastAsia" w:ascii="宋体" w:hAnsi="宋体" w:cs="宋体"/>
          <w:sz w:val="21"/>
          <w:szCs w:val="21"/>
          <w:highlight w:val="none"/>
        </w:rPr>
        <w:sym w:font="Wingdings" w:char="00A8"/>
      </w:r>
      <w:r>
        <w:rPr>
          <w:rFonts w:hint="eastAsia" w:ascii="宋体" w:hAnsi="宋体"/>
          <w:bCs/>
          <w:sz w:val="21"/>
          <w:szCs w:val="21"/>
          <w:highlight w:val="none"/>
        </w:rPr>
        <w:t>是，</w:t>
      </w:r>
      <w:r>
        <w:rPr>
          <w:rFonts w:hint="eastAsia" w:ascii="宋体" w:hAnsi="宋体"/>
          <w:bCs/>
          <w:sz w:val="21"/>
          <w:szCs w:val="21"/>
          <w:highlight w:val="none"/>
          <w:u w:val="single"/>
        </w:rPr>
        <w:t>（应明确对被破坏的检测产品的处理方式）</w:t>
      </w:r>
    </w:p>
    <w:p w14:paraId="50FCE897">
      <w:pPr>
        <w:adjustRightInd w:val="0"/>
        <w:snapToGrid w:val="0"/>
        <w:spacing w:line="400" w:lineRule="exact"/>
        <w:ind w:firstLine="840" w:firstLineChars="400"/>
        <w:rPr>
          <w:rFonts w:hint="eastAsia" w:ascii="宋体" w:hAnsi="宋体"/>
          <w:bCs/>
          <w:sz w:val="21"/>
          <w:szCs w:val="21"/>
          <w:highlight w:val="none"/>
        </w:rPr>
      </w:pPr>
      <w:r>
        <w:rPr>
          <w:rFonts w:hint="eastAsia" w:ascii="宋体" w:hAnsi="宋体"/>
          <w:bCs/>
          <w:sz w:val="21"/>
          <w:szCs w:val="21"/>
          <w:highlight w:val="none"/>
        </w:rPr>
        <w:t xml:space="preserve">                    </w:t>
      </w:r>
      <w:r>
        <w:rPr>
          <w:rFonts w:hint="eastAsia" w:ascii="宋体" w:hAnsi="宋体" w:cs="宋体"/>
          <w:sz w:val="21"/>
          <w:szCs w:val="21"/>
          <w:highlight w:val="none"/>
        </w:rPr>
        <w:sym w:font="Wingdings" w:char="00A8"/>
      </w:r>
      <w:r>
        <w:rPr>
          <w:rFonts w:hint="eastAsia" w:ascii="宋体" w:hAnsi="宋体"/>
          <w:bCs/>
          <w:sz w:val="21"/>
          <w:szCs w:val="21"/>
          <w:highlight w:val="none"/>
        </w:rPr>
        <w:t>否</w:t>
      </w:r>
    </w:p>
    <w:p w14:paraId="6BEDCB2B">
      <w:pPr>
        <w:adjustRightInd w:val="0"/>
        <w:snapToGrid w:val="0"/>
        <w:spacing w:line="400" w:lineRule="exact"/>
        <w:ind w:firstLine="840" w:firstLineChars="400"/>
        <w:rPr>
          <w:rFonts w:hint="eastAsia" w:ascii="宋体" w:hAnsi="宋体"/>
          <w:bCs/>
          <w:sz w:val="21"/>
          <w:szCs w:val="21"/>
          <w:highlight w:val="none"/>
          <w:u w:val="single"/>
        </w:rPr>
      </w:pPr>
      <w:r>
        <w:rPr>
          <w:rFonts w:hint="eastAsia" w:ascii="宋体" w:hAnsi="宋体"/>
          <w:bCs/>
          <w:sz w:val="21"/>
          <w:szCs w:val="21"/>
          <w:highlight w:val="none"/>
        </w:rPr>
        <w:t>验收组织的其他事项：</w:t>
      </w:r>
      <w:r>
        <w:rPr>
          <w:rFonts w:hint="eastAsia" w:ascii="宋体" w:hAnsi="宋体"/>
          <w:bCs/>
          <w:sz w:val="21"/>
          <w:szCs w:val="21"/>
          <w:highlight w:val="none"/>
          <w:u w:val="single"/>
        </w:rPr>
        <w:t xml:space="preserve">                </w:t>
      </w:r>
    </w:p>
    <w:p w14:paraId="20DD1C1E">
      <w:pPr>
        <w:adjustRightInd w:val="0"/>
        <w:snapToGrid w:val="0"/>
        <w:spacing w:line="400" w:lineRule="exact"/>
        <w:ind w:firstLine="420" w:firstLineChars="200"/>
        <w:rPr>
          <w:rFonts w:hint="eastAsia" w:ascii="宋体" w:hAnsi="宋体"/>
          <w:bCs/>
          <w:sz w:val="21"/>
          <w:szCs w:val="21"/>
          <w:highlight w:val="none"/>
          <w:u w:val="single"/>
        </w:rPr>
      </w:pPr>
      <w:r>
        <w:rPr>
          <w:rFonts w:hint="eastAsia" w:ascii="宋体" w:hAnsi="宋体"/>
          <w:bCs/>
          <w:sz w:val="21"/>
          <w:szCs w:val="21"/>
          <w:highlight w:val="none"/>
        </w:rPr>
        <w:t>（2）履约验收时间：</w:t>
      </w:r>
      <w:r>
        <w:rPr>
          <w:rFonts w:hint="eastAsia" w:ascii="宋体" w:hAnsi="宋体"/>
          <w:bCs/>
          <w:sz w:val="21"/>
          <w:szCs w:val="21"/>
          <w:highlight w:val="none"/>
          <w:u w:val="single"/>
        </w:rPr>
        <w:t xml:space="preserve">（计划于何时验收/供应商提出验收申请之日起   日内组织验收） </w:t>
      </w:r>
    </w:p>
    <w:p w14:paraId="588D636E">
      <w:pPr>
        <w:adjustRightInd w:val="0"/>
        <w:snapToGrid w:val="0"/>
        <w:spacing w:line="400" w:lineRule="exact"/>
        <w:ind w:firstLine="420" w:firstLineChars="200"/>
        <w:rPr>
          <w:rFonts w:hint="eastAsia" w:ascii="宋体" w:hAnsi="宋体"/>
          <w:bCs/>
          <w:sz w:val="21"/>
          <w:szCs w:val="21"/>
          <w:highlight w:val="none"/>
        </w:rPr>
      </w:pPr>
      <w:r>
        <w:rPr>
          <w:rFonts w:hint="eastAsia" w:ascii="宋体" w:hAnsi="宋体"/>
          <w:bCs/>
          <w:sz w:val="21"/>
          <w:szCs w:val="21"/>
          <w:highlight w:val="none"/>
        </w:rPr>
        <w:t>（3）履约验收方式：</w:t>
      </w:r>
      <w:r>
        <w:rPr>
          <w:rFonts w:hint="eastAsia" w:ascii="宋体" w:hAnsi="宋体" w:cs="宋体"/>
          <w:sz w:val="21"/>
          <w:szCs w:val="21"/>
          <w:highlight w:val="none"/>
        </w:rPr>
        <w:sym w:font="Wingdings" w:char="00A8"/>
      </w:r>
      <w:r>
        <w:rPr>
          <w:rFonts w:hint="eastAsia" w:ascii="宋体" w:hAnsi="宋体"/>
          <w:bCs/>
          <w:sz w:val="21"/>
          <w:szCs w:val="21"/>
          <w:highlight w:val="none"/>
        </w:rPr>
        <w:t xml:space="preserve">一次性验收         </w:t>
      </w:r>
    </w:p>
    <w:p w14:paraId="4396E470">
      <w:pPr>
        <w:adjustRightInd w:val="0"/>
        <w:snapToGrid w:val="0"/>
        <w:spacing w:line="400" w:lineRule="exact"/>
        <w:ind w:firstLine="420"/>
        <w:rPr>
          <w:rFonts w:hint="eastAsia" w:ascii="宋体" w:hAnsi="宋体"/>
          <w:bCs/>
          <w:sz w:val="21"/>
          <w:szCs w:val="21"/>
          <w:highlight w:val="none"/>
        </w:rPr>
      </w:pPr>
      <w:r>
        <w:rPr>
          <w:rFonts w:hint="eastAsia" w:ascii="宋体" w:hAnsi="宋体"/>
          <w:bCs/>
          <w:sz w:val="21"/>
          <w:szCs w:val="21"/>
          <w:highlight w:val="none"/>
        </w:rPr>
        <w:t xml:space="preserve">                   </w:t>
      </w:r>
      <w:r>
        <w:rPr>
          <w:rFonts w:hint="eastAsia" w:ascii="宋体" w:hAnsi="宋体" w:cs="宋体"/>
          <w:sz w:val="21"/>
          <w:szCs w:val="21"/>
          <w:highlight w:val="none"/>
        </w:rPr>
        <w:sym w:font="Wingdings" w:char="00A8"/>
      </w:r>
      <w:r>
        <w:rPr>
          <w:rFonts w:hint="eastAsia" w:ascii="宋体" w:hAnsi="宋体"/>
          <w:bCs/>
          <w:sz w:val="21"/>
          <w:szCs w:val="21"/>
          <w:highlight w:val="none"/>
        </w:rPr>
        <w:t>分期/分项验收：</w:t>
      </w:r>
      <w:r>
        <w:rPr>
          <w:rFonts w:hint="eastAsia" w:ascii="宋体" w:hAnsi="宋体"/>
          <w:bCs/>
          <w:sz w:val="21"/>
          <w:szCs w:val="21"/>
          <w:highlight w:val="none"/>
          <w:u w:val="single"/>
        </w:rPr>
        <w:t xml:space="preserve"> （应明确分期</w:t>
      </w:r>
      <w:r>
        <w:rPr>
          <w:rFonts w:ascii="宋体" w:hAnsi="宋体"/>
          <w:bCs/>
          <w:sz w:val="21"/>
          <w:szCs w:val="21"/>
          <w:highlight w:val="none"/>
          <w:u w:val="single"/>
          <w:lang w:val="en"/>
        </w:rPr>
        <w:t>/</w:t>
      </w:r>
      <w:r>
        <w:rPr>
          <w:rFonts w:hint="eastAsia" w:ascii="宋体" w:hAnsi="宋体"/>
          <w:bCs/>
          <w:sz w:val="21"/>
          <w:szCs w:val="21"/>
          <w:highlight w:val="none"/>
          <w:u w:val="single"/>
          <w:lang w:val="en"/>
        </w:rPr>
        <w:t>分项验收的工作安排</w:t>
      </w:r>
      <w:r>
        <w:rPr>
          <w:rFonts w:hint="eastAsia" w:ascii="宋体" w:hAnsi="宋体"/>
          <w:bCs/>
          <w:sz w:val="21"/>
          <w:szCs w:val="21"/>
          <w:highlight w:val="none"/>
          <w:u w:val="single"/>
        </w:rPr>
        <w:t xml:space="preserve">）  </w:t>
      </w:r>
    </w:p>
    <w:p w14:paraId="5CEFD825">
      <w:pPr>
        <w:adjustRightInd w:val="0"/>
        <w:snapToGrid w:val="0"/>
        <w:spacing w:line="400" w:lineRule="exact"/>
        <w:ind w:firstLine="420" w:firstLineChars="200"/>
        <w:rPr>
          <w:rFonts w:hint="eastAsia" w:ascii="宋体" w:hAnsi="宋体"/>
          <w:bCs/>
          <w:sz w:val="21"/>
          <w:szCs w:val="21"/>
          <w:highlight w:val="none"/>
        </w:rPr>
      </w:pPr>
      <w:r>
        <w:rPr>
          <w:rFonts w:hint="eastAsia" w:ascii="宋体" w:hAnsi="宋体"/>
          <w:bCs/>
          <w:sz w:val="21"/>
          <w:szCs w:val="21"/>
          <w:highlight w:val="none"/>
        </w:rPr>
        <w:t>（4）履约验收程序：</w:t>
      </w:r>
      <w:r>
        <w:rPr>
          <w:rFonts w:hint="eastAsia" w:ascii="宋体" w:hAnsi="宋体"/>
          <w:bCs/>
          <w:sz w:val="21"/>
          <w:szCs w:val="21"/>
          <w:highlight w:val="none"/>
          <w:u w:val="single"/>
        </w:rPr>
        <w:t xml:space="preserve">                                         </w:t>
      </w:r>
    </w:p>
    <w:p w14:paraId="7985D4D1">
      <w:pPr>
        <w:adjustRightInd w:val="0"/>
        <w:snapToGrid w:val="0"/>
        <w:spacing w:line="400" w:lineRule="exact"/>
        <w:ind w:firstLine="420" w:firstLineChars="200"/>
        <w:rPr>
          <w:rFonts w:hint="eastAsia" w:ascii="宋体" w:hAnsi="宋体"/>
          <w:bCs/>
          <w:sz w:val="21"/>
          <w:szCs w:val="21"/>
          <w:highlight w:val="none"/>
          <w:u w:val="single"/>
        </w:rPr>
      </w:pPr>
      <w:r>
        <w:rPr>
          <w:rFonts w:hint="eastAsia" w:ascii="宋体" w:hAnsi="宋体"/>
          <w:bCs/>
          <w:sz w:val="21"/>
          <w:szCs w:val="21"/>
          <w:highlight w:val="none"/>
        </w:rPr>
        <w:t>（5）履约验收的内容：</w:t>
      </w:r>
      <w:r>
        <w:rPr>
          <w:rFonts w:hint="eastAsia" w:ascii="宋体" w:hAnsi="宋体"/>
          <w:bCs/>
          <w:sz w:val="21"/>
          <w:szCs w:val="21"/>
          <w:highlight w:val="none"/>
          <w:u w:val="single"/>
        </w:rPr>
        <w:t xml:space="preserve"> （应当包括每一项技术和商务要求的履约情况，特别是落实政府采购扶持中小企业，支持绿色发展和乡村振兴等政策情况）                                      </w:t>
      </w:r>
    </w:p>
    <w:p w14:paraId="5CA45F08">
      <w:pPr>
        <w:adjustRightInd w:val="0"/>
        <w:snapToGrid w:val="0"/>
        <w:spacing w:line="400" w:lineRule="exact"/>
        <w:ind w:firstLine="420" w:firstLineChars="200"/>
        <w:rPr>
          <w:rFonts w:hint="eastAsia" w:ascii="宋体" w:hAnsi="宋体"/>
          <w:bCs/>
          <w:sz w:val="21"/>
          <w:szCs w:val="21"/>
          <w:highlight w:val="none"/>
          <w:u w:val="single"/>
        </w:rPr>
      </w:pPr>
      <w:r>
        <w:rPr>
          <w:rFonts w:hint="eastAsia" w:ascii="宋体" w:hAnsi="宋体"/>
          <w:bCs/>
          <w:sz w:val="21"/>
          <w:szCs w:val="21"/>
          <w:highlight w:val="none"/>
        </w:rPr>
        <w:t>（6）履约验收标准：</w:t>
      </w:r>
      <w:r>
        <w:rPr>
          <w:rFonts w:hint="eastAsia" w:ascii="宋体" w:hAnsi="宋体"/>
          <w:bCs/>
          <w:sz w:val="21"/>
          <w:szCs w:val="21"/>
          <w:highlight w:val="none"/>
          <w:u w:val="single"/>
        </w:rPr>
        <w:t xml:space="preserve">                                         </w:t>
      </w:r>
    </w:p>
    <w:p w14:paraId="6F3325A7">
      <w:pPr>
        <w:pStyle w:val="59"/>
        <w:ind w:firstLine="420"/>
        <w:rPr>
          <w:rFonts w:hint="eastAsia" w:ascii="宋体" w:hAnsi="宋体" w:eastAsia="宋体" w:cs="宋体"/>
          <w:sz w:val="21"/>
          <w:highlight w:val="none"/>
        </w:rPr>
      </w:pPr>
      <w:r>
        <w:rPr>
          <w:rFonts w:hint="eastAsia" w:ascii="宋体" w:hAnsi="宋体" w:eastAsia="宋体" w:cs="宋体"/>
          <w:bCs/>
          <w:sz w:val="21"/>
          <w:highlight w:val="none"/>
        </w:rPr>
        <w:t>（7）是否以采购活动中供应商提供的样品作为参考：</w:t>
      </w:r>
      <w:r>
        <w:rPr>
          <w:rFonts w:hint="eastAsia" w:ascii="宋体" w:hAnsi="宋体" w:eastAsia="宋体" w:cs="宋体"/>
          <w:sz w:val="21"/>
          <w:highlight w:val="none"/>
        </w:rPr>
        <w:sym w:font="Wingdings" w:char="00A8"/>
      </w:r>
      <w:r>
        <w:rPr>
          <w:rFonts w:hint="eastAsia" w:ascii="宋体" w:hAnsi="宋体" w:eastAsia="宋体" w:cs="宋体"/>
          <w:bCs/>
          <w:sz w:val="21"/>
          <w:highlight w:val="none"/>
        </w:rPr>
        <w:t xml:space="preserve">是  </w:t>
      </w:r>
      <w:r>
        <w:rPr>
          <w:rFonts w:hint="eastAsia" w:ascii="宋体" w:hAnsi="宋体" w:eastAsia="宋体" w:cs="宋体"/>
          <w:sz w:val="21"/>
          <w:highlight w:val="none"/>
        </w:rPr>
        <w:sym w:font="Wingdings" w:char="00A8"/>
      </w:r>
      <w:r>
        <w:rPr>
          <w:rFonts w:hint="eastAsia" w:ascii="宋体" w:hAnsi="宋体" w:eastAsia="宋体" w:cs="宋体"/>
          <w:bCs/>
          <w:sz w:val="21"/>
          <w:highlight w:val="none"/>
        </w:rPr>
        <w:t>否</w:t>
      </w:r>
    </w:p>
    <w:p w14:paraId="071BCC40">
      <w:pPr>
        <w:adjustRightInd w:val="0"/>
        <w:snapToGrid w:val="0"/>
        <w:spacing w:line="400" w:lineRule="exact"/>
        <w:ind w:firstLine="420" w:firstLineChars="200"/>
        <w:rPr>
          <w:rFonts w:hint="eastAsia" w:ascii="宋体" w:hAnsi="宋体" w:cs="宋体"/>
          <w:bCs/>
          <w:sz w:val="21"/>
          <w:szCs w:val="21"/>
          <w:highlight w:val="none"/>
          <w:u w:val="single"/>
        </w:rPr>
      </w:pPr>
      <w:r>
        <w:rPr>
          <w:rFonts w:hint="eastAsia" w:ascii="宋体" w:hAnsi="宋体" w:cs="宋体"/>
          <w:bCs/>
          <w:sz w:val="21"/>
          <w:szCs w:val="21"/>
          <w:highlight w:val="none"/>
        </w:rPr>
        <w:t>（8）履约验收其他事项：</w:t>
      </w:r>
      <w:r>
        <w:rPr>
          <w:rFonts w:hint="eastAsia" w:ascii="宋体" w:hAnsi="宋体" w:cs="宋体"/>
          <w:bCs/>
          <w:sz w:val="21"/>
          <w:szCs w:val="21"/>
          <w:highlight w:val="none"/>
          <w:u w:val="single"/>
        </w:rPr>
        <w:t xml:space="preserve">      （产权过户登记等）          </w:t>
      </w:r>
    </w:p>
    <w:p w14:paraId="20485D5F">
      <w:pPr>
        <w:numPr>
          <w:ilvl w:val="0"/>
          <w:numId w:val="3"/>
        </w:numPr>
        <w:adjustRightInd w:val="0"/>
        <w:snapToGrid w:val="0"/>
        <w:spacing w:line="400" w:lineRule="exact"/>
        <w:ind w:firstLine="422" w:firstLineChars="200"/>
        <w:rPr>
          <w:rFonts w:hint="eastAsia" w:ascii="宋体" w:hAnsi="宋体"/>
          <w:b/>
          <w:sz w:val="21"/>
          <w:szCs w:val="21"/>
          <w:highlight w:val="none"/>
        </w:rPr>
      </w:pPr>
      <w:r>
        <w:rPr>
          <w:rFonts w:hint="eastAsia" w:ascii="宋体" w:hAnsi="宋体"/>
          <w:b/>
          <w:sz w:val="21"/>
          <w:szCs w:val="21"/>
          <w:highlight w:val="none"/>
        </w:rPr>
        <w:t>组成合同的文件</w:t>
      </w:r>
    </w:p>
    <w:p w14:paraId="3F894031">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本协议书与下列文件一起构成合同文件，如下述文件之间有任何抵触、矛盾或歧义，应按以下顺序解释：</w:t>
      </w:r>
    </w:p>
    <w:p w14:paraId="278BA0A6">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（1）政府采购合同协议书及其变更、补充协议</w:t>
      </w:r>
    </w:p>
    <w:p w14:paraId="6EE3FCBA">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（2）政府采购合同专用条款</w:t>
      </w:r>
    </w:p>
    <w:p w14:paraId="23547618">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（3）政府采购合同通用条款</w:t>
      </w:r>
    </w:p>
    <w:p w14:paraId="2EC9637E">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（4）中标（成交）通知书</w:t>
      </w:r>
    </w:p>
    <w:p w14:paraId="7694E05A">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（5）投标（响应）文件</w:t>
      </w:r>
    </w:p>
    <w:p w14:paraId="3797C160">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（6）采购文件</w:t>
      </w:r>
    </w:p>
    <w:p w14:paraId="510E011E">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（7）有关技术文件，图纸</w:t>
      </w:r>
    </w:p>
    <w:p w14:paraId="6121279C">
      <w:pPr>
        <w:pStyle w:val="59"/>
        <w:ind w:firstLine="420"/>
        <w:rPr>
          <w:rFonts w:hint="eastAsia" w:ascii="宋体" w:hAnsi="宋体" w:eastAsia="宋体" w:cs="宋体"/>
          <w:kern w:val="2"/>
          <w:sz w:val="21"/>
          <w:highlight w:val="none"/>
        </w:rPr>
      </w:pPr>
      <w:r>
        <w:rPr>
          <w:rFonts w:hint="eastAsia" w:ascii="宋体" w:hAnsi="宋体" w:eastAsia="宋体" w:cs="宋体"/>
          <w:sz w:val="21"/>
          <w:highlight w:val="none"/>
        </w:rPr>
        <w:t>（8）</w:t>
      </w:r>
      <w:r>
        <w:rPr>
          <w:rFonts w:hint="eastAsia" w:ascii="宋体" w:hAnsi="宋体" w:eastAsia="宋体" w:cs="宋体"/>
          <w:color w:val="000000"/>
          <w:kern w:val="2"/>
          <w:sz w:val="21"/>
          <w:highlight w:val="none"/>
        </w:rPr>
        <w:t>国家法律、行政法规和规章制度规定或合同约定的作为合同组成部分的其他文件</w:t>
      </w:r>
    </w:p>
    <w:p w14:paraId="3201BCFE">
      <w:pPr>
        <w:numPr>
          <w:ilvl w:val="0"/>
          <w:numId w:val="3"/>
        </w:numPr>
        <w:adjustRightInd w:val="0"/>
        <w:snapToGrid w:val="0"/>
        <w:spacing w:line="400" w:lineRule="exact"/>
        <w:ind w:firstLine="422" w:firstLineChars="200"/>
        <w:rPr>
          <w:rFonts w:hint="eastAsia" w:ascii="宋体" w:hAnsi="宋体"/>
          <w:b/>
          <w:sz w:val="21"/>
          <w:szCs w:val="21"/>
          <w:highlight w:val="none"/>
        </w:rPr>
      </w:pPr>
      <w:r>
        <w:rPr>
          <w:rFonts w:hint="eastAsia" w:ascii="宋体" w:hAnsi="宋体"/>
          <w:b/>
          <w:sz w:val="21"/>
          <w:szCs w:val="21"/>
          <w:highlight w:val="none"/>
        </w:rPr>
        <w:t>合同生效</w:t>
      </w:r>
    </w:p>
    <w:p w14:paraId="10B8A25D">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本合同自</w:t>
      </w:r>
      <w:r>
        <w:rPr>
          <w:rFonts w:hint="eastAsia" w:ascii="宋体" w:hAnsi="宋体"/>
          <w:sz w:val="21"/>
          <w:szCs w:val="21"/>
          <w:highlight w:val="none"/>
          <w:u w:val="single"/>
        </w:rPr>
        <w:t xml:space="preserve">                             </w:t>
      </w:r>
      <w:r>
        <w:rPr>
          <w:rFonts w:hint="eastAsia" w:ascii="宋体" w:hAnsi="宋体"/>
          <w:sz w:val="21"/>
          <w:szCs w:val="21"/>
          <w:highlight w:val="none"/>
        </w:rPr>
        <w:t>生效。</w:t>
      </w:r>
    </w:p>
    <w:p w14:paraId="13E0C294">
      <w:pPr>
        <w:numPr>
          <w:ilvl w:val="0"/>
          <w:numId w:val="3"/>
        </w:numPr>
        <w:adjustRightInd w:val="0"/>
        <w:snapToGrid w:val="0"/>
        <w:spacing w:line="400" w:lineRule="exact"/>
        <w:ind w:firstLine="422" w:firstLineChars="200"/>
        <w:rPr>
          <w:rFonts w:hint="eastAsia" w:ascii="宋体" w:hAnsi="宋体"/>
          <w:b/>
          <w:sz w:val="21"/>
          <w:szCs w:val="21"/>
          <w:highlight w:val="none"/>
        </w:rPr>
      </w:pPr>
      <w:r>
        <w:rPr>
          <w:rFonts w:hint="eastAsia" w:ascii="宋体" w:hAnsi="宋体"/>
          <w:b/>
          <w:sz w:val="21"/>
          <w:szCs w:val="21"/>
          <w:highlight w:val="none"/>
        </w:rPr>
        <w:t>合同份数</w:t>
      </w:r>
    </w:p>
    <w:p w14:paraId="053D7763">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本合同一式</w:t>
      </w:r>
      <w:r>
        <w:rPr>
          <w:rFonts w:hint="eastAsia" w:ascii="宋体" w:hAnsi="宋体"/>
          <w:sz w:val="21"/>
          <w:szCs w:val="21"/>
          <w:highlight w:val="none"/>
          <w:u w:val="single"/>
        </w:rPr>
        <w:t xml:space="preserve">    </w:t>
      </w:r>
      <w:r>
        <w:rPr>
          <w:rFonts w:hint="eastAsia" w:ascii="宋体" w:hAnsi="宋体"/>
          <w:sz w:val="21"/>
          <w:szCs w:val="21"/>
          <w:highlight w:val="none"/>
        </w:rPr>
        <w:t>份，甲方执</w:t>
      </w:r>
      <w:r>
        <w:rPr>
          <w:rFonts w:hint="eastAsia" w:ascii="宋体" w:hAnsi="宋体"/>
          <w:sz w:val="21"/>
          <w:szCs w:val="21"/>
          <w:highlight w:val="none"/>
          <w:u w:val="single"/>
        </w:rPr>
        <w:t xml:space="preserve">    </w:t>
      </w:r>
      <w:r>
        <w:rPr>
          <w:rFonts w:hint="eastAsia" w:ascii="宋体" w:hAnsi="宋体"/>
          <w:sz w:val="21"/>
          <w:szCs w:val="21"/>
          <w:highlight w:val="none"/>
        </w:rPr>
        <w:t>份，乙方执</w:t>
      </w:r>
      <w:r>
        <w:rPr>
          <w:rFonts w:hint="eastAsia" w:ascii="宋体" w:hAnsi="宋体"/>
          <w:sz w:val="21"/>
          <w:szCs w:val="21"/>
          <w:highlight w:val="none"/>
          <w:u w:val="single"/>
        </w:rPr>
        <w:t xml:space="preserve">    </w:t>
      </w:r>
      <w:r>
        <w:rPr>
          <w:rFonts w:hint="eastAsia" w:ascii="宋体" w:hAnsi="宋体"/>
          <w:sz w:val="21"/>
          <w:szCs w:val="21"/>
          <w:highlight w:val="none"/>
        </w:rPr>
        <w:t>份，均具有同等法律效力。</w:t>
      </w:r>
    </w:p>
    <w:p w14:paraId="56B55DE2">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合同订立时间：</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14:paraId="5AC715B6">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合同订立地点：</w:t>
      </w:r>
      <w:r>
        <w:rPr>
          <w:rFonts w:hint="eastAsia" w:ascii="宋体" w:hAnsi="宋体"/>
          <w:sz w:val="21"/>
          <w:szCs w:val="21"/>
          <w:highlight w:val="none"/>
          <w:u w:val="single"/>
        </w:rPr>
        <w:t xml:space="preserve">                           </w:t>
      </w:r>
    </w:p>
    <w:p w14:paraId="0A2D2B75">
      <w:pPr>
        <w:adjustRightInd w:val="0"/>
        <w:snapToGrid w:val="0"/>
        <w:spacing w:line="400" w:lineRule="exact"/>
        <w:ind w:firstLine="420" w:firstLineChars="200"/>
        <w:rPr>
          <w:sz w:val="21"/>
          <w:szCs w:val="21"/>
          <w:highlight w:val="none"/>
        </w:rPr>
      </w:pPr>
      <w:r>
        <w:rPr>
          <w:rFonts w:hint="eastAsia" w:ascii="宋体" w:hAnsi="宋体"/>
          <w:sz w:val="21"/>
          <w:szCs w:val="21"/>
          <w:highlight w:val="none"/>
        </w:rPr>
        <w:t>附件：具体标的及其技术要求和商务要求、联合协议、分包意向协议等。</w:t>
      </w:r>
    </w:p>
    <w:p w14:paraId="6E8AD520">
      <w:pPr>
        <w:pStyle w:val="60"/>
        <w:spacing w:line="400" w:lineRule="exact"/>
        <w:rPr>
          <w:szCs w:val="21"/>
          <w:highlight w:val="none"/>
        </w:rPr>
      </w:pPr>
    </w:p>
    <w:p w14:paraId="1414A16F">
      <w:pPr>
        <w:pStyle w:val="60"/>
        <w:spacing w:line="400" w:lineRule="exact"/>
        <w:rPr>
          <w:szCs w:val="21"/>
          <w:highlight w:val="none"/>
        </w:rPr>
      </w:pPr>
    </w:p>
    <w:p w14:paraId="348A6897">
      <w:pPr>
        <w:pStyle w:val="60"/>
        <w:spacing w:line="400" w:lineRule="exact"/>
        <w:rPr>
          <w:szCs w:val="21"/>
          <w:highlight w:val="none"/>
        </w:rPr>
      </w:pPr>
    </w:p>
    <w:p w14:paraId="04DAE1E1">
      <w:pPr>
        <w:pStyle w:val="3"/>
        <w:spacing w:line="400" w:lineRule="exact"/>
        <w:ind w:firstLine="422"/>
        <w:rPr>
          <w:sz w:val="21"/>
          <w:szCs w:val="21"/>
          <w:highlight w:val="none"/>
          <w:lang w:val="en"/>
        </w:rPr>
      </w:pPr>
    </w:p>
    <w:p w14:paraId="7D8C8DBE">
      <w:pPr>
        <w:rPr>
          <w:rFonts w:hint="eastAsia"/>
          <w:highlight w:val="none"/>
        </w:rPr>
      </w:pP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01"/>
        <w:gridCol w:w="2551"/>
        <w:gridCol w:w="2093"/>
        <w:gridCol w:w="2239"/>
      </w:tblGrid>
      <w:tr w14:paraId="3C3D6D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4C727A63">
            <w:pPr>
              <w:ind w:firstLine="420"/>
              <w:rPr>
                <w:sz w:val="21"/>
                <w:szCs w:val="21"/>
                <w:highlight w:val="none"/>
              </w:rPr>
            </w:pPr>
            <w:r>
              <w:rPr>
                <w:rFonts w:hint="eastAsia"/>
                <w:sz w:val="21"/>
                <w:szCs w:val="21"/>
                <w:highlight w:val="none"/>
              </w:rPr>
              <w:br w:type="page"/>
            </w:r>
            <w:r>
              <w:rPr>
                <w:sz w:val="21"/>
                <w:szCs w:val="21"/>
                <w:highlight w:val="none"/>
              </w:rPr>
              <w:t>甲方</w:t>
            </w:r>
            <w:r>
              <w:rPr>
                <w:rFonts w:hint="eastAsia"/>
                <w:sz w:val="21"/>
                <w:szCs w:val="21"/>
                <w:highlight w:val="none"/>
              </w:rPr>
              <w:t>（采购人</w:t>
            </w:r>
            <w:r>
              <w:rPr>
                <w:rFonts w:hint="eastAsia" w:ascii="宋体" w:hAnsi="宋体"/>
                <w:sz w:val="21"/>
                <w:szCs w:val="21"/>
                <w:highlight w:val="none"/>
              </w:rPr>
              <w:t>、受采购人委托签订合同的单位或</w:t>
            </w:r>
            <w:r>
              <w:rPr>
                <w:rFonts w:hint="eastAsia"/>
                <w:sz w:val="21"/>
                <w:szCs w:val="21"/>
                <w:highlight w:val="none"/>
              </w:rPr>
              <w:t>采购文件约定的合同甲方）</w:t>
            </w:r>
          </w:p>
        </w:tc>
        <w:tc>
          <w:tcPr>
            <w:tcW w:w="2437" w:type="pct"/>
            <w:gridSpan w:val="2"/>
            <w:tcBorders>
              <w:left w:val="single" w:color="auto" w:sz="2" w:space="0"/>
              <w:bottom w:val="single" w:color="auto" w:sz="2" w:space="0"/>
            </w:tcBorders>
            <w:noWrap w:val="0"/>
            <w:vAlign w:val="center"/>
          </w:tcPr>
          <w:p w14:paraId="75F07DD2">
            <w:pPr>
              <w:adjustRightInd w:val="0"/>
              <w:snapToGrid w:val="0"/>
              <w:spacing w:line="300" w:lineRule="exact"/>
              <w:ind w:firstLine="420"/>
              <w:jc w:val="center"/>
              <w:rPr>
                <w:sz w:val="21"/>
                <w:szCs w:val="21"/>
                <w:highlight w:val="none"/>
              </w:rPr>
            </w:pPr>
            <w:r>
              <w:rPr>
                <w:sz w:val="21"/>
                <w:szCs w:val="21"/>
                <w:highlight w:val="none"/>
              </w:rPr>
              <w:t>乙方</w:t>
            </w:r>
            <w:r>
              <w:rPr>
                <w:rFonts w:hint="eastAsia"/>
                <w:sz w:val="21"/>
                <w:szCs w:val="21"/>
                <w:highlight w:val="none"/>
              </w:rPr>
              <w:t>（供应商）</w:t>
            </w:r>
          </w:p>
        </w:tc>
      </w:tr>
      <w:tr w14:paraId="491DC5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357CED0C">
            <w:pPr>
              <w:adjustRightInd w:val="0"/>
              <w:snapToGrid w:val="0"/>
              <w:spacing w:line="300" w:lineRule="exact"/>
              <w:jc w:val="center"/>
              <w:rPr>
                <w:sz w:val="21"/>
                <w:szCs w:val="21"/>
                <w:highlight w:val="none"/>
              </w:rPr>
            </w:pPr>
            <w:r>
              <w:rPr>
                <w:sz w:val="21"/>
                <w:szCs w:val="21"/>
                <w:highlight w:val="none"/>
              </w:rPr>
              <w:t>单位名称</w:t>
            </w:r>
            <w:r>
              <w:rPr>
                <w:rFonts w:hint="eastAsia"/>
                <w:sz w:val="21"/>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32C7BC5">
            <w:pPr>
              <w:adjustRightInd w:val="0"/>
              <w:snapToGrid w:val="0"/>
              <w:spacing w:line="300" w:lineRule="exact"/>
              <w:ind w:firstLine="420"/>
              <w:jc w:val="center"/>
              <w:rPr>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AB37FE3">
            <w:pPr>
              <w:adjustRightInd w:val="0"/>
              <w:snapToGrid w:val="0"/>
              <w:spacing w:line="300" w:lineRule="exact"/>
              <w:ind w:firstLine="420"/>
              <w:jc w:val="center"/>
              <w:rPr>
                <w:sz w:val="21"/>
                <w:szCs w:val="21"/>
                <w:highlight w:val="none"/>
              </w:rPr>
            </w:pPr>
            <w:r>
              <w:rPr>
                <w:sz w:val="21"/>
                <w:szCs w:val="21"/>
                <w:highlight w:val="none"/>
              </w:rPr>
              <w:t>单位名称</w:t>
            </w:r>
            <w:r>
              <w:rPr>
                <w:rFonts w:hint="eastAsia"/>
                <w:sz w:val="21"/>
                <w:szCs w:val="21"/>
                <w:highlight w:val="none"/>
              </w:rPr>
              <w:t>（公章或合同章）</w:t>
            </w:r>
          </w:p>
        </w:tc>
        <w:tc>
          <w:tcPr>
            <w:tcW w:w="1259" w:type="pct"/>
            <w:tcBorders>
              <w:top w:val="single" w:color="auto" w:sz="2" w:space="0"/>
              <w:left w:val="single" w:color="auto" w:sz="2" w:space="0"/>
              <w:bottom w:val="single" w:color="auto" w:sz="2" w:space="0"/>
            </w:tcBorders>
            <w:noWrap w:val="0"/>
            <w:vAlign w:val="center"/>
          </w:tcPr>
          <w:p w14:paraId="4B76A73C">
            <w:pPr>
              <w:adjustRightInd w:val="0"/>
              <w:snapToGrid w:val="0"/>
              <w:spacing w:line="300" w:lineRule="exact"/>
              <w:ind w:firstLine="500"/>
              <w:jc w:val="center"/>
              <w:rPr>
                <w:spacing w:val="20"/>
                <w:sz w:val="21"/>
                <w:szCs w:val="21"/>
                <w:highlight w:val="none"/>
              </w:rPr>
            </w:pPr>
          </w:p>
        </w:tc>
      </w:tr>
      <w:tr w14:paraId="03CCFA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2F0FD480">
            <w:pPr>
              <w:adjustRightInd w:val="0"/>
              <w:snapToGrid w:val="0"/>
              <w:spacing w:line="300" w:lineRule="exact"/>
              <w:ind w:firstLine="420"/>
              <w:jc w:val="center"/>
              <w:rPr>
                <w:sz w:val="21"/>
                <w:szCs w:val="21"/>
                <w:highlight w:val="none"/>
              </w:rPr>
            </w:pPr>
            <w:r>
              <w:rPr>
                <w:sz w:val="21"/>
                <w:szCs w:val="21"/>
                <w:highlight w:val="none"/>
              </w:rPr>
              <w:t>法定代表人</w:t>
            </w:r>
          </w:p>
          <w:p w14:paraId="39A393DA">
            <w:pPr>
              <w:adjustRightInd w:val="0"/>
              <w:snapToGrid w:val="0"/>
              <w:spacing w:line="300" w:lineRule="exact"/>
              <w:ind w:firstLine="100" w:firstLineChars="48"/>
              <w:jc w:val="center"/>
              <w:rPr>
                <w:sz w:val="21"/>
                <w:szCs w:val="21"/>
                <w:highlight w:val="none"/>
              </w:rPr>
            </w:pPr>
            <w:r>
              <w:rPr>
                <w:rFonts w:hint="eastAsia"/>
                <w:sz w:val="21"/>
                <w:szCs w:val="21"/>
                <w:highlight w:val="none"/>
              </w:rPr>
              <w:t>或其</w:t>
            </w:r>
            <w:r>
              <w:rPr>
                <w:sz w:val="21"/>
                <w:szCs w:val="21"/>
                <w:highlight w:val="none"/>
              </w:rPr>
              <w:t>委托代理人</w:t>
            </w:r>
            <w:r>
              <w:rPr>
                <w:rFonts w:hint="eastAsia"/>
                <w:sz w:val="21"/>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30398C3C">
            <w:pPr>
              <w:adjustRightInd w:val="0"/>
              <w:snapToGrid w:val="0"/>
              <w:spacing w:line="300" w:lineRule="exact"/>
              <w:ind w:firstLine="420"/>
              <w:jc w:val="center"/>
              <w:rPr>
                <w:sz w:val="21"/>
                <w:szCs w:val="21"/>
                <w:highlight w:val="none"/>
              </w:rPr>
            </w:pPr>
          </w:p>
        </w:tc>
        <w:tc>
          <w:tcPr>
            <w:tcW w:w="1178" w:type="pct"/>
            <w:tcBorders>
              <w:top w:val="single" w:color="auto" w:sz="2" w:space="0"/>
              <w:left w:val="single" w:color="auto" w:sz="2" w:space="0"/>
              <w:right w:val="single" w:color="auto" w:sz="2" w:space="0"/>
            </w:tcBorders>
            <w:noWrap w:val="0"/>
            <w:vAlign w:val="center"/>
          </w:tcPr>
          <w:p w14:paraId="79D791CB">
            <w:pPr>
              <w:adjustRightInd w:val="0"/>
              <w:snapToGrid w:val="0"/>
              <w:spacing w:line="300" w:lineRule="exact"/>
              <w:ind w:firstLine="420"/>
              <w:jc w:val="center"/>
              <w:rPr>
                <w:sz w:val="21"/>
                <w:szCs w:val="21"/>
                <w:highlight w:val="none"/>
              </w:rPr>
            </w:pPr>
            <w:r>
              <w:rPr>
                <w:sz w:val="21"/>
                <w:szCs w:val="21"/>
                <w:highlight w:val="none"/>
              </w:rPr>
              <w:t>法定代表人</w:t>
            </w:r>
          </w:p>
          <w:p w14:paraId="523E93F6">
            <w:pPr>
              <w:adjustRightInd w:val="0"/>
              <w:snapToGrid w:val="0"/>
              <w:spacing w:line="300" w:lineRule="exact"/>
              <w:ind w:firstLine="420"/>
              <w:jc w:val="center"/>
              <w:rPr>
                <w:sz w:val="21"/>
                <w:szCs w:val="21"/>
                <w:highlight w:val="none"/>
              </w:rPr>
            </w:pPr>
            <w:r>
              <w:rPr>
                <w:rFonts w:hint="eastAsia"/>
                <w:sz w:val="21"/>
                <w:szCs w:val="21"/>
                <w:highlight w:val="none"/>
              </w:rPr>
              <w:t>或其</w:t>
            </w:r>
            <w:r>
              <w:rPr>
                <w:sz w:val="21"/>
                <w:szCs w:val="21"/>
                <w:highlight w:val="none"/>
              </w:rPr>
              <w:t>委托代理人</w:t>
            </w:r>
            <w:r>
              <w:rPr>
                <w:rFonts w:hint="eastAsia"/>
                <w:sz w:val="21"/>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79A40E9C">
            <w:pPr>
              <w:adjustRightInd w:val="0"/>
              <w:snapToGrid w:val="0"/>
              <w:spacing w:line="300" w:lineRule="exact"/>
              <w:ind w:firstLine="420"/>
              <w:jc w:val="center"/>
              <w:rPr>
                <w:sz w:val="21"/>
                <w:szCs w:val="21"/>
                <w:highlight w:val="none"/>
              </w:rPr>
            </w:pPr>
          </w:p>
        </w:tc>
      </w:tr>
      <w:tr w14:paraId="1C0C8B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6EE44A8F">
            <w:pPr>
              <w:adjustRightInd w:val="0"/>
              <w:snapToGrid w:val="0"/>
              <w:spacing w:line="300" w:lineRule="exact"/>
              <w:ind w:firstLine="420"/>
              <w:jc w:val="center"/>
              <w:rPr>
                <w:sz w:val="21"/>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440289FD">
            <w:pPr>
              <w:adjustRightInd w:val="0"/>
              <w:snapToGrid w:val="0"/>
              <w:spacing w:line="300" w:lineRule="exact"/>
              <w:ind w:firstLine="420"/>
              <w:jc w:val="center"/>
              <w:rPr>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B776549">
            <w:pPr>
              <w:adjustRightInd w:val="0"/>
              <w:snapToGrid w:val="0"/>
              <w:spacing w:line="300" w:lineRule="exact"/>
              <w:ind w:firstLine="420"/>
              <w:jc w:val="center"/>
              <w:rPr>
                <w:sz w:val="21"/>
                <w:szCs w:val="21"/>
                <w:highlight w:val="none"/>
              </w:rPr>
            </w:pPr>
            <w:r>
              <w:rPr>
                <w:rFonts w:hint="eastAsia"/>
                <w:sz w:val="21"/>
                <w:szCs w:val="21"/>
                <w:highlight w:val="none"/>
              </w:rPr>
              <w:t>拥有者性别</w:t>
            </w:r>
          </w:p>
        </w:tc>
        <w:tc>
          <w:tcPr>
            <w:tcW w:w="1259" w:type="pct"/>
            <w:tcBorders>
              <w:top w:val="single" w:color="auto" w:sz="2" w:space="0"/>
              <w:left w:val="single" w:color="auto" w:sz="2" w:space="0"/>
              <w:bottom w:val="single" w:color="auto" w:sz="2" w:space="0"/>
            </w:tcBorders>
            <w:noWrap w:val="0"/>
            <w:vAlign w:val="center"/>
          </w:tcPr>
          <w:p w14:paraId="46EDD9CA">
            <w:pPr>
              <w:adjustRightInd w:val="0"/>
              <w:snapToGrid w:val="0"/>
              <w:spacing w:line="300" w:lineRule="exact"/>
              <w:ind w:firstLine="500"/>
              <w:jc w:val="center"/>
              <w:rPr>
                <w:spacing w:val="20"/>
                <w:sz w:val="21"/>
                <w:szCs w:val="21"/>
                <w:highlight w:val="none"/>
              </w:rPr>
            </w:pPr>
          </w:p>
        </w:tc>
      </w:tr>
      <w:tr w14:paraId="02B756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8132C19">
            <w:pPr>
              <w:adjustRightInd w:val="0"/>
              <w:snapToGrid w:val="0"/>
              <w:spacing w:line="300" w:lineRule="exact"/>
              <w:ind w:firstLine="420"/>
              <w:jc w:val="center"/>
              <w:rPr>
                <w:sz w:val="21"/>
                <w:szCs w:val="21"/>
                <w:highlight w:val="none"/>
              </w:rPr>
            </w:pPr>
            <w:r>
              <w:rPr>
                <w:rFonts w:hint="eastAsia"/>
                <w:sz w:val="21"/>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8FF3C08">
            <w:pPr>
              <w:adjustRightInd w:val="0"/>
              <w:snapToGrid w:val="0"/>
              <w:spacing w:line="300" w:lineRule="exact"/>
              <w:ind w:firstLine="420"/>
              <w:jc w:val="center"/>
              <w:rPr>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14D6E60">
            <w:pPr>
              <w:adjustRightInd w:val="0"/>
              <w:snapToGrid w:val="0"/>
              <w:spacing w:line="300" w:lineRule="exact"/>
              <w:ind w:firstLine="420"/>
              <w:jc w:val="center"/>
              <w:rPr>
                <w:sz w:val="21"/>
                <w:szCs w:val="21"/>
                <w:highlight w:val="none"/>
              </w:rPr>
            </w:pPr>
            <w:r>
              <w:rPr>
                <w:rFonts w:hint="eastAsia"/>
                <w:sz w:val="21"/>
                <w:szCs w:val="21"/>
                <w:highlight w:val="none"/>
              </w:rPr>
              <w:t>住  所</w:t>
            </w:r>
          </w:p>
        </w:tc>
        <w:tc>
          <w:tcPr>
            <w:tcW w:w="1259" w:type="pct"/>
            <w:tcBorders>
              <w:top w:val="single" w:color="auto" w:sz="2" w:space="0"/>
              <w:left w:val="single" w:color="auto" w:sz="2" w:space="0"/>
              <w:bottom w:val="single" w:color="auto" w:sz="2" w:space="0"/>
            </w:tcBorders>
            <w:noWrap w:val="0"/>
            <w:vAlign w:val="center"/>
          </w:tcPr>
          <w:p w14:paraId="0C732FB5">
            <w:pPr>
              <w:adjustRightInd w:val="0"/>
              <w:snapToGrid w:val="0"/>
              <w:spacing w:line="300" w:lineRule="exact"/>
              <w:ind w:firstLine="500"/>
              <w:jc w:val="center"/>
              <w:rPr>
                <w:spacing w:val="20"/>
                <w:sz w:val="21"/>
                <w:szCs w:val="21"/>
                <w:highlight w:val="none"/>
              </w:rPr>
            </w:pPr>
          </w:p>
        </w:tc>
      </w:tr>
      <w:tr w14:paraId="2B53A9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32E1166">
            <w:pPr>
              <w:adjustRightInd w:val="0"/>
              <w:snapToGrid w:val="0"/>
              <w:spacing w:line="300" w:lineRule="exact"/>
              <w:ind w:firstLine="420"/>
              <w:jc w:val="center"/>
              <w:rPr>
                <w:sz w:val="21"/>
                <w:szCs w:val="21"/>
                <w:highlight w:val="none"/>
              </w:rPr>
            </w:pPr>
            <w:r>
              <w:rPr>
                <w:sz w:val="21"/>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FFBEC03">
            <w:pPr>
              <w:adjustRightInd w:val="0"/>
              <w:snapToGrid w:val="0"/>
              <w:spacing w:line="300" w:lineRule="exact"/>
              <w:ind w:firstLine="420"/>
              <w:jc w:val="center"/>
              <w:rPr>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0D20750">
            <w:pPr>
              <w:adjustRightInd w:val="0"/>
              <w:snapToGrid w:val="0"/>
              <w:spacing w:line="300" w:lineRule="exact"/>
              <w:ind w:firstLine="420"/>
              <w:jc w:val="center"/>
              <w:rPr>
                <w:sz w:val="21"/>
                <w:szCs w:val="21"/>
                <w:highlight w:val="none"/>
              </w:rPr>
            </w:pPr>
            <w:r>
              <w:rPr>
                <w:sz w:val="21"/>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7C43B5BE">
            <w:pPr>
              <w:adjustRightInd w:val="0"/>
              <w:snapToGrid w:val="0"/>
              <w:spacing w:line="300" w:lineRule="exact"/>
              <w:ind w:firstLine="500"/>
              <w:jc w:val="center"/>
              <w:rPr>
                <w:spacing w:val="20"/>
                <w:sz w:val="21"/>
                <w:szCs w:val="21"/>
                <w:highlight w:val="none"/>
              </w:rPr>
            </w:pPr>
          </w:p>
        </w:tc>
      </w:tr>
      <w:tr w14:paraId="6DEFAD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46B71F9">
            <w:pPr>
              <w:adjustRightInd w:val="0"/>
              <w:snapToGrid w:val="0"/>
              <w:spacing w:line="300" w:lineRule="exact"/>
              <w:ind w:firstLine="420"/>
              <w:jc w:val="center"/>
              <w:rPr>
                <w:sz w:val="21"/>
                <w:szCs w:val="21"/>
                <w:highlight w:val="none"/>
              </w:rPr>
            </w:pPr>
            <w:r>
              <w:rPr>
                <w:sz w:val="21"/>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15614F8">
            <w:pPr>
              <w:adjustRightInd w:val="0"/>
              <w:snapToGrid w:val="0"/>
              <w:spacing w:line="300" w:lineRule="exact"/>
              <w:ind w:firstLine="420"/>
              <w:jc w:val="center"/>
              <w:rPr>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6F0E184">
            <w:pPr>
              <w:adjustRightInd w:val="0"/>
              <w:snapToGrid w:val="0"/>
              <w:spacing w:line="300" w:lineRule="exact"/>
              <w:ind w:firstLine="420"/>
              <w:jc w:val="center"/>
              <w:rPr>
                <w:sz w:val="21"/>
                <w:szCs w:val="21"/>
                <w:highlight w:val="none"/>
              </w:rPr>
            </w:pPr>
            <w:r>
              <w:rPr>
                <w:sz w:val="21"/>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349EE499">
            <w:pPr>
              <w:adjustRightInd w:val="0"/>
              <w:snapToGrid w:val="0"/>
              <w:spacing w:line="300" w:lineRule="exact"/>
              <w:ind w:firstLine="500"/>
              <w:jc w:val="center"/>
              <w:rPr>
                <w:spacing w:val="20"/>
                <w:sz w:val="21"/>
                <w:szCs w:val="21"/>
                <w:highlight w:val="none"/>
              </w:rPr>
            </w:pPr>
          </w:p>
        </w:tc>
      </w:tr>
      <w:tr w14:paraId="2BC9E6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6019CF">
            <w:pPr>
              <w:adjustRightInd w:val="0"/>
              <w:snapToGrid w:val="0"/>
              <w:spacing w:line="300" w:lineRule="exact"/>
              <w:ind w:firstLine="420"/>
              <w:jc w:val="center"/>
              <w:rPr>
                <w:sz w:val="21"/>
                <w:szCs w:val="21"/>
                <w:highlight w:val="none"/>
              </w:rPr>
            </w:pPr>
            <w:r>
              <w:rPr>
                <w:rFonts w:hint="eastAsia"/>
                <w:sz w:val="21"/>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D09015D">
            <w:pPr>
              <w:adjustRightInd w:val="0"/>
              <w:snapToGrid w:val="0"/>
              <w:spacing w:line="300" w:lineRule="exact"/>
              <w:ind w:firstLine="420"/>
              <w:jc w:val="center"/>
              <w:rPr>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6124CD6">
            <w:pPr>
              <w:adjustRightInd w:val="0"/>
              <w:snapToGrid w:val="0"/>
              <w:spacing w:line="300" w:lineRule="exact"/>
              <w:ind w:firstLine="420"/>
              <w:jc w:val="center"/>
              <w:rPr>
                <w:sz w:val="21"/>
                <w:szCs w:val="21"/>
                <w:highlight w:val="none"/>
              </w:rPr>
            </w:pPr>
            <w:r>
              <w:rPr>
                <w:rFonts w:hint="eastAsia"/>
                <w:sz w:val="21"/>
                <w:szCs w:val="21"/>
                <w:highlight w:val="none"/>
              </w:rPr>
              <w:t>通信地址</w:t>
            </w:r>
          </w:p>
        </w:tc>
        <w:tc>
          <w:tcPr>
            <w:tcW w:w="1259" w:type="pct"/>
            <w:tcBorders>
              <w:top w:val="single" w:color="auto" w:sz="2" w:space="0"/>
              <w:left w:val="single" w:color="auto" w:sz="2" w:space="0"/>
              <w:bottom w:val="single" w:color="auto" w:sz="2" w:space="0"/>
            </w:tcBorders>
            <w:noWrap w:val="0"/>
            <w:vAlign w:val="center"/>
          </w:tcPr>
          <w:p w14:paraId="22ACD5FF">
            <w:pPr>
              <w:adjustRightInd w:val="0"/>
              <w:snapToGrid w:val="0"/>
              <w:spacing w:line="300" w:lineRule="exact"/>
              <w:ind w:firstLine="500"/>
              <w:jc w:val="center"/>
              <w:rPr>
                <w:spacing w:val="20"/>
                <w:sz w:val="21"/>
                <w:szCs w:val="21"/>
                <w:highlight w:val="none"/>
              </w:rPr>
            </w:pPr>
          </w:p>
        </w:tc>
      </w:tr>
      <w:tr w14:paraId="4905FB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566F6DA">
            <w:pPr>
              <w:adjustRightInd w:val="0"/>
              <w:snapToGrid w:val="0"/>
              <w:spacing w:line="300" w:lineRule="exact"/>
              <w:ind w:firstLine="420"/>
              <w:jc w:val="center"/>
              <w:rPr>
                <w:sz w:val="21"/>
                <w:szCs w:val="21"/>
                <w:highlight w:val="none"/>
              </w:rPr>
            </w:pPr>
            <w:r>
              <w:rPr>
                <w:sz w:val="21"/>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C792363">
            <w:pPr>
              <w:adjustRightInd w:val="0"/>
              <w:snapToGrid w:val="0"/>
              <w:spacing w:line="300" w:lineRule="exact"/>
              <w:ind w:firstLine="420"/>
              <w:jc w:val="center"/>
              <w:rPr>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9461F94">
            <w:pPr>
              <w:adjustRightInd w:val="0"/>
              <w:snapToGrid w:val="0"/>
              <w:spacing w:line="300" w:lineRule="exact"/>
              <w:ind w:firstLine="420"/>
              <w:jc w:val="center"/>
              <w:rPr>
                <w:sz w:val="21"/>
                <w:szCs w:val="21"/>
                <w:highlight w:val="none"/>
              </w:rPr>
            </w:pPr>
            <w:r>
              <w:rPr>
                <w:sz w:val="21"/>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16CB31F8">
            <w:pPr>
              <w:adjustRightInd w:val="0"/>
              <w:snapToGrid w:val="0"/>
              <w:spacing w:line="300" w:lineRule="exact"/>
              <w:ind w:firstLine="500"/>
              <w:jc w:val="center"/>
              <w:rPr>
                <w:spacing w:val="20"/>
                <w:sz w:val="21"/>
                <w:szCs w:val="21"/>
                <w:highlight w:val="none"/>
              </w:rPr>
            </w:pPr>
          </w:p>
        </w:tc>
      </w:tr>
      <w:tr w14:paraId="4A1510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6D9F51F">
            <w:pPr>
              <w:adjustRightInd w:val="0"/>
              <w:snapToGrid w:val="0"/>
              <w:spacing w:line="300" w:lineRule="exact"/>
              <w:ind w:firstLine="420"/>
              <w:jc w:val="center"/>
              <w:rPr>
                <w:sz w:val="21"/>
                <w:szCs w:val="21"/>
                <w:highlight w:val="none"/>
              </w:rPr>
            </w:pPr>
            <w:r>
              <w:rPr>
                <w:rFonts w:hint="eastAsia"/>
                <w:sz w:val="21"/>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778C859">
            <w:pPr>
              <w:adjustRightInd w:val="0"/>
              <w:snapToGrid w:val="0"/>
              <w:spacing w:line="300" w:lineRule="exact"/>
              <w:ind w:firstLine="420"/>
              <w:jc w:val="center"/>
              <w:rPr>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BACC6AF">
            <w:pPr>
              <w:adjustRightInd w:val="0"/>
              <w:snapToGrid w:val="0"/>
              <w:spacing w:line="300" w:lineRule="exact"/>
              <w:ind w:firstLine="420"/>
              <w:jc w:val="center"/>
              <w:rPr>
                <w:sz w:val="21"/>
                <w:szCs w:val="21"/>
                <w:highlight w:val="none"/>
              </w:rPr>
            </w:pPr>
            <w:r>
              <w:rPr>
                <w:rFonts w:hint="eastAsia"/>
                <w:sz w:val="21"/>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427EB677">
            <w:pPr>
              <w:adjustRightInd w:val="0"/>
              <w:snapToGrid w:val="0"/>
              <w:spacing w:line="300" w:lineRule="exact"/>
              <w:ind w:firstLine="500"/>
              <w:jc w:val="center"/>
              <w:rPr>
                <w:spacing w:val="20"/>
                <w:sz w:val="21"/>
                <w:szCs w:val="21"/>
                <w:highlight w:val="none"/>
              </w:rPr>
            </w:pPr>
          </w:p>
        </w:tc>
      </w:tr>
      <w:tr w14:paraId="1B055B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516C177">
            <w:pPr>
              <w:adjustRightInd w:val="0"/>
              <w:snapToGrid w:val="0"/>
              <w:spacing w:line="300" w:lineRule="exact"/>
              <w:ind w:firstLine="420"/>
              <w:jc w:val="center"/>
              <w:rPr>
                <w:sz w:val="21"/>
                <w:szCs w:val="21"/>
                <w:highlight w:val="none"/>
              </w:rPr>
            </w:pPr>
            <w:r>
              <w:rPr>
                <w:rFonts w:hint="eastAsia"/>
                <w:sz w:val="21"/>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393707A">
            <w:pPr>
              <w:adjustRightInd w:val="0"/>
              <w:snapToGrid w:val="0"/>
              <w:spacing w:line="300" w:lineRule="exact"/>
              <w:ind w:firstLine="420"/>
              <w:jc w:val="center"/>
              <w:rPr>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DE880EE">
            <w:pPr>
              <w:adjustRightInd w:val="0"/>
              <w:snapToGrid w:val="0"/>
              <w:spacing w:line="300" w:lineRule="exact"/>
              <w:ind w:firstLine="420"/>
              <w:jc w:val="center"/>
              <w:rPr>
                <w:sz w:val="21"/>
                <w:szCs w:val="21"/>
                <w:highlight w:val="none"/>
              </w:rPr>
            </w:pPr>
            <w:r>
              <w:rPr>
                <w:rFonts w:hint="eastAsia"/>
                <w:sz w:val="21"/>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53B75CAD">
            <w:pPr>
              <w:adjustRightInd w:val="0"/>
              <w:snapToGrid w:val="0"/>
              <w:spacing w:line="300" w:lineRule="exact"/>
              <w:ind w:firstLine="500"/>
              <w:jc w:val="center"/>
              <w:rPr>
                <w:spacing w:val="20"/>
                <w:sz w:val="21"/>
                <w:szCs w:val="21"/>
                <w:highlight w:val="none"/>
              </w:rPr>
            </w:pPr>
          </w:p>
        </w:tc>
      </w:tr>
      <w:tr w14:paraId="182ABD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6BFD16C">
            <w:pPr>
              <w:adjustRightInd w:val="0"/>
              <w:snapToGrid w:val="0"/>
              <w:spacing w:line="300" w:lineRule="exact"/>
              <w:ind w:firstLine="420"/>
              <w:jc w:val="center"/>
              <w:rPr>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4BEFC3A">
            <w:pPr>
              <w:adjustRightInd w:val="0"/>
              <w:snapToGrid w:val="0"/>
              <w:spacing w:line="300" w:lineRule="exact"/>
              <w:ind w:firstLine="420"/>
              <w:jc w:val="center"/>
              <w:rPr>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D25A27D">
            <w:pPr>
              <w:adjustRightInd w:val="0"/>
              <w:snapToGrid w:val="0"/>
              <w:spacing w:line="300" w:lineRule="exact"/>
              <w:ind w:firstLine="420"/>
              <w:jc w:val="center"/>
              <w:rPr>
                <w:sz w:val="21"/>
                <w:szCs w:val="21"/>
                <w:highlight w:val="none"/>
              </w:rPr>
            </w:pPr>
            <w:r>
              <w:rPr>
                <w:sz w:val="21"/>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44A9C046">
            <w:pPr>
              <w:adjustRightInd w:val="0"/>
              <w:snapToGrid w:val="0"/>
              <w:spacing w:line="300" w:lineRule="exact"/>
              <w:ind w:firstLine="500"/>
              <w:jc w:val="center"/>
              <w:rPr>
                <w:spacing w:val="20"/>
                <w:sz w:val="21"/>
                <w:szCs w:val="21"/>
                <w:highlight w:val="none"/>
              </w:rPr>
            </w:pPr>
          </w:p>
        </w:tc>
      </w:tr>
      <w:tr w14:paraId="142F6D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2D0979C">
            <w:pPr>
              <w:adjustRightInd w:val="0"/>
              <w:snapToGrid w:val="0"/>
              <w:spacing w:line="300" w:lineRule="exact"/>
              <w:ind w:firstLine="420"/>
              <w:jc w:val="center"/>
              <w:rPr>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CBC42E2">
            <w:pPr>
              <w:adjustRightInd w:val="0"/>
              <w:snapToGrid w:val="0"/>
              <w:spacing w:line="300" w:lineRule="exact"/>
              <w:ind w:firstLine="420"/>
              <w:jc w:val="center"/>
              <w:rPr>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BC700C2">
            <w:pPr>
              <w:adjustRightInd w:val="0"/>
              <w:snapToGrid w:val="0"/>
              <w:spacing w:line="300" w:lineRule="exact"/>
              <w:ind w:firstLine="420"/>
              <w:jc w:val="center"/>
              <w:rPr>
                <w:sz w:val="21"/>
                <w:szCs w:val="21"/>
                <w:highlight w:val="none"/>
              </w:rPr>
            </w:pPr>
            <w:r>
              <w:rPr>
                <w:sz w:val="21"/>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15453231">
            <w:pPr>
              <w:adjustRightInd w:val="0"/>
              <w:snapToGrid w:val="0"/>
              <w:spacing w:line="300" w:lineRule="exact"/>
              <w:ind w:firstLine="500"/>
              <w:jc w:val="center"/>
              <w:rPr>
                <w:spacing w:val="20"/>
                <w:sz w:val="21"/>
                <w:szCs w:val="21"/>
                <w:highlight w:val="none"/>
              </w:rPr>
            </w:pPr>
          </w:p>
        </w:tc>
      </w:tr>
      <w:tr w14:paraId="1534D5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B946985">
            <w:pPr>
              <w:adjustRightInd w:val="0"/>
              <w:snapToGrid w:val="0"/>
              <w:spacing w:line="300" w:lineRule="exact"/>
              <w:ind w:firstLine="420"/>
              <w:jc w:val="center"/>
              <w:rPr>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1AC7893">
            <w:pPr>
              <w:adjustRightInd w:val="0"/>
              <w:snapToGrid w:val="0"/>
              <w:spacing w:line="300" w:lineRule="exact"/>
              <w:ind w:firstLine="420"/>
              <w:jc w:val="center"/>
              <w:rPr>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F7CE129">
            <w:pPr>
              <w:adjustRightInd w:val="0"/>
              <w:snapToGrid w:val="0"/>
              <w:spacing w:line="300" w:lineRule="exact"/>
              <w:ind w:firstLine="420"/>
              <w:jc w:val="center"/>
              <w:rPr>
                <w:sz w:val="21"/>
                <w:szCs w:val="21"/>
                <w:highlight w:val="none"/>
              </w:rPr>
            </w:pPr>
            <w:r>
              <w:rPr>
                <w:sz w:val="21"/>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38E17620">
            <w:pPr>
              <w:adjustRightInd w:val="0"/>
              <w:snapToGrid w:val="0"/>
              <w:spacing w:line="300" w:lineRule="exact"/>
              <w:ind w:firstLine="500"/>
              <w:jc w:val="center"/>
              <w:rPr>
                <w:spacing w:val="20"/>
                <w:sz w:val="21"/>
                <w:szCs w:val="21"/>
                <w:highlight w:val="none"/>
              </w:rPr>
            </w:pPr>
          </w:p>
        </w:tc>
      </w:tr>
      <w:tr w14:paraId="1F1F1D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58BDCB38">
            <w:pPr>
              <w:pStyle w:val="9"/>
              <w:adjustRightInd w:val="0"/>
              <w:snapToGrid w:val="0"/>
              <w:spacing w:before="120" w:beforeLines="50" w:after="0" w:line="360" w:lineRule="auto"/>
              <w:ind w:left="0" w:leftChars="0" w:firstLine="420"/>
              <w:rPr>
                <w:spacing w:val="20"/>
                <w:sz w:val="21"/>
                <w:szCs w:val="21"/>
                <w:highlight w:val="none"/>
              </w:rPr>
            </w:pPr>
            <w:r>
              <w:rPr>
                <w:rFonts w:hint="eastAsia" w:ascii="宋体" w:hAnsi="宋体"/>
                <w:sz w:val="21"/>
                <w:szCs w:val="21"/>
                <w:highlight w:val="none"/>
              </w:rPr>
              <w:t>注：涉及联合体或其他合同主体的信息应按上表格式加列。</w:t>
            </w:r>
          </w:p>
        </w:tc>
      </w:tr>
    </w:tbl>
    <w:p w14:paraId="3F93F6C9">
      <w:pPr>
        <w:pStyle w:val="3"/>
        <w:adjustRightInd w:val="0"/>
        <w:snapToGrid w:val="0"/>
        <w:spacing w:before="120" w:beforeLines="50"/>
        <w:ind w:firstLine="422"/>
        <w:jc w:val="center"/>
        <w:rPr>
          <w:rFonts w:hint="eastAsia" w:ascii="黑体" w:hAnsi="黑体"/>
          <w:sz w:val="21"/>
          <w:szCs w:val="21"/>
          <w:highlight w:val="none"/>
        </w:rPr>
      </w:pPr>
      <w:r>
        <w:rPr>
          <w:rFonts w:ascii="宋体" w:hAnsi="宋体"/>
          <w:sz w:val="21"/>
          <w:szCs w:val="21"/>
          <w:highlight w:val="none"/>
          <w:u w:val="single"/>
        </w:rPr>
        <w:br w:type="page"/>
      </w:r>
      <w:bookmarkStart w:id="132" w:name="_Toc27624"/>
      <w:r>
        <w:rPr>
          <w:rFonts w:hint="eastAsia" w:ascii="黑体" w:hAnsi="黑体"/>
          <w:b w:val="0"/>
          <w:sz w:val="21"/>
          <w:szCs w:val="21"/>
          <w:highlight w:val="none"/>
        </w:rPr>
        <w:t>第二节 政府采购合同通用条款</w:t>
      </w:r>
      <w:bookmarkEnd w:id="132"/>
    </w:p>
    <w:p w14:paraId="69739EFC">
      <w:pPr>
        <w:tabs>
          <w:tab w:val="left" w:pos="8820"/>
          <w:tab w:val="left" w:pos="9345"/>
          <w:tab w:val="left" w:pos="9765"/>
        </w:tabs>
        <w:adjustRightInd w:val="0"/>
        <w:snapToGrid w:val="0"/>
        <w:spacing w:line="400" w:lineRule="exact"/>
        <w:ind w:firstLine="422"/>
        <w:rPr>
          <w:rFonts w:hint="eastAsia" w:ascii="宋体" w:hAnsi="宋体"/>
          <w:b/>
          <w:bCs/>
          <w:sz w:val="21"/>
          <w:szCs w:val="21"/>
          <w:highlight w:val="none"/>
        </w:rPr>
      </w:pPr>
      <w:r>
        <w:rPr>
          <w:rFonts w:hint="eastAsia" w:ascii="宋体" w:hAnsi="宋体"/>
          <w:b/>
          <w:sz w:val="21"/>
          <w:szCs w:val="21"/>
          <w:highlight w:val="none"/>
        </w:rPr>
        <w:t xml:space="preserve">1. </w:t>
      </w:r>
      <w:r>
        <w:rPr>
          <w:rFonts w:hint="eastAsia" w:ascii="宋体" w:hAnsi="宋体"/>
          <w:b/>
          <w:bCs/>
          <w:sz w:val="21"/>
          <w:szCs w:val="21"/>
          <w:highlight w:val="none"/>
        </w:rPr>
        <w:t>定义</w:t>
      </w:r>
    </w:p>
    <w:p w14:paraId="1D177C73">
      <w:pPr>
        <w:autoSpaceDE w:val="0"/>
        <w:autoSpaceDN w:val="0"/>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1.1合同当事人</w:t>
      </w:r>
    </w:p>
    <w:p w14:paraId="24CBDCD0">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（1）采购人（以下称甲方）是指使用财政性资金，通过政府采购方式向供应商购买货物及其相关服务的国家机关、事业单位、团体组织。</w:t>
      </w:r>
    </w:p>
    <w:p w14:paraId="2E4B53E7">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（2）供应商（以下称乙方）是指参加政府采购活动并且中标（成交），向采购人提供合同约定的货物及其相关服务的法人、非法人组织或者自然人。</w:t>
      </w:r>
    </w:p>
    <w:p w14:paraId="0EDDCD79">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（3）其他合同主体是指除采购人和供应商以外，</w:t>
      </w:r>
      <w:r>
        <w:rPr>
          <w:rFonts w:hint="eastAsia" w:ascii="宋体" w:hAnsi="宋体" w:cs="宋体"/>
          <w:bCs/>
          <w:color w:val="000000"/>
          <w:sz w:val="21"/>
          <w:szCs w:val="21"/>
          <w:highlight w:val="none"/>
        </w:rPr>
        <w:t>依法参与合同缔结或履行，享有权利、承担义务的合同当事人</w:t>
      </w:r>
      <w:r>
        <w:rPr>
          <w:rFonts w:hint="eastAsia" w:ascii="宋体" w:hAnsi="宋体"/>
          <w:sz w:val="21"/>
          <w:szCs w:val="21"/>
          <w:highlight w:val="none"/>
        </w:rPr>
        <w:t>。</w:t>
      </w:r>
    </w:p>
    <w:p w14:paraId="0EB1E8FF">
      <w:pPr>
        <w:tabs>
          <w:tab w:val="left" w:pos="570"/>
          <w:tab w:val="left" w:pos="9240"/>
          <w:tab w:val="left" w:pos="9555"/>
        </w:tabs>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1.2本合同下列术语应解释为：</w:t>
      </w:r>
    </w:p>
    <w:p w14:paraId="2C7DB269">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（1）“合同”系指</w:t>
      </w:r>
      <w:r>
        <w:rPr>
          <w:rFonts w:hint="eastAsia" w:ascii="宋体" w:hAnsi="宋体" w:cs="宋体"/>
          <w:bCs/>
          <w:color w:val="000000"/>
          <w:sz w:val="21"/>
          <w:szCs w:val="21"/>
          <w:highlight w:val="none"/>
        </w:rPr>
        <w:t>合同当事人意思表示达成一致的任何协议，包括签署的</w:t>
      </w:r>
      <w:r>
        <w:rPr>
          <w:rFonts w:hint="eastAsia" w:ascii="宋体" w:hAnsi="宋体"/>
          <w:sz w:val="21"/>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kern w:val="2"/>
          <w:sz w:val="21"/>
          <w:szCs w:val="21"/>
          <w:highlight w:val="none"/>
        </w:rPr>
        <w:t>国家法律、行政法规和规章制度规定或合同约定的作为合同组成部分的其他文件</w:t>
      </w:r>
      <w:r>
        <w:rPr>
          <w:rFonts w:hint="eastAsia" w:ascii="宋体" w:hAnsi="宋体"/>
          <w:sz w:val="21"/>
          <w:szCs w:val="21"/>
          <w:highlight w:val="none"/>
        </w:rPr>
        <w:t>。</w:t>
      </w:r>
    </w:p>
    <w:p w14:paraId="6491B80D">
      <w:pPr>
        <w:tabs>
          <w:tab w:val="left" w:pos="570"/>
          <w:tab w:val="left" w:pos="9240"/>
          <w:tab w:val="left" w:pos="9555"/>
        </w:tabs>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（2）“合同价款”系指根据本合同规定乙方在全面履行合同义务后甲方应支付给乙方的价款。</w:t>
      </w:r>
    </w:p>
    <w:p w14:paraId="0D8BBD34">
      <w:pPr>
        <w:tabs>
          <w:tab w:val="left" w:pos="570"/>
          <w:tab w:val="left" w:pos="9240"/>
          <w:tab w:val="left" w:pos="9555"/>
        </w:tabs>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sz w:val="21"/>
          <w:szCs w:val="21"/>
          <w:highlight w:val="none"/>
        </w:rPr>
        <w:t>（3）“货物”系指乙方根据本合同规定须向甲方提供的各种形态和种类的物品，包括原材料、设备、产品（</w:t>
      </w:r>
      <w:r>
        <w:rPr>
          <w:rFonts w:hint="eastAsia" w:ascii="宋体" w:hAnsi="宋体"/>
          <w:color w:val="000000"/>
          <w:sz w:val="21"/>
          <w:szCs w:val="21"/>
          <w:highlight w:val="none"/>
        </w:rPr>
        <w:t>包括软件）及相关的其备品备件、工具、手册及</w:t>
      </w:r>
      <w:r>
        <w:rPr>
          <w:rFonts w:ascii="宋体" w:hAnsi="宋体"/>
          <w:color w:val="000000"/>
          <w:sz w:val="21"/>
          <w:szCs w:val="21"/>
          <w:highlight w:val="none"/>
          <w:lang w:val="en"/>
        </w:rPr>
        <w:t>其他</w:t>
      </w:r>
      <w:r>
        <w:rPr>
          <w:rFonts w:hint="eastAsia" w:ascii="宋体" w:hAnsi="宋体"/>
          <w:color w:val="000000"/>
          <w:sz w:val="21"/>
          <w:szCs w:val="21"/>
          <w:highlight w:val="none"/>
        </w:rPr>
        <w:t>技术资料和材料等。</w:t>
      </w:r>
    </w:p>
    <w:p w14:paraId="7A89067C">
      <w:pPr>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（4）“</w:t>
      </w:r>
      <w:r>
        <w:rPr>
          <w:rFonts w:hint="eastAsia" w:ascii="宋体" w:hAnsi="宋体"/>
          <w:sz w:val="21"/>
          <w:szCs w:val="21"/>
          <w:highlight w:val="none"/>
        </w:rPr>
        <w:t>相关</w:t>
      </w:r>
      <w:r>
        <w:rPr>
          <w:rFonts w:hint="eastAsia" w:ascii="宋体" w:hAnsi="宋体"/>
          <w:color w:val="000000"/>
          <w:sz w:val="21"/>
          <w:szCs w:val="21"/>
          <w:highlight w:val="none"/>
        </w:rPr>
        <w:t>服务”系指根据合同规定，乙方应提供的与货物有关的技术、管理和</w:t>
      </w:r>
      <w:r>
        <w:rPr>
          <w:rFonts w:ascii="宋体" w:hAnsi="宋体"/>
          <w:color w:val="000000"/>
          <w:sz w:val="21"/>
          <w:szCs w:val="21"/>
          <w:highlight w:val="none"/>
          <w:lang w:val="en"/>
        </w:rPr>
        <w:t>其他</w:t>
      </w:r>
      <w:r>
        <w:rPr>
          <w:rFonts w:hint="eastAsia" w:ascii="宋体" w:hAnsi="宋体"/>
          <w:color w:val="000000"/>
          <w:sz w:val="21"/>
          <w:szCs w:val="21"/>
          <w:highlight w:val="none"/>
        </w:rPr>
        <w:t>服务，包括但不限于：管理和质量保证、运输、保险、检验、现场准备、安装、集成、调试、培训、维修、废弃处置、技术支持等以及合同中规定乙方应承担的</w:t>
      </w:r>
      <w:r>
        <w:rPr>
          <w:rFonts w:ascii="宋体" w:hAnsi="宋体"/>
          <w:color w:val="000000"/>
          <w:sz w:val="21"/>
          <w:szCs w:val="21"/>
          <w:highlight w:val="none"/>
          <w:lang w:val="en"/>
        </w:rPr>
        <w:t>其他</w:t>
      </w:r>
      <w:r>
        <w:rPr>
          <w:rFonts w:hint="eastAsia" w:ascii="宋体" w:hAnsi="宋体"/>
          <w:color w:val="000000"/>
          <w:sz w:val="21"/>
          <w:szCs w:val="21"/>
          <w:highlight w:val="none"/>
        </w:rPr>
        <w:t>义务。</w:t>
      </w:r>
    </w:p>
    <w:p w14:paraId="46CDBB34">
      <w:pPr>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（5）“分包”系指中标（成交）供应商按采购文件、投标（响应）文件的规定，根据分包意向协议，将中标（成交）项目中的部分履约内容，分给具有相应资质条件的供应商履行合同的行为。</w:t>
      </w:r>
    </w:p>
    <w:p w14:paraId="713B8E33">
      <w:pPr>
        <w:tabs>
          <w:tab w:val="left" w:pos="570"/>
          <w:tab w:val="left" w:pos="9240"/>
          <w:tab w:val="left" w:pos="9555"/>
        </w:tabs>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（6）</w:t>
      </w:r>
      <w:r>
        <w:rPr>
          <w:rFonts w:hint="eastAsia" w:ascii="宋体" w:hAnsi="宋体"/>
          <w:sz w:val="21"/>
          <w:szCs w:val="21"/>
          <w:highlight w:val="none"/>
        </w:rPr>
        <w:t>“联合体”系指由两个以上的自然人、法人或者非法人组织组成，以一个供应商的身份共同参加政府采购的主体</w:t>
      </w:r>
      <w:r>
        <w:rPr>
          <w:rFonts w:hint="eastAsia" w:ascii="宋体" w:hAnsi="宋体"/>
          <w:color w:val="000000"/>
          <w:sz w:val="21"/>
          <w:szCs w:val="21"/>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 w:val="21"/>
          <w:szCs w:val="21"/>
          <w:highlight w:val="none"/>
        </w:rPr>
        <w:t>政府采购合同专用条款</w:t>
      </w:r>
      <w:r>
        <w:rPr>
          <w:rFonts w:hint="eastAsia" w:ascii="宋体" w:hAnsi="宋体"/>
          <w:color w:val="000000"/>
          <w:sz w:val="21"/>
          <w:szCs w:val="21"/>
          <w:highlight w:val="none"/>
        </w:rPr>
        <w:t>】。</w:t>
      </w:r>
    </w:p>
    <w:p w14:paraId="5E36D891">
      <w:pPr>
        <w:tabs>
          <w:tab w:val="left" w:pos="570"/>
          <w:tab w:val="left" w:pos="9240"/>
          <w:tab w:val="left" w:pos="9555"/>
        </w:tabs>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（7）其他术语解释，见【</w:t>
      </w:r>
      <w:r>
        <w:rPr>
          <w:rFonts w:hint="eastAsia" w:ascii="宋体" w:hAnsi="宋体"/>
          <w:b/>
          <w:bCs/>
          <w:color w:val="000000"/>
          <w:sz w:val="21"/>
          <w:szCs w:val="21"/>
          <w:highlight w:val="none"/>
        </w:rPr>
        <w:t>政府采购合同专用条款</w:t>
      </w:r>
      <w:r>
        <w:rPr>
          <w:rFonts w:hint="eastAsia" w:ascii="宋体" w:hAnsi="宋体"/>
          <w:color w:val="000000"/>
          <w:sz w:val="21"/>
          <w:szCs w:val="21"/>
          <w:highlight w:val="none"/>
        </w:rPr>
        <w:t>】。</w:t>
      </w:r>
    </w:p>
    <w:p w14:paraId="15625580">
      <w:pPr>
        <w:numPr>
          <w:ilvl w:val="0"/>
          <w:numId w:val="6"/>
        </w:numPr>
        <w:autoSpaceDE w:val="0"/>
        <w:autoSpaceDN w:val="0"/>
        <w:adjustRightInd w:val="0"/>
        <w:snapToGrid w:val="0"/>
        <w:spacing w:line="400" w:lineRule="exact"/>
        <w:ind w:firstLine="422"/>
        <w:rPr>
          <w:rFonts w:hint="eastAsia" w:ascii="宋体" w:hAnsi="宋体"/>
          <w:b/>
          <w:bCs/>
          <w:color w:val="000000"/>
          <w:sz w:val="21"/>
          <w:szCs w:val="21"/>
          <w:highlight w:val="none"/>
        </w:rPr>
      </w:pPr>
      <w:r>
        <w:rPr>
          <w:rFonts w:hint="eastAsia" w:ascii="宋体" w:hAnsi="宋体"/>
          <w:b/>
          <w:color w:val="000000"/>
          <w:sz w:val="21"/>
          <w:szCs w:val="21"/>
          <w:highlight w:val="none"/>
        </w:rPr>
        <w:t>合同标的及金额</w:t>
      </w:r>
    </w:p>
    <w:p w14:paraId="312DDC34">
      <w:pPr>
        <w:autoSpaceDE w:val="0"/>
        <w:autoSpaceDN w:val="0"/>
        <w:adjustRightInd w:val="0"/>
        <w:snapToGrid w:val="0"/>
        <w:spacing w:line="400" w:lineRule="exact"/>
        <w:ind w:firstLine="420" w:firstLineChars="200"/>
        <w:rPr>
          <w:rFonts w:hint="eastAsia" w:ascii="宋体" w:hAnsi="宋体"/>
          <w:b/>
          <w:bCs/>
          <w:i/>
          <w:iCs/>
          <w:color w:val="000000"/>
          <w:sz w:val="21"/>
          <w:szCs w:val="21"/>
          <w:highlight w:val="none"/>
        </w:rPr>
      </w:pPr>
      <w:r>
        <w:rPr>
          <w:rFonts w:hint="eastAsia" w:ascii="宋体" w:hAnsi="宋体"/>
          <w:color w:val="000000"/>
          <w:sz w:val="21"/>
          <w:szCs w:val="21"/>
          <w:highlight w:val="none"/>
        </w:rPr>
        <w:t>2.1 合同标的及金额应与中标（成交）结果一致。乙方为履行本合同而发生的所有费用均应包含在合同价款中，甲方不再另行支付</w:t>
      </w:r>
      <w:r>
        <w:rPr>
          <w:rFonts w:ascii="宋体" w:hAnsi="宋体"/>
          <w:color w:val="000000"/>
          <w:sz w:val="21"/>
          <w:szCs w:val="21"/>
          <w:highlight w:val="none"/>
          <w:lang w:val="en"/>
        </w:rPr>
        <w:t>其他</w:t>
      </w:r>
      <w:r>
        <w:rPr>
          <w:rFonts w:hint="eastAsia" w:ascii="宋体" w:hAnsi="宋体"/>
          <w:color w:val="000000"/>
          <w:sz w:val="21"/>
          <w:szCs w:val="21"/>
          <w:highlight w:val="none"/>
        </w:rPr>
        <w:t>任何费用。</w:t>
      </w:r>
    </w:p>
    <w:p w14:paraId="1023CF49">
      <w:pPr>
        <w:adjustRightInd w:val="0"/>
        <w:snapToGrid w:val="0"/>
        <w:spacing w:line="400" w:lineRule="exact"/>
        <w:ind w:firstLine="422"/>
        <w:rPr>
          <w:rFonts w:hint="eastAsia" w:ascii="宋体" w:hAnsi="宋体"/>
          <w:b/>
          <w:color w:val="000000"/>
          <w:sz w:val="21"/>
          <w:szCs w:val="21"/>
          <w:highlight w:val="none"/>
        </w:rPr>
      </w:pPr>
      <w:r>
        <w:rPr>
          <w:rFonts w:hint="eastAsia" w:ascii="宋体" w:hAnsi="宋体"/>
          <w:b/>
          <w:color w:val="000000"/>
          <w:sz w:val="21"/>
          <w:szCs w:val="21"/>
          <w:highlight w:val="none"/>
        </w:rPr>
        <w:t>3. 履行合同的时间、地点和方式</w:t>
      </w:r>
    </w:p>
    <w:p w14:paraId="69F96852">
      <w:pPr>
        <w:autoSpaceDE w:val="0"/>
        <w:autoSpaceDN w:val="0"/>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 xml:space="preserve">3.1 </w:t>
      </w:r>
      <w:r>
        <w:rPr>
          <w:rFonts w:hint="eastAsia" w:ascii="宋体" w:hAnsi="宋体" w:cs="宋体"/>
          <w:sz w:val="21"/>
          <w:szCs w:val="21"/>
          <w:highlight w:val="none"/>
        </w:rPr>
        <w:t>乙方应当在约定的时间、地点，按照约定方式履行合同。</w:t>
      </w:r>
    </w:p>
    <w:p w14:paraId="44EFC057">
      <w:pPr>
        <w:autoSpaceDE w:val="0"/>
        <w:autoSpaceDN w:val="0"/>
        <w:adjustRightInd w:val="0"/>
        <w:snapToGrid w:val="0"/>
        <w:spacing w:line="400" w:lineRule="exact"/>
        <w:ind w:firstLine="422"/>
        <w:rPr>
          <w:rFonts w:hint="eastAsia" w:ascii="宋体" w:hAnsi="宋体"/>
          <w:b/>
          <w:bCs/>
          <w:color w:val="000000"/>
          <w:sz w:val="21"/>
          <w:szCs w:val="21"/>
          <w:highlight w:val="none"/>
        </w:rPr>
      </w:pPr>
      <w:r>
        <w:rPr>
          <w:rFonts w:hint="eastAsia" w:ascii="宋体" w:hAnsi="宋体"/>
          <w:b/>
          <w:bCs/>
          <w:color w:val="000000"/>
          <w:sz w:val="21"/>
          <w:szCs w:val="21"/>
          <w:highlight w:val="none"/>
        </w:rPr>
        <w:t>4. 甲方的权利和义务</w:t>
      </w:r>
    </w:p>
    <w:p w14:paraId="78344498">
      <w:pPr>
        <w:autoSpaceDE w:val="0"/>
        <w:autoSpaceDN w:val="0"/>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4.1</w:t>
      </w:r>
      <w:r>
        <w:rPr>
          <w:rFonts w:ascii="宋体" w:hAnsi="宋体"/>
          <w:color w:val="000000"/>
          <w:sz w:val="21"/>
          <w:szCs w:val="21"/>
          <w:highlight w:val="none"/>
        </w:rPr>
        <w:t xml:space="preserve"> 签署合同后，甲方</w:t>
      </w:r>
      <w:r>
        <w:rPr>
          <w:rFonts w:hint="eastAsia" w:ascii="宋体" w:hAnsi="宋体"/>
          <w:color w:val="000000"/>
          <w:sz w:val="21"/>
          <w:szCs w:val="21"/>
          <w:highlight w:val="none"/>
        </w:rPr>
        <w:t>应</w:t>
      </w:r>
      <w:r>
        <w:rPr>
          <w:rFonts w:ascii="宋体" w:hAnsi="宋体"/>
          <w:color w:val="000000"/>
          <w:sz w:val="21"/>
          <w:szCs w:val="21"/>
          <w:highlight w:val="none"/>
        </w:rPr>
        <w:t>确定</w:t>
      </w:r>
      <w:r>
        <w:rPr>
          <w:rFonts w:hint="eastAsia" w:ascii="宋体" w:hAnsi="宋体"/>
          <w:color w:val="000000"/>
          <w:sz w:val="21"/>
          <w:szCs w:val="21"/>
          <w:highlight w:val="none"/>
        </w:rPr>
        <w:t>项目负责人（或项目联系人）</w:t>
      </w:r>
      <w:r>
        <w:rPr>
          <w:rFonts w:ascii="宋体" w:hAnsi="宋体"/>
          <w:color w:val="000000"/>
          <w:sz w:val="21"/>
          <w:szCs w:val="21"/>
          <w:highlight w:val="none"/>
        </w:rPr>
        <w:t>，负责与本合同有关的事务。</w:t>
      </w:r>
      <w:r>
        <w:rPr>
          <w:rFonts w:hint="eastAsia" w:ascii="宋体" w:hAnsi="宋体"/>
          <w:color w:val="000000"/>
          <w:sz w:val="21"/>
          <w:szCs w:val="21"/>
          <w:highlight w:val="none"/>
        </w:rPr>
        <w:t>甲方有权对乙方的履约行为进行检查，并</w:t>
      </w:r>
      <w:r>
        <w:rPr>
          <w:rFonts w:ascii="宋体" w:hAnsi="宋体"/>
          <w:color w:val="000000"/>
          <w:sz w:val="21"/>
          <w:szCs w:val="21"/>
          <w:highlight w:val="none"/>
        </w:rPr>
        <w:t>及时确认乙方提交的事项</w:t>
      </w:r>
      <w:r>
        <w:rPr>
          <w:rFonts w:hint="eastAsia" w:ascii="宋体" w:hAnsi="宋体"/>
          <w:color w:val="000000"/>
          <w:sz w:val="21"/>
          <w:szCs w:val="21"/>
          <w:highlight w:val="none"/>
        </w:rPr>
        <w:t>。甲方应当</w:t>
      </w:r>
      <w:r>
        <w:rPr>
          <w:rFonts w:ascii="宋体" w:hAnsi="宋体"/>
          <w:color w:val="000000"/>
          <w:sz w:val="21"/>
          <w:szCs w:val="21"/>
          <w:highlight w:val="none"/>
        </w:rPr>
        <w:t>配合乙方完成</w:t>
      </w:r>
      <w:r>
        <w:rPr>
          <w:rFonts w:hint="eastAsia" w:ascii="宋体" w:hAnsi="宋体"/>
          <w:color w:val="000000"/>
          <w:sz w:val="21"/>
          <w:szCs w:val="21"/>
          <w:highlight w:val="none"/>
        </w:rPr>
        <w:t>相关项目</w:t>
      </w:r>
      <w:r>
        <w:rPr>
          <w:rFonts w:ascii="宋体" w:hAnsi="宋体"/>
          <w:color w:val="000000"/>
          <w:sz w:val="21"/>
          <w:szCs w:val="21"/>
          <w:highlight w:val="none"/>
        </w:rPr>
        <w:t>实施工作。</w:t>
      </w:r>
    </w:p>
    <w:p w14:paraId="3E7B6823">
      <w:pPr>
        <w:autoSpaceDE w:val="0"/>
        <w:autoSpaceDN w:val="0"/>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 xml:space="preserve">4.2 </w:t>
      </w:r>
      <w:r>
        <w:rPr>
          <w:rFonts w:ascii="宋体" w:hAnsi="宋体"/>
          <w:color w:val="000000"/>
          <w:sz w:val="21"/>
          <w:szCs w:val="21"/>
          <w:highlight w:val="none"/>
        </w:rPr>
        <w:t>甲方有权要求乙方按时提交各阶段有关</w:t>
      </w:r>
      <w:r>
        <w:rPr>
          <w:rFonts w:hint="eastAsia" w:ascii="宋体" w:hAnsi="宋体"/>
          <w:color w:val="000000"/>
          <w:sz w:val="21"/>
          <w:szCs w:val="21"/>
          <w:highlight w:val="none"/>
        </w:rPr>
        <w:t>安排计划</w:t>
      </w:r>
      <w:r>
        <w:rPr>
          <w:rFonts w:ascii="宋体" w:hAnsi="宋体"/>
          <w:color w:val="000000"/>
          <w:sz w:val="21"/>
          <w:szCs w:val="21"/>
          <w:highlight w:val="none"/>
        </w:rPr>
        <w:t>，并有权</w:t>
      </w:r>
      <w:r>
        <w:rPr>
          <w:rFonts w:hint="eastAsia" w:ascii="宋体" w:hAnsi="宋体"/>
          <w:color w:val="000000"/>
          <w:sz w:val="21"/>
          <w:szCs w:val="21"/>
          <w:highlight w:val="none"/>
        </w:rPr>
        <w:t>定期核对乙方提供货物数量、规格、质量等内容。甲方</w:t>
      </w:r>
      <w:r>
        <w:rPr>
          <w:rFonts w:ascii="宋体" w:hAnsi="宋体"/>
          <w:color w:val="000000"/>
          <w:sz w:val="21"/>
          <w:szCs w:val="21"/>
          <w:highlight w:val="none"/>
        </w:rPr>
        <w:t>有权督促乙方工作并要求乙方</w:t>
      </w:r>
      <w:r>
        <w:rPr>
          <w:rFonts w:hint="eastAsia" w:ascii="宋体" w:hAnsi="宋体"/>
          <w:color w:val="000000"/>
          <w:sz w:val="21"/>
          <w:szCs w:val="21"/>
          <w:highlight w:val="none"/>
        </w:rPr>
        <w:t>更</w:t>
      </w:r>
      <w:r>
        <w:rPr>
          <w:rFonts w:ascii="宋体" w:hAnsi="宋体"/>
          <w:color w:val="000000"/>
          <w:sz w:val="21"/>
          <w:szCs w:val="21"/>
          <w:highlight w:val="none"/>
        </w:rPr>
        <w:t>换不符合要求的</w:t>
      </w:r>
      <w:r>
        <w:rPr>
          <w:rFonts w:hint="eastAsia" w:ascii="宋体" w:hAnsi="宋体"/>
          <w:color w:val="000000"/>
          <w:sz w:val="21"/>
          <w:szCs w:val="21"/>
          <w:highlight w:val="none"/>
        </w:rPr>
        <w:t>货物</w:t>
      </w:r>
      <w:r>
        <w:rPr>
          <w:rFonts w:ascii="宋体" w:hAnsi="宋体"/>
          <w:color w:val="000000"/>
          <w:sz w:val="21"/>
          <w:szCs w:val="21"/>
          <w:highlight w:val="none"/>
        </w:rPr>
        <w:t>。</w:t>
      </w:r>
    </w:p>
    <w:p w14:paraId="487F552C">
      <w:pPr>
        <w:autoSpaceDE w:val="0"/>
        <w:autoSpaceDN w:val="0"/>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4.</w:t>
      </w:r>
      <w:r>
        <w:rPr>
          <w:rFonts w:ascii="宋体" w:hAnsi="宋体"/>
          <w:color w:val="000000"/>
          <w:sz w:val="21"/>
          <w:szCs w:val="21"/>
          <w:highlight w:val="none"/>
        </w:rPr>
        <w:t>3</w:t>
      </w:r>
      <w:r>
        <w:rPr>
          <w:rFonts w:hint="eastAsia" w:ascii="宋体" w:hAnsi="宋体"/>
          <w:color w:val="000000"/>
          <w:sz w:val="21"/>
          <w:szCs w:val="21"/>
          <w:highlight w:val="none"/>
        </w:rPr>
        <w:t xml:space="preserve"> </w:t>
      </w:r>
      <w:r>
        <w:rPr>
          <w:rFonts w:ascii="宋体" w:hAnsi="宋体"/>
          <w:color w:val="000000"/>
          <w:sz w:val="21"/>
          <w:szCs w:val="21"/>
          <w:highlight w:val="none"/>
        </w:rPr>
        <w:t>甲方</w:t>
      </w:r>
      <w:r>
        <w:rPr>
          <w:rFonts w:hint="eastAsia" w:ascii="宋体" w:hAnsi="宋体"/>
          <w:color w:val="000000"/>
          <w:sz w:val="21"/>
          <w:szCs w:val="21"/>
          <w:highlight w:val="none"/>
        </w:rPr>
        <w:t>有权要求乙方对缺陷部分予以修复，并按合同约定享有货物保修及其他合同约定的权利。</w:t>
      </w:r>
    </w:p>
    <w:p w14:paraId="36F76E99">
      <w:pPr>
        <w:snapToGrid w:val="0"/>
        <w:spacing w:line="400" w:lineRule="exact"/>
        <w:ind w:firstLine="420" w:firstLineChars="200"/>
        <w:rPr>
          <w:rFonts w:eastAsia="华文楷体"/>
          <w:sz w:val="21"/>
          <w:szCs w:val="21"/>
          <w:highlight w:val="none"/>
        </w:rPr>
      </w:pPr>
      <w:r>
        <w:rPr>
          <w:rFonts w:ascii="宋体" w:hAnsi="宋体"/>
          <w:color w:val="000000"/>
          <w:sz w:val="21"/>
          <w:szCs w:val="21"/>
          <w:highlight w:val="none"/>
        </w:rPr>
        <w:t>4.4 甲方应当按照合同约定及时对交付的货物进行验收</w:t>
      </w:r>
      <w:r>
        <w:rPr>
          <w:rFonts w:hint="eastAsia" w:ascii="宋体" w:hAnsi="宋体"/>
          <w:color w:val="000000"/>
          <w:sz w:val="21"/>
          <w:szCs w:val="21"/>
          <w:highlight w:val="none"/>
        </w:rPr>
        <w:t>，</w:t>
      </w:r>
      <w:r>
        <w:rPr>
          <w:rFonts w:hint="eastAsia" w:ascii="宋体" w:hAnsi="宋体" w:cs="宋体"/>
          <w:sz w:val="21"/>
          <w:szCs w:val="21"/>
          <w:highlight w:val="none"/>
        </w:rPr>
        <w:t>未</w:t>
      </w:r>
      <w:r>
        <w:rPr>
          <w:rFonts w:hint="eastAsia" w:ascii="宋体" w:hAnsi="宋体"/>
          <w:color w:val="000000"/>
          <w:sz w:val="21"/>
          <w:szCs w:val="21"/>
          <w:highlight w:val="none"/>
        </w:rPr>
        <w:t>在</w:t>
      </w:r>
      <w:r>
        <w:rPr>
          <w:rFonts w:hint="eastAsia" w:ascii="宋体" w:hAnsi="宋体" w:cs="宋体"/>
          <w:b/>
          <w:bCs/>
          <w:sz w:val="21"/>
          <w:szCs w:val="21"/>
          <w:highlight w:val="none"/>
        </w:rPr>
        <w:t>【政府采购合同专用条款】</w:t>
      </w:r>
      <w:r>
        <w:rPr>
          <w:rFonts w:hint="eastAsia" w:ascii="宋体" w:hAnsi="宋体" w:cs="宋体"/>
          <w:sz w:val="21"/>
          <w:szCs w:val="21"/>
          <w:highlight w:val="none"/>
        </w:rPr>
        <w:t>约定的期限内对乙方履约提出任何异议或者向乙方作出任何说明的，</w:t>
      </w:r>
      <w:r>
        <w:rPr>
          <w:rFonts w:hint="eastAsia" w:ascii="宋体" w:hAnsi="宋体"/>
          <w:color w:val="000000"/>
          <w:sz w:val="21"/>
          <w:szCs w:val="21"/>
          <w:highlight w:val="none"/>
        </w:rPr>
        <w:t>视为验收通过。</w:t>
      </w:r>
    </w:p>
    <w:p w14:paraId="1D11ACD8">
      <w:pPr>
        <w:autoSpaceDE w:val="0"/>
        <w:autoSpaceDN w:val="0"/>
        <w:adjustRightInd w:val="0"/>
        <w:snapToGrid w:val="0"/>
        <w:spacing w:line="400" w:lineRule="exact"/>
        <w:ind w:firstLine="420" w:firstLineChars="200"/>
        <w:rPr>
          <w:rFonts w:hint="eastAsia" w:ascii="宋体" w:hAnsi="宋体"/>
          <w:color w:val="000000"/>
          <w:sz w:val="21"/>
          <w:szCs w:val="21"/>
          <w:highlight w:val="none"/>
        </w:rPr>
      </w:pPr>
      <w:r>
        <w:rPr>
          <w:rFonts w:ascii="宋体" w:hAnsi="宋体"/>
          <w:color w:val="000000"/>
          <w:sz w:val="21"/>
          <w:szCs w:val="21"/>
          <w:highlight w:val="none"/>
        </w:rPr>
        <w:t>4</w:t>
      </w:r>
      <w:r>
        <w:rPr>
          <w:rFonts w:hint="eastAsia" w:ascii="宋体" w:hAnsi="宋体"/>
          <w:color w:val="000000"/>
          <w:sz w:val="21"/>
          <w:szCs w:val="21"/>
          <w:highlight w:val="none"/>
        </w:rPr>
        <w:t>.</w:t>
      </w:r>
      <w:r>
        <w:rPr>
          <w:rFonts w:ascii="宋体" w:hAnsi="宋体"/>
          <w:color w:val="000000"/>
          <w:sz w:val="21"/>
          <w:szCs w:val="21"/>
          <w:highlight w:val="none"/>
        </w:rPr>
        <w:t xml:space="preserve">5 </w:t>
      </w:r>
      <w:r>
        <w:rPr>
          <w:rFonts w:hint="eastAsia" w:ascii="宋体" w:hAnsi="宋体"/>
          <w:color w:val="000000"/>
          <w:sz w:val="21"/>
          <w:szCs w:val="21"/>
          <w:highlight w:val="none"/>
        </w:rPr>
        <w:t>甲方应当根据合同约定及时向乙方支付合同价款</w:t>
      </w:r>
      <w:r>
        <w:rPr>
          <w:rFonts w:ascii="宋体" w:hAnsi="宋体"/>
          <w:color w:val="000000"/>
          <w:sz w:val="21"/>
          <w:szCs w:val="21"/>
          <w:highlight w:val="none"/>
        </w:rPr>
        <w:t>，不得以内部人员变更、履行内部付款流程等为由，拒绝或迟延支付。</w:t>
      </w:r>
    </w:p>
    <w:p w14:paraId="7C1C80D7">
      <w:pPr>
        <w:autoSpaceDE w:val="0"/>
        <w:autoSpaceDN w:val="0"/>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4.6</w:t>
      </w:r>
      <w:r>
        <w:rPr>
          <w:rFonts w:ascii="宋体" w:hAnsi="宋体"/>
          <w:color w:val="000000"/>
          <w:sz w:val="21"/>
          <w:szCs w:val="21"/>
          <w:highlight w:val="none"/>
        </w:rPr>
        <w:t xml:space="preserve"> </w:t>
      </w:r>
      <w:r>
        <w:rPr>
          <w:rFonts w:hint="eastAsia" w:ascii="宋体" w:hAnsi="宋体"/>
          <w:color w:val="000000"/>
          <w:sz w:val="21"/>
          <w:szCs w:val="21"/>
          <w:highlight w:val="none"/>
        </w:rPr>
        <w:t>国家法律法规规定及</w:t>
      </w:r>
      <w:r>
        <w:rPr>
          <w:rFonts w:hint="eastAsia" w:ascii="宋体" w:hAnsi="宋体" w:cs="宋体"/>
          <w:b/>
          <w:bCs/>
          <w:sz w:val="21"/>
          <w:szCs w:val="21"/>
          <w:highlight w:val="none"/>
        </w:rPr>
        <w:t>【政府采购合同专用条款】</w:t>
      </w:r>
      <w:r>
        <w:rPr>
          <w:rFonts w:hint="eastAsia" w:ascii="宋体" w:hAnsi="宋体"/>
          <w:color w:val="000000"/>
          <w:sz w:val="21"/>
          <w:szCs w:val="21"/>
          <w:highlight w:val="none"/>
        </w:rPr>
        <w:t>约定应由甲方承担的其他义务和责任。</w:t>
      </w:r>
    </w:p>
    <w:p w14:paraId="751BAF10">
      <w:pPr>
        <w:autoSpaceDE w:val="0"/>
        <w:autoSpaceDN w:val="0"/>
        <w:adjustRightInd w:val="0"/>
        <w:snapToGrid w:val="0"/>
        <w:spacing w:line="400" w:lineRule="exact"/>
        <w:ind w:firstLine="422"/>
        <w:rPr>
          <w:rFonts w:hint="eastAsia" w:ascii="宋体" w:hAnsi="宋体"/>
          <w:b/>
          <w:bCs/>
          <w:color w:val="000000"/>
          <w:sz w:val="21"/>
          <w:szCs w:val="21"/>
          <w:highlight w:val="none"/>
        </w:rPr>
      </w:pPr>
      <w:r>
        <w:rPr>
          <w:rFonts w:hint="eastAsia" w:ascii="宋体" w:hAnsi="宋体"/>
          <w:b/>
          <w:bCs/>
          <w:color w:val="000000"/>
          <w:sz w:val="21"/>
          <w:szCs w:val="21"/>
          <w:highlight w:val="none"/>
        </w:rPr>
        <w:t>5. 乙方的权利和义务</w:t>
      </w:r>
    </w:p>
    <w:p w14:paraId="0B6C5409">
      <w:pPr>
        <w:autoSpaceDE w:val="0"/>
        <w:autoSpaceDN w:val="0"/>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 xml:space="preserve">5.1 </w:t>
      </w:r>
      <w:r>
        <w:rPr>
          <w:rFonts w:ascii="宋体" w:hAnsi="宋体"/>
          <w:color w:val="000000"/>
          <w:sz w:val="21"/>
          <w:szCs w:val="21"/>
          <w:highlight w:val="none"/>
        </w:rPr>
        <w:t>签署合同后，乙方</w:t>
      </w:r>
      <w:r>
        <w:rPr>
          <w:rFonts w:hint="eastAsia" w:ascii="宋体" w:hAnsi="宋体"/>
          <w:color w:val="000000"/>
          <w:sz w:val="21"/>
          <w:szCs w:val="21"/>
          <w:highlight w:val="none"/>
        </w:rPr>
        <w:t>应</w:t>
      </w:r>
      <w:r>
        <w:rPr>
          <w:rFonts w:ascii="宋体" w:hAnsi="宋体"/>
          <w:color w:val="000000"/>
          <w:sz w:val="21"/>
          <w:szCs w:val="21"/>
          <w:highlight w:val="none"/>
        </w:rPr>
        <w:t>确定</w:t>
      </w:r>
      <w:r>
        <w:rPr>
          <w:rFonts w:hint="eastAsia" w:ascii="宋体" w:hAnsi="宋体"/>
          <w:color w:val="000000"/>
          <w:sz w:val="21"/>
          <w:szCs w:val="21"/>
          <w:highlight w:val="none"/>
        </w:rPr>
        <w:t>项目负责人（或项目联系人）</w:t>
      </w:r>
      <w:r>
        <w:rPr>
          <w:rFonts w:ascii="宋体" w:hAnsi="宋体"/>
          <w:color w:val="000000"/>
          <w:sz w:val="21"/>
          <w:szCs w:val="21"/>
          <w:highlight w:val="none"/>
        </w:rPr>
        <w:t>，负责与本合同有关的事务。</w:t>
      </w:r>
    </w:p>
    <w:p w14:paraId="428AB0BC">
      <w:pPr>
        <w:autoSpaceDE w:val="0"/>
        <w:autoSpaceDN w:val="0"/>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5.</w:t>
      </w:r>
      <w:r>
        <w:rPr>
          <w:rFonts w:ascii="宋体" w:hAnsi="宋体"/>
          <w:color w:val="000000"/>
          <w:sz w:val="21"/>
          <w:szCs w:val="21"/>
          <w:highlight w:val="none"/>
        </w:rPr>
        <w:t>2 乙方应按照合同要求</w:t>
      </w:r>
      <w:r>
        <w:rPr>
          <w:rFonts w:hint="eastAsia" w:ascii="宋体" w:hAnsi="宋体"/>
          <w:color w:val="000000"/>
          <w:sz w:val="21"/>
          <w:szCs w:val="21"/>
          <w:highlight w:val="none"/>
        </w:rPr>
        <w:t>履约</w:t>
      </w:r>
      <w:r>
        <w:rPr>
          <w:rFonts w:ascii="宋体" w:hAnsi="宋体"/>
          <w:color w:val="000000"/>
          <w:sz w:val="21"/>
          <w:szCs w:val="21"/>
          <w:highlight w:val="none"/>
        </w:rPr>
        <w:t>，充分合理安排，确保</w:t>
      </w:r>
      <w:r>
        <w:rPr>
          <w:rFonts w:hint="eastAsia" w:ascii="宋体" w:hAnsi="宋体"/>
          <w:color w:val="000000"/>
          <w:sz w:val="21"/>
          <w:szCs w:val="21"/>
          <w:highlight w:val="none"/>
        </w:rPr>
        <w:t>提供的货物及相关服务符合合同有关</w:t>
      </w:r>
      <w:r>
        <w:rPr>
          <w:rFonts w:ascii="宋体" w:hAnsi="宋体"/>
          <w:color w:val="000000"/>
          <w:sz w:val="21"/>
          <w:szCs w:val="21"/>
          <w:highlight w:val="none"/>
        </w:rPr>
        <w:t>要求</w:t>
      </w:r>
      <w:r>
        <w:rPr>
          <w:rFonts w:hint="eastAsia" w:ascii="宋体" w:hAnsi="宋体"/>
          <w:color w:val="000000"/>
          <w:sz w:val="21"/>
          <w:szCs w:val="21"/>
          <w:highlight w:val="none"/>
        </w:rPr>
        <w:t>。接受项目行业管理部门及政府有关部门的指导，配合甲方的履约检查及验收，并</w:t>
      </w:r>
      <w:r>
        <w:rPr>
          <w:rFonts w:ascii="宋体" w:hAnsi="宋体"/>
          <w:color w:val="000000"/>
          <w:sz w:val="21"/>
          <w:szCs w:val="21"/>
          <w:highlight w:val="none"/>
        </w:rPr>
        <w:t>负责项目实施过程中的所有协调工作。</w:t>
      </w:r>
    </w:p>
    <w:p w14:paraId="4F8AAD25">
      <w:pPr>
        <w:pStyle w:val="8"/>
        <w:spacing w:after="0" w:line="400" w:lineRule="exact"/>
        <w:ind w:firstLine="369" w:firstLineChars="176"/>
        <w:rPr>
          <w:rFonts w:hint="eastAsia" w:ascii="宋体" w:hAnsi="宋体" w:cs="宋体"/>
          <w:color w:val="000000"/>
          <w:sz w:val="21"/>
          <w:szCs w:val="21"/>
          <w:highlight w:val="none"/>
        </w:rPr>
      </w:pPr>
      <w:r>
        <w:rPr>
          <w:rFonts w:hint="eastAsia" w:ascii="宋体" w:hAnsi="宋体"/>
          <w:color w:val="000000"/>
          <w:sz w:val="21"/>
          <w:szCs w:val="21"/>
          <w:highlight w:val="none"/>
        </w:rPr>
        <w:t>5.</w:t>
      </w:r>
      <w:r>
        <w:rPr>
          <w:rFonts w:ascii="宋体" w:hAnsi="宋体"/>
          <w:color w:val="000000"/>
          <w:sz w:val="21"/>
          <w:szCs w:val="21"/>
          <w:highlight w:val="none"/>
        </w:rPr>
        <w:t>3</w:t>
      </w:r>
      <w:r>
        <w:rPr>
          <w:rFonts w:hint="eastAsia" w:ascii="宋体" w:hAnsi="宋体"/>
          <w:color w:val="000000"/>
          <w:sz w:val="21"/>
          <w:szCs w:val="21"/>
          <w:highlight w:val="none"/>
        </w:rPr>
        <w:t>乙方有权</w:t>
      </w:r>
      <w:r>
        <w:rPr>
          <w:rFonts w:hint="eastAsia" w:ascii="宋体" w:hAnsi="宋体" w:cs="宋体"/>
          <w:color w:val="000000"/>
          <w:sz w:val="21"/>
          <w:szCs w:val="21"/>
          <w:highlight w:val="none"/>
        </w:rPr>
        <w:t>根据合同约定向甲方收取合同价款。</w:t>
      </w:r>
    </w:p>
    <w:p w14:paraId="71DA5D58">
      <w:pPr>
        <w:pStyle w:val="8"/>
        <w:spacing w:after="0" w:line="400" w:lineRule="exact"/>
        <w:ind w:firstLine="369" w:firstLineChars="176"/>
        <w:rPr>
          <w:rFonts w:hint="eastAsia" w:ascii="宋体" w:hAnsi="宋体" w:cs="宋体"/>
          <w:color w:val="000000"/>
          <w:sz w:val="21"/>
          <w:szCs w:val="21"/>
          <w:highlight w:val="none"/>
        </w:rPr>
      </w:pPr>
      <w:r>
        <w:rPr>
          <w:rFonts w:hint="eastAsia" w:ascii="宋体" w:hAnsi="宋体"/>
          <w:color w:val="000000"/>
          <w:sz w:val="21"/>
          <w:szCs w:val="21"/>
          <w:highlight w:val="none"/>
        </w:rPr>
        <w:t>5.</w:t>
      </w:r>
      <w:r>
        <w:rPr>
          <w:rFonts w:ascii="宋体" w:hAnsi="宋体"/>
          <w:color w:val="000000"/>
          <w:sz w:val="21"/>
          <w:szCs w:val="21"/>
          <w:highlight w:val="none"/>
        </w:rPr>
        <w:t>4</w:t>
      </w:r>
      <w:r>
        <w:rPr>
          <w:rFonts w:hint="eastAsia" w:ascii="宋体" w:hAnsi="宋体" w:cs="宋体"/>
          <w:color w:val="000000"/>
          <w:sz w:val="21"/>
          <w:szCs w:val="21"/>
          <w:highlight w:val="none"/>
        </w:rPr>
        <w:t>国家法律法规规定</w:t>
      </w:r>
      <w:r>
        <w:rPr>
          <w:rFonts w:hint="eastAsia" w:ascii="宋体" w:hAnsi="宋体"/>
          <w:color w:val="000000"/>
          <w:sz w:val="21"/>
          <w:szCs w:val="21"/>
          <w:highlight w:val="none"/>
        </w:rPr>
        <w:t>及</w:t>
      </w:r>
      <w:r>
        <w:rPr>
          <w:rFonts w:hint="eastAsia" w:ascii="宋体" w:hAnsi="宋体" w:cs="宋体"/>
          <w:b/>
          <w:bCs/>
          <w:sz w:val="21"/>
          <w:szCs w:val="21"/>
          <w:highlight w:val="none"/>
        </w:rPr>
        <w:t>【政府采购合同专用条款】</w:t>
      </w:r>
      <w:r>
        <w:rPr>
          <w:rFonts w:hint="eastAsia" w:ascii="宋体" w:hAnsi="宋体" w:cs="宋体"/>
          <w:sz w:val="21"/>
          <w:szCs w:val="21"/>
          <w:highlight w:val="none"/>
        </w:rPr>
        <w:t>约定应</w:t>
      </w:r>
      <w:r>
        <w:rPr>
          <w:rFonts w:hint="eastAsia" w:ascii="宋体" w:hAnsi="宋体" w:cs="宋体"/>
          <w:color w:val="000000"/>
          <w:sz w:val="21"/>
          <w:szCs w:val="21"/>
          <w:highlight w:val="none"/>
        </w:rPr>
        <w:t>由乙方承担的其他义务和责任。</w:t>
      </w:r>
    </w:p>
    <w:p w14:paraId="5E16FEE2">
      <w:pPr>
        <w:numPr>
          <w:ilvl w:val="0"/>
          <w:numId w:val="7"/>
        </w:numPr>
        <w:autoSpaceDE w:val="0"/>
        <w:autoSpaceDN w:val="0"/>
        <w:adjustRightInd w:val="0"/>
        <w:snapToGrid w:val="0"/>
        <w:spacing w:line="400" w:lineRule="exact"/>
        <w:ind w:firstLine="422"/>
        <w:rPr>
          <w:rFonts w:hint="eastAsia" w:ascii="宋体" w:hAnsi="宋体"/>
          <w:b/>
          <w:bCs/>
          <w:color w:val="000000"/>
          <w:sz w:val="21"/>
          <w:szCs w:val="21"/>
          <w:highlight w:val="none"/>
        </w:rPr>
      </w:pPr>
      <w:r>
        <w:rPr>
          <w:rFonts w:hint="eastAsia" w:ascii="宋体" w:hAnsi="宋体"/>
          <w:b/>
          <w:bCs/>
          <w:color w:val="000000"/>
          <w:sz w:val="21"/>
          <w:szCs w:val="21"/>
          <w:highlight w:val="none"/>
        </w:rPr>
        <w:t>合同履行</w:t>
      </w:r>
    </w:p>
    <w:p w14:paraId="114F37A3">
      <w:pPr>
        <w:autoSpaceDE w:val="0"/>
        <w:autoSpaceDN w:val="0"/>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6.1 甲乙双方应当按照</w:t>
      </w:r>
      <w:r>
        <w:rPr>
          <w:rFonts w:hint="eastAsia" w:ascii="宋体" w:hAnsi="宋体" w:cs="宋体"/>
          <w:b/>
          <w:bCs/>
          <w:sz w:val="21"/>
          <w:szCs w:val="21"/>
          <w:highlight w:val="none"/>
        </w:rPr>
        <w:t>【政府采购合同专用条款】</w:t>
      </w:r>
      <w:r>
        <w:rPr>
          <w:rFonts w:hint="eastAsia" w:ascii="宋体" w:hAnsi="宋体"/>
          <w:color w:val="000000"/>
          <w:sz w:val="21"/>
          <w:szCs w:val="21"/>
          <w:highlight w:val="none"/>
        </w:rPr>
        <w:t>约定顺序履行合同义务；如果没有先后顺序的，应当同时履行。</w:t>
      </w:r>
    </w:p>
    <w:p w14:paraId="0609D10E">
      <w:pPr>
        <w:autoSpaceDE w:val="0"/>
        <w:autoSpaceDN w:val="0"/>
        <w:adjustRightInd w:val="0"/>
        <w:snapToGrid w:val="0"/>
        <w:spacing w:line="400" w:lineRule="exact"/>
        <w:ind w:firstLine="420" w:firstLineChars="200"/>
        <w:rPr>
          <w:sz w:val="21"/>
          <w:szCs w:val="21"/>
          <w:highlight w:val="none"/>
        </w:rPr>
      </w:pPr>
      <w:r>
        <w:rPr>
          <w:rFonts w:hint="eastAsia" w:ascii="宋体" w:hAnsi="宋体"/>
          <w:color w:val="000000"/>
          <w:sz w:val="21"/>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3E373792">
      <w:pPr>
        <w:adjustRightInd w:val="0"/>
        <w:snapToGrid w:val="0"/>
        <w:spacing w:line="400" w:lineRule="exact"/>
        <w:ind w:firstLine="422"/>
        <w:rPr>
          <w:rFonts w:hint="eastAsia" w:ascii="宋体" w:hAnsi="宋体"/>
          <w:b/>
          <w:bCs/>
          <w:color w:val="000000"/>
          <w:sz w:val="21"/>
          <w:szCs w:val="21"/>
          <w:highlight w:val="none"/>
        </w:rPr>
      </w:pPr>
      <w:r>
        <w:rPr>
          <w:rFonts w:hint="eastAsia" w:ascii="宋体" w:hAnsi="宋体"/>
          <w:b/>
          <w:bCs/>
          <w:color w:val="000000"/>
          <w:sz w:val="21"/>
          <w:szCs w:val="21"/>
          <w:highlight w:val="none"/>
        </w:rPr>
        <w:t>7. 货物包装、运输、保险和交付要求</w:t>
      </w:r>
    </w:p>
    <w:p w14:paraId="096C109B">
      <w:pPr>
        <w:autoSpaceDE w:val="0"/>
        <w:autoSpaceDN w:val="0"/>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7.1 本合同</w:t>
      </w:r>
      <w:r>
        <w:rPr>
          <w:rFonts w:hint="eastAsia" w:ascii="宋体" w:hAnsi="宋体"/>
          <w:bCs/>
          <w:color w:val="000000"/>
          <w:sz w:val="21"/>
          <w:szCs w:val="21"/>
          <w:highlight w:val="none"/>
        </w:rPr>
        <w:t>涉及商品包装、快递包装的，</w:t>
      </w:r>
      <w:r>
        <w:rPr>
          <w:rFonts w:hint="eastAsia" w:ascii="宋体" w:hAnsi="宋体"/>
          <w:color w:val="000000"/>
          <w:sz w:val="21"/>
          <w:szCs w:val="21"/>
          <w:highlight w:val="none"/>
        </w:rPr>
        <w:t>除</w:t>
      </w:r>
      <w:r>
        <w:rPr>
          <w:rFonts w:hint="eastAsia" w:ascii="宋体" w:hAnsi="宋体"/>
          <w:b/>
          <w:color w:val="000000"/>
          <w:sz w:val="21"/>
          <w:szCs w:val="21"/>
          <w:highlight w:val="none"/>
        </w:rPr>
        <w:t>【政府采购合同专用条款】</w:t>
      </w:r>
      <w:r>
        <w:rPr>
          <w:rFonts w:hint="eastAsia" w:ascii="宋体" w:hAnsi="宋体"/>
          <w:bCs/>
          <w:color w:val="000000"/>
          <w:sz w:val="21"/>
          <w:szCs w:val="21"/>
          <w:highlight w:val="none"/>
        </w:rPr>
        <w:t>另有约定外，</w:t>
      </w:r>
      <w:r>
        <w:rPr>
          <w:rFonts w:hint="eastAsia" w:ascii="宋体" w:hAnsi="宋体"/>
          <w:color w:val="000000"/>
          <w:sz w:val="21"/>
          <w:szCs w:val="21"/>
          <w:highlight w:val="none"/>
        </w:rPr>
        <w:t>包装应适应远距离运输、防潮、防震、防锈和防野蛮装卸等要求，确保货物安全无损地运抵</w:t>
      </w:r>
      <w:r>
        <w:rPr>
          <w:rFonts w:hint="eastAsia" w:ascii="宋体" w:hAnsi="宋体"/>
          <w:b/>
          <w:color w:val="000000"/>
          <w:sz w:val="21"/>
          <w:szCs w:val="21"/>
          <w:highlight w:val="none"/>
        </w:rPr>
        <w:t>【政府采购合同专用条款】</w:t>
      </w:r>
      <w:r>
        <w:rPr>
          <w:rFonts w:hint="eastAsia" w:ascii="宋体" w:hAnsi="宋体"/>
          <w:bCs/>
          <w:color w:val="000000"/>
          <w:sz w:val="21"/>
          <w:szCs w:val="21"/>
          <w:highlight w:val="none"/>
        </w:rPr>
        <w:t>约定的</w:t>
      </w:r>
      <w:r>
        <w:rPr>
          <w:rFonts w:hint="eastAsia" w:ascii="宋体" w:hAnsi="宋体"/>
          <w:color w:val="000000"/>
          <w:sz w:val="21"/>
          <w:szCs w:val="21"/>
          <w:highlight w:val="none"/>
        </w:rPr>
        <w:t>指定现场。</w:t>
      </w:r>
    </w:p>
    <w:p w14:paraId="3CB25ADD">
      <w:pPr>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7.2 除</w:t>
      </w:r>
      <w:r>
        <w:rPr>
          <w:rFonts w:hint="eastAsia" w:ascii="宋体" w:hAnsi="宋体"/>
          <w:b/>
          <w:color w:val="000000"/>
          <w:sz w:val="21"/>
          <w:szCs w:val="21"/>
          <w:highlight w:val="none"/>
        </w:rPr>
        <w:t>【政府采购合同专用条款】</w:t>
      </w:r>
      <w:r>
        <w:rPr>
          <w:rFonts w:hint="eastAsia" w:ascii="宋体" w:hAnsi="宋体"/>
          <w:bCs/>
          <w:color w:val="000000"/>
          <w:sz w:val="21"/>
          <w:szCs w:val="21"/>
          <w:highlight w:val="none"/>
        </w:rPr>
        <w:t>另有约定外，</w:t>
      </w:r>
      <w:r>
        <w:rPr>
          <w:rFonts w:hint="eastAsia" w:ascii="宋体" w:hAnsi="宋体"/>
          <w:color w:val="000000"/>
          <w:sz w:val="21"/>
          <w:szCs w:val="21"/>
          <w:highlight w:val="none"/>
        </w:rPr>
        <w:t>乙方负责办理将货物运抵本合同规定的交货地点，并装卸、交付至甲方的一切运输事项，相关费用应包含在合同价款中。</w:t>
      </w:r>
    </w:p>
    <w:p w14:paraId="79B180C5">
      <w:pPr>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7.3 货物保险要求按</w:t>
      </w:r>
      <w:r>
        <w:rPr>
          <w:rFonts w:hint="eastAsia" w:ascii="宋体" w:hAnsi="宋体"/>
          <w:b/>
          <w:color w:val="000000"/>
          <w:sz w:val="21"/>
          <w:szCs w:val="21"/>
          <w:highlight w:val="none"/>
        </w:rPr>
        <w:t>【政府采购合同专用条款】</w:t>
      </w:r>
      <w:r>
        <w:rPr>
          <w:rFonts w:hint="eastAsia" w:ascii="宋体" w:hAnsi="宋体"/>
          <w:bCs/>
          <w:color w:val="000000"/>
          <w:sz w:val="21"/>
          <w:szCs w:val="21"/>
          <w:highlight w:val="none"/>
        </w:rPr>
        <w:t>规定执行</w:t>
      </w:r>
      <w:r>
        <w:rPr>
          <w:rFonts w:hint="eastAsia" w:ascii="宋体" w:hAnsi="宋体"/>
          <w:color w:val="000000"/>
          <w:sz w:val="21"/>
          <w:szCs w:val="21"/>
          <w:highlight w:val="none"/>
        </w:rPr>
        <w:t>。</w:t>
      </w:r>
    </w:p>
    <w:p w14:paraId="6129B39B">
      <w:pPr>
        <w:autoSpaceDE w:val="0"/>
        <w:autoSpaceDN w:val="0"/>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7C245C2">
      <w:pPr>
        <w:autoSpaceDE w:val="0"/>
        <w:autoSpaceDN w:val="0"/>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 xml:space="preserve">7.5 </w:t>
      </w:r>
      <w:r>
        <w:rPr>
          <w:rFonts w:hint="eastAsia" w:ascii="宋体" w:hAnsi="宋体" w:cs="宋体"/>
          <w:color w:val="000000"/>
          <w:sz w:val="21"/>
          <w:szCs w:val="21"/>
          <w:highlight w:val="none"/>
        </w:rPr>
        <w:t>乙方在运输到达之前应提前通知甲方，并提示货物运输装卸的注意事项，甲方配合乙方做好货物的接收工作。</w:t>
      </w:r>
    </w:p>
    <w:p w14:paraId="65843B53">
      <w:pPr>
        <w:pStyle w:val="59"/>
        <w:ind w:firstLine="420"/>
        <w:rPr>
          <w:rFonts w:hint="eastAsia"/>
          <w:sz w:val="21"/>
          <w:highlight w:val="none"/>
        </w:rPr>
      </w:pPr>
      <w:r>
        <w:rPr>
          <w:rFonts w:hint="eastAsia" w:ascii="宋体" w:hAnsi="宋体" w:eastAsia="宋体" w:cs="Times New Roman"/>
          <w:color w:val="000000"/>
          <w:kern w:val="2"/>
          <w:sz w:val="21"/>
          <w:highlight w:val="none"/>
        </w:rPr>
        <w:t>7.6 如因包装、运输问题导致货物损毁、丢失或者品质下降，甲方有权要求降价、换货、拒收部分或整批货物，由此产生的费用和损失，均由乙方承担。</w:t>
      </w:r>
    </w:p>
    <w:p w14:paraId="459DC0BD">
      <w:pPr>
        <w:adjustRightInd w:val="0"/>
        <w:snapToGrid w:val="0"/>
        <w:spacing w:line="400" w:lineRule="exact"/>
        <w:ind w:firstLine="422"/>
        <w:rPr>
          <w:rFonts w:hint="eastAsia" w:ascii="宋体" w:hAnsi="宋体"/>
          <w:b/>
          <w:sz w:val="21"/>
          <w:szCs w:val="21"/>
          <w:highlight w:val="none"/>
        </w:rPr>
      </w:pPr>
      <w:r>
        <w:rPr>
          <w:rFonts w:hint="eastAsia" w:ascii="宋体" w:hAnsi="宋体"/>
          <w:b/>
          <w:color w:val="000000"/>
          <w:sz w:val="21"/>
          <w:szCs w:val="21"/>
          <w:highlight w:val="none"/>
        </w:rPr>
        <w:t xml:space="preserve">8. </w:t>
      </w:r>
      <w:r>
        <w:rPr>
          <w:rFonts w:hint="eastAsia" w:ascii="宋体" w:hAnsi="宋体"/>
          <w:b/>
          <w:sz w:val="21"/>
          <w:szCs w:val="21"/>
          <w:highlight w:val="none"/>
        </w:rPr>
        <w:t>质量标准和保证</w:t>
      </w:r>
    </w:p>
    <w:p w14:paraId="5305194A">
      <w:pPr>
        <w:pStyle w:val="12"/>
        <w:adjustRightInd w:val="0"/>
        <w:snapToGrid w:val="0"/>
        <w:spacing w:line="400" w:lineRule="exact"/>
        <w:ind w:firstLine="420" w:firstLineChars="200"/>
        <w:rPr>
          <w:rFonts w:hint="eastAsia" w:hAnsi="宋体"/>
          <w:b/>
          <w:sz w:val="21"/>
          <w:szCs w:val="21"/>
          <w:highlight w:val="none"/>
        </w:rPr>
      </w:pPr>
      <w:r>
        <w:rPr>
          <w:rFonts w:hint="eastAsia" w:hAnsi="宋体"/>
          <w:sz w:val="21"/>
          <w:szCs w:val="21"/>
          <w:highlight w:val="none"/>
        </w:rPr>
        <w:t>8.1 质量标准</w:t>
      </w:r>
    </w:p>
    <w:p w14:paraId="5C019823">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（1）本合同下提供的货物应符合合同</w:t>
      </w:r>
      <w:r>
        <w:rPr>
          <w:rFonts w:hint="eastAsia" w:ascii="宋体" w:hAnsi="宋体" w:cs="宋体"/>
          <w:color w:val="000000"/>
          <w:sz w:val="21"/>
          <w:szCs w:val="21"/>
          <w:highlight w:val="none"/>
        </w:rPr>
        <w:t>约定的</w:t>
      </w:r>
      <w:r>
        <w:rPr>
          <w:rFonts w:hint="eastAsia" w:ascii="宋体" w:hAnsi="宋体" w:cs="宋体"/>
          <w:sz w:val="21"/>
          <w:szCs w:val="21"/>
          <w:highlight w:val="none"/>
        </w:rPr>
        <w:t>品牌、规格型号、技术性能、配置、质量、数量等要求。</w:t>
      </w:r>
      <w:r>
        <w:rPr>
          <w:rFonts w:hint="eastAsia" w:ascii="宋体" w:hAnsi="宋体"/>
          <w:sz w:val="21"/>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4FAE7ED">
      <w:pPr>
        <w:pStyle w:val="12"/>
        <w:adjustRightInd w:val="0"/>
        <w:snapToGrid w:val="0"/>
        <w:spacing w:line="400" w:lineRule="exact"/>
        <w:ind w:firstLine="420" w:firstLineChars="200"/>
        <w:rPr>
          <w:rFonts w:hint="eastAsia" w:hAnsi="宋体"/>
          <w:sz w:val="21"/>
          <w:szCs w:val="21"/>
          <w:highlight w:val="none"/>
        </w:rPr>
      </w:pPr>
      <w:r>
        <w:rPr>
          <w:rFonts w:hint="eastAsia" w:hAnsi="宋体"/>
          <w:sz w:val="21"/>
          <w:szCs w:val="21"/>
          <w:highlight w:val="none"/>
        </w:rPr>
        <w:t>（2）采用中华人民共和国法定计量单位。</w:t>
      </w:r>
    </w:p>
    <w:p w14:paraId="214E047A">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（3）乙方所提供的货物应符合国家有关安全、环保、卫生的规定。</w:t>
      </w:r>
    </w:p>
    <w:p w14:paraId="1331E30C">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（4）乙方应向甲方提交所提供货物的技术文件，包括相应的中文技术文件，如：产品目录、图纸、操作手册、使用说明、维护手册或服务指南等。上述文件应包装好随货物一同发运。</w:t>
      </w:r>
    </w:p>
    <w:p w14:paraId="1F4DABCD">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8.2 保证</w:t>
      </w:r>
    </w:p>
    <w:p w14:paraId="06553BFA">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（1）乙方应保证提供的货物完全符合合同规定的质量、规格和性能要求。乙方应保证货物在正确安装、正常使用和保养条件下，</w:t>
      </w:r>
      <w:r>
        <w:rPr>
          <w:rFonts w:hint="eastAsia" w:ascii="宋体" w:hAnsi="宋体" w:cs="宋体"/>
          <w:sz w:val="21"/>
          <w:szCs w:val="21"/>
          <w:highlight w:val="none"/>
        </w:rPr>
        <w:t>在其使用寿命期内具备合同约定的性能</w:t>
      </w:r>
      <w:r>
        <w:rPr>
          <w:rFonts w:hint="eastAsia" w:ascii="宋体" w:hAnsi="宋体"/>
          <w:sz w:val="21"/>
          <w:szCs w:val="21"/>
          <w:highlight w:val="none"/>
        </w:rPr>
        <w:t>。存在质量保证期的，货物最终交付验收合格后在</w:t>
      </w:r>
      <w:r>
        <w:rPr>
          <w:rFonts w:hint="eastAsia" w:ascii="宋体" w:hAnsi="宋体"/>
          <w:b/>
          <w:sz w:val="21"/>
          <w:szCs w:val="21"/>
          <w:highlight w:val="none"/>
        </w:rPr>
        <w:t>【政府采购合同专用条款】</w:t>
      </w:r>
      <w:r>
        <w:rPr>
          <w:rFonts w:hint="eastAsia" w:ascii="宋体" w:hAnsi="宋体"/>
          <w:sz w:val="21"/>
          <w:szCs w:val="21"/>
          <w:highlight w:val="none"/>
        </w:rPr>
        <w:t>规定或乙方书面承诺（两者以较长的为准）的质量保证期内，本保证保持有效。</w:t>
      </w:r>
    </w:p>
    <w:p w14:paraId="35C98D5E">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（2）在质量保证期内所发现的缺陷，甲方应尽快以书面形式通知乙方。</w:t>
      </w:r>
    </w:p>
    <w:p w14:paraId="66C25516">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（3）乙方收到通知后，应在</w:t>
      </w:r>
      <w:r>
        <w:rPr>
          <w:rFonts w:hint="eastAsia" w:ascii="宋体" w:hAnsi="宋体"/>
          <w:b/>
          <w:sz w:val="21"/>
          <w:szCs w:val="21"/>
          <w:highlight w:val="none"/>
        </w:rPr>
        <w:t>【政府采购合同专用条款】</w:t>
      </w:r>
      <w:r>
        <w:rPr>
          <w:rFonts w:hint="eastAsia" w:ascii="宋体" w:hAnsi="宋体"/>
          <w:sz w:val="21"/>
          <w:szCs w:val="21"/>
          <w:highlight w:val="none"/>
        </w:rPr>
        <w:t>规定的响应时间内以合理的速度免费维修或更换有缺陷的货物或部件。</w:t>
      </w:r>
    </w:p>
    <w:p w14:paraId="57ABD195">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sz w:val="21"/>
          <w:szCs w:val="21"/>
          <w:highlight w:val="none"/>
        </w:rPr>
        <w:t>5</w:t>
      </w:r>
      <w:r>
        <w:rPr>
          <w:rFonts w:hint="eastAsia" w:ascii="宋体" w:hAnsi="宋体"/>
          <w:sz w:val="21"/>
          <w:szCs w:val="21"/>
          <w:highlight w:val="none"/>
        </w:rPr>
        <w:t>.1条规定以书面形式</w:t>
      </w:r>
      <w:r>
        <w:rPr>
          <w:rFonts w:hint="eastAsia" w:ascii="宋体" w:hAnsi="宋体"/>
          <w:color w:val="000000"/>
          <w:sz w:val="21"/>
          <w:szCs w:val="21"/>
          <w:highlight w:val="none"/>
        </w:rPr>
        <w:t>追究</w:t>
      </w:r>
      <w:r>
        <w:rPr>
          <w:rFonts w:hint="eastAsia" w:ascii="宋体" w:hAnsi="宋体"/>
          <w:sz w:val="21"/>
          <w:szCs w:val="21"/>
          <w:highlight w:val="none"/>
        </w:rPr>
        <w:t>乙方</w:t>
      </w:r>
      <w:r>
        <w:rPr>
          <w:rFonts w:hint="eastAsia" w:ascii="宋体" w:hAnsi="宋体"/>
          <w:color w:val="000000"/>
          <w:sz w:val="21"/>
          <w:szCs w:val="21"/>
          <w:highlight w:val="none"/>
        </w:rPr>
        <w:t>的违约责任</w:t>
      </w:r>
      <w:r>
        <w:rPr>
          <w:rFonts w:hint="eastAsia" w:ascii="宋体" w:hAnsi="宋体"/>
          <w:sz w:val="21"/>
          <w:szCs w:val="21"/>
          <w:highlight w:val="none"/>
        </w:rPr>
        <w:t>。</w:t>
      </w:r>
    </w:p>
    <w:p w14:paraId="4C55B35C">
      <w:pPr>
        <w:adjustRightInd w:val="0"/>
        <w:snapToGrid w:val="0"/>
        <w:spacing w:line="400" w:lineRule="exact"/>
        <w:ind w:firstLine="420" w:firstLineChars="200"/>
        <w:rPr>
          <w:sz w:val="21"/>
          <w:szCs w:val="21"/>
          <w:highlight w:val="none"/>
        </w:rPr>
      </w:pPr>
      <w:r>
        <w:rPr>
          <w:rFonts w:hint="eastAsia" w:ascii="宋体" w:hAnsi="宋体"/>
          <w:sz w:val="21"/>
          <w:szCs w:val="21"/>
          <w:highlight w:val="none"/>
        </w:rPr>
        <w:t>（5）乙方在约定的时间内未能弥补缺陷，甲方可采取必要的补救措施，但其风险和费用将由乙方承担，甲方根据合同约定对乙方行使的其他权利不受影响。</w:t>
      </w:r>
    </w:p>
    <w:p w14:paraId="3CB92CE5">
      <w:pPr>
        <w:adjustRightInd w:val="0"/>
        <w:snapToGrid w:val="0"/>
        <w:spacing w:line="400" w:lineRule="exact"/>
        <w:ind w:firstLine="422"/>
        <w:rPr>
          <w:rFonts w:hint="eastAsia" w:ascii="宋体" w:hAnsi="宋体"/>
          <w:b/>
          <w:bCs/>
          <w:sz w:val="21"/>
          <w:szCs w:val="21"/>
          <w:highlight w:val="none"/>
        </w:rPr>
      </w:pPr>
      <w:r>
        <w:rPr>
          <w:rFonts w:hint="eastAsia" w:ascii="宋体" w:hAnsi="宋体"/>
          <w:b/>
          <w:bCs/>
          <w:color w:val="000000"/>
          <w:sz w:val="21"/>
          <w:szCs w:val="21"/>
          <w:highlight w:val="none"/>
        </w:rPr>
        <w:t>9</w:t>
      </w:r>
      <w:r>
        <w:rPr>
          <w:rFonts w:hint="eastAsia" w:ascii="宋体" w:hAnsi="宋体"/>
          <w:b/>
          <w:bCs/>
          <w:sz w:val="21"/>
          <w:szCs w:val="21"/>
          <w:highlight w:val="none"/>
        </w:rPr>
        <w:t>.</w:t>
      </w:r>
      <w:r>
        <w:rPr>
          <w:rFonts w:hint="eastAsia" w:ascii="宋体" w:hAnsi="宋体"/>
          <w:b/>
          <w:bCs/>
          <w:color w:val="000000"/>
          <w:sz w:val="21"/>
          <w:szCs w:val="21"/>
          <w:highlight w:val="none"/>
        </w:rPr>
        <w:t xml:space="preserve"> </w:t>
      </w:r>
      <w:r>
        <w:rPr>
          <w:rFonts w:hint="eastAsia" w:ascii="宋体" w:hAnsi="宋体"/>
          <w:b/>
          <w:bCs/>
          <w:sz w:val="21"/>
          <w:szCs w:val="21"/>
          <w:highlight w:val="none"/>
        </w:rPr>
        <w:t>权利瑕疵担保</w:t>
      </w:r>
    </w:p>
    <w:p w14:paraId="1945777A">
      <w:pPr>
        <w:autoSpaceDE w:val="0"/>
        <w:autoSpaceDN w:val="0"/>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9.1 乙方保证对其出售的货物享有合法的权利。</w:t>
      </w:r>
    </w:p>
    <w:p w14:paraId="3960DEF1">
      <w:pPr>
        <w:autoSpaceDE w:val="0"/>
        <w:autoSpaceDN w:val="0"/>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 xml:space="preserve">9.2 </w:t>
      </w:r>
      <w:r>
        <w:rPr>
          <w:rFonts w:hint="eastAsia" w:ascii="宋体" w:hAnsi="宋体" w:cs="宋体"/>
          <w:sz w:val="21"/>
          <w:szCs w:val="21"/>
          <w:highlight w:val="none"/>
        </w:rPr>
        <w:t>乙方保证在交付的货物上不存在抵押权等担保物权。</w:t>
      </w:r>
    </w:p>
    <w:p w14:paraId="6F300506">
      <w:pPr>
        <w:autoSpaceDE w:val="0"/>
        <w:autoSpaceDN w:val="0"/>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9.3 如甲方使用上述货物构成对第三人侵权的，则由乙方承担全部责任。</w:t>
      </w:r>
    </w:p>
    <w:p w14:paraId="43377E37">
      <w:pPr>
        <w:autoSpaceDE w:val="0"/>
        <w:autoSpaceDN w:val="0"/>
        <w:adjustRightInd w:val="0"/>
        <w:snapToGrid w:val="0"/>
        <w:spacing w:line="400" w:lineRule="exact"/>
        <w:ind w:firstLine="422"/>
        <w:rPr>
          <w:rFonts w:hint="eastAsia" w:ascii="宋体" w:hAnsi="宋体"/>
          <w:b/>
          <w:bCs/>
          <w:color w:val="000000"/>
          <w:sz w:val="21"/>
          <w:szCs w:val="21"/>
          <w:highlight w:val="none"/>
        </w:rPr>
      </w:pPr>
      <w:r>
        <w:rPr>
          <w:rFonts w:hint="eastAsia" w:ascii="宋体" w:hAnsi="宋体"/>
          <w:b/>
          <w:bCs/>
          <w:color w:val="000000"/>
          <w:sz w:val="21"/>
          <w:szCs w:val="21"/>
          <w:highlight w:val="none"/>
        </w:rPr>
        <w:t>10. 知识产权保护</w:t>
      </w:r>
    </w:p>
    <w:p w14:paraId="2D30F9A0">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color w:val="000000"/>
          <w:sz w:val="21"/>
          <w:szCs w:val="21"/>
          <w:highlight w:val="none"/>
        </w:rPr>
        <w:t>10.1 乙方对其所销售的货物应当享有知识产权或经权利人合法授权，保证没有侵犯任</w:t>
      </w:r>
      <w:r>
        <w:rPr>
          <w:rFonts w:hint="eastAsia" w:ascii="宋体" w:hAnsi="宋体"/>
          <w:sz w:val="21"/>
          <w:szCs w:val="21"/>
          <w:highlight w:val="none"/>
        </w:rPr>
        <w:t>何第三人的知识产权等权利。</w:t>
      </w:r>
      <w:bookmarkStart w:id="133" w:name="_Hlk163047038"/>
      <w:r>
        <w:rPr>
          <w:rFonts w:hint="eastAsia" w:ascii="宋体" w:hAnsi="宋体" w:cs="宋体"/>
          <w:sz w:val="21"/>
          <w:szCs w:val="21"/>
          <w:highlight w:val="none"/>
        </w:rPr>
        <w:t>因违反前述约定对第三人构成侵权的，应当由乙方向第三人承担法律责任；甲方依法向第三人赔偿后，有权向乙方追偿。甲方有其他损失的，乙方应当赔偿</w:t>
      </w:r>
      <w:bookmarkEnd w:id="133"/>
      <w:r>
        <w:rPr>
          <w:rFonts w:hint="eastAsia" w:ascii="宋体" w:hAnsi="宋体"/>
          <w:sz w:val="21"/>
          <w:szCs w:val="21"/>
          <w:highlight w:val="none"/>
        </w:rPr>
        <w:t>。</w:t>
      </w:r>
    </w:p>
    <w:p w14:paraId="2C308A77">
      <w:pPr>
        <w:autoSpaceDE w:val="0"/>
        <w:autoSpaceDN w:val="0"/>
        <w:adjustRightInd w:val="0"/>
        <w:snapToGrid w:val="0"/>
        <w:spacing w:line="400" w:lineRule="exact"/>
        <w:ind w:firstLine="422"/>
        <w:rPr>
          <w:rFonts w:hint="eastAsia" w:ascii="宋体" w:hAnsi="宋体"/>
          <w:b/>
          <w:bCs/>
          <w:sz w:val="21"/>
          <w:szCs w:val="21"/>
          <w:highlight w:val="none"/>
        </w:rPr>
      </w:pPr>
      <w:r>
        <w:rPr>
          <w:rFonts w:hint="eastAsia" w:ascii="宋体" w:hAnsi="宋体"/>
          <w:b/>
          <w:bCs/>
          <w:sz w:val="21"/>
          <w:szCs w:val="21"/>
          <w:highlight w:val="none"/>
        </w:rPr>
        <w:t>11. 保密义务</w:t>
      </w:r>
    </w:p>
    <w:p w14:paraId="4CA16F6A">
      <w:pPr>
        <w:autoSpaceDE w:val="0"/>
        <w:autoSpaceDN w:val="0"/>
        <w:adjustRightInd w:val="0"/>
        <w:snapToGrid w:val="0"/>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1"/>
          <w:szCs w:val="21"/>
          <w:highlight w:val="none"/>
        </w:rPr>
        <w:t>【政府采购合同专用条款】</w:t>
      </w:r>
      <w:r>
        <w:rPr>
          <w:rFonts w:hint="eastAsia" w:ascii="宋体" w:hAnsi="宋体" w:cs="宋体"/>
          <w:sz w:val="21"/>
          <w:szCs w:val="21"/>
          <w:highlight w:val="none"/>
        </w:rPr>
        <w:t>中约定。</w:t>
      </w:r>
    </w:p>
    <w:p w14:paraId="25721AB1">
      <w:pPr>
        <w:autoSpaceDE w:val="0"/>
        <w:autoSpaceDN w:val="0"/>
        <w:adjustRightInd w:val="0"/>
        <w:snapToGrid w:val="0"/>
        <w:spacing w:line="400" w:lineRule="exact"/>
        <w:ind w:firstLine="422"/>
        <w:rPr>
          <w:rFonts w:hint="eastAsia" w:ascii="宋体" w:hAnsi="宋体"/>
          <w:b/>
          <w:bCs/>
          <w:sz w:val="21"/>
          <w:szCs w:val="21"/>
          <w:highlight w:val="none"/>
        </w:rPr>
      </w:pPr>
      <w:r>
        <w:rPr>
          <w:rFonts w:hint="eastAsia" w:ascii="宋体" w:hAnsi="宋体"/>
          <w:b/>
          <w:bCs/>
          <w:sz w:val="21"/>
          <w:szCs w:val="21"/>
          <w:highlight w:val="none"/>
        </w:rPr>
        <w:t>12. 合同价款支付</w:t>
      </w:r>
    </w:p>
    <w:p w14:paraId="6AEA7A00">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12.1 合同价款支付按照国库集中支付制度及财政管理相关规定执行。</w:t>
      </w:r>
    </w:p>
    <w:p w14:paraId="193AEB1C">
      <w:pPr>
        <w:pStyle w:val="3"/>
        <w:spacing w:line="400" w:lineRule="exact"/>
        <w:ind w:firstLine="420" w:firstLineChars="200"/>
        <w:rPr>
          <w:rFonts w:eastAsia="宋体"/>
          <w:sz w:val="21"/>
          <w:szCs w:val="21"/>
          <w:highlight w:val="none"/>
        </w:rPr>
      </w:pPr>
      <w:r>
        <w:rPr>
          <w:rFonts w:hint="eastAsia" w:ascii="宋体" w:hAnsi="宋体"/>
          <w:b w:val="0"/>
          <w:sz w:val="21"/>
          <w:szCs w:val="21"/>
          <w:highlight w:val="none"/>
        </w:rPr>
        <w:t xml:space="preserve">12.2 </w:t>
      </w:r>
      <w:r>
        <w:rPr>
          <w:rFonts w:hint="eastAsia" w:ascii="宋体" w:hAnsi="宋体" w:eastAsia="宋体"/>
          <w:b w:val="0"/>
          <w:kern w:val="2"/>
          <w:sz w:val="21"/>
          <w:szCs w:val="21"/>
          <w:highlight w:val="none"/>
        </w:rPr>
        <w:t>对于满足合同约定支付条件的，甲方</w:t>
      </w:r>
      <w:r>
        <w:rPr>
          <w:rFonts w:hint="eastAsia" w:ascii="宋体" w:hAnsi="宋体" w:eastAsia="宋体"/>
          <w:b w:val="0"/>
          <w:sz w:val="21"/>
          <w:szCs w:val="21"/>
          <w:highlight w:val="none"/>
        </w:rPr>
        <w:t>原则上应当自收到发票后10个工作日内</w:t>
      </w:r>
      <w:r>
        <w:rPr>
          <w:rFonts w:hint="eastAsia" w:ascii="宋体" w:hAnsi="宋体" w:eastAsia="宋体"/>
          <w:b w:val="0"/>
          <w:kern w:val="2"/>
          <w:sz w:val="21"/>
          <w:szCs w:val="21"/>
          <w:highlight w:val="none"/>
        </w:rPr>
        <w:t>将资金支付到合同约定的</w:t>
      </w:r>
      <w:r>
        <w:rPr>
          <w:rFonts w:hint="eastAsia" w:ascii="宋体" w:hAnsi="宋体"/>
          <w:b w:val="0"/>
          <w:kern w:val="2"/>
          <w:sz w:val="21"/>
          <w:szCs w:val="21"/>
          <w:highlight w:val="none"/>
        </w:rPr>
        <w:t>乙方</w:t>
      </w:r>
      <w:r>
        <w:rPr>
          <w:rFonts w:hint="eastAsia" w:ascii="宋体" w:hAnsi="宋体" w:eastAsia="宋体"/>
          <w:b w:val="0"/>
          <w:kern w:val="2"/>
          <w:sz w:val="21"/>
          <w:szCs w:val="21"/>
          <w:highlight w:val="none"/>
        </w:rPr>
        <w:t>账户，不得以机构变动、人员更替、政策调整等为由迟延付款，不得将采购文件和合同中未规定的义务作为向乙方付款的条件。具体合同价款支付时间在【</w:t>
      </w:r>
      <w:r>
        <w:rPr>
          <w:rFonts w:hint="eastAsia" w:ascii="宋体" w:hAnsi="宋体" w:eastAsia="宋体"/>
          <w:bCs/>
          <w:kern w:val="2"/>
          <w:sz w:val="21"/>
          <w:szCs w:val="21"/>
          <w:highlight w:val="none"/>
        </w:rPr>
        <w:t>政府采购合同专用条款</w:t>
      </w:r>
      <w:r>
        <w:rPr>
          <w:rFonts w:hint="eastAsia" w:ascii="宋体" w:hAnsi="宋体" w:eastAsia="宋体"/>
          <w:b w:val="0"/>
          <w:kern w:val="2"/>
          <w:sz w:val="21"/>
          <w:szCs w:val="21"/>
          <w:highlight w:val="none"/>
        </w:rPr>
        <w:t>】中</w:t>
      </w:r>
      <w:r>
        <w:rPr>
          <w:rFonts w:hint="eastAsia" w:ascii="宋体" w:hAnsi="宋体"/>
          <w:b w:val="0"/>
          <w:kern w:val="2"/>
          <w:sz w:val="21"/>
          <w:szCs w:val="21"/>
          <w:highlight w:val="none"/>
        </w:rPr>
        <w:t>约</w:t>
      </w:r>
      <w:r>
        <w:rPr>
          <w:rFonts w:hint="eastAsia" w:ascii="宋体" w:hAnsi="宋体" w:eastAsia="宋体"/>
          <w:b w:val="0"/>
          <w:kern w:val="2"/>
          <w:sz w:val="21"/>
          <w:szCs w:val="21"/>
          <w:highlight w:val="none"/>
        </w:rPr>
        <w:t>定。</w:t>
      </w:r>
    </w:p>
    <w:p w14:paraId="665AC088">
      <w:pPr>
        <w:pStyle w:val="8"/>
        <w:spacing w:after="0" w:line="400" w:lineRule="exact"/>
        <w:ind w:firstLine="422"/>
        <w:rPr>
          <w:rFonts w:hint="eastAsia" w:ascii="宋体" w:hAnsi="宋体"/>
          <w:b/>
          <w:bCs/>
          <w:sz w:val="21"/>
          <w:szCs w:val="21"/>
          <w:highlight w:val="none"/>
        </w:rPr>
      </w:pPr>
      <w:r>
        <w:rPr>
          <w:rFonts w:hint="eastAsia" w:ascii="宋体" w:hAnsi="宋体"/>
          <w:b/>
          <w:bCs/>
          <w:sz w:val="21"/>
          <w:szCs w:val="21"/>
          <w:highlight w:val="none"/>
        </w:rPr>
        <w:t>13. 履约保证金</w:t>
      </w:r>
    </w:p>
    <w:p w14:paraId="7CBB1E00">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 xml:space="preserve">13.1 </w:t>
      </w:r>
      <w:r>
        <w:rPr>
          <w:rFonts w:hint="eastAsia" w:ascii="宋体" w:hAnsi="宋体" w:cs="宋体"/>
          <w:sz w:val="21"/>
          <w:szCs w:val="21"/>
          <w:highlight w:val="none"/>
        </w:rPr>
        <w:t>乙方应当以支票、汇票、本票或者金融机构、担保机构出具的保函等非现金形式提交。</w:t>
      </w:r>
    </w:p>
    <w:p w14:paraId="6C675FB6">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13.2 如果乙方出现</w:t>
      </w:r>
      <w:r>
        <w:rPr>
          <w:rFonts w:hint="eastAsia" w:ascii="宋体" w:hAnsi="宋体" w:cs="宋体"/>
          <w:b/>
          <w:bCs/>
          <w:sz w:val="21"/>
          <w:szCs w:val="21"/>
          <w:highlight w:val="none"/>
        </w:rPr>
        <w:t>【政府采购合同专用条款】</w:t>
      </w:r>
      <w:r>
        <w:rPr>
          <w:rFonts w:hint="eastAsia" w:ascii="宋体" w:hAnsi="宋体" w:cs="宋体"/>
          <w:sz w:val="21"/>
          <w:szCs w:val="21"/>
          <w:highlight w:val="none"/>
        </w:rPr>
        <w:t>约定情形的</w:t>
      </w:r>
      <w:r>
        <w:rPr>
          <w:rFonts w:hint="eastAsia" w:ascii="宋体" w:hAnsi="宋体"/>
          <w:sz w:val="21"/>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6530922C">
      <w:pPr>
        <w:spacing w:line="400" w:lineRule="exact"/>
        <w:ind w:firstLine="420"/>
        <w:rPr>
          <w:sz w:val="21"/>
          <w:szCs w:val="21"/>
          <w:highlight w:val="none"/>
        </w:rPr>
      </w:pPr>
      <w:r>
        <w:rPr>
          <w:rFonts w:hint="eastAsia" w:ascii="宋体" w:hAnsi="宋体"/>
          <w:sz w:val="21"/>
          <w:szCs w:val="21"/>
          <w:highlight w:val="none"/>
        </w:rPr>
        <w:t>13.3 甲方在项目通过验收后按照</w:t>
      </w:r>
      <w:r>
        <w:rPr>
          <w:rFonts w:hint="eastAsia" w:ascii="宋体" w:hAnsi="宋体"/>
          <w:b/>
          <w:sz w:val="21"/>
          <w:szCs w:val="21"/>
          <w:highlight w:val="none"/>
        </w:rPr>
        <w:t>【政府采购合同专用条款】</w:t>
      </w:r>
      <w:r>
        <w:rPr>
          <w:rFonts w:hint="eastAsia" w:ascii="宋体" w:hAnsi="宋体"/>
          <w:sz w:val="21"/>
          <w:szCs w:val="21"/>
          <w:highlight w:val="none"/>
        </w:rPr>
        <w:t>规定的时间内将履约保证金退还乙方；逾期退还的，乙方可要求甲方支付违约金，违约金按照</w:t>
      </w:r>
      <w:r>
        <w:rPr>
          <w:rFonts w:hint="eastAsia" w:ascii="宋体" w:hAnsi="宋体"/>
          <w:b/>
          <w:sz w:val="21"/>
          <w:szCs w:val="21"/>
          <w:highlight w:val="none"/>
        </w:rPr>
        <w:t>【政府采购合同专用条款】</w:t>
      </w:r>
      <w:r>
        <w:rPr>
          <w:rFonts w:hint="eastAsia" w:ascii="宋体" w:hAnsi="宋体"/>
          <w:sz w:val="21"/>
          <w:szCs w:val="21"/>
          <w:highlight w:val="none"/>
        </w:rPr>
        <w:t>规定支付。</w:t>
      </w:r>
    </w:p>
    <w:p w14:paraId="1DC9C02B">
      <w:pPr>
        <w:autoSpaceDE w:val="0"/>
        <w:autoSpaceDN w:val="0"/>
        <w:adjustRightInd w:val="0"/>
        <w:snapToGrid w:val="0"/>
        <w:spacing w:line="400" w:lineRule="exact"/>
        <w:ind w:firstLine="422"/>
        <w:rPr>
          <w:rFonts w:hint="eastAsia" w:ascii="宋体" w:hAnsi="宋体"/>
          <w:b/>
          <w:sz w:val="21"/>
          <w:szCs w:val="21"/>
          <w:highlight w:val="none"/>
        </w:rPr>
      </w:pPr>
      <w:r>
        <w:rPr>
          <w:rFonts w:hint="eastAsia" w:ascii="宋体" w:hAnsi="宋体"/>
          <w:b/>
          <w:bCs/>
          <w:sz w:val="21"/>
          <w:szCs w:val="21"/>
          <w:highlight w:val="none"/>
        </w:rPr>
        <w:t xml:space="preserve">14. </w:t>
      </w:r>
      <w:r>
        <w:rPr>
          <w:rFonts w:hint="eastAsia"/>
          <w:b/>
          <w:sz w:val="21"/>
          <w:szCs w:val="21"/>
          <w:highlight w:val="none"/>
        </w:rPr>
        <w:t>售后</w:t>
      </w:r>
      <w:r>
        <w:rPr>
          <w:rFonts w:hint="eastAsia" w:ascii="宋体" w:hAnsi="宋体"/>
          <w:b/>
          <w:sz w:val="21"/>
          <w:szCs w:val="21"/>
          <w:highlight w:val="none"/>
        </w:rPr>
        <w:t>服务</w:t>
      </w:r>
    </w:p>
    <w:p w14:paraId="6D7DFB13">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14.1 除项目不涉及或采购活动中明确约定无须承担外，乙方还应提供下列服务：</w:t>
      </w:r>
    </w:p>
    <w:p w14:paraId="512C4C4D">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（1）货物的现场移动、安装、调试、启动监督及技术支持；</w:t>
      </w:r>
    </w:p>
    <w:p w14:paraId="63316A51">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（2）提供货物组装和维修所需的专用工具和辅助材料；</w:t>
      </w:r>
    </w:p>
    <w:p w14:paraId="061CB8D0">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（3）在</w:t>
      </w:r>
      <w:r>
        <w:rPr>
          <w:rFonts w:hint="eastAsia" w:ascii="宋体" w:hAnsi="宋体" w:cs="宋体"/>
          <w:b/>
          <w:bCs/>
          <w:sz w:val="21"/>
          <w:szCs w:val="21"/>
          <w:highlight w:val="none"/>
        </w:rPr>
        <w:t>【政府采购合同专用条款】</w:t>
      </w:r>
      <w:r>
        <w:rPr>
          <w:rFonts w:hint="eastAsia" w:ascii="宋体" w:hAnsi="宋体"/>
          <w:sz w:val="21"/>
          <w:szCs w:val="21"/>
          <w:highlight w:val="none"/>
        </w:rPr>
        <w:t>约定的期限内对所有的货物实施运行监督、维修，但前提条件是该服务并不能免除乙方在质量保证期内所承担的义务；</w:t>
      </w:r>
    </w:p>
    <w:p w14:paraId="2B7E060F">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（4）在制造商所在地或指定现场就货物的安装、启动、运营、维护、废弃处置等对甲方操作人员进行培训</w:t>
      </w:r>
      <w:r>
        <w:rPr>
          <w:rFonts w:hint="eastAsia" w:ascii="宋体" w:hAnsi="宋体" w:cs="宋体"/>
          <w:sz w:val="21"/>
          <w:szCs w:val="21"/>
          <w:highlight w:val="none"/>
        </w:rPr>
        <w:t>；</w:t>
      </w:r>
    </w:p>
    <w:p w14:paraId="533525B7">
      <w:pPr>
        <w:pStyle w:val="59"/>
        <w:ind w:firstLine="420"/>
        <w:rPr>
          <w:rFonts w:hint="eastAsia" w:ascii="宋体" w:hAnsi="宋体" w:eastAsia="宋体" w:cs="宋体"/>
          <w:sz w:val="21"/>
          <w:highlight w:val="none"/>
        </w:rPr>
      </w:pPr>
      <w:r>
        <w:rPr>
          <w:rFonts w:hint="eastAsia" w:ascii="宋体" w:hAnsi="宋体" w:eastAsia="宋体" w:cs="宋体"/>
          <w:sz w:val="21"/>
          <w:highlight w:val="none"/>
        </w:rPr>
        <w:t>（5）依照法律、行政法规的规定或者按照</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约定，货物在有效使用年限届满后应予回收的，乙方负有自行或者委托第三人对货物予以回收的义务；</w:t>
      </w:r>
    </w:p>
    <w:p w14:paraId="1A57F138">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（6）</w:t>
      </w:r>
      <w:r>
        <w:rPr>
          <w:rFonts w:hint="eastAsia" w:ascii="宋体" w:hAnsi="宋体"/>
          <w:b/>
          <w:sz w:val="21"/>
          <w:szCs w:val="21"/>
          <w:highlight w:val="none"/>
        </w:rPr>
        <w:t>【政府采购合同专用条款】</w:t>
      </w:r>
      <w:r>
        <w:rPr>
          <w:rFonts w:hint="eastAsia" w:ascii="宋体" w:hAnsi="宋体"/>
          <w:sz w:val="21"/>
          <w:szCs w:val="21"/>
          <w:highlight w:val="none"/>
        </w:rPr>
        <w:t>规定由乙方提供的其他服务。</w:t>
      </w:r>
    </w:p>
    <w:p w14:paraId="27BFBA55">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14.2 乙方提供的售后服务的费用已包含在合同价款中，甲方不再另行支付。</w:t>
      </w:r>
    </w:p>
    <w:p w14:paraId="27CDC9E3">
      <w:pPr>
        <w:adjustRightInd w:val="0"/>
        <w:snapToGrid w:val="0"/>
        <w:spacing w:line="400" w:lineRule="exact"/>
        <w:ind w:firstLine="422"/>
        <w:rPr>
          <w:rFonts w:hint="eastAsia" w:ascii="宋体" w:hAnsi="宋体"/>
          <w:b/>
          <w:bCs/>
          <w:sz w:val="21"/>
          <w:szCs w:val="21"/>
          <w:highlight w:val="none"/>
        </w:rPr>
      </w:pPr>
      <w:r>
        <w:rPr>
          <w:rFonts w:hint="eastAsia" w:ascii="宋体" w:hAnsi="宋体"/>
          <w:b/>
          <w:bCs/>
          <w:sz w:val="21"/>
          <w:szCs w:val="21"/>
          <w:highlight w:val="none"/>
        </w:rPr>
        <w:t>15. 违约责任</w:t>
      </w:r>
    </w:p>
    <w:p w14:paraId="5BDE932C">
      <w:pPr>
        <w:adjustRightInd w:val="0"/>
        <w:snapToGrid w:val="0"/>
        <w:spacing w:line="400" w:lineRule="exact"/>
        <w:ind w:firstLine="420" w:firstLineChars="200"/>
        <w:rPr>
          <w:rFonts w:hint="eastAsia" w:ascii="宋体" w:hAnsi="宋体"/>
          <w:bCs/>
          <w:sz w:val="21"/>
          <w:szCs w:val="21"/>
          <w:highlight w:val="none"/>
        </w:rPr>
      </w:pPr>
      <w:r>
        <w:rPr>
          <w:rFonts w:hint="eastAsia" w:ascii="宋体" w:hAnsi="宋体"/>
          <w:bCs/>
          <w:sz w:val="21"/>
          <w:szCs w:val="21"/>
          <w:highlight w:val="none"/>
        </w:rPr>
        <w:t>15.1质量瑕疵的违约责任</w:t>
      </w:r>
    </w:p>
    <w:p w14:paraId="09DE0930">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乙方提供的产品不符合合同约定的质量标准或存在产品质量缺陷，甲方有权要求乙方根据</w:t>
      </w:r>
      <w:r>
        <w:rPr>
          <w:rFonts w:hint="eastAsia" w:ascii="宋体" w:hAnsi="宋体"/>
          <w:b/>
          <w:sz w:val="21"/>
          <w:szCs w:val="21"/>
          <w:highlight w:val="none"/>
        </w:rPr>
        <w:t>【政府采购合同专用条款】</w:t>
      </w:r>
      <w:r>
        <w:rPr>
          <w:rFonts w:hint="eastAsia" w:ascii="宋体" w:hAnsi="宋体"/>
          <w:bCs/>
          <w:sz w:val="21"/>
          <w:szCs w:val="21"/>
          <w:highlight w:val="none"/>
        </w:rPr>
        <w:t>要求</w:t>
      </w:r>
      <w:r>
        <w:rPr>
          <w:rFonts w:hint="eastAsia" w:ascii="宋体" w:hAnsi="宋体"/>
          <w:sz w:val="21"/>
          <w:szCs w:val="21"/>
          <w:highlight w:val="none"/>
        </w:rPr>
        <w:t>及时修理、重作、更换，并承担由此给甲方造成的损失。</w:t>
      </w:r>
    </w:p>
    <w:p w14:paraId="38844480">
      <w:pPr>
        <w:autoSpaceDE w:val="0"/>
        <w:autoSpaceDN w:val="0"/>
        <w:adjustRightInd w:val="0"/>
        <w:snapToGrid w:val="0"/>
        <w:spacing w:line="400" w:lineRule="exact"/>
        <w:ind w:firstLine="420" w:firstLineChars="200"/>
        <w:rPr>
          <w:rFonts w:hint="eastAsia" w:ascii="宋体" w:hAnsi="宋体"/>
          <w:bCs/>
          <w:sz w:val="21"/>
          <w:szCs w:val="21"/>
          <w:highlight w:val="none"/>
        </w:rPr>
      </w:pPr>
      <w:r>
        <w:rPr>
          <w:rFonts w:hint="eastAsia" w:ascii="宋体" w:hAnsi="宋体"/>
          <w:bCs/>
          <w:sz w:val="21"/>
          <w:szCs w:val="21"/>
          <w:highlight w:val="none"/>
        </w:rPr>
        <w:t>15.2 迟延交货的违约责任</w:t>
      </w:r>
    </w:p>
    <w:p w14:paraId="4F492A3F">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6911D69">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sz w:val="21"/>
          <w:szCs w:val="21"/>
          <w:highlight w:val="none"/>
        </w:rPr>
        <w:t>【政府采购合同专用条款】</w:t>
      </w:r>
      <w:r>
        <w:rPr>
          <w:rFonts w:hint="eastAsia" w:ascii="宋体" w:hAnsi="宋体"/>
          <w:sz w:val="21"/>
          <w:szCs w:val="21"/>
          <w:highlight w:val="none"/>
        </w:rPr>
        <w:t>规定执行。如果涉及公共利益，且赔偿金额无法弥补公共利益损失，甲方可要求继续履行或者采取其他补救措施。</w:t>
      </w:r>
    </w:p>
    <w:p w14:paraId="4F7CAD8E">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15.3 迟延支付的违约责任</w:t>
      </w:r>
    </w:p>
    <w:p w14:paraId="656739C4">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甲方存在迟延支付乙方合同款项的，应当承担</w:t>
      </w:r>
      <w:r>
        <w:rPr>
          <w:rFonts w:hint="eastAsia" w:ascii="宋体" w:hAnsi="宋体"/>
          <w:b/>
          <w:bCs/>
          <w:sz w:val="21"/>
          <w:szCs w:val="21"/>
          <w:highlight w:val="none"/>
        </w:rPr>
        <w:t>【政府采购合同专用条款】</w:t>
      </w:r>
      <w:r>
        <w:rPr>
          <w:rFonts w:hint="eastAsia" w:ascii="宋体" w:hAnsi="宋体"/>
          <w:sz w:val="21"/>
          <w:szCs w:val="21"/>
          <w:highlight w:val="none"/>
        </w:rPr>
        <w:t>规定的逾期付款利息。</w:t>
      </w:r>
    </w:p>
    <w:p w14:paraId="36C5AD81">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bCs/>
          <w:sz w:val="21"/>
          <w:szCs w:val="21"/>
          <w:highlight w:val="none"/>
        </w:rPr>
        <w:t>15.4其他违约责任根据项目实际需要按</w:t>
      </w:r>
      <w:r>
        <w:rPr>
          <w:rFonts w:hint="eastAsia" w:ascii="宋体" w:hAnsi="宋体"/>
          <w:b/>
          <w:bCs/>
          <w:sz w:val="21"/>
          <w:szCs w:val="21"/>
          <w:highlight w:val="none"/>
        </w:rPr>
        <w:t>【政府采购合同专用条款】</w:t>
      </w:r>
      <w:r>
        <w:rPr>
          <w:rFonts w:hint="eastAsia" w:ascii="宋体" w:hAnsi="宋体"/>
          <w:sz w:val="21"/>
          <w:szCs w:val="21"/>
          <w:highlight w:val="none"/>
        </w:rPr>
        <w:t>规定执行。</w:t>
      </w:r>
    </w:p>
    <w:p w14:paraId="27CFB8B7">
      <w:pPr>
        <w:numPr>
          <w:ilvl w:val="0"/>
          <w:numId w:val="8"/>
        </w:numPr>
        <w:autoSpaceDE w:val="0"/>
        <w:autoSpaceDN w:val="0"/>
        <w:adjustRightInd w:val="0"/>
        <w:snapToGrid w:val="0"/>
        <w:spacing w:line="400" w:lineRule="exact"/>
        <w:ind w:firstLine="422"/>
        <w:rPr>
          <w:rFonts w:hint="eastAsia" w:ascii="宋体" w:hAnsi="宋体"/>
          <w:b/>
          <w:sz w:val="21"/>
          <w:szCs w:val="21"/>
          <w:highlight w:val="none"/>
        </w:rPr>
      </w:pPr>
      <w:r>
        <w:rPr>
          <w:rFonts w:hint="eastAsia" w:ascii="宋体" w:hAnsi="宋体"/>
          <w:b/>
          <w:sz w:val="21"/>
          <w:szCs w:val="21"/>
          <w:highlight w:val="none"/>
        </w:rPr>
        <w:t>合同变更、中止与终止</w:t>
      </w:r>
    </w:p>
    <w:p w14:paraId="7AA01F78">
      <w:pPr>
        <w:adjustRightInd w:val="0"/>
        <w:snapToGrid w:val="0"/>
        <w:spacing w:line="400" w:lineRule="exact"/>
        <w:ind w:firstLine="420"/>
        <w:rPr>
          <w:rFonts w:hint="eastAsia" w:ascii="宋体" w:hAnsi="宋体"/>
          <w:sz w:val="21"/>
          <w:szCs w:val="21"/>
          <w:highlight w:val="none"/>
        </w:rPr>
      </w:pPr>
      <w:r>
        <w:rPr>
          <w:rFonts w:hint="eastAsia" w:ascii="宋体" w:hAnsi="宋体"/>
          <w:sz w:val="21"/>
          <w:szCs w:val="21"/>
          <w:highlight w:val="none"/>
        </w:rPr>
        <w:t xml:space="preserve">    16.1合同的变更</w:t>
      </w:r>
    </w:p>
    <w:p w14:paraId="400A9BF5">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政府采购合同履行中，在不改变合同其他条款的前提下，甲方可以在合同价款10%的范围内追加与合同标的相同的货物，并就此与乙方协商一致后签订补充协议。</w:t>
      </w:r>
    </w:p>
    <w:p w14:paraId="218F2127">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16.2合同的中止</w:t>
      </w:r>
    </w:p>
    <w:p w14:paraId="07F77DA9">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（1）合同履行过程中因供应商就采购文件、采购过程或结果提起投诉的，甲方认为有必要的，可以中止合同的履行。</w:t>
      </w:r>
    </w:p>
    <w:p w14:paraId="30D54362">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73EA4DD">
      <w:pPr>
        <w:pStyle w:val="59"/>
        <w:ind w:firstLine="420"/>
        <w:jc w:val="both"/>
        <w:rPr>
          <w:rFonts w:hint="eastAsia"/>
          <w:sz w:val="21"/>
          <w:highlight w:val="none"/>
        </w:rPr>
      </w:pPr>
      <w:r>
        <w:rPr>
          <w:rFonts w:hint="eastAsia" w:ascii="宋体" w:hAnsi="宋体" w:eastAsia="宋体" w:cs="宋体"/>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6B591D19">
      <w:pPr>
        <w:snapToGrid w:val="0"/>
        <w:spacing w:line="400" w:lineRule="exact"/>
        <w:ind w:firstLine="420" w:firstLineChars="200"/>
        <w:rPr>
          <w:sz w:val="21"/>
          <w:szCs w:val="21"/>
          <w:highlight w:val="none"/>
        </w:rPr>
      </w:pPr>
      <w:r>
        <w:rPr>
          <w:rFonts w:hint="eastAsia" w:ascii="宋体" w:hAnsi="宋体"/>
          <w:sz w:val="21"/>
          <w:szCs w:val="21"/>
          <w:highlight w:val="none"/>
        </w:rPr>
        <w:t>（4）甲方不得以行政区划调整、政府换届、机构或者职能调整以及相关责任人更替为由中止合同。</w:t>
      </w:r>
    </w:p>
    <w:p w14:paraId="7C986361">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16.3合同的终止</w:t>
      </w:r>
    </w:p>
    <w:p w14:paraId="66ECB3FE">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（1）合同因有效期限届满而终止；</w:t>
      </w:r>
    </w:p>
    <w:p w14:paraId="32DB93CB">
      <w:pPr>
        <w:snapToGrid w:val="0"/>
        <w:spacing w:line="400" w:lineRule="exact"/>
        <w:ind w:firstLine="420" w:firstLineChars="200"/>
        <w:rPr>
          <w:rFonts w:hint="eastAsia" w:ascii="宋体" w:hAnsi="宋体" w:cs="宋体"/>
          <w:sz w:val="21"/>
          <w:szCs w:val="21"/>
          <w:highlight w:val="none"/>
        </w:rPr>
      </w:pPr>
      <w:r>
        <w:rPr>
          <w:rFonts w:hint="eastAsia" w:ascii="宋体" w:hAnsi="宋体"/>
          <w:sz w:val="21"/>
          <w:szCs w:val="21"/>
          <w:highlight w:val="none"/>
        </w:rPr>
        <w:t>（2）乙方未按合同约定履行，构成根本性违约的，甲方有权终止合同，</w:t>
      </w:r>
      <w:r>
        <w:rPr>
          <w:rFonts w:hint="eastAsia" w:ascii="宋体" w:hAnsi="宋体" w:cs="宋体"/>
          <w:sz w:val="21"/>
          <w:szCs w:val="21"/>
          <w:highlight w:val="none"/>
        </w:rPr>
        <w:t>并追究乙方的违约责任</w:t>
      </w:r>
      <w:r>
        <w:rPr>
          <w:rFonts w:hint="eastAsia" w:ascii="宋体" w:hAnsi="宋体"/>
          <w:sz w:val="21"/>
          <w:szCs w:val="21"/>
          <w:highlight w:val="none"/>
        </w:rPr>
        <w:t>。</w:t>
      </w:r>
    </w:p>
    <w:p w14:paraId="4D63EE01">
      <w:pPr>
        <w:pStyle w:val="59"/>
        <w:ind w:firstLine="420"/>
        <w:rPr>
          <w:rFonts w:hint="eastAsia" w:ascii="宋体" w:hAnsi="宋体"/>
          <w:sz w:val="21"/>
          <w:highlight w:val="none"/>
        </w:rPr>
      </w:pPr>
      <w:r>
        <w:rPr>
          <w:rFonts w:hint="eastAsia" w:ascii="宋体" w:hAnsi="宋体"/>
          <w:sz w:val="21"/>
          <w:highlight w:val="none"/>
        </w:rPr>
        <w:t xml:space="preserve">16.4 </w:t>
      </w:r>
      <w:r>
        <w:rPr>
          <w:rFonts w:hint="eastAsia" w:ascii="宋体" w:hAnsi="宋体" w:eastAsia="宋体" w:cs="Times New Roman"/>
          <w:kern w:val="2"/>
          <w:sz w:val="21"/>
          <w:highlight w:val="none"/>
        </w:rPr>
        <w:t>涉及国家利益、社会公共利益的情形</w:t>
      </w:r>
    </w:p>
    <w:p w14:paraId="587280A5">
      <w:pPr>
        <w:pStyle w:val="59"/>
        <w:ind w:firstLine="420"/>
        <w:jc w:val="both"/>
        <w:rPr>
          <w:rFonts w:hint="eastAsia"/>
          <w:sz w:val="21"/>
          <w:highlight w:val="none"/>
        </w:rPr>
      </w:pPr>
      <w:r>
        <w:rPr>
          <w:rFonts w:hint="eastAsia" w:ascii="宋体" w:hAnsi="宋体" w:eastAsia="宋体" w:cs="宋体"/>
          <w:sz w:val="21"/>
          <w:highlight w:val="none"/>
        </w:rPr>
        <w:t>政府采购合同继续履行将损害国家利益和社会公共利益的，双方当事人应当变更、中止或者终止合同。有过错的一方应当承担赔偿责任，双方都有过错的，各自承担相应的责任。</w:t>
      </w:r>
    </w:p>
    <w:p w14:paraId="3779591C">
      <w:pPr>
        <w:autoSpaceDE w:val="0"/>
        <w:autoSpaceDN w:val="0"/>
        <w:adjustRightInd w:val="0"/>
        <w:snapToGrid w:val="0"/>
        <w:spacing w:line="400" w:lineRule="exact"/>
        <w:ind w:firstLine="422"/>
        <w:rPr>
          <w:rFonts w:hint="eastAsia" w:ascii="宋体" w:hAnsi="宋体"/>
          <w:b/>
          <w:bCs/>
          <w:sz w:val="21"/>
          <w:szCs w:val="21"/>
          <w:highlight w:val="none"/>
        </w:rPr>
      </w:pPr>
      <w:r>
        <w:rPr>
          <w:rFonts w:hint="eastAsia" w:ascii="宋体" w:hAnsi="宋体"/>
          <w:b/>
          <w:bCs/>
          <w:sz w:val="21"/>
          <w:szCs w:val="21"/>
          <w:highlight w:val="none"/>
        </w:rPr>
        <w:t>17. 合同分包</w:t>
      </w:r>
    </w:p>
    <w:p w14:paraId="62622962">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17.1 乙方不得将合同转包给其他供应商。涉及合同分包的，乙方应根据采购文件和投标（响应）文件规定进行合同分包。</w:t>
      </w:r>
    </w:p>
    <w:p w14:paraId="45359163">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17.2 乙方执行政府采购政策向中小企业依法分包的，乙方应当按采购文件和投标（响应）文件签订分包意向协议，分包意向协议属于本合同组成部分。</w:t>
      </w:r>
    </w:p>
    <w:p w14:paraId="511B39DA">
      <w:pPr>
        <w:autoSpaceDE w:val="0"/>
        <w:autoSpaceDN w:val="0"/>
        <w:adjustRightInd w:val="0"/>
        <w:snapToGrid w:val="0"/>
        <w:spacing w:line="400" w:lineRule="exact"/>
        <w:ind w:firstLine="422"/>
        <w:rPr>
          <w:rFonts w:hint="eastAsia" w:ascii="宋体" w:hAnsi="宋体"/>
          <w:b/>
          <w:bCs/>
          <w:sz w:val="21"/>
          <w:szCs w:val="21"/>
          <w:highlight w:val="none"/>
        </w:rPr>
      </w:pPr>
      <w:r>
        <w:rPr>
          <w:rFonts w:hint="eastAsia" w:ascii="宋体" w:hAnsi="宋体"/>
          <w:b/>
          <w:bCs/>
          <w:sz w:val="21"/>
          <w:szCs w:val="21"/>
          <w:highlight w:val="none"/>
        </w:rPr>
        <w:t>18. 不可抗力</w:t>
      </w:r>
    </w:p>
    <w:p w14:paraId="73CE29B5">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18.1 不可抗力是指合同双方不能预见、不能避免且不能克服的客观情况。</w:t>
      </w:r>
    </w:p>
    <w:p w14:paraId="55A7DB18">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18.2 任何一方对由于不可抗力造成的部分或全部不能履行合同不承担违约责任。但迟延履行后发生不可抗力的，不能免除责任。</w:t>
      </w:r>
    </w:p>
    <w:p w14:paraId="6B043E13">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60BC197">
      <w:pPr>
        <w:autoSpaceDE w:val="0"/>
        <w:autoSpaceDN w:val="0"/>
        <w:adjustRightInd w:val="0"/>
        <w:snapToGrid w:val="0"/>
        <w:spacing w:line="400" w:lineRule="exact"/>
        <w:ind w:firstLine="422"/>
        <w:rPr>
          <w:rFonts w:hint="eastAsia" w:ascii="宋体" w:hAnsi="宋体"/>
          <w:b/>
          <w:bCs/>
          <w:sz w:val="21"/>
          <w:szCs w:val="21"/>
          <w:highlight w:val="none"/>
        </w:rPr>
      </w:pPr>
      <w:r>
        <w:rPr>
          <w:rFonts w:hint="eastAsia" w:ascii="宋体" w:hAnsi="宋体"/>
          <w:b/>
          <w:bCs/>
          <w:sz w:val="21"/>
          <w:szCs w:val="21"/>
          <w:highlight w:val="none"/>
        </w:rPr>
        <w:t>19. 解决争议的方法</w:t>
      </w:r>
    </w:p>
    <w:p w14:paraId="18D5A25A">
      <w:pPr>
        <w:pStyle w:val="59"/>
        <w:ind w:firstLine="420"/>
        <w:jc w:val="both"/>
        <w:rPr>
          <w:rFonts w:hint="eastAsia" w:ascii="宋体" w:hAnsi="宋体" w:eastAsia="宋体" w:cs="宋体"/>
          <w:sz w:val="21"/>
          <w:highlight w:val="none"/>
        </w:rPr>
      </w:pPr>
      <w:r>
        <w:rPr>
          <w:rFonts w:hint="eastAsia" w:ascii="宋体" w:hAnsi="宋体" w:eastAsia="宋体" w:cs="宋体"/>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C244539">
      <w:pPr>
        <w:pStyle w:val="59"/>
        <w:ind w:firstLine="420"/>
        <w:jc w:val="both"/>
        <w:rPr>
          <w:rFonts w:hint="eastAsia" w:ascii="宋体" w:hAnsi="宋体" w:eastAsia="宋体" w:cs="宋体"/>
          <w:sz w:val="21"/>
          <w:highlight w:val="none"/>
        </w:rPr>
      </w:pPr>
      <w:r>
        <w:rPr>
          <w:rFonts w:hint="eastAsia" w:ascii="宋体" w:hAnsi="宋体" w:eastAsia="宋体" w:cs="宋体"/>
          <w:sz w:val="21"/>
          <w:highlight w:val="none"/>
        </w:rPr>
        <w:t>19.2 选择仲裁的，应在</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279AAEC0">
      <w:pPr>
        <w:pStyle w:val="59"/>
        <w:ind w:firstLine="420"/>
        <w:jc w:val="both"/>
        <w:rPr>
          <w:rFonts w:hint="eastAsia" w:ascii="宋体" w:hAnsi="宋体" w:eastAsia="宋体" w:cs="宋体"/>
          <w:sz w:val="21"/>
          <w:highlight w:val="none"/>
        </w:rPr>
      </w:pPr>
      <w:r>
        <w:rPr>
          <w:rFonts w:hint="eastAsia" w:ascii="宋体" w:hAnsi="宋体" w:eastAsia="宋体" w:cs="宋体"/>
          <w:sz w:val="21"/>
          <w:highlight w:val="none"/>
        </w:rPr>
        <w:t>19.3 如甲乙双方有争议的事项不影响合同其他部分的履行，在争议解决期间，合同其他部分应当继续履行。</w:t>
      </w:r>
    </w:p>
    <w:p w14:paraId="4A9F035E">
      <w:pPr>
        <w:autoSpaceDE w:val="0"/>
        <w:autoSpaceDN w:val="0"/>
        <w:adjustRightInd w:val="0"/>
        <w:snapToGrid w:val="0"/>
        <w:spacing w:line="400" w:lineRule="exact"/>
        <w:ind w:firstLine="422"/>
        <w:rPr>
          <w:rFonts w:hint="eastAsia" w:ascii="宋体" w:hAnsi="宋体"/>
          <w:sz w:val="21"/>
          <w:szCs w:val="21"/>
          <w:highlight w:val="none"/>
        </w:rPr>
      </w:pPr>
      <w:r>
        <w:rPr>
          <w:rFonts w:hint="eastAsia" w:ascii="宋体" w:hAnsi="宋体"/>
          <w:b/>
          <w:sz w:val="21"/>
          <w:szCs w:val="21"/>
          <w:highlight w:val="none"/>
        </w:rPr>
        <w:t>20. 政府采购政策</w:t>
      </w:r>
    </w:p>
    <w:p w14:paraId="5A3BDC4A">
      <w:pPr>
        <w:autoSpaceDE w:val="0"/>
        <w:autoSpaceDN w:val="0"/>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 xml:space="preserve">20.1 </w:t>
      </w:r>
      <w:r>
        <w:rPr>
          <w:rFonts w:hint="eastAsia" w:ascii="宋体" w:hAnsi="宋体" w:cs="宋体"/>
          <w:sz w:val="21"/>
          <w:szCs w:val="21"/>
          <w:highlight w:val="none"/>
          <w:lang w:val="en-GB"/>
        </w:rPr>
        <w:t>本合同应当按照规定执行政府采购政策。</w:t>
      </w:r>
    </w:p>
    <w:p w14:paraId="641D807F">
      <w:pPr>
        <w:autoSpaceDE w:val="0"/>
        <w:autoSpaceDN w:val="0"/>
        <w:adjustRightInd w:val="0"/>
        <w:snapToGrid w:val="0"/>
        <w:spacing w:line="400" w:lineRule="exact"/>
        <w:ind w:firstLine="420" w:firstLineChars="200"/>
        <w:rPr>
          <w:rFonts w:hint="eastAsia" w:ascii="宋体" w:hAnsi="宋体"/>
          <w:sz w:val="21"/>
          <w:szCs w:val="21"/>
          <w:highlight w:val="none"/>
        </w:rPr>
      </w:pPr>
      <w:r>
        <w:rPr>
          <w:rFonts w:ascii="宋体" w:hAnsi="宋体"/>
          <w:sz w:val="21"/>
          <w:szCs w:val="21"/>
          <w:highlight w:val="none"/>
        </w:rPr>
        <w:t>2</w:t>
      </w:r>
      <w:r>
        <w:rPr>
          <w:rFonts w:hint="eastAsia" w:ascii="宋体" w:hAnsi="宋体"/>
          <w:sz w:val="21"/>
          <w:szCs w:val="21"/>
          <w:highlight w:val="none"/>
        </w:rPr>
        <w:t>0.2 本合同依法执行政府采购政策的方式和内容，属于合同履约验收的范围。</w:t>
      </w:r>
      <w:r>
        <w:rPr>
          <w:rFonts w:hint="eastAsia" w:ascii="宋体" w:hAnsi="宋体" w:cs="宋体"/>
          <w:sz w:val="21"/>
          <w:szCs w:val="21"/>
          <w:highlight w:val="none"/>
        </w:rPr>
        <w:t>甲乙双方</w:t>
      </w:r>
      <w:r>
        <w:rPr>
          <w:rFonts w:hint="eastAsia" w:ascii="宋体" w:hAnsi="宋体" w:cs="宋体"/>
          <w:sz w:val="21"/>
          <w:szCs w:val="21"/>
          <w:highlight w:val="none"/>
          <w:lang w:val="en-GB"/>
        </w:rPr>
        <w:t>未按规定要求执行政府采购政策造成损失的</w:t>
      </w:r>
      <w:r>
        <w:rPr>
          <w:rFonts w:hint="eastAsia" w:ascii="宋体" w:hAnsi="宋体"/>
          <w:sz w:val="21"/>
          <w:szCs w:val="21"/>
          <w:highlight w:val="none"/>
        </w:rPr>
        <w:t>，有过错的一方应当承担赔偿责任，双方都有过错的，各自承担相应的责任。</w:t>
      </w:r>
    </w:p>
    <w:p w14:paraId="7FFB1750">
      <w:pPr>
        <w:pStyle w:val="8"/>
        <w:spacing w:after="0" w:line="400" w:lineRule="exact"/>
        <w:ind w:firstLine="420" w:firstLineChars="200"/>
        <w:rPr>
          <w:sz w:val="21"/>
          <w:szCs w:val="21"/>
          <w:highlight w:val="none"/>
        </w:rPr>
      </w:pPr>
      <w:r>
        <w:rPr>
          <w:rFonts w:ascii="宋体" w:hAnsi="宋体"/>
          <w:sz w:val="21"/>
          <w:szCs w:val="21"/>
          <w:highlight w:val="none"/>
        </w:rPr>
        <w:t>2</w:t>
      </w:r>
      <w:r>
        <w:rPr>
          <w:rFonts w:hint="eastAsia" w:ascii="宋体" w:hAnsi="宋体"/>
          <w:sz w:val="21"/>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F3A7220">
      <w:pPr>
        <w:autoSpaceDE w:val="0"/>
        <w:autoSpaceDN w:val="0"/>
        <w:adjustRightInd w:val="0"/>
        <w:snapToGrid w:val="0"/>
        <w:spacing w:line="400" w:lineRule="exact"/>
        <w:ind w:firstLine="422"/>
        <w:rPr>
          <w:rFonts w:hint="eastAsia" w:ascii="宋体" w:hAnsi="宋体"/>
          <w:b/>
          <w:sz w:val="21"/>
          <w:szCs w:val="21"/>
          <w:highlight w:val="none"/>
        </w:rPr>
      </w:pPr>
      <w:r>
        <w:rPr>
          <w:rFonts w:hint="eastAsia" w:ascii="宋体" w:hAnsi="宋体"/>
          <w:b/>
          <w:sz w:val="21"/>
          <w:szCs w:val="21"/>
          <w:highlight w:val="none"/>
        </w:rPr>
        <w:t>21. 法律适用</w:t>
      </w:r>
    </w:p>
    <w:p w14:paraId="1FDB09A0">
      <w:pPr>
        <w:pStyle w:val="59"/>
        <w:ind w:firstLine="420"/>
        <w:jc w:val="both"/>
        <w:rPr>
          <w:rFonts w:hint="eastAsia" w:ascii="宋体" w:hAnsi="宋体" w:eastAsia="宋体" w:cs="宋体"/>
          <w:sz w:val="21"/>
          <w:highlight w:val="none"/>
        </w:rPr>
      </w:pPr>
      <w:r>
        <w:rPr>
          <w:rFonts w:hint="eastAsia" w:ascii="宋体" w:hAnsi="宋体" w:eastAsia="宋体" w:cs="宋体"/>
          <w:sz w:val="21"/>
          <w:highlight w:val="none"/>
        </w:rPr>
        <w:t>21.1 本合同的订立、生效、解释、履行及与本合同有关的争议解决，均适用法律、行政法规。</w:t>
      </w:r>
    </w:p>
    <w:p w14:paraId="490A6E96">
      <w:pPr>
        <w:pStyle w:val="59"/>
        <w:ind w:firstLine="420"/>
        <w:jc w:val="both"/>
        <w:rPr>
          <w:rFonts w:hint="eastAsia" w:ascii="宋体" w:hAnsi="宋体" w:eastAsia="宋体" w:cs="宋体"/>
          <w:sz w:val="21"/>
          <w:highlight w:val="none"/>
        </w:rPr>
      </w:pPr>
      <w:r>
        <w:rPr>
          <w:rFonts w:hint="eastAsia" w:ascii="宋体" w:hAnsi="宋体" w:eastAsia="宋体" w:cs="宋体"/>
          <w:sz w:val="21"/>
          <w:highlight w:val="none"/>
        </w:rPr>
        <w:t>21.2 本合同条款与法律、行政法规的强制性规定不一致的，双方当事人应按照法律、行政法规的强制性规定修改本合同的相关条款。</w:t>
      </w:r>
    </w:p>
    <w:p w14:paraId="2069D9D9">
      <w:pPr>
        <w:numPr>
          <w:ilvl w:val="0"/>
          <w:numId w:val="0"/>
        </w:numPr>
        <w:autoSpaceDE w:val="0"/>
        <w:autoSpaceDN w:val="0"/>
        <w:adjustRightInd w:val="0"/>
        <w:snapToGrid w:val="0"/>
        <w:spacing w:line="400" w:lineRule="exact"/>
        <w:rPr>
          <w:rFonts w:hint="eastAsia" w:ascii="宋体" w:hAnsi="宋体"/>
          <w:b/>
          <w:sz w:val="21"/>
          <w:szCs w:val="21"/>
          <w:highlight w:val="none"/>
        </w:rPr>
      </w:pPr>
      <w:r>
        <w:rPr>
          <w:rFonts w:hint="eastAsia" w:ascii="宋体" w:hAnsi="宋体"/>
          <w:b/>
          <w:sz w:val="21"/>
          <w:szCs w:val="21"/>
          <w:highlight w:val="none"/>
        </w:rPr>
        <w:t>22. 通知</w:t>
      </w:r>
    </w:p>
    <w:p w14:paraId="1F437ADE">
      <w:pPr>
        <w:pStyle w:val="59"/>
        <w:ind w:firstLine="420"/>
        <w:jc w:val="both"/>
        <w:rPr>
          <w:rFonts w:hint="eastAsia" w:ascii="宋体" w:hAnsi="宋体" w:eastAsia="宋体" w:cs="宋体"/>
          <w:sz w:val="21"/>
          <w:highlight w:val="none"/>
        </w:rPr>
      </w:pPr>
      <w:r>
        <w:rPr>
          <w:rFonts w:hint="eastAsia" w:ascii="宋体" w:hAnsi="宋体" w:eastAsia="宋体" w:cs="宋体"/>
          <w:sz w:val="21"/>
          <w:highlight w:val="none"/>
        </w:rPr>
        <w:t>22.1 本合同任何一方向对方发出的通知、信件、数据电文等，应当发送至本合同第一部分《政府采购合同协议书》所约定的通讯地址、联系人、联系电话或电子邮箱。</w:t>
      </w:r>
    </w:p>
    <w:p w14:paraId="02235A95">
      <w:pPr>
        <w:pStyle w:val="59"/>
        <w:ind w:firstLine="0" w:firstLineChars="0"/>
        <w:jc w:val="both"/>
        <w:rPr>
          <w:rFonts w:hint="eastAsia"/>
          <w:sz w:val="21"/>
          <w:highlight w:val="none"/>
        </w:rPr>
      </w:pPr>
      <w:r>
        <w:rPr>
          <w:rFonts w:hint="eastAsia" w:ascii="宋体" w:hAnsi="宋体" w:eastAsia="宋体" w:cs="宋体"/>
          <w:sz w:val="21"/>
          <w:highlight w:val="none"/>
        </w:rPr>
        <w:t xml:space="preserve">    22.2 一方当事人变更名称、住所、联系人、联系电话或电子邮箱等信息的，应当在变更后3日内及时书面通知对方，对方实际收到变更通知前的送达仍为有效送达。</w:t>
      </w:r>
    </w:p>
    <w:p w14:paraId="49DA8B31">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22.3本合同一方给另一方的通知均应采用书面形式，传真或快递送到本合同中规定的对方的地址和办理签收手续。</w:t>
      </w:r>
    </w:p>
    <w:p w14:paraId="1824B10E">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22.4通知以送达之日或通知书中规定的生效之日起生效，两者中以较迟之日为准。</w:t>
      </w:r>
    </w:p>
    <w:p w14:paraId="6CD10DC4">
      <w:pPr>
        <w:numPr>
          <w:ilvl w:val="0"/>
          <w:numId w:val="9"/>
        </w:numPr>
        <w:adjustRightInd w:val="0"/>
        <w:snapToGrid w:val="0"/>
        <w:spacing w:line="400" w:lineRule="exact"/>
        <w:ind w:firstLine="422"/>
        <w:rPr>
          <w:rFonts w:hint="eastAsia" w:ascii="宋体" w:hAnsi="宋体"/>
          <w:b/>
          <w:bCs/>
          <w:sz w:val="21"/>
          <w:szCs w:val="21"/>
          <w:highlight w:val="none"/>
        </w:rPr>
      </w:pPr>
      <w:r>
        <w:rPr>
          <w:rFonts w:hint="eastAsia" w:ascii="宋体" w:hAnsi="宋体"/>
          <w:b/>
          <w:bCs/>
          <w:sz w:val="21"/>
          <w:szCs w:val="21"/>
          <w:highlight w:val="none"/>
        </w:rPr>
        <w:t>合同未尽事项</w:t>
      </w:r>
    </w:p>
    <w:p w14:paraId="3AF1063C">
      <w:pPr>
        <w:adjustRightInd w:val="0"/>
        <w:snapToGrid w:val="0"/>
        <w:spacing w:line="400" w:lineRule="exact"/>
        <w:ind w:firstLine="420" w:firstLineChars="200"/>
        <w:rPr>
          <w:rFonts w:hint="eastAsia" w:ascii="宋体" w:hAnsi="宋体"/>
          <w:bCs/>
          <w:sz w:val="21"/>
          <w:szCs w:val="21"/>
          <w:highlight w:val="none"/>
        </w:rPr>
      </w:pPr>
      <w:r>
        <w:rPr>
          <w:rFonts w:hint="eastAsia" w:ascii="宋体" w:hAnsi="宋体"/>
          <w:bCs/>
          <w:sz w:val="21"/>
          <w:szCs w:val="21"/>
          <w:highlight w:val="none"/>
        </w:rPr>
        <w:t>23.1合同未尽事项见</w:t>
      </w:r>
      <w:r>
        <w:rPr>
          <w:rFonts w:hint="eastAsia" w:ascii="宋体" w:hAnsi="宋体"/>
          <w:b/>
          <w:sz w:val="21"/>
          <w:szCs w:val="21"/>
          <w:highlight w:val="none"/>
        </w:rPr>
        <w:t>【政府采购合同专用条款】</w:t>
      </w:r>
      <w:r>
        <w:rPr>
          <w:rFonts w:hint="eastAsia" w:ascii="宋体" w:hAnsi="宋体"/>
          <w:bCs/>
          <w:sz w:val="21"/>
          <w:szCs w:val="21"/>
          <w:highlight w:val="none"/>
        </w:rPr>
        <w:t>。</w:t>
      </w:r>
    </w:p>
    <w:p w14:paraId="10125240">
      <w:pPr>
        <w:adjustRightInd w:val="0"/>
        <w:snapToGrid w:val="0"/>
        <w:spacing w:line="400" w:lineRule="exact"/>
        <w:ind w:firstLine="420"/>
        <w:rPr>
          <w:rFonts w:hint="eastAsia" w:ascii="黑体" w:hAnsi="华文中宋" w:eastAsia="黑体"/>
          <w:sz w:val="21"/>
          <w:szCs w:val="21"/>
          <w:highlight w:val="none"/>
        </w:rPr>
      </w:pPr>
      <w:r>
        <w:rPr>
          <w:rFonts w:hint="eastAsia" w:ascii="宋体" w:hAnsi="宋体"/>
          <w:bCs/>
          <w:sz w:val="21"/>
          <w:szCs w:val="21"/>
          <w:highlight w:val="none"/>
        </w:rPr>
        <w:t>23.2 合同附件与合同正文具有同等的法律效力。</w:t>
      </w:r>
      <w:bookmarkStart w:id="134" w:name="_Toc20313"/>
    </w:p>
    <w:p w14:paraId="2BD85A52">
      <w:pPr>
        <w:adjustRightInd w:val="0"/>
        <w:snapToGrid w:val="0"/>
        <w:ind w:firstLine="420"/>
        <w:jc w:val="center"/>
        <w:rPr>
          <w:rFonts w:hint="eastAsia" w:ascii="黑体" w:hAnsi="华文中宋"/>
          <w:b w:val="0"/>
          <w:sz w:val="21"/>
          <w:szCs w:val="21"/>
          <w:highlight w:val="none"/>
        </w:rPr>
      </w:pPr>
      <w:r>
        <w:rPr>
          <w:rFonts w:hint="eastAsia" w:ascii="黑体" w:hAnsi="华文中宋" w:eastAsia="黑体"/>
          <w:sz w:val="21"/>
          <w:szCs w:val="21"/>
          <w:highlight w:val="none"/>
        </w:rPr>
        <w:br w:type="page"/>
      </w:r>
      <w:r>
        <w:rPr>
          <w:rFonts w:hint="eastAsia" w:ascii="黑体" w:hAnsi="华文中宋"/>
          <w:b w:val="0"/>
          <w:sz w:val="21"/>
          <w:szCs w:val="21"/>
          <w:highlight w:val="none"/>
        </w:rPr>
        <w:t>第三节 政府采购合同专用条款</w:t>
      </w:r>
      <w:bookmarkEnd w:id="134"/>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22"/>
        <w:gridCol w:w="2444"/>
        <w:gridCol w:w="4153"/>
      </w:tblGrid>
      <w:tr w14:paraId="647A01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2" w:type="dxa"/>
            <w:noWrap w:val="0"/>
            <w:vAlign w:val="center"/>
          </w:tcPr>
          <w:p w14:paraId="2F89A979">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4E395336">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第1.2（6）项</w:t>
            </w:r>
          </w:p>
        </w:tc>
        <w:tc>
          <w:tcPr>
            <w:tcW w:w="2444" w:type="dxa"/>
            <w:noWrap w:val="0"/>
            <w:vAlign w:val="center"/>
          </w:tcPr>
          <w:p w14:paraId="22A00B60">
            <w:pPr>
              <w:adjustRightInd w:val="0"/>
              <w:snapToGrid w:val="0"/>
              <w:rPr>
                <w:rFonts w:hint="eastAsia" w:ascii="宋体" w:hAnsi="宋体"/>
                <w:sz w:val="21"/>
                <w:szCs w:val="21"/>
                <w:highlight w:val="none"/>
              </w:rPr>
            </w:pPr>
            <w:r>
              <w:rPr>
                <w:rFonts w:hint="eastAsia" w:ascii="宋体" w:hAnsi="宋体"/>
                <w:sz w:val="21"/>
                <w:szCs w:val="21"/>
                <w:highlight w:val="none"/>
              </w:rPr>
              <w:t>联合体具体要求</w:t>
            </w:r>
          </w:p>
        </w:tc>
        <w:tc>
          <w:tcPr>
            <w:tcW w:w="4153" w:type="dxa"/>
            <w:noWrap w:val="0"/>
            <w:vAlign w:val="center"/>
          </w:tcPr>
          <w:p w14:paraId="51EB2AD2">
            <w:pPr>
              <w:adjustRightInd w:val="0"/>
              <w:snapToGrid w:val="0"/>
              <w:ind w:firstLine="420"/>
              <w:rPr>
                <w:rFonts w:hint="eastAsia" w:ascii="宋体" w:hAnsi="宋体"/>
                <w:sz w:val="21"/>
                <w:szCs w:val="21"/>
                <w:highlight w:val="none"/>
              </w:rPr>
            </w:pPr>
          </w:p>
        </w:tc>
      </w:tr>
      <w:tr w14:paraId="6523E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922" w:type="dxa"/>
            <w:noWrap w:val="0"/>
            <w:vAlign w:val="center"/>
          </w:tcPr>
          <w:p w14:paraId="0B88DCF9">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37C19431">
            <w:pPr>
              <w:adjustRightInd w:val="0"/>
              <w:snapToGrid w:val="0"/>
              <w:ind w:firstLine="420"/>
              <w:jc w:val="center"/>
              <w:rPr>
                <w:rFonts w:hint="eastAsia" w:ascii="宋体" w:hAnsi="宋体"/>
                <w:kern w:val="2"/>
                <w:sz w:val="21"/>
                <w:szCs w:val="21"/>
                <w:highlight w:val="none"/>
              </w:rPr>
            </w:pPr>
            <w:r>
              <w:rPr>
                <w:rFonts w:hint="eastAsia" w:ascii="宋体" w:hAnsi="宋体"/>
                <w:sz w:val="21"/>
                <w:szCs w:val="21"/>
                <w:highlight w:val="none"/>
              </w:rPr>
              <w:t>第1.2（7）项</w:t>
            </w:r>
          </w:p>
        </w:tc>
        <w:tc>
          <w:tcPr>
            <w:tcW w:w="2444" w:type="dxa"/>
            <w:noWrap w:val="0"/>
            <w:vAlign w:val="center"/>
          </w:tcPr>
          <w:p w14:paraId="3412FFDB">
            <w:pPr>
              <w:adjustRightInd w:val="0"/>
              <w:snapToGrid w:val="0"/>
              <w:rPr>
                <w:rFonts w:hint="eastAsia" w:ascii="宋体" w:hAnsi="宋体"/>
                <w:kern w:val="2"/>
                <w:sz w:val="21"/>
                <w:szCs w:val="21"/>
                <w:highlight w:val="none"/>
              </w:rPr>
            </w:pPr>
            <w:r>
              <w:rPr>
                <w:rFonts w:hint="eastAsia" w:ascii="宋体" w:hAnsi="宋体"/>
                <w:sz w:val="21"/>
                <w:szCs w:val="21"/>
                <w:highlight w:val="none"/>
              </w:rPr>
              <w:t>其他术语解释</w:t>
            </w:r>
          </w:p>
        </w:tc>
        <w:tc>
          <w:tcPr>
            <w:tcW w:w="4153" w:type="dxa"/>
            <w:noWrap w:val="0"/>
            <w:vAlign w:val="center"/>
          </w:tcPr>
          <w:p w14:paraId="3C27DD5B">
            <w:pPr>
              <w:adjustRightInd w:val="0"/>
              <w:snapToGrid w:val="0"/>
              <w:ind w:firstLine="420"/>
              <w:rPr>
                <w:rFonts w:hint="eastAsia" w:ascii="宋体" w:hAnsi="宋体"/>
                <w:kern w:val="2"/>
                <w:sz w:val="21"/>
                <w:szCs w:val="21"/>
                <w:highlight w:val="none"/>
              </w:rPr>
            </w:pPr>
          </w:p>
        </w:tc>
      </w:tr>
      <w:tr w14:paraId="5F42DC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2" w:type="dxa"/>
            <w:noWrap w:val="0"/>
            <w:vAlign w:val="center"/>
          </w:tcPr>
          <w:p w14:paraId="61701D4B">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6A9D48EC">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第4.4款</w:t>
            </w:r>
          </w:p>
        </w:tc>
        <w:tc>
          <w:tcPr>
            <w:tcW w:w="2444" w:type="dxa"/>
            <w:noWrap w:val="0"/>
            <w:vAlign w:val="center"/>
          </w:tcPr>
          <w:p w14:paraId="1E79A147">
            <w:pPr>
              <w:adjustRightInd w:val="0"/>
              <w:snapToGrid w:val="0"/>
              <w:rPr>
                <w:rFonts w:hint="eastAsia" w:ascii="宋体" w:hAnsi="宋体"/>
                <w:sz w:val="21"/>
                <w:szCs w:val="21"/>
                <w:highlight w:val="none"/>
              </w:rPr>
            </w:pPr>
            <w:r>
              <w:rPr>
                <w:rFonts w:hint="eastAsia" w:ascii="宋体" w:hAnsi="宋体"/>
                <w:sz w:val="21"/>
                <w:szCs w:val="21"/>
                <w:highlight w:val="none"/>
              </w:rPr>
              <w:t>履约验收中甲方提出异议或作出说明的期限</w:t>
            </w:r>
          </w:p>
        </w:tc>
        <w:tc>
          <w:tcPr>
            <w:tcW w:w="4153" w:type="dxa"/>
            <w:noWrap w:val="0"/>
            <w:vAlign w:val="center"/>
          </w:tcPr>
          <w:p w14:paraId="5234610F">
            <w:pPr>
              <w:adjustRightInd w:val="0"/>
              <w:snapToGrid w:val="0"/>
              <w:ind w:firstLine="420"/>
              <w:rPr>
                <w:rFonts w:hint="eastAsia" w:ascii="宋体" w:hAnsi="宋体"/>
                <w:kern w:val="2"/>
                <w:sz w:val="21"/>
                <w:szCs w:val="21"/>
                <w:highlight w:val="none"/>
              </w:rPr>
            </w:pPr>
          </w:p>
        </w:tc>
      </w:tr>
      <w:tr w14:paraId="05E9C6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2" w:type="dxa"/>
            <w:noWrap w:val="0"/>
            <w:vAlign w:val="center"/>
          </w:tcPr>
          <w:p w14:paraId="241CB03B">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26BAB0DB">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第4.6款</w:t>
            </w:r>
          </w:p>
        </w:tc>
        <w:tc>
          <w:tcPr>
            <w:tcW w:w="2444" w:type="dxa"/>
            <w:noWrap w:val="0"/>
            <w:vAlign w:val="center"/>
          </w:tcPr>
          <w:p w14:paraId="1D57FD19">
            <w:pPr>
              <w:adjustRightInd w:val="0"/>
              <w:snapToGrid w:val="0"/>
              <w:rPr>
                <w:rFonts w:hint="eastAsia" w:ascii="宋体" w:hAnsi="宋体"/>
                <w:sz w:val="21"/>
                <w:szCs w:val="21"/>
                <w:highlight w:val="none"/>
              </w:rPr>
            </w:pPr>
            <w:r>
              <w:rPr>
                <w:rFonts w:hint="eastAsia" w:ascii="宋体" w:hAnsi="宋体"/>
                <w:sz w:val="21"/>
                <w:szCs w:val="21"/>
                <w:highlight w:val="none"/>
              </w:rPr>
              <w:t>约定甲方承担的其他义务和责任</w:t>
            </w:r>
          </w:p>
        </w:tc>
        <w:tc>
          <w:tcPr>
            <w:tcW w:w="4153" w:type="dxa"/>
            <w:noWrap w:val="0"/>
            <w:vAlign w:val="center"/>
          </w:tcPr>
          <w:p w14:paraId="394ECDF7">
            <w:pPr>
              <w:adjustRightInd w:val="0"/>
              <w:snapToGrid w:val="0"/>
              <w:ind w:firstLine="420"/>
              <w:rPr>
                <w:rFonts w:hint="eastAsia" w:ascii="宋体" w:hAnsi="宋体"/>
                <w:kern w:val="2"/>
                <w:sz w:val="21"/>
                <w:szCs w:val="21"/>
                <w:highlight w:val="none"/>
              </w:rPr>
            </w:pPr>
          </w:p>
        </w:tc>
      </w:tr>
      <w:tr w14:paraId="5A5E2B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2" w:type="dxa"/>
            <w:noWrap w:val="0"/>
            <w:vAlign w:val="center"/>
          </w:tcPr>
          <w:p w14:paraId="0F060F45">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2E831583">
            <w:pPr>
              <w:snapToGrid w:val="0"/>
              <w:ind w:firstLine="420"/>
              <w:jc w:val="center"/>
              <w:rPr>
                <w:sz w:val="21"/>
                <w:szCs w:val="21"/>
                <w:highlight w:val="none"/>
              </w:rPr>
            </w:pPr>
            <w:r>
              <w:rPr>
                <w:rFonts w:hint="eastAsia" w:ascii="宋体" w:hAnsi="宋体"/>
                <w:sz w:val="21"/>
                <w:szCs w:val="21"/>
                <w:highlight w:val="none"/>
              </w:rPr>
              <w:t>第5.4款</w:t>
            </w:r>
          </w:p>
        </w:tc>
        <w:tc>
          <w:tcPr>
            <w:tcW w:w="2444" w:type="dxa"/>
            <w:noWrap w:val="0"/>
            <w:vAlign w:val="center"/>
          </w:tcPr>
          <w:p w14:paraId="2272AFF9">
            <w:pPr>
              <w:adjustRightInd w:val="0"/>
              <w:snapToGrid w:val="0"/>
              <w:rPr>
                <w:rFonts w:hint="eastAsia" w:ascii="宋体" w:hAnsi="宋体"/>
                <w:sz w:val="21"/>
                <w:szCs w:val="21"/>
                <w:highlight w:val="none"/>
              </w:rPr>
            </w:pPr>
            <w:r>
              <w:rPr>
                <w:rFonts w:hint="eastAsia" w:ascii="宋体" w:hAnsi="宋体"/>
                <w:sz w:val="21"/>
                <w:szCs w:val="21"/>
                <w:highlight w:val="none"/>
              </w:rPr>
              <w:t>约定乙方承担的其他义务和责任</w:t>
            </w:r>
          </w:p>
        </w:tc>
        <w:tc>
          <w:tcPr>
            <w:tcW w:w="4153" w:type="dxa"/>
            <w:noWrap w:val="0"/>
            <w:vAlign w:val="center"/>
          </w:tcPr>
          <w:p w14:paraId="4777A5A7">
            <w:pPr>
              <w:adjustRightInd w:val="0"/>
              <w:snapToGrid w:val="0"/>
              <w:ind w:firstLine="420"/>
              <w:rPr>
                <w:rFonts w:hint="eastAsia" w:ascii="宋体" w:hAnsi="宋体"/>
                <w:kern w:val="2"/>
                <w:sz w:val="21"/>
                <w:szCs w:val="21"/>
                <w:highlight w:val="none"/>
              </w:rPr>
            </w:pPr>
          </w:p>
        </w:tc>
      </w:tr>
      <w:tr w14:paraId="742EB6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2" w:type="dxa"/>
            <w:noWrap w:val="0"/>
            <w:vAlign w:val="center"/>
          </w:tcPr>
          <w:p w14:paraId="0AD40FDF">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1F102CBD">
            <w:pPr>
              <w:snapToGrid w:val="0"/>
              <w:ind w:firstLine="420"/>
              <w:jc w:val="center"/>
              <w:rPr>
                <w:rFonts w:hint="eastAsia" w:ascii="宋体" w:hAnsi="宋体"/>
                <w:sz w:val="21"/>
                <w:szCs w:val="21"/>
                <w:highlight w:val="none"/>
              </w:rPr>
            </w:pPr>
            <w:r>
              <w:rPr>
                <w:rFonts w:hint="eastAsia" w:ascii="宋体" w:hAnsi="宋体"/>
                <w:sz w:val="21"/>
                <w:szCs w:val="21"/>
                <w:highlight w:val="none"/>
              </w:rPr>
              <w:t>第6.1款</w:t>
            </w:r>
          </w:p>
        </w:tc>
        <w:tc>
          <w:tcPr>
            <w:tcW w:w="2444" w:type="dxa"/>
            <w:noWrap w:val="0"/>
            <w:vAlign w:val="center"/>
          </w:tcPr>
          <w:p w14:paraId="04488B17">
            <w:pPr>
              <w:adjustRightInd w:val="0"/>
              <w:snapToGrid w:val="0"/>
              <w:rPr>
                <w:rFonts w:hint="eastAsia" w:ascii="宋体" w:hAnsi="宋体"/>
                <w:sz w:val="21"/>
                <w:szCs w:val="21"/>
                <w:highlight w:val="none"/>
              </w:rPr>
            </w:pPr>
            <w:r>
              <w:rPr>
                <w:rFonts w:hint="eastAsia" w:ascii="宋体" w:hAnsi="宋体"/>
                <w:sz w:val="21"/>
                <w:szCs w:val="21"/>
                <w:highlight w:val="none"/>
              </w:rPr>
              <w:t>履行合同义务的顺序</w:t>
            </w:r>
          </w:p>
        </w:tc>
        <w:tc>
          <w:tcPr>
            <w:tcW w:w="4153" w:type="dxa"/>
            <w:noWrap w:val="0"/>
            <w:vAlign w:val="center"/>
          </w:tcPr>
          <w:p w14:paraId="7D07699B">
            <w:pPr>
              <w:adjustRightInd w:val="0"/>
              <w:snapToGrid w:val="0"/>
              <w:ind w:firstLine="420"/>
              <w:rPr>
                <w:rFonts w:hint="eastAsia" w:ascii="宋体" w:hAnsi="宋体"/>
                <w:kern w:val="2"/>
                <w:sz w:val="21"/>
                <w:szCs w:val="21"/>
                <w:highlight w:val="none"/>
              </w:rPr>
            </w:pPr>
          </w:p>
        </w:tc>
      </w:tr>
      <w:tr w14:paraId="3DA588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922" w:type="dxa"/>
            <w:vMerge w:val="restart"/>
            <w:noWrap w:val="0"/>
            <w:vAlign w:val="center"/>
          </w:tcPr>
          <w:p w14:paraId="44B9303B">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2BF071F5">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第7.1款</w:t>
            </w:r>
          </w:p>
        </w:tc>
        <w:tc>
          <w:tcPr>
            <w:tcW w:w="2444" w:type="dxa"/>
            <w:noWrap w:val="0"/>
            <w:vAlign w:val="center"/>
          </w:tcPr>
          <w:p w14:paraId="1D719EC7">
            <w:pPr>
              <w:adjustRightInd w:val="0"/>
              <w:snapToGrid w:val="0"/>
              <w:rPr>
                <w:rFonts w:hint="eastAsia" w:ascii="宋体" w:hAnsi="宋体"/>
                <w:sz w:val="21"/>
                <w:szCs w:val="21"/>
                <w:highlight w:val="none"/>
              </w:rPr>
            </w:pPr>
            <w:r>
              <w:rPr>
                <w:rFonts w:hint="eastAsia" w:ascii="宋体" w:hAnsi="宋体"/>
                <w:sz w:val="21"/>
                <w:szCs w:val="21"/>
                <w:highlight w:val="none"/>
              </w:rPr>
              <w:t>包装特殊要求</w:t>
            </w:r>
          </w:p>
        </w:tc>
        <w:tc>
          <w:tcPr>
            <w:tcW w:w="4153" w:type="dxa"/>
            <w:noWrap w:val="0"/>
            <w:vAlign w:val="center"/>
          </w:tcPr>
          <w:p w14:paraId="6469CC6B">
            <w:pPr>
              <w:ind w:firstLine="420"/>
              <w:rPr>
                <w:sz w:val="21"/>
                <w:szCs w:val="21"/>
                <w:highlight w:val="none"/>
              </w:rPr>
            </w:pPr>
          </w:p>
        </w:tc>
      </w:tr>
      <w:tr w14:paraId="74601C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922" w:type="dxa"/>
            <w:vMerge w:val="continue"/>
            <w:noWrap w:val="0"/>
            <w:vAlign w:val="center"/>
          </w:tcPr>
          <w:p w14:paraId="7C167903">
            <w:pPr>
              <w:adjustRightInd w:val="0"/>
              <w:snapToGrid w:val="0"/>
              <w:ind w:firstLine="420"/>
              <w:jc w:val="center"/>
              <w:rPr>
                <w:rFonts w:hint="eastAsia" w:ascii="宋体" w:hAnsi="宋体"/>
                <w:sz w:val="21"/>
                <w:szCs w:val="21"/>
                <w:highlight w:val="none"/>
              </w:rPr>
            </w:pPr>
          </w:p>
        </w:tc>
        <w:tc>
          <w:tcPr>
            <w:tcW w:w="2444" w:type="dxa"/>
            <w:noWrap w:val="0"/>
            <w:vAlign w:val="center"/>
          </w:tcPr>
          <w:p w14:paraId="0B88B43B">
            <w:pPr>
              <w:adjustRightInd w:val="0"/>
              <w:snapToGrid w:val="0"/>
              <w:rPr>
                <w:rFonts w:hint="eastAsia" w:ascii="宋体" w:hAnsi="宋体"/>
                <w:sz w:val="21"/>
                <w:szCs w:val="21"/>
                <w:highlight w:val="none"/>
              </w:rPr>
            </w:pPr>
            <w:r>
              <w:rPr>
                <w:rFonts w:hint="eastAsia" w:ascii="宋体" w:hAnsi="宋体"/>
                <w:sz w:val="21"/>
                <w:szCs w:val="21"/>
                <w:highlight w:val="none"/>
              </w:rPr>
              <w:t>指定现场</w:t>
            </w:r>
          </w:p>
        </w:tc>
        <w:tc>
          <w:tcPr>
            <w:tcW w:w="4153" w:type="dxa"/>
            <w:noWrap w:val="0"/>
            <w:vAlign w:val="center"/>
          </w:tcPr>
          <w:p w14:paraId="6A1E3818">
            <w:pPr>
              <w:ind w:firstLine="420"/>
              <w:rPr>
                <w:sz w:val="21"/>
                <w:szCs w:val="21"/>
                <w:highlight w:val="none"/>
              </w:rPr>
            </w:pPr>
          </w:p>
        </w:tc>
      </w:tr>
      <w:tr w14:paraId="12D731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922" w:type="dxa"/>
            <w:noWrap w:val="0"/>
            <w:vAlign w:val="center"/>
          </w:tcPr>
          <w:p w14:paraId="23CEF88C">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18184040">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第7.2款</w:t>
            </w:r>
          </w:p>
        </w:tc>
        <w:tc>
          <w:tcPr>
            <w:tcW w:w="2444" w:type="dxa"/>
            <w:noWrap w:val="0"/>
            <w:vAlign w:val="center"/>
          </w:tcPr>
          <w:p w14:paraId="62815A41">
            <w:pPr>
              <w:adjustRightInd w:val="0"/>
              <w:snapToGrid w:val="0"/>
              <w:rPr>
                <w:rFonts w:hint="eastAsia" w:ascii="宋体" w:hAnsi="宋体"/>
                <w:sz w:val="21"/>
                <w:szCs w:val="21"/>
                <w:highlight w:val="none"/>
              </w:rPr>
            </w:pPr>
            <w:r>
              <w:rPr>
                <w:rFonts w:hint="eastAsia" w:ascii="宋体" w:hAnsi="宋体"/>
                <w:sz w:val="21"/>
                <w:szCs w:val="21"/>
                <w:highlight w:val="none"/>
              </w:rPr>
              <w:t>运输特殊要求</w:t>
            </w:r>
          </w:p>
        </w:tc>
        <w:tc>
          <w:tcPr>
            <w:tcW w:w="4153" w:type="dxa"/>
            <w:noWrap w:val="0"/>
            <w:vAlign w:val="center"/>
          </w:tcPr>
          <w:p w14:paraId="2FF1FAE6">
            <w:pPr>
              <w:ind w:firstLine="420"/>
              <w:rPr>
                <w:sz w:val="21"/>
                <w:szCs w:val="21"/>
                <w:highlight w:val="none"/>
              </w:rPr>
            </w:pPr>
          </w:p>
        </w:tc>
      </w:tr>
      <w:tr w14:paraId="5BC650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922" w:type="dxa"/>
            <w:noWrap w:val="0"/>
            <w:vAlign w:val="center"/>
          </w:tcPr>
          <w:p w14:paraId="3E0B2500">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0D7E0A38">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第7.3款</w:t>
            </w:r>
          </w:p>
        </w:tc>
        <w:tc>
          <w:tcPr>
            <w:tcW w:w="2444" w:type="dxa"/>
            <w:noWrap w:val="0"/>
            <w:vAlign w:val="center"/>
          </w:tcPr>
          <w:p w14:paraId="3B8AD9C1">
            <w:pPr>
              <w:adjustRightInd w:val="0"/>
              <w:snapToGrid w:val="0"/>
              <w:rPr>
                <w:rFonts w:hint="eastAsia" w:ascii="宋体" w:hAnsi="宋体"/>
                <w:sz w:val="21"/>
                <w:szCs w:val="21"/>
                <w:highlight w:val="none"/>
              </w:rPr>
            </w:pPr>
            <w:r>
              <w:rPr>
                <w:rFonts w:hint="eastAsia" w:ascii="宋体" w:hAnsi="宋体"/>
                <w:sz w:val="21"/>
                <w:szCs w:val="21"/>
                <w:highlight w:val="none"/>
              </w:rPr>
              <w:t>保险要求</w:t>
            </w:r>
          </w:p>
        </w:tc>
        <w:tc>
          <w:tcPr>
            <w:tcW w:w="4153" w:type="dxa"/>
            <w:noWrap w:val="0"/>
            <w:vAlign w:val="center"/>
          </w:tcPr>
          <w:p w14:paraId="56C5C8FD">
            <w:pPr>
              <w:ind w:firstLine="420"/>
              <w:rPr>
                <w:sz w:val="21"/>
                <w:szCs w:val="21"/>
                <w:highlight w:val="none"/>
              </w:rPr>
            </w:pPr>
          </w:p>
        </w:tc>
      </w:tr>
      <w:tr w14:paraId="324591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2" w:type="dxa"/>
            <w:noWrap w:val="0"/>
            <w:vAlign w:val="center"/>
          </w:tcPr>
          <w:p w14:paraId="4A8CAD33">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34279EB2">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第8.2（1）项</w:t>
            </w:r>
          </w:p>
        </w:tc>
        <w:tc>
          <w:tcPr>
            <w:tcW w:w="2444" w:type="dxa"/>
            <w:noWrap w:val="0"/>
            <w:vAlign w:val="center"/>
          </w:tcPr>
          <w:p w14:paraId="7D518EC3">
            <w:pPr>
              <w:adjustRightInd w:val="0"/>
              <w:snapToGrid w:val="0"/>
              <w:rPr>
                <w:rFonts w:hint="eastAsia" w:ascii="宋体" w:hAnsi="宋体"/>
                <w:sz w:val="21"/>
                <w:szCs w:val="21"/>
                <w:highlight w:val="none"/>
              </w:rPr>
            </w:pPr>
            <w:r>
              <w:rPr>
                <w:rFonts w:hint="eastAsia" w:ascii="宋体" w:hAnsi="宋体"/>
                <w:sz w:val="21"/>
                <w:szCs w:val="21"/>
                <w:highlight w:val="none"/>
              </w:rPr>
              <w:t>质量保证期</w:t>
            </w:r>
          </w:p>
        </w:tc>
        <w:tc>
          <w:tcPr>
            <w:tcW w:w="4153" w:type="dxa"/>
            <w:noWrap w:val="0"/>
            <w:vAlign w:val="center"/>
          </w:tcPr>
          <w:p w14:paraId="240A86CA">
            <w:pPr>
              <w:autoSpaceDE w:val="0"/>
              <w:autoSpaceDN w:val="0"/>
              <w:adjustRightInd w:val="0"/>
              <w:snapToGrid w:val="0"/>
              <w:ind w:firstLine="420" w:firstLineChars="200"/>
              <w:rPr>
                <w:rFonts w:hint="eastAsia" w:ascii="宋体" w:hAnsi="宋体"/>
                <w:sz w:val="21"/>
                <w:szCs w:val="21"/>
                <w:highlight w:val="none"/>
              </w:rPr>
            </w:pPr>
          </w:p>
        </w:tc>
      </w:tr>
      <w:tr w14:paraId="610D73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2" w:type="dxa"/>
            <w:noWrap w:val="0"/>
            <w:vAlign w:val="center"/>
          </w:tcPr>
          <w:p w14:paraId="1A817E43">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5180E9A9">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第8.2（3）项</w:t>
            </w:r>
          </w:p>
        </w:tc>
        <w:tc>
          <w:tcPr>
            <w:tcW w:w="2444" w:type="dxa"/>
            <w:noWrap w:val="0"/>
            <w:vAlign w:val="center"/>
          </w:tcPr>
          <w:p w14:paraId="65B195B3">
            <w:pPr>
              <w:adjustRightInd w:val="0"/>
              <w:snapToGrid w:val="0"/>
              <w:rPr>
                <w:rFonts w:hint="eastAsia" w:ascii="宋体" w:hAnsi="宋体"/>
                <w:sz w:val="21"/>
                <w:szCs w:val="21"/>
                <w:highlight w:val="none"/>
              </w:rPr>
            </w:pPr>
            <w:r>
              <w:rPr>
                <w:rFonts w:hint="eastAsia" w:ascii="宋体" w:hAnsi="宋体"/>
                <w:sz w:val="21"/>
                <w:szCs w:val="21"/>
                <w:highlight w:val="none"/>
              </w:rPr>
              <w:t>货物质量缺陷响应时间</w:t>
            </w:r>
          </w:p>
        </w:tc>
        <w:tc>
          <w:tcPr>
            <w:tcW w:w="4153" w:type="dxa"/>
            <w:noWrap w:val="0"/>
            <w:vAlign w:val="center"/>
          </w:tcPr>
          <w:p w14:paraId="4E10FEDB">
            <w:pPr>
              <w:adjustRightInd w:val="0"/>
              <w:snapToGrid w:val="0"/>
              <w:ind w:firstLine="420"/>
              <w:rPr>
                <w:rFonts w:hint="eastAsia" w:ascii="宋体" w:hAnsi="宋体"/>
                <w:sz w:val="21"/>
                <w:szCs w:val="21"/>
                <w:highlight w:val="none"/>
              </w:rPr>
            </w:pPr>
          </w:p>
        </w:tc>
      </w:tr>
      <w:tr w14:paraId="06FD36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2" w:type="dxa"/>
            <w:noWrap w:val="0"/>
            <w:vAlign w:val="center"/>
          </w:tcPr>
          <w:p w14:paraId="19911621">
            <w:pPr>
              <w:snapToGrid w:val="0"/>
              <w:ind w:firstLine="420"/>
              <w:jc w:val="center"/>
              <w:rPr>
                <w:rFonts w:hint="eastAsia" w:ascii="宋体" w:hAnsi="宋体" w:cs="宋体"/>
                <w:sz w:val="21"/>
                <w:szCs w:val="21"/>
                <w:highlight w:val="none"/>
              </w:rPr>
            </w:pPr>
            <w:r>
              <w:rPr>
                <w:rFonts w:hint="eastAsia" w:ascii="宋体" w:hAnsi="宋体" w:cs="宋体"/>
                <w:sz w:val="21"/>
                <w:szCs w:val="21"/>
                <w:highlight w:val="none"/>
              </w:rPr>
              <w:t>第二节</w:t>
            </w:r>
          </w:p>
          <w:p w14:paraId="396DA14B">
            <w:pPr>
              <w:pStyle w:val="59"/>
              <w:ind w:firstLine="0" w:firstLineChars="0"/>
              <w:jc w:val="center"/>
              <w:rPr>
                <w:rFonts w:hint="eastAsia"/>
                <w:sz w:val="21"/>
                <w:highlight w:val="none"/>
              </w:rPr>
            </w:pPr>
            <w:r>
              <w:rPr>
                <w:rFonts w:hint="eastAsia" w:ascii="宋体" w:hAnsi="宋体" w:eastAsia="宋体" w:cs="宋体"/>
                <w:sz w:val="21"/>
                <w:highlight w:val="none"/>
              </w:rPr>
              <w:t>第11.1款</w:t>
            </w:r>
          </w:p>
        </w:tc>
        <w:tc>
          <w:tcPr>
            <w:tcW w:w="2444" w:type="dxa"/>
            <w:noWrap w:val="0"/>
            <w:vAlign w:val="center"/>
          </w:tcPr>
          <w:p w14:paraId="7568AA17">
            <w:pPr>
              <w:adjustRightInd w:val="0"/>
              <w:snapToGrid w:val="0"/>
              <w:jc w:val="both"/>
              <w:rPr>
                <w:rFonts w:hint="eastAsia" w:ascii="宋体" w:hAnsi="宋体"/>
                <w:sz w:val="21"/>
                <w:szCs w:val="21"/>
                <w:highlight w:val="none"/>
              </w:rPr>
            </w:pPr>
            <w:r>
              <w:rPr>
                <w:rFonts w:hint="eastAsia" w:ascii="宋体" w:hAnsi="宋体"/>
                <w:sz w:val="21"/>
                <w:szCs w:val="21"/>
                <w:highlight w:val="none"/>
              </w:rPr>
              <w:t>其他应当保密的信息</w:t>
            </w:r>
          </w:p>
        </w:tc>
        <w:tc>
          <w:tcPr>
            <w:tcW w:w="4153" w:type="dxa"/>
            <w:noWrap w:val="0"/>
            <w:vAlign w:val="center"/>
          </w:tcPr>
          <w:p w14:paraId="140D28AE">
            <w:pPr>
              <w:adjustRightInd w:val="0"/>
              <w:snapToGrid w:val="0"/>
              <w:ind w:firstLine="420"/>
              <w:rPr>
                <w:rFonts w:hint="eastAsia" w:ascii="宋体" w:hAnsi="宋体"/>
                <w:sz w:val="21"/>
                <w:szCs w:val="21"/>
                <w:highlight w:val="none"/>
              </w:rPr>
            </w:pPr>
          </w:p>
        </w:tc>
      </w:tr>
      <w:tr w14:paraId="1E9C7F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922" w:type="dxa"/>
            <w:noWrap w:val="0"/>
            <w:vAlign w:val="center"/>
          </w:tcPr>
          <w:p w14:paraId="6E8CC9C4">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4C5A604B">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第12.2款</w:t>
            </w:r>
          </w:p>
        </w:tc>
        <w:tc>
          <w:tcPr>
            <w:tcW w:w="2444" w:type="dxa"/>
            <w:noWrap w:val="0"/>
            <w:vAlign w:val="center"/>
          </w:tcPr>
          <w:p w14:paraId="687981D5">
            <w:pPr>
              <w:adjustRightInd w:val="0"/>
              <w:snapToGrid w:val="0"/>
              <w:rPr>
                <w:rFonts w:hint="eastAsia" w:ascii="宋体" w:hAnsi="宋体"/>
                <w:sz w:val="21"/>
                <w:szCs w:val="21"/>
                <w:highlight w:val="none"/>
              </w:rPr>
            </w:pPr>
            <w:r>
              <w:rPr>
                <w:rFonts w:hint="eastAsia" w:ascii="宋体" w:hAnsi="宋体"/>
                <w:sz w:val="21"/>
                <w:szCs w:val="21"/>
                <w:highlight w:val="none"/>
              </w:rPr>
              <w:t>合同价款支付时间</w:t>
            </w:r>
          </w:p>
        </w:tc>
        <w:tc>
          <w:tcPr>
            <w:tcW w:w="4153" w:type="dxa"/>
            <w:noWrap w:val="0"/>
            <w:vAlign w:val="center"/>
          </w:tcPr>
          <w:p w14:paraId="2CA4DA31">
            <w:pPr>
              <w:adjustRightInd w:val="0"/>
              <w:snapToGrid w:val="0"/>
              <w:ind w:firstLine="420"/>
              <w:rPr>
                <w:rFonts w:hint="eastAsia" w:ascii="宋体" w:hAnsi="宋体"/>
                <w:sz w:val="21"/>
                <w:szCs w:val="21"/>
                <w:highlight w:val="none"/>
              </w:rPr>
            </w:pPr>
          </w:p>
        </w:tc>
      </w:tr>
      <w:tr w14:paraId="3DA45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922" w:type="dxa"/>
            <w:noWrap w:val="0"/>
            <w:vAlign w:val="center"/>
          </w:tcPr>
          <w:p w14:paraId="19C1235C">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69F4E419">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第13.2款</w:t>
            </w:r>
          </w:p>
        </w:tc>
        <w:tc>
          <w:tcPr>
            <w:tcW w:w="2444" w:type="dxa"/>
            <w:noWrap w:val="0"/>
            <w:vAlign w:val="center"/>
          </w:tcPr>
          <w:p w14:paraId="0E291460">
            <w:pPr>
              <w:adjustRightInd w:val="0"/>
              <w:snapToGrid w:val="0"/>
              <w:rPr>
                <w:rFonts w:hint="eastAsia" w:ascii="宋体" w:hAnsi="宋体"/>
                <w:sz w:val="21"/>
                <w:szCs w:val="21"/>
                <w:highlight w:val="none"/>
              </w:rPr>
            </w:pPr>
            <w:r>
              <w:rPr>
                <w:rFonts w:hint="eastAsia" w:ascii="宋体" w:hAnsi="宋体"/>
                <w:sz w:val="21"/>
                <w:szCs w:val="21"/>
                <w:highlight w:val="none"/>
              </w:rPr>
              <w:t>履约保证金不予退还的情形</w:t>
            </w:r>
          </w:p>
        </w:tc>
        <w:tc>
          <w:tcPr>
            <w:tcW w:w="4153" w:type="dxa"/>
            <w:noWrap w:val="0"/>
            <w:vAlign w:val="center"/>
          </w:tcPr>
          <w:p w14:paraId="18ED4C1E">
            <w:pPr>
              <w:adjustRightInd w:val="0"/>
              <w:snapToGrid w:val="0"/>
              <w:ind w:firstLine="420"/>
              <w:rPr>
                <w:rFonts w:hint="eastAsia" w:ascii="宋体" w:hAnsi="宋体"/>
                <w:sz w:val="21"/>
                <w:szCs w:val="21"/>
                <w:highlight w:val="none"/>
              </w:rPr>
            </w:pPr>
          </w:p>
        </w:tc>
      </w:tr>
      <w:tr w14:paraId="70A732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922" w:type="dxa"/>
            <w:noWrap w:val="0"/>
            <w:vAlign w:val="center"/>
          </w:tcPr>
          <w:p w14:paraId="5476779D">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1DE2367D">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第13.3款</w:t>
            </w:r>
          </w:p>
        </w:tc>
        <w:tc>
          <w:tcPr>
            <w:tcW w:w="2444" w:type="dxa"/>
            <w:noWrap w:val="0"/>
            <w:vAlign w:val="center"/>
          </w:tcPr>
          <w:p w14:paraId="455A0A6C">
            <w:pPr>
              <w:adjustRightInd w:val="0"/>
              <w:snapToGrid w:val="0"/>
              <w:rPr>
                <w:rFonts w:hint="eastAsia" w:ascii="宋体" w:hAnsi="宋体"/>
                <w:sz w:val="21"/>
                <w:szCs w:val="21"/>
                <w:highlight w:val="none"/>
              </w:rPr>
            </w:pPr>
            <w:r>
              <w:rPr>
                <w:rFonts w:hint="eastAsia" w:ascii="宋体" w:hAnsi="宋体"/>
                <w:sz w:val="21"/>
                <w:szCs w:val="21"/>
                <w:highlight w:val="none"/>
              </w:rPr>
              <w:t>履约保证金退还时间及逾期退还的违约金</w:t>
            </w:r>
          </w:p>
        </w:tc>
        <w:tc>
          <w:tcPr>
            <w:tcW w:w="4153" w:type="dxa"/>
            <w:noWrap w:val="0"/>
            <w:vAlign w:val="center"/>
          </w:tcPr>
          <w:p w14:paraId="0488CDF0">
            <w:pPr>
              <w:adjustRightInd w:val="0"/>
              <w:snapToGrid w:val="0"/>
              <w:ind w:firstLine="420"/>
              <w:rPr>
                <w:rFonts w:hint="eastAsia" w:ascii="宋体" w:hAnsi="宋体"/>
                <w:sz w:val="21"/>
                <w:szCs w:val="21"/>
                <w:highlight w:val="none"/>
              </w:rPr>
            </w:pPr>
          </w:p>
        </w:tc>
      </w:tr>
      <w:tr w14:paraId="5CCC04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922" w:type="dxa"/>
            <w:noWrap w:val="0"/>
            <w:vAlign w:val="center"/>
          </w:tcPr>
          <w:p w14:paraId="674774E4">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692BF54E">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第14.1（3）项</w:t>
            </w:r>
          </w:p>
        </w:tc>
        <w:tc>
          <w:tcPr>
            <w:tcW w:w="2444" w:type="dxa"/>
            <w:noWrap w:val="0"/>
            <w:vAlign w:val="center"/>
          </w:tcPr>
          <w:p w14:paraId="45D08853">
            <w:pPr>
              <w:adjustRightInd w:val="0"/>
              <w:snapToGrid w:val="0"/>
              <w:rPr>
                <w:rFonts w:hint="eastAsia" w:ascii="宋体" w:hAnsi="宋体"/>
                <w:sz w:val="21"/>
                <w:szCs w:val="21"/>
                <w:highlight w:val="none"/>
              </w:rPr>
            </w:pPr>
            <w:r>
              <w:rPr>
                <w:rFonts w:hint="eastAsia" w:ascii="宋体" w:hAnsi="宋体"/>
                <w:sz w:val="21"/>
                <w:szCs w:val="21"/>
                <w:highlight w:val="none"/>
              </w:rPr>
              <w:t>运行监督、维修期限</w:t>
            </w:r>
          </w:p>
        </w:tc>
        <w:tc>
          <w:tcPr>
            <w:tcW w:w="4153" w:type="dxa"/>
            <w:noWrap w:val="0"/>
            <w:vAlign w:val="center"/>
          </w:tcPr>
          <w:p w14:paraId="4BE3FF2D">
            <w:pPr>
              <w:adjustRightInd w:val="0"/>
              <w:snapToGrid w:val="0"/>
              <w:ind w:firstLine="420"/>
              <w:rPr>
                <w:rFonts w:hint="eastAsia" w:ascii="宋体" w:hAnsi="宋体"/>
                <w:sz w:val="21"/>
                <w:szCs w:val="21"/>
                <w:highlight w:val="none"/>
              </w:rPr>
            </w:pPr>
          </w:p>
        </w:tc>
      </w:tr>
      <w:tr w14:paraId="52486B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922" w:type="dxa"/>
            <w:noWrap w:val="0"/>
            <w:vAlign w:val="center"/>
          </w:tcPr>
          <w:p w14:paraId="6602E739">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24FE1155">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第14.1（5）项</w:t>
            </w:r>
          </w:p>
        </w:tc>
        <w:tc>
          <w:tcPr>
            <w:tcW w:w="2444" w:type="dxa"/>
            <w:noWrap w:val="0"/>
            <w:vAlign w:val="center"/>
          </w:tcPr>
          <w:p w14:paraId="4ACF5EB2">
            <w:pPr>
              <w:adjustRightInd w:val="0"/>
              <w:snapToGrid w:val="0"/>
              <w:rPr>
                <w:rFonts w:hint="eastAsia" w:ascii="宋体" w:hAnsi="宋体"/>
                <w:sz w:val="21"/>
                <w:szCs w:val="21"/>
                <w:highlight w:val="none"/>
              </w:rPr>
            </w:pPr>
            <w:r>
              <w:rPr>
                <w:rFonts w:hint="eastAsia" w:ascii="宋体" w:hAnsi="宋体"/>
                <w:sz w:val="21"/>
                <w:szCs w:val="21"/>
                <w:highlight w:val="none"/>
              </w:rPr>
              <w:t>货物回收的约定</w:t>
            </w:r>
          </w:p>
        </w:tc>
        <w:tc>
          <w:tcPr>
            <w:tcW w:w="4153" w:type="dxa"/>
            <w:noWrap w:val="0"/>
            <w:vAlign w:val="center"/>
          </w:tcPr>
          <w:p w14:paraId="6DE1544B">
            <w:pPr>
              <w:adjustRightInd w:val="0"/>
              <w:snapToGrid w:val="0"/>
              <w:ind w:firstLine="420"/>
              <w:rPr>
                <w:rFonts w:hint="eastAsia" w:ascii="宋体" w:hAnsi="宋体"/>
                <w:sz w:val="21"/>
                <w:szCs w:val="21"/>
                <w:highlight w:val="none"/>
              </w:rPr>
            </w:pPr>
          </w:p>
        </w:tc>
      </w:tr>
      <w:tr w14:paraId="13C59E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2" w:type="dxa"/>
            <w:noWrap w:val="0"/>
            <w:vAlign w:val="center"/>
          </w:tcPr>
          <w:p w14:paraId="7C30F7E4">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1F757086">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第14.1（6）项</w:t>
            </w:r>
          </w:p>
        </w:tc>
        <w:tc>
          <w:tcPr>
            <w:tcW w:w="2444" w:type="dxa"/>
            <w:noWrap w:val="0"/>
            <w:vAlign w:val="center"/>
          </w:tcPr>
          <w:p w14:paraId="47F089D5">
            <w:pPr>
              <w:adjustRightInd w:val="0"/>
              <w:snapToGrid w:val="0"/>
              <w:rPr>
                <w:rFonts w:hint="eastAsia" w:ascii="宋体" w:hAnsi="宋体"/>
                <w:sz w:val="21"/>
                <w:szCs w:val="21"/>
                <w:highlight w:val="none"/>
              </w:rPr>
            </w:pPr>
            <w:r>
              <w:rPr>
                <w:rFonts w:hint="eastAsia" w:ascii="宋体" w:hAnsi="宋体"/>
                <w:sz w:val="21"/>
                <w:szCs w:val="21"/>
                <w:highlight w:val="none"/>
              </w:rPr>
              <w:t>乙方提供的其他服务</w:t>
            </w:r>
          </w:p>
        </w:tc>
        <w:tc>
          <w:tcPr>
            <w:tcW w:w="4153" w:type="dxa"/>
            <w:noWrap w:val="0"/>
            <w:vAlign w:val="center"/>
          </w:tcPr>
          <w:p w14:paraId="2D4A88CD">
            <w:pPr>
              <w:adjustRightInd w:val="0"/>
              <w:snapToGrid w:val="0"/>
              <w:ind w:firstLine="420"/>
              <w:rPr>
                <w:rFonts w:hint="eastAsia" w:ascii="宋体" w:hAnsi="宋体"/>
                <w:sz w:val="21"/>
                <w:szCs w:val="21"/>
                <w:highlight w:val="none"/>
              </w:rPr>
            </w:pPr>
          </w:p>
        </w:tc>
      </w:tr>
      <w:tr w14:paraId="61767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2" w:type="dxa"/>
            <w:noWrap w:val="0"/>
            <w:vAlign w:val="center"/>
          </w:tcPr>
          <w:p w14:paraId="03BA6DF4">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18D39448">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第15.1款</w:t>
            </w:r>
          </w:p>
        </w:tc>
        <w:tc>
          <w:tcPr>
            <w:tcW w:w="2444" w:type="dxa"/>
            <w:noWrap w:val="0"/>
            <w:vAlign w:val="center"/>
          </w:tcPr>
          <w:p w14:paraId="6B444315">
            <w:pPr>
              <w:adjustRightInd w:val="0"/>
              <w:snapToGrid w:val="0"/>
              <w:rPr>
                <w:rFonts w:hint="eastAsia" w:ascii="宋体" w:hAnsi="宋体"/>
                <w:sz w:val="21"/>
                <w:szCs w:val="21"/>
                <w:highlight w:val="none"/>
              </w:rPr>
            </w:pPr>
            <w:r>
              <w:rPr>
                <w:rFonts w:hint="eastAsia" w:ascii="宋体" w:hAnsi="宋体"/>
                <w:sz w:val="21"/>
                <w:szCs w:val="21"/>
                <w:highlight w:val="none"/>
              </w:rPr>
              <w:t>修理、重作、更换相关具体规定</w:t>
            </w:r>
          </w:p>
        </w:tc>
        <w:tc>
          <w:tcPr>
            <w:tcW w:w="4153" w:type="dxa"/>
            <w:noWrap w:val="0"/>
            <w:vAlign w:val="center"/>
          </w:tcPr>
          <w:p w14:paraId="05D07D7B">
            <w:pPr>
              <w:adjustRightInd w:val="0"/>
              <w:snapToGrid w:val="0"/>
              <w:ind w:firstLine="420"/>
              <w:rPr>
                <w:rFonts w:hint="eastAsia" w:ascii="宋体" w:hAnsi="宋体"/>
                <w:sz w:val="21"/>
                <w:szCs w:val="21"/>
                <w:highlight w:val="none"/>
              </w:rPr>
            </w:pPr>
          </w:p>
        </w:tc>
      </w:tr>
      <w:tr w14:paraId="4E952E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2" w:type="dxa"/>
            <w:noWrap w:val="0"/>
            <w:vAlign w:val="center"/>
          </w:tcPr>
          <w:p w14:paraId="15540874">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06BEBDAA">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第15.2（2）项</w:t>
            </w:r>
          </w:p>
        </w:tc>
        <w:tc>
          <w:tcPr>
            <w:tcW w:w="2444" w:type="dxa"/>
            <w:noWrap w:val="0"/>
            <w:vAlign w:val="center"/>
          </w:tcPr>
          <w:p w14:paraId="50E5BC71">
            <w:pPr>
              <w:adjustRightInd w:val="0"/>
              <w:snapToGrid w:val="0"/>
              <w:rPr>
                <w:rFonts w:hint="eastAsia" w:ascii="宋体" w:hAnsi="宋体"/>
                <w:sz w:val="21"/>
                <w:szCs w:val="21"/>
                <w:highlight w:val="none"/>
              </w:rPr>
            </w:pPr>
            <w:r>
              <w:rPr>
                <w:rFonts w:hint="eastAsia" w:ascii="宋体" w:hAnsi="宋体"/>
                <w:sz w:val="21"/>
                <w:szCs w:val="21"/>
                <w:highlight w:val="none"/>
              </w:rPr>
              <w:t>迟延交货赔偿费</w:t>
            </w:r>
          </w:p>
        </w:tc>
        <w:tc>
          <w:tcPr>
            <w:tcW w:w="4153" w:type="dxa"/>
            <w:noWrap w:val="0"/>
            <w:vAlign w:val="center"/>
          </w:tcPr>
          <w:p w14:paraId="648A8328">
            <w:pPr>
              <w:adjustRightInd w:val="0"/>
              <w:snapToGrid w:val="0"/>
              <w:ind w:firstLine="420"/>
              <w:rPr>
                <w:rFonts w:hint="eastAsia" w:ascii="宋体" w:hAnsi="宋体"/>
                <w:sz w:val="21"/>
                <w:szCs w:val="21"/>
                <w:highlight w:val="none"/>
                <w:u w:val="single"/>
              </w:rPr>
            </w:pPr>
          </w:p>
        </w:tc>
      </w:tr>
      <w:tr w14:paraId="79ACD6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2" w:type="dxa"/>
            <w:noWrap w:val="0"/>
            <w:vAlign w:val="center"/>
          </w:tcPr>
          <w:p w14:paraId="6BC9949D">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2B4BC7D6">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第15.3款</w:t>
            </w:r>
          </w:p>
        </w:tc>
        <w:tc>
          <w:tcPr>
            <w:tcW w:w="2444" w:type="dxa"/>
            <w:noWrap w:val="0"/>
            <w:vAlign w:val="center"/>
          </w:tcPr>
          <w:p w14:paraId="16628971">
            <w:pPr>
              <w:adjustRightInd w:val="0"/>
              <w:snapToGrid w:val="0"/>
              <w:rPr>
                <w:rFonts w:hint="eastAsia" w:ascii="宋体" w:hAnsi="宋体"/>
                <w:sz w:val="21"/>
                <w:szCs w:val="21"/>
                <w:highlight w:val="none"/>
              </w:rPr>
            </w:pPr>
            <w:r>
              <w:rPr>
                <w:rFonts w:hint="eastAsia" w:ascii="宋体" w:hAnsi="宋体"/>
                <w:sz w:val="21"/>
                <w:szCs w:val="21"/>
                <w:highlight w:val="none"/>
              </w:rPr>
              <w:t>逾期付款利息</w:t>
            </w:r>
          </w:p>
        </w:tc>
        <w:tc>
          <w:tcPr>
            <w:tcW w:w="4153" w:type="dxa"/>
            <w:noWrap w:val="0"/>
            <w:vAlign w:val="center"/>
          </w:tcPr>
          <w:p w14:paraId="16324AEE">
            <w:pPr>
              <w:adjustRightInd w:val="0"/>
              <w:snapToGrid w:val="0"/>
              <w:ind w:firstLine="420"/>
              <w:rPr>
                <w:rFonts w:hint="eastAsia" w:ascii="宋体" w:hAnsi="宋体"/>
                <w:sz w:val="21"/>
                <w:szCs w:val="21"/>
                <w:highlight w:val="none"/>
                <w:u w:val="single"/>
              </w:rPr>
            </w:pPr>
          </w:p>
        </w:tc>
      </w:tr>
      <w:tr w14:paraId="2E2F6F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922" w:type="dxa"/>
            <w:tcBorders>
              <w:bottom w:val="single" w:color="auto" w:sz="2" w:space="0"/>
              <w:right w:val="single" w:color="auto" w:sz="2" w:space="0"/>
            </w:tcBorders>
            <w:noWrap w:val="0"/>
            <w:vAlign w:val="center"/>
          </w:tcPr>
          <w:p w14:paraId="772BB637">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3B11802D">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第15.4款</w:t>
            </w:r>
          </w:p>
        </w:tc>
        <w:tc>
          <w:tcPr>
            <w:tcW w:w="2444" w:type="dxa"/>
            <w:tcBorders>
              <w:left w:val="single" w:color="auto" w:sz="2" w:space="0"/>
              <w:bottom w:val="single" w:color="auto" w:sz="2" w:space="0"/>
              <w:right w:val="single" w:color="auto" w:sz="2" w:space="0"/>
            </w:tcBorders>
            <w:noWrap w:val="0"/>
            <w:vAlign w:val="center"/>
          </w:tcPr>
          <w:p w14:paraId="14B5D805">
            <w:pPr>
              <w:adjustRightInd w:val="0"/>
              <w:snapToGrid w:val="0"/>
              <w:rPr>
                <w:rFonts w:hint="eastAsia" w:ascii="宋体" w:hAnsi="宋体"/>
                <w:sz w:val="21"/>
                <w:szCs w:val="21"/>
                <w:highlight w:val="none"/>
              </w:rPr>
            </w:pPr>
            <w:r>
              <w:rPr>
                <w:rFonts w:hint="eastAsia" w:ascii="宋体" w:hAnsi="宋体"/>
                <w:sz w:val="21"/>
                <w:szCs w:val="21"/>
                <w:highlight w:val="none"/>
              </w:rPr>
              <w:t>其他违约责任</w:t>
            </w:r>
          </w:p>
        </w:tc>
        <w:tc>
          <w:tcPr>
            <w:tcW w:w="4153" w:type="dxa"/>
            <w:tcBorders>
              <w:left w:val="single" w:color="auto" w:sz="2" w:space="0"/>
              <w:bottom w:val="single" w:color="auto" w:sz="2" w:space="0"/>
            </w:tcBorders>
            <w:noWrap w:val="0"/>
            <w:vAlign w:val="center"/>
          </w:tcPr>
          <w:p w14:paraId="20598931">
            <w:pPr>
              <w:adjustRightInd w:val="0"/>
              <w:snapToGrid w:val="0"/>
              <w:ind w:firstLine="420"/>
              <w:rPr>
                <w:rFonts w:hint="eastAsia" w:ascii="宋体" w:hAnsi="宋体"/>
                <w:sz w:val="21"/>
                <w:szCs w:val="21"/>
                <w:highlight w:val="none"/>
                <w:u w:val="single"/>
              </w:rPr>
            </w:pPr>
          </w:p>
        </w:tc>
      </w:tr>
      <w:tr w14:paraId="614D16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922" w:type="dxa"/>
            <w:tcBorders>
              <w:top w:val="single" w:color="auto" w:sz="2" w:space="0"/>
              <w:right w:val="single" w:color="auto" w:sz="2" w:space="0"/>
            </w:tcBorders>
            <w:noWrap w:val="0"/>
            <w:vAlign w:val="center"/>
          </w:tcPr>
          <w:p w14:paraId="6C4A04A6">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456C285A">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第19.2款</w:t>
            </w:r>
          </w:p>
        </w:tc>
        <w:tc>
          <w:tcPr>
            <w:tcW w:w="2444" w:type="dxa"/>
            <w:tcBorders>
              <w:top w:val="single" w:color="auto" w:sz="2" w:space="0"/>
              <w:left w:val="single" w:color="auto" w:sz="2" w:space="0"/>
              <w:right w:val="single" w:color="auto" w:sz="2" w:space="0"/>
            </w:tcBorders>
            <w:noWrap w:val="0"/>
            <w:vAlign w:val="center"/>
          </w:tcPr>
          <w:p w14:paraId="726E979C">
            <w:pPr>
              <w:adjustRightInd w:val="0"/>
              <w:snapToGrid w:val="0"/>
              <w:rPr>
                <w:rFonts w:hint="eastAsia" w:ascii="宋体" w:hAnsi="宋体"/>
                <w:sz w:val="21"/>
                <w:szCs w:val="21"/>
                <w:highlight w:val="none"/>
              </w:rPr>
            </w:pPr>
            <w:r>
              <w:rPr>
                <w:rFonts w:hint="eastAsia" w:ascii="宋体" w:hAnsi="宋体"/>
                <w:sz w:val="21"/>
                <w:szCs w:val="21"/>
                <w:highlight w:val="none"/>
              </w:rPr>
              <w:t>解决争议的方法</w:t>
            </w:r>
          </w:p>
        </w:tc>
        <w:tc>
          <w:tcPr>
            <w:tcW w:w="4153" w:type="dxa"/>
            <w:tcBorders>
              <w:top w:val="single" w:color="auto" w:sz="2" w:space="0"/>
              <w:left w:val="single" w:color="auto" w:sz="2" w:space="0"/>
            </w:tcBorders>
            <w:noWrap w:val="0"/>
            <w:vAlign w:val="center"/>
          </w:tcPr>
          <w:p w14:paraId="59B5F4F0">
            <w:pPr>
              <w:autoSpaceDE w:val="0"/>
              <w:autoSpaceDN w:val="0"/>
              <w:adjustRightInd w:val="0"/>
              <w:snapToGrid w:val="0"/>
              <w:spacing w:line="400" w:lineRule="exact"/>
              <w:ind w:firstLine="420"/>
              <w:rPr>
                <w:rFonts w:hint="eastAsia" w:ascii="宋体" w:hAnsi="宋体" w:cs="宋体"/>
                <w:iCs/>
                <w:sz w:val="21"/>
                <w:szCs w:val="21"/>
                <w:highlight w:val="none"/>
              </w:rPr>
            </w:pPr>
            <w:r>
              <w:rPr>
                <w:rFonts w:hint="eastAsia" w:ascii="宋体" w:hAnsi="宋体" w:cs="宋体"/>
                <w:iCs/>
                <w:sz w:val="21"/>
                <w:szCs w:val="21"/>
                <w:highlight w:val="none"/>
              </w:rPr>
              <w:t>因本合同及合同有关事项发生的争议，按下列第</w:t>
            </w:r>
            <w:r>
              <w:rPr>
                <w:rFonts w:hint="eastAsia" w:ascii="宋体" w:hAnsi="宋体" w:cs="宋体"/>
                <w:iCs/>
                <w:sz w:val="21"/>
                <w:szCs w:val="21"/>
                <w:highlight w:val="none"/>
                <w:u w:val="single"/>
              </w:rPr>
              <w:t xml:space="preserve">   </w:t>
            </w:r>
            <w:r>
              <w:rPr>
                <w:rFonts w:hint="eastAsia" w:ascii="宋体" w:hAnsi="宋体" w:cs="宋体"/>
                <w:iCs/>
                <w:sz w:val="21"/>
                <w:szCs w:val="21"/>
                <w:highlight w:val="none"/>
              </w:rPr>
              <w:t>种方式解决：</w:t>
            </w:r>
          </w:p>
          <w:p w14:paraId="244E99EE">
            <w:pPr>
              <w:autoSpaceDE w:val="0"/>
              <w:autoSpaceDN w:val="0"/>
              <w:adjustRightInd w:val="0"/>
              <w:snapToGrid w:val="0"/>
              <w:spacing w:line="400" w:lineRule="exact"/>
              <w:ind w:firstLine="420"/>
              <w:rPr>
                <w:rFonts w:hint="eastAsia" w:ascii="宋体" w:hAnsi="宋体" w:cs="宋体"/>
                <w:iCs/>
                <w:sz w:val="21"/>
                <w:szCs w:val="21"/>
                <w:highlight w:val="none"/>
              </w:rPr>
            </w:pPr>
            <w:r>
              <w:rPr>
                <w:rFonts w:hint="eastAsia" w:ascii="宋体" w:hAnsi="宋体" w:cs="宋体"/>
                <w:iCs/>
                <w:sz w:val="21"/>
                <w:szCs w:val="21"/>
                <w:highlight w:val="none"/>
              </w:rPr>
              <w:t>（1）向</w:t>
            </w:r>
            <w:r>
              <w:rPr>
                <w:rFonts w:hint="eastAsia" w:ascii="宋体" w:hAnsi="宋体" w:cs="宋体"/>
                <w:iCs/>
                <w:sz w:val="21"/>
                <w:szCs w:val="21"/>
                <w:highlight w:val="none"/>
                <w:u w:val="single"/>
              </w:rPr>
              <w:t xml:space="preserve">                    </w:t>
            </w:r>
            <w:r>
              <w:rPr>
                <w:rFonts w:hint="eastAsia" w:ascii="宋体" w:hAnsi="宋体" w:cs="宋体"/>
                <w:iCs/>
                <w:sz w:val="21"/>
                <w:szCs w:val="21"/>
                <w:highlight w:val="none"/>
              </w:rPr>
              <w:t>仲裁委员会申请仲裁，仲裁地点为</w:t>
            </w:r>
            <w:r>
              <w:rPr>
                <w:rFonts w:hint="eastAsia" w:ascii="宋体" w:hAnsi="宋体" w:cs="宋体"/>
                <w:iCs/>
                <w:sz w:val="21"/>
                <w:szCs w:val="21"/>
                <w:highlight w:val="none"/>
                <w:u w:val="single"/>
              </w:rPr>
              <w:t xml:space="preserve">           </w:t>
            </w:r>
            <w:r>
              <w:rPr>
                <w:rFonts w:hint="eastAsia" w:ascii="宋体" w:hAnsi="宋体" w:cs="宋体"/>
                <w:iCs/>
                <w:sz w:val="21"/>
                <w:szCs w:val="21"/>
                <w:highlight w:val="none"/>
              </w:rPr>
              <w:t>；</w:t>
            </w:r>
          </w:p>
          <w:p w14:paraId="46424344">
            <w:pPr>
              <w:adjustRightInd w:val="0"/>
              <w:snapToGrid w:val="0"/>
              <w:ind w:firstLine="420"/>
              <w:rPr>
                <w:rFonts w:hint="eastAsia" w:ascii="宋体" w:hAnsi="宋体"/>
                <w:sz w:val="21"/>
                <w:szCs w:val="21"/>
                <w:highlight w:val="none"/>
                <w:u w:val="single"/>
              </w:rPr>
            </w:pPr>
            <w:r>
              <w:rPr>
                <w:rFonts w:hint="eastAsia" w:ascii="宋体" w:hAnsi="宋体" w:cs="宋体"/>
                <w:iCs/>
                <w:sz w:val="21"/>
                <w:szCs w:val="21"/>
                <w:highlight w:val="none"/>
              </w:rPr>
              <w:t>（2）向</w:t>
            </w:r>
            <w:r>
              <w:rPr>
                <w:rFonts w:hint="eastAsia" w:ascii="宋体" w:hAnsi="宋体" w:cs="宋体"/>
                <w:iCs/>
                <w:sz w:val="21"/>
                <w:szCs w:val="21"/>
                <w:highlight w:val="none"/>
                <w:u w:val="single"/>
              </w:rPr>
              <w:t xml:space="preserve">                    </w:t>
            </w:r>
            <w:r>
              <w:rPr>
                <w:rFonts w:hint="eastAsia" w:ascii="宋体" w:hAnsi="宋体" w:cs="宋体"/>
                <w:iCs/>
                <w:sz w:val="21"/>
                <w:szCs w:val="21"/>
                <w:highlight w:val="none"/>
              </w:rPr>
              <w:t>人民法院起诉。</w:t>
            </w:r>
          </w:p>
        </w:tc>
      </w:tr>
      <w:tr w14:paraId="3F99FD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922" w:type="dxa"/>
            <w:noWrap w:val="0"/>
            <w:vAlign w:val="center"/>
          </w:tcPr>
          <w:p w14:paraId="6BBBD3CD">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第二节</w:t>
            </w:r>
          </w:p>
          <w:p w14:paraId="4E9B044F">
            <w:pPr>
              <w:adjustRightInd w:val="0"/>
              <w:snapToGrid w:val="0"/>
              <w:ind w:firstLine="420"/>
              <w:jc w:val="center"/>
              <w:rPr>
                <w:rFonts w:hint="eastAsia" w:ascii="宋体" w:hAnsi="宋体"/>
                <w:sz w:val="21"/>
                <w:szCs w:val="21"/>
                <w:highlight w:val="none"/>
              </w:rPr>
            </w:pPr>
            <w:r>
              <w:rPr>
                <w:rFonts w:hint="eastAsia" w:ascii="宋体" w:hAnsi="宋体"/>
                <w:sz w:val="21"/>
                <w:szCs w:val="21"/>
                <w:highlight w:val="none"/>
              </w:rPr>
              <w:t>第23.1款</w:t>
            </w:r>
          </w:p>
        </w:tc>
        <w:tc>
          <w:tcPr>
            <w:tcW w:w="2444" w:type="dxa"/>
            <w:noWrap w:val="0"/>
            <w:vAlign w:val="center"/>
          </w:tcPr>
          <w:p w14:paraId="772BC818">
            <w:pPr>
              <w:adjustRightInd w:val="0"/>
              <w:snapToGrid w:val="0"/>
              <w:rPr>
                <w:rFonts w:hint="eastAsia" w:ascii="宋体" w:hAnsi="宋体"/>
                <w:sz w:val="21"/>
                <w:szCs w:val="21"/>
                <w:highlight w:val="none"/>
              </w:rPr>
            </w:pPr>
            <w:r>
              <w:rPr>
                <w:rFonts w:hint="eastAsia" w:ascii="宋体" w:hAnsi="宋体"/>
                <w:bCs/>
                <w:sz w:val="21"/>
                <w:szCs w:val="21"/>
                <w:highlight w:val="none"/>
              </w:rPr>
              <w:t>其他专用条款</w:t>
            </w:r>
          </w:p>
        </w:tc>
        <w:tc>
          <w:tcPr>
            <w:tcW w:w="4153" w:type="dxa"/>
            <w:noWrap w:val="0"/>
            <w:vAlign w:val="center"/>
          </w:tcPr>
          <w:p w14:paraId="7DADD531">
            <w:pPr>
              <w:adjustRightInd w:val="0"/>
              <w:snapToGrid w:val="0"/>
              <w:ind w:firstLine="420"/>
              <w:rPr>
                <w:rFonts w:hint="eastAsia" w:ascii="宋体" w:hAnsi="宋体"/>
                <w:sz w:val="21"/>
                <w:szCs w:val="21"/>
                <w:highlight w:val="none"/>
              </w:rPr>
            </w:pPr>
          </w:p>
        </w:tc>
      </w:tr>
    </w:tbl>
    <w:p w14:paraId="72076258">
      <w:pPr>
        <w:spacing w:line="288" w:lineRule="auto"/>
        <w:rPr>
          <w:rFonts w:hint="eastAsia" w:ascii="宋体" w:hAnsi="宋体" w:cs="宋体"/>
          <w:b/>
          <w:kern w:val="44"/>
          <w:sz w:val="21"/>
          <w:szCs w:val="21"/>
          <w:highlight w:val="none"/>
        </w:rPr>
      </w:pPr>
    </w:p>
    <w:p w14:paraId="07FD8C1C">
      <w:pPr>
        <w:spacing w:line="288" w:lineRule="auto"/>
        <w:rPr>
          <w:rFonts w:hint="eastAsia" w:ascii="宋体" w:hAnsi="宋体" w:cs="宋体"/>
          <w:b/>
          <w:kern w:val="44"/>
          <w:sz w:val="21"/>
          <w:szCs w:val="21"/>
          <w:highlight w:val="none"/>
        </w:rPr>
      </w:pPr>
    </w:p>
    <w:p w14:paraId="725CACC0">
      <w:pPr>
        <w:pStyle w:val="35"/>
        <w:rPr>
          <w:rFonts w:hint="eastAsia"/>
          <w:highlight w:val="none"/>
        </w:rPr>
      </w:pPr>
    </w:p>
    <w:p w14:paraId="28071CCB">
      <w:pPr>
        <w:spacing w:line="288" w:lineRule="auto"/>
        <w:rPr>
          <w:rFonts w:ascii="宋体" w:hAnsi="宋体" w:cs="宋体"/>
          <w:b/>
          <w:kern w:val="44"/>
          <w:sz w:val="21"/>
          <w:szCs w:val="21"/>
          <w:highlight w:val="none"/>
        </w:rPr>
      </w:pPr>
      <w:r>
        <w:rPr>
          <w:rFonts w:hint="eastAsia" w:ascii="宋体" w:hAnsi="宋体" w:cs="宋体"/>
          <w:b/>
          <w:kern w:val="44"/>
          <w:sz w:val="21"/>
          <w:szCs w:val="21"/>
          <w:highlight w:val="none"/>
        </w:rPr>
        <w:t>注：此合同为参考模板，具体以双方实际签订为准。</w:t>
      </w:r>
    </w:p>
    <w:p w14:paraId="1E0658E3">
      <w:pPr>
        <w:pStyle w:val="2"/>
        <w:wordWrap w:val="0"/>
        <w:spacing w:line="360" w:lineRule="auto"/>
        <w:ind w:left="0"/>
        <w:rPr>
          <w:rFonts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08AA0E68">
      <w:pPr>
        <w:pStyle w:val="2"/>
        <w:wordWrap w:val="0"/>
        <w:spacing w:line="360" w:lineRule="auto"/>
        <w:ind w:left="0"/>
        <w:rPr>
          <w:rFonts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3C314426">
      <w:pPr>
        <w:pStyle w:val="2"/>
        <w:wordWrap w:val="0"/>
        <w:spacing w:line="360" w:lineRule="auto"/>
        <w:ind w:left="0"/>
        <w:rPr>
          <w:rFonts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25C089DE">
      <w:pPr>
        <w:widowControl/>
        <w:rPr>
          <w:rFonts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asciiTheme="minorEastAsia" w:hAnsiTheme="minorEastAsia" w:eastAsiaTheme="minorEastAsia" w:cstheme="minorEastAsia"/>
          <w:color w:val="000000" w:themeColor="text1"/>
          <w:sz w:val="21"/>
          <w:szCs w:val="21"/>
          <w:highlight w:val="none"/>
          <w:lang w:eastAsia="zh-CN"/>
          <w14:textFill>
            <w14:solidFill>
              <w14:schemeClr w14:val="tx1"/>
            </w14:solidFill>
          </w14:textFill>
        </w:rPr>
        <w:br w:type="page"/>
      </w:r>
    </w:p>
    <w:bookmarkEnd w:id="130"/>
    <w:p w14:paraId="4A8931DF">
      <w:pPr>
        <w:pStyle w:val="2"/>
        <w:wordWrap w:val="0"/>
        <w:spacing w:after="240" w:afterLines="100" w:line="240" w:lineRule="auto"/>
        <w:ind w:left="0"/>
        <w:rPr>
          <w:rFonts w:asciiTheme="minorEastAsia" w:hAnsiTheme="minorEastAsia" w:eastAsiaTheme="minorEastAsia" w:cstheme="minorEastAsia"/>
          <w:color w:val="000000" w:themeColor="text1"/>
          <w:sz w:val="32"/>
          <w:szCs w:val="32"/>
          <w:highlight w:val="none"/>
          <w:lang w:eastAsia="zh-CN"/>
          <w14:textFill>
            <w14:solidFill>
              <w14:schemeClr w14:val="tx1"/>
            </w14:solidFill>
          </w14:textFill>
        </w:rPr>
      </w:pPr>
      <w:bookmarkStart w:id="135" w:name="_Toc4851"/>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第五章  采购需求</w:t>
      </w:r>
      <w:bookmarkEnd w:id="135"/>
    </w:p>
    <w:p w14:paraId="62C4EB9D">
      <w:pPr>
        <w:pStyle w:val="24"/>
        <w:tabs>
          <w:tab w:val="left" w:pos="738"/>
        </w:tabs>
        <w:ind w:left="0" w:firstLine="0"/>
        <w:jc w:val="left"/>
        <w:outlineLvl w:val="9"/>
        <w:rPr>
          <w:rFonts w:hint="eastAsia" w:asciiTheme="majorEastAsia" w:hAnsiTheme="majorEastAsia" w:eastAsiaTheme="majorEastAsia"/>
          <w:color w:val="000000"/>
          <w:sz w:val="21"/>
          <w:szCs w:val="21"/>
          <w:highlight w:val="none"/>
          <w:lang w:eastAsia="zh-CN"/>
        </w:rPr>
      </w:pPr>
      <w:r>
        <w:rPr>
          <w:rFonts w:hint="eastAsia" w:asciiTheme="majorEastAsia" w:hAnsiTheme="majorEastAsia" w:eastAsiaTheme="majorEastAsia"/>
          <w:color w:val="000000"/>
          <w:sz w:val="21"/>
          <w:szCs w:val="21"/>
          <w:highlight w:val="none"/>
        </w:rPr>
        <w:t>一、</w:t>
      </w:r>
      <w:r>
        <w:rPr>
          <w:rFonts w:hint="eastAsia" w:cs="宋体" w:asciiTheme="majorEastAsia" w:hAnsiTheme="majorEastAsia" w:eastAsiaTheme="majorEastAsia"/>
          <w:sz w:val="21"/>
          <w:szCs w:val="21"/>
          <w:highlight w:val="none"/>
        </w:rPr>
        <w:t>“国球两进”乒乓球台</w:t>
      </w:r>
      <w:r>
        <w:rPr>
          <w:rFonts w:hint="eastAsia" w:asciiTheme="majorEastAsia" w:hAnsiTheme="majorEastAsia" w:eastAsiaTheme="majorEastAsia"/>
          <w:color w:val="000000"/>
          <w:sz w:val="21"/>
          <w:szCs w:val="21"/>
          <w:highlight w:val="none"/>
        </w:rPr>
        <w:t>采购产品清单</w:t>
      </w:r>
      <w:r>
        <w:rPr>
          <w:rFonts w:hint="eastAsia" w:asciiTheme="majorEastAsia" w:hAnsiTheme="majorEastAsia" w:eastAsiaTheme="majorEastAsia"/>
          <w:color w:val="000000"/>
          <w:sz w:val="21"/>
          <w:szCs w:val="21"/>
          <w:highlight w:val="none"/>
          <w:lang w:eastAsia="zh-CN"/>
        </w:rPr>
        <w:t>（</w:t>
      </w:r>
      <w:r>
        <w:rPr>
          <w:rFonts w:hint="eastAsia" w:asciiTheme="majorEastAsia" w:hAnsiTheme="majorEastAsia" w:eastAsiaTheme="majorEastAsia"/>
          <w:color w:val="000000"/>
          <w:sz w:val="21"/>
          <w:szCs w:val="21"/>
          <w:highlight w:val="none"/>
          <w:lang w:val="en-US" w:eastAsia="zh-CN"/>
        </w:rPr>
        <w:t>50套</w:t>
      </w:r>
      <w:r>
        <w:rPr>
          <w:rFonts w:hint="eastAsia" w:asciiTheme="majorEastAsia" w:hAnsiTheme="majorEastAsia" w:eastAsiaTheme="majorEastAsia"/>
          <w:color w:val="000000"/>
          <w:sz w:val="21"/>
          <w:szCs w:val="21"/>
          <w:highlight w:val="none"/>
          <w:lang w:eastAsia="zh-CN"/>
        </w:rPr>
        <w:t>）</w:t>
      </w:r>
    </w:p>
    <w:tbl>
      <w:tblPr>
        <w:tblStyle w:val="27"/>
        <w:tblW w:w="9760" w:type="dxa"/>
        <w:jc w:val="center"/>
        <w:tblLayout w:type="fixed"/>
        <w:tblCellMar>
          <w:top w:w="0" w:type="dxa"/>
          <w:left w:w="108" w:type="dxa"/>
          <w:bottom w:w="0" w:type="dxa"/>
          <w:right w:w="108" w:type="dxa"/>
        </w:tblCellMar>
      </w:tblPr>
      <w:tblGrid>
        <w:gridCol w:w="1000"/>
        <w:gridCol w:w="3543"/>
        <w:gridCol w:w="1488"/>
        <w:gridCol w:w="1489"/>
        <w:gridCol w:w="2240"/>
      </w:tblGrid>
      <w:tr w14:paraId="02641A4A">
        <w:tblPrEx>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cBorders>
            <w:shd w:val="clear" w:color="000000" w:fill="BFBFBF"/>
            <w:noWrap/>
            <w:vAlign w:val="center"/>
          </w:tcPr>
          <w:p w14:paraId="3978D6D7">
            <w:pPr>
              <w:jc w:val="center"/>
              <w:rPr>
                <w:rFonts w:cs="宋体" w:asciiTheme="majorEastAsia" w:hAnsiTheme="majorEastAsia" w:eastAsiaTheme="majorEastAsia"/>
                <w:b/>
                <w:bCs/>
                <w:color w:val="000000"/>
                <w:sz w:val="21"/>
                <w:szCs w:val="21"/>
                <w:highlight w:val="none"/>
              </w:rPr>
            </w:pPr>
            <w:r>
              <w:rPr>
                <w:rFonts w:hint="eastAsia" w:cs="宋体" w:asciiTheme="majorEastAsia" w:hAnsiTheme="majorEastAsia" w:eastAsiaTheme="majorEastAsia"/>
                <w:b/>
                <w:bCs/>
                <w:color w:val="000000"/>
                <w:sz w:val="21"/>
                <w:szCs w:val="21"/>
                <w:highlight w:val="none"/>
              </w:rPr>
              <w:t>序号</w:t>
            </w:r>
          </w:p>
        </w:tc>
        <w:tc>
          <w:tcPr>
            <w:tcW w:w="3543" w:type="dxa"/>
            <w:tcBorders>
              <w:top w:val="single" w:color="auto" w:sz="4" w:space="0"/>
              <w:left w:val="nil"/>
              <w:bottom w:val="single" w:color="auto" w:sz="4" w:space="0"/>
              <w:right w:val="single" w:color="auto" w:sz="4" w:space="0"/>
            </w:tcBorders>
            <w:shd w:val="clear" w:color="000000" w:fill="BFBFBF"/>
            <w:noWrap/>
            <w:vAlign w:val="center"/>
          </w:tcPr>
          <w:p w14:paraId="76945E06">
            <w:pPr>
              <w:jc w:val="center"/>
              <w:rPr>
                <w:rFonts w:cs="宋体" w:asciiTheme="majorEastAsia" w:hAnsiTheme="majorEastAsia" w:eastAsiaTheme="majorEastAsia"/>
                <w:b/>
                <w:bCs/>
                <w:color w:val="000000"/>
                <w:sz w:val="21"/>
                <w:szCs w:val="21"/>
                <w:highlight w:val="none"/>
              </w:rPr>
            </w:pPr>
            <w:r>
              <w:rPr>
                <w:rFonts w:hint="eastAsia" w:cs="宋体" w:asciiTheme="majorEastAsia" w:hAnsiTheme="majorEastAsia" w:eastAsiaTheme="majorEastAsia"/>
                <w:b/>
                <w:bCs/>
                <w:color w:val="000000"/>
                <w:sz w:val="21"/>
                <w:szCs w:val="21"/>
                <w:highlight w:val="none"/>
              </w:rPr>
              <w:t>配置产品清单</w:t>
            </w:r>
          </w:p>
        </w:tc>
        <w:tc>
          <w:tcPr>
            <w:tcW w:w="1488" w:type="dxa"/>
            <w:tcBorders>
              <w:top w:val="single" w:color="auto" w:sz="4" w:space="0"/>
              <w:left w:val="nil"/>
              <w:bottom w:val="single" w:color="auto" w:sz="4" w:space="0"/>
              <w:right w:val="single" w:color="auto" w:sz="4" w:space="0"/>
            </w:tcBorders>
            <w:shd w:val="clear" w:color="000000" w:fill="BFBFBF"/>
            <w:noWrap/>
            <w:vAlign w:val="center"/>
          </w:tcPr>
          <w:p w14:paraId="3437DA92">
            <w:pPr>
              <w:jc w:val="center"/>
              <w:rPr>
                <w:rFonts w:cs="宋体" w:asciiTheme="majorEastAsia" w:hAnsiTheme="majorEastAsia" w:eastAsiaTheme="majorEastAsia"/>
                <w:b/>
                <w:bCs/>
                <w:color w:val="000000"/>
                <w:sz w:val="21"/>
                <w:szCs w:val="21"/>
                <w:highlight w:val="none"/>
              </w:rPr>
            </w:pPr>
            <w:r>
              <w:rPr>
                <w:rFonts w:hint="eastAsia" w:cs="宋体" w:asciiTheme="majorEastAsia" w:hAnsiTheme="majorEastAsia" w:eastAsiaTheme="majorEastAsia"/>
                <w:b/>
                <w:bCs/>
                <w:color w:val="000000"/>
                <w:sz w:val="21"/>
                <w:szCs w:val="21"/>
                <w:highlight w:val="none"/>
              </w:rPr>
              <w:t>数量</w:t>
            </w:r>
          </w:p>
        </w:tc>
        <w:tc>
          <w:tcPr>
            <w:tcW w:w="1489" w:type="dxa"/>
            <w:tcBorders>
              <w:top w:val="single" w:color="auto" w:sz="4" w:space="0"/>
              <w:left w:val="nil"/>
              <w:bottom w:val="single" w:color="auto" w:sz="4" w:space="0"/>
              <w:right w:val="single" w:color="auto" w:sz="4" w:space="0"/>
            </w:tcBorders>
            <w:shd w:val="clear" w:color="000000" w:fill="BFBFBF"/>
            <w:noWrap/>
            <w:vAlign w:val="center"/>
          </w:tcPr>
          <w:p w14:paraId="2591B805">
            <w:pPr>
              <w:jc w:val="center"/>
              <w:rPr>
                <w:rFonts w:cs="宋体" w:asciiTheme="majorEastAsia" w:hAnsiTheme="majorEastAsia" w:eastAsiaTheme="majorEastAsia"/>
                <w:b/>
                <w:bCs/>
                <w:color w:val="000000"/>
                <w:sz w:val="21"/>
                <w:szCs w:val="21"/>
                <w:highlight w:val="none"/>
              </w:rPr>
            </w:pPr>
            <w:r>
              <w:rPr>
                <w:rFonts w:hint="eastAsia" w:cs="宋体" w:asciiTheme="majorEastAsia" w:hAnsiTheme="majorEastAsia" w:eastAsiaTheme="majorEastAsia"/>
                <w:b/>
                <w:bCs/>
                <w:color w:val="000000"/>
                <w:sz w:val="21"/>
                <w:szCs w:val="21"/>
                <w:highlight w:val="none"/>
              </w:rPr>
              <w:t>单位</w:t>
            </w:r>
          </w:p>
        </w:tc>
        <w:tc>
          <w:tcPr>
            <w:tcW w:w="2240" w:type="dxa"/>
            <w:tcBorders>
              <w:top w:val="single" w:color="auto" w:sz="4" w:space="0"/>
              <w:left w:val="nil"/>
              <w:bottom w:val="single" w:color="auto" w:sz="4" w:space="0"/>
              <w:right w:val="single" w:color="auto" w:sz="4" w:space="0"/>
            </w:tcBorders>
            <w:shd w:val="clear" w:color="000000" w:fill="BFBFBF"/>
            <w:vAlign w:val="center"/>
          </w:tcPr>
          <w:p w14:paraId="7EE4A82D">
            <w:pPr>
              <w:jc w:val="center"/>
              <w:rPr>
                <w:rFonts w:cs="宋体" w:asciiTheme="majorEastAsia" w:hAnsiTheme="majorEastAsia" w:eastAsiaTheme="majorEastAsia"/>
                <w:b/>
                <w:bCs/>
                <w:color w:val="000000"/>
                <w:sz w:val="21"/>
                <w:szCs w:val="21"/>
                <w:highlight w:val="none"/>
              </w:rPr>
            </w:pPr>
            <w:r>
              <w:rPr>
                <w:rFonts w:hint="eastAsia" w:cs="宋体" w:asciiTheme="majorEastAsia" w:hAnsiTheme="majorEastAsia" w:eastAsiaTheme="majorEastAsia"/>
                <w:b/>
                <w:bCs/>
                <w:color w:val="000000"/>
                <w:sz w:val="21"/>
                <w:szCs w:val="21"/>
                <w:highlight w:val="none"/>
              </w:rPr>
              <w:t>备注</w:t>
            </w:r>
          </w:p>
        </w:tc>
      </w:tr>
      <w:tr w14:paraId="60CD6A88">
        <w:tblPrEx>
          <w:tblCellMar>
            <w:top w:w="0" w:type="dxa"/>
            <w:left w:w="108" w:type="dxa"/>
            <w:bottom w:w="0" w:type="dxa"/>
            <w:right w:w="108" w:type="dxa"/>
          </w:tblCellMar>
        </w:tblPrEx>
        <w:trPr>
          <w:trHeight w:val="567" w:hRule="atLeast"/>
          <w:jc w:val="center"/>
        </w:trPr>
        <w:tc>
          <w:tcPr>
            <w:tcW w:w="1000" w:type="dxa"/>
            <w:tcBorders>
              <w:top w:val="nil"/>
              <w:left w:val="single" w:color="auto" w:sz="4" w:space="0"/>
              <w:bottom w:val="single" w:color="auto" w:sz="4" w:space="0"/>
              <w:right w:val="single" w:color="auto" w:sz="4" w:space="0"/>
            </w:tcBorders>
            <w:noWrap/>
            <w:vAlign w:val="center"/>
          </w:tcPr>
          <w:p w14:paraId="4DBA92ED">
            <w:pPr>
              <w:jc w:val="center"/>
              <w:rPr>
                <w:rFonts w:cs="宋体" w:asciiTheme="majorEastAsia" w:hAnsiTheme="majorEastAsia" w:eastAsiaTheme="majorEastAsia"/>
                <w:color w:val="000000"/>
                <w:sz w:val="21"/>
                <w:szCs w:val="21"/>
                <w:highlight w:val="none"/>
              </w:rPr>
            </w:pPr>
            <w:r>
              <w:rPr>
                <w:rFonts w:hint="eastAsia" w:cs="宋体" w:asciiTheme="majorEastAsia" w:hAnsiTheme="majorEastAsia" w:eastAsiaTheme="majorEastAsia"/>
                <w:color w:val="000000"/>
                <w:sz w:val="21"/>
                <w:szCs w:val="21"/>
                <w:highlight w:val="none"/>
              </w:rPr>
              <w:t>1</w:t>
            </w:r>
          </w:p>
        </w:tc>
        <w:tc>
          <w:tcPr>
            <w:tcW w:w="3543" w:type="dxa"/>
            <w:tcBorders>
              <w:top w:val="nil"/>
              <w:left w:val="nil"/>
              <w:bottom w:val="single" w:color="auto" w:sz="4" w:space="0"/>
              <w:right w:val="single" w:color="auto" w:sz="4" w:space="0"/>
            </w:tcBorders>
            <w:vAlign w:val="center"/>
          </w:tcPr>
          <w:p w14:paraId="4544DCCB">
            <w:pPr>
              <w:jc w:val="center"/>
              <w:textAlignment w:val="center"/>
              <w:rPr>
                <w:rFonts w:cs="宋体" w:asciiTheme="majorEastAsia" w:hAnsiTheme="majorEastAsia" w:eastAsiaTheme="majorEastAsia"/>
                <w:color w:val="000000"/>
                <w:sz w:val="21"/>
                <w:szCs w:val="21"/>
                <w:highlight w:val="none"/>
              </w:rPr>
            </w:pPr>
            <w:r>
              <w:rPr>
                <w:rFonts w:hint="eastAsia" w:cs="宋体" w:asciiTheme="majorEastAsia" w:hAnsiTheme="majorEastAsia" w:eastAsiaTheme="majorEastAsia"/>
                <w:color w:val="000000"/>
                <w:sz w:val="21"/>
                <w:szCs w:val="21"/>
                <w:highlight w:val="none"/>
                <w:lang w:bidi="ar"/>
              </w:rPr>
              <w:t>室外乒乓球台</w:t>
            </w:r>
          </w:p>
        </w:tc>
        <w:tc>
          <w:tcPr>
            <w:tcW w:w="1488" w:type="dxa"/>
            <w:tcBorders>
              <w:top w:val="nil"/>
              <w:left w:val="nil"/>
              <w:bottom w:val="single" w:color="auto" w:sz="4" w:space="0"/>
              <w:right w:val="single" w:color="auto" w:sz="4" w:space="0"/>
            </w:tcBorders>
            <w:noWrap/>
            <w:vAlign w:val="center"/>
          </w:tcPr>
          <w:p w14:paraId="0F997C18">
            <w:pPr>
              <w:jc w:val="center"/>
              <w:rPr>
                <w:rFonts w:cs="宋体" w:asciiTheme="majorEastAsia" w:hAnsiTheme="majorEastAsia" w:eastAsiaTheme="majorEastAsia"/>
                <w:color w:val="000000"/>
                <w:sz w:val="21"/>
                <w:szCs w:val="21"/>
                <w:highlight w:val="none"/>
              </w:rPr>
            </w:pPr>
            <w:r>
              <w:rPr>
                <w:rFonts w:hint="eastAsia" w:cs="宋体" w:asciiTheme="majorEastAsia" w:hAnsiTheme="majorEastAsia" w:eastAsiaTheme="majorEastAsia"/>
                <w:color w:val="000000"/>
                <w:sz w:val="21"/>
                <w:szCs w:val="21"/>
                <w:highlight w:val="none"/>
              </w:rPr>
              <w:t>2</w:t>
            </w:r>
          </w:p>
        </w:tc>
        <w:tc>
          <w:tcPr>
            <w:tcW w:w="1489" w:type="dxa"/>
            <w:tcBorders>
              <w:top w:val="nil"/>
              <w:left w:val="nil"/>
              <w:bottom w:val="single" w:color="auto" w:sz="4" w:space="0"/>
              <w:right w:val="single" w:color="auto" w:sz="4" w:space="0"/>
            </w:tcBorders>
            <w:noWrap/>
            <w:vAlign w:val="center"/>
          </w:tcPr>
          <w:p w14:paraId="4E092FB2">
            <w:pPr>
              <w:jc w:val="center"/>
              <w:rPr>
                <w:rFonts w:hint="eastAsia" w:cs="宋体" w:asciiTheme="majorEastAsia" w:hAnsiTheme="majorEastAsia" w:eastAsiaTheme="majorEastAsia"/>
                <w:color w:val="000000"/>
                <w:sz w:val="21"/>
                <w:szCs w:val="21"/>
                <w:highlight w:val="none"/>
                <w:lang w:eastAsia="zh-CN"/>
              </w:rPr>
            </w:pPr>
            <w:r>
              <w:rPr>
                <w:rFonts w:hint="eastAsia" w:cs="宋体" w:asciiTheme="majorEastAsia" w:hAnsiTheme="majorEastAsia" w:eastAsiaTheme="majorEastAsia"/>
                <w:color w:val="000000"/>
                <w:sz w:val="21"/>
                <w:szCs w:val="21"/>
                <w:highlight w:val="none"/>
                <w:lang w:val="en-US" w:eastAsia="zh-CN"/>
              </w:rPr>
              <w:t>台</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6CF68D6A">
            <w:pPr>
              <w:jc w:val="center"/>
              <w:rPr>
                <w:rFonts w:cs="宋体" w:asciiTheme="majorEastAsia" w:hAnsiTheme="majorEastAsia" w:eastAsiaTheme="majorEastAsia"/>
                <w:color w:val="000000"/>
                <w:sz w:val="21"/>
                <w:szCs w:val="21"/>
                <w:highlight w:val="none"/>
              </w:rPr>
            </w:pPr>
            <w:r>
              <w:rPr>
                <w:rFonts w:hint="eastAsia" w:cs="楷体" w:asciiTheme="majorEastAsia" w:hAnsiTheme="majorEastAsia" w:eastAsiaTheme="majorEastAsia"/>
                <w:sz w:val="21"/>
                <w:szCs w:val="21"/>
                <w:highlight w:val="none"/>
              </w:rPr>
              <w:t>（单套器材清单）</w:t>
            </w:r>
          </w:p>
        </w:tc>
      </w:tr>
      <w:tr w14:paraId="036CD2F1">
        <w:tblPrEx>
          <w:tblCellMar>
            <w:top w:w="0" w:type="dxa"/>
            <w:left w:w="108" w:type="dxa"/>
            <w:bottom w:w="0" w:type="dxa"/>
            <w:right w:w="108" w:type="dxa"/>
          </w:tblCellMar>
        </w:tblPrEx>
        <w:trPr>
          <w:trHeight w:val="567" w:hRule="atLeast"/>
          <w:jc w:val="center"/>
        </w:trPr>
        <w:tc>
          <w:tcPr>
            <w:tcW w:w="1000" w:type="dxa"/>
            <w:tcBorders>
              <w:top w:val="nil"/>
              <w:left w:val="single" w:color="auto" w:sz="4" w:space="0"/>
              <w:bottom w:val="single" w:color="auto" w:sz="4" w:space="0"/>
              <w:right w:val="single" w:color="auto" w:sz="4" w:space="0"/>
            </w:tcBorders>
            <w:noWrap/>
            <w:vAlign w:val="center"/>
          </w:tcPr>
          <w:p w14:paraId="0F20F609">
            <w:pPr>
              <w:jc w:val="center"/>
              <w:rPr>
                <w:rFonts w:cs="宋体" w:asciiTheme="majorEastAsia" w:hAnsiTheme="majorEastAsia" w:eastAsiaTheme="majorEastAsia"/>
                <w:color w:val="000000"/>
                <w:sz w:val="21"/>
                <w:szCs w:val="21"/>
                <w:highlight w:val="none"/>
              </w:rPr>
            </w:pPr>
            <w:r>
              <w:rPr>
                <w:rFonts w:hint="eastAsia" w:cs="宋体" w:asciiTheme="majorEastAsia" w:hAnsiTheme="majorEastAsia" w:eastAsiaTheme="majorEastAsia"/>
                <w:color w:val="000000"/>
                <w:sz w:val="21"/>
                <w:szCs w:val="21"/>
                <w:highlight w:val="none"/>
              </w:rPr>
              <w:t>2</w:t>
            </w:r>
          </w:p>
        </w:tc>
        <w:tc>
          <w:tcPr>
            <w:tcW w:w="3543" w:type="dxa"/>
            <w:tcBorders>
              <w:top w:val="nil"/>
              <w:left w:val="nil"/>
              <w:bottom w:val="single" w:color="auto" w:sz="4" w:space="0"/>
              <w:right w:val="single" w:color="auto" w:sz="4" w:space="0"/>
            </w:tcBorders>
            <w:vAlign w:val="center"/>
          </w:tcPr>
          <w:p w14:paraId="682C3858">
            <w:pPr>
              <w:jc w:val="center"/>
              <w:textAlignment w:val="center"/>
              <w:rPr>
                <w:rFonts w:cs="仿宋" w:asciiTheme="majorEastAsia" w:hAnsiTheme="majorEastAsia" w:eastAsiaTheme="majorEastAsia"/>
                <w:sz w:val="21"/>
                <w:szCs w:val="21"/>
                <w:highlight w:val="none"/>
              </w:rPr>
            </w:pPr>
            <w:r>
              <w:rPr>
                <w:rFonts w:hint="eastAsia" w:cs="宋体" w:asciiTheme="majorEastAsia" w:hAnsiTheme="majorEastAsia" w:eastAsiaTheme="majorEastAsia"/>
                <w:color w:val="000000"/>
                <w:sz w:val="21"/>
                <w:szCs w:val="21"/>
                <w:highlight w:val="none"/>
                <w:lang w:bidi="ar"/>
              </w:rPr>
              <w:t>悬浮地板</w:t>
            </w:r>
          </w:p>
        </w:tc>
        <w:tc>
          <w:tcPr>
            <w:tcW w:w="1488" w:type="dxa"/>
            <w:tcBorders>
              <w:top w:val="nil"/>
              <w:left w:val="nil"/>
              <w:bottom w:val="single" w:color="auto" w:sz="4" w:space="0"/>
              <w:right w:val="single" w:color="auto" w:sz="4" w:space="0"/>
            </w:tcBorders>
            <w:noWrap/>
            <w:vAlign w:val="center"/>
          </w:tcPr>
          <w:p w14:paraId="185E73F6">
            <w:pPr>
              <w:jc w:val="center"/>
              <w:rPr>
                <w:rFonts w:cs="宋体" w:asciiTheme="majorEastAsia" w:hAnsiTheme="majorEastAsia" w:eastAsiaTheme="majorEastAsia"/>
                <w:color w:val="000000"/>
                <w:sz w:val="21"/>
                <w:szCs w:val="21"/>
                <w:highlight w:val="none"/>
              </w:rPr>
            </w:pPr>
            <w:r>
              <w:rPr>
                <w:rFonts w:hint="eastAsia" w:cs="宋体" w:asciiTheme="majorEastAsia" w:hAnsiTheme="majorEastAsia" w:eastAsiaTheme="majorEastAsia"/>
                <w:color w:val="000000"/>
                <w:sz w:val="21"/>
                <w:szCs w:val="21"/>
                <w:highlight w:val="none"/>
              </w:rPr>
              <w:t>60</w:t>
            </w:r>
          </w:p>
        </w:tc>
        <w:tc>
          <w:tcPr>
            <w:tcW w:w="1489" w:type="dxa"/>
            <w:tcBorders>
              <w:top w:val="nil"/>
              <w:left w:val="nil"/>
              <w:bottom w:val="single" w:color="auto" w:sz="4" w:space="0"/>
              <w:right w:val="single" w:color="auto" w:sz="4" w:space="0"/>
            </w:tcBorders>
            <w:noWrap/>
            <w:vAlign w:val="center"/>
          </w:tcPr>
          <w:p w14:paraId="55A1598C">
            <w:pPr>
              <w:jc w:val="center"/>
              <w:rPr>
                <w:rFonts w:cs="宋体" w:asciiTheme="majorEastAsia" w:hAnsiTheme="majorEastAsia" w:eastAsiaTheme="majorEastAsia"/>
                <w:color w:val="000000"/>
                <w:sz w:val="21"/>
                <w:szCs w:val="21"/>
                <w:highlight w:val="none"/>
              </w:rPr>
            </w:pPr>
            <w:r>
              <w:rPr>
                <w:rFonts w:hint="eastAsia" w:cs="宋体" w:asciiTheme="majorEastAsia" w:hAnsiTheme="majorEastAsia" w:eastAsiaTheme="majorEastAsia"/>
                <w:color w:val="000000"/>
                <w:sz w:val="21"/>
                <w:szCs w:val="21"/>
                <w:highlight w:val="none"/>
              </w:rPr>
              <w:t>平方米</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ED0D595">
            <w:pPr>
              <w:jc w:val="center"/>
              <w:rPr>
                <w:rFonts w:cs="楷体" w:asciiTheme="majorEastAsia" w:hAnsiTheme="majorEastAsia" w:eastAsiaTheme="majorEastAsia"/>
                <w:sz w:val="21"/>
                <w:szCs w:val="21"/>
                <w:highlight w:val="none"/>
              </w:rPr>
            </w:pPr>
          </w:p>
        </w:tc>
      </w:tr>
    </w:tbl>
    <w:p w14:paraId="69BF634E">
      <w:pPr>
        <w:pStyle w:val="24"/>
        <w:tabs>
          <w:tab w:val="left" w:pos="738"/>
        </w:tabs>
        <w:ind w:left="0" w:firstLine="0"/>
        <w:jc w:val="left"/>
        <w:outlineLvl w:val="9"/>
        <w:rPr>
          <w:rFonts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rPr>
        <w:t>二、技术参数要求</w:t>
      </w:r>
    </w:p>
    <w:tbl>
      <w:tblPr>
        <w:tblStyle w:val="27"/>
        <w:tblW w:w="9722" w:type="dxa"/>
        <w:jc w:val="center"/>
        <w:tblLayout w:type="fixed"/>
        <w:tblCellMar>
          <w:top w:w="0" w:type="dxa"/>
          <w:left w:w="108" w:type="dxa"/>
          <w:bottom w:w="0" w:type="dxa"/>
          <w:right w:w="108" w:type="dxa"/>
        </w:tblCellMar>
      </w:tblPr>
      <w:tblGrid>
        <w:gridCol w:w="981"/>
        <w:gridCol w:w="1587"/>
        <w:gridCol w:w="7154"/>
      </w:tblGrid>
      <w:tr w14:paraId="4593C63B">
        <w:tblPrEx>
          <w:tblCellMar>
            <w:top w:w="0" w:type="dxa"/>
            <w:left w:w="108" w:type="dxa"/>
            <w:bottom w:w="0" w:type="dxa"/>
            <w:right w:w="108" w:type="dxa"/>
          </w:tblCellMar>
        </w:tblPrEx>
        <w:trPr>
          <w:trHeight w:val="7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1C70">
            <w:pPr>
              <w:jc w:val="center"/>
              <w:textAlignment w:val="center"/>
              <w:rPr>
                <w:rFonts w:cs="宋体" w:asciiTheme="majorEastAsia" w:hAnsiTheme="majorEastAsia" w:eastAsiaTheme="majorEastAsia"/>
                <w:b/>
                <w:color w:val="000000"/>
                <w:sz w:val="21"/>
                <w:szCs w:val="21"/>
                <w:highlight w:val="none"/>
              </w:rPr>
            </w:pPr>
            <w:r>
              <w:rPr>
                <w:rFonts w:hint="eastAsia" w:cs="宋体" w:asciiTheme="majorEastAsia" w:hAnsiTheme="majorEastAsia" w:eastAsiaTheme="majorEastAsia"/>
                <w:b/>
                <w:color w:val="000000"/>
                <w:sz w:val="21"/>
                <w:szCs w:val="21"/>
                <w:highlight w:val="none"/>
                <w:lang w:bidi="ar"/>
              </w:rPr>
              <w:t>序号</w:t>
            </w:r>
          </w:p>
        </w:tc>
        <w:tc>
          <w:tcPr>
            <w:tcW w:w="158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F3C04A4">
            <w:pPr>
              <w:jc w:val="center"/>
              <w:textAlignment w:val="center"/>
              <w:rPr>
                <w:rFonts w:cs="宋体" w:asciiTheme="majorEastAsia" w:hAnsiTheme="majorEastAsia" w:eastAsiaTheme="majorEastAsia"/>
                <w:b/>
                <w:color w:val="000000"/>
                <w:sz w:val="21"/>
                <w:szCs w:val="21"/>
                <w:highlight w:val="none"/>
              </w:rPr>
            </w:pPr>
            <w:r>
              <w:rPr>
                <w:rFonts w:hint="eastAsia" w:cs="宋体" w:asciiTheme="majorEastAsia" w:hAnsiTheme="majorEastAsia" w:eastAsiaTheme="majorEastAsia"/>
                <w:b/>
                <w:color w:val="000000"/>
                <w:sz w:val="21"/>
                <w:szCs w:val="21"/>
                <w:highlight w:val="none"/>
                <w:lang w:bidi="ar"/>
              </w:rPr>
              <w:t>名称</w:t>
            </w:r>
          </w:p>
        </w:tc>
        <w:tc>
          <w:tcPr>
            <w:tcW w:w="7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51004">
            <w:pPr>
              <w:jc w:val="center"/>
              <w:textAlignment w:val="center"/>
              <w:rPr>
                <w:rFonts w:cs="宋体" w:asciiTheme="majorEastAsia" w:hAnsiTheme="majorEastAsia" w:eastAsiaTheme="majorEastAsia"/>
                <w:b/>
                <w:color w:val="000000"/>
                <w:sz w:val="21"/>
                <w:szCs w:val="21"/>
                <w:highlight w:val="none"/>
              </w:rPr>
            </w:pPr>
            <w:r>
              <w:rPr>
                <w:rFonts w:hint="eastAsia" w:asciiTheme="majorEastAsia" w:hAnsiTheme="majorEastAsia" w:eastAsiaTheme="majorEastAsia"/>
                <w:b/>
                <w:color w:val="000000"/>
                <w:sz w:val="21"/>
                <w:szCs w:val="21"/>
                <w:highlight w:val="none"/>
              </w:rPr>
              <w:t>技术参数</w:t>
            </w:r>
          </w:p>
        </w:tc>
      </w:tr>
      <w:tr w14:paraId="7D7751AF">
        <w:tblPrEx>
          <w:tblCellMar>
            <w:top w:w="0" w:type="dxa"/>
            <w:left w:w="108" w:type="dxa"/>
            <w:bottom w:w="0" w:type="dxa"/>
            <w:right w:w="108" w:type="dxa"/>
          </w:tblCellMar>
        </w:tblPrEx>
        <w:trPr>
          <w:trHeight w:val="502"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A97C">
            <w:pPr>
              <w:jc w:val="center"/>
              <w:rPr>
                <w:rFonts w:cs="宋体" w:asciiTheme="majorEastAsia" w:hAnsiTheme="majorEastAsia" w:eastAsiaTheme="majorEastAsia"/>
                <w:color w:val="000000"/>
                <w:sz w:val="21"/>
                <w:szCs w:val="21"/>
                <w:highlight w:val="none"/>
              </w:rPr>
            </w:pPr>
            <w:r>
              <w:rPr>
                <w:rFonts w:hint="eastAsia" w:cs="宋体" w:asciiTheme="majorEastAsia" w:hAnsiTheme="majorEastAsia" w:eastAsiaTheme="majorEastAsia"/>
                <w:color w:val="000000"/>
                <w:sz w:val="21"/>
                <w:szCs w:val="21"/>
                <w:highlight w:val="none"/>
              </w:rPr>
              <w:t>1</w:t>
            </w:r>
          </w:p>
        </w:tc>
        <w:tc>
          <w:tcPr>
            <w:tcW w:w="158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66DB3A6">
            <w:pPr>
              <w:jc w:val="center"/>
              <w:textAlignment w:val="center"/>
              <w:rPr>
                <w:rFonts w:cs="宋体" w:asciiTheme="majorEastAsia" w:hAnsiTheme="majorEastAsia" w:eastAsiaTheme="majorEastAsia"/>
                <w:color w:val="000000"/>
                <w:sz w:val="21"/>
                <w:szCs w:val="21"/>
                <w:highlight w:val="none"/>
              </w:rPr>
            </w:pPr>
            <w:r>
              <w:rPr>
                <w:rFonts w:hint="eastAsia" w:cs="宋体" w:asciiTheme="majorEastAsia" w:hAnsiTheme="majorEastAsia" w:eastAsiaTheme="majorEastAsia"/>
                <w:color w:val="000000"/>
                <w:sz w:val="21"/>
                <w:szCs w:val="21"/>
                <w:highlight w:val="none"/>
                <w:lang w:bidi="ar"/>
              </w:rPr>
              <w:t>室外乒乓球台</w:t>
            </w:r>
          </w:p>
        </w:tc>
        <w:tc>
          <w:tcPr>
            <w:tcW w:w="7154" w:type="dxa"/>
            <w:tcBorders>
              <w:top w:val="single" w:color="auto" w:sz="4" w:space="0"/>
              <w:left w:val="single" w:color="auto" w:sz="4" w:space="0"/>
              <w:bottom w:val="single" w:color="auto" w:sz="4" w:space="0"/>
              <w:right w:val="single" w:color="auto" w:sz="4" w:space="0"/>
            </w:tcBorders>
            <w:shd w:val="clear" w:color="auto" w:fill="auto"/>
            <w:vAlign w:val="center"/>
          </w:tcPr>
          <w:p w14:paraId="24B01513">
            <w:pPr>
              <w:textAlignment w:val="center"/>
              <w:rPr>
                <w:rFonts w:hint="default" w:cs="宋体" w:asciiTheme="majorEastAsia" w:hAnsiTheme="majorEastAsia" w:eastAsiaTheme="majorEastAsia"/>
                <w:color w:val="000000"/>
                <w:sz w:val="21"/>
                <w:szCs w:val="21"/>
                <w:highlight w:val="none"/>
                <w:lang w:val="en-US" w:eastAsia="zh-CN" w:bidi="ar"/>
              </w:rPr>
            </w:pPr>
            <w:r>
              <w:rPr>
                <w:rFonts w:hint="eastAsia" w:cs="宋体" w:asciiTheme="majorEastAsia" w:hAnsiTheme="majorEastAsia" w:eastAsiaTheme="majorEastAsia"/>
                <w:color w:val="000000"/>
                <w:sz w:val="21"/>
                <w:szCs w:val="21"/>
                <w:highlight w:val="none"/>
                <w:lang w:bidi="ar"/>
              </w:rPr>
              <w:t>2</w:t>
            </w:r>
            <w:r>
              <w:rPr>
                <w:rFonts w:hint="eastAsia" w:cs="宋体" w:asciiTheme="majorEastAsia" w:hAnsiTheme="majorEastAsia" w:eastAsiaTheme="majorEastAsia"/>
                <w:color w:val="000000"/>
                <w:sz w:val="21"/>
                <w:szCs w:val="21"/>
                <w:highlight w:val="none"/>
                <w:lang w:val="en-US" w:eastAsia="zh-CN" w:bidi="ar"/>
              </w:rPr>
              <w:t>台</w:t>
            </w:r>
            <w:r>
              <w:rPr>
                <w:rFonts w:hint="eastAsia" w:cs="宋体" w:asciiTheme="majorEastAsia" w:hAnsiTheme="majorEastAsia" w:eastAsiaTheme="majorEastAsia"/>
                <w:color w:val="000000"/>
                <w:sz w:val="21"/>
                <w:szCs w:val="21"/>
                <w:highlight w:val="none"/>
                <w:lang w:bidi="ar"/>
              </w:rPr>
              <w:br w:type="textWrapping"/>
            </w:r>
            <w:r>
              <w:rPr>
                <w:rFonts w:hint="eastAsia" w:cs="宋体" w:asciiTheme="majorEastAsia" w:hAnsiTheme="majorEastAsia" w:eastAsiaTheme="majorEastAsia"/>
                <w:color w:val="000000"/>
                <w:sz w:val="21"/>
                <w:szCs w:val="21"/>
                <w:highlight w:val="none"/>
                <w:lang w:bidi="ar"/>
              </w:rPr>
              <w:t>1.规格尺寸：2740mm×1572mm×914mm</w:t>
            </w:r>
            <w:r>
              <w:rPr>
                <w:rFonts w:hint="eastAsia" w:cs="宋体" w:asciiTheme="majorEastAsia" w:hAnsiTheme="majorEastAsia" w:eastAsiaTheme="majorEastAsia"/>
                <w:color w:val="000000"/>
                <w:sz w:val="21"/>
                <w:szCs w:val="21"/>
                <w:highlight w:val="none"/>
                <w:lang w:eastAsia="zh-CN" w:bidi="ar"/>
              </w:rPr>
              <w:t>（</w:t>
            </w:r>
            <w:r>
              <w:rPr>
                <w:rFonts w:hint="eastAsia" w:cs="宋体" w:asciiTheme="majorEastAsia" w:hAnsiTheme="majorEastAsia" w:eastAsiaTheme="majorEastAsia"/>
                <w:color w:val="000000"/>
                <w:sz w:val="21"/>
                <w:szCs w:val="21"/>
                <w:highlight w:val="none"/>
                <w:lang w:val="en-US" w:eastAsia="zh-CN" w:bidi="ar"/>
              </w:rPr>
              <w:t>含网高）</w:t>
            </w:r>
          </w:p>
          <w:p w14:paraId="3D8453E9">
            <w:pPr>
              <w:textAlignment w:val="center"/>
              <w:rPr>
                <w:rFonts w:hint="eastAsia" w:cs="宋体" w:asciiTheme="majorEastAsia" w:hAnsiTheme="majorEastAsia" w:eastAsiaTheme="majorEastAsia"/>
                <w:color w:val="000000"/>
                <w:sz w:val="21"/>
                <w:szCs w:val="21"/>
                <w:highlight w:val="none"/>
                <w:lang w:bidi="ar"/>
              </w:rPr>
            </w:pPr>
            <w:r>
              <w:rPr>
                <w:rFonts w:hint="eastAsia" w:cs="宋体" w:asciiTheme="majorEastAsia" w:hAnsiTheme="majorEastAsia" w:eastAsiaTheme="majorEastAsia"/>
                <w:color w:val="000000"/>
                <w:sz w:val="21"/>
                <w:szCs w:val="21"/>
                <w:highlight w:val="none"/>
                <w:lang w:bidi="ar"/>
              </w:rPr>
              <w:t>2.主要材质：SMC、钢</w:t>
            </w:r>
          </w:p>
          <w:p w14:paraId="33FD6F6C">
            <w:pPr>
              <w:textAlignment w:val="center"/>
              <w:rPr>
                <w:rFonts w:hint="eastAsia" w:cs="宋体" w:asciiTheme="majorEastAsia" w:hAnsiTheme="majorEastAsia" w:eastAsiaTheme="majorEastAsia"/>
                <w:color w:val="000000"/>
                <w:sz w:val="21"/>
                <w:szCs w:val="21"/>
                <w:highlight w:val="none"/>
                <w:lang w:bidi="ar"/>
              </w:rPr>
            </w:pPr>
            <w:r>
              <w:rPr>
                <w:rFonts w:hint="eastAsia" w:cs="宋体" w:asciiTheme="majorEastAsia" w:hAnsiTheme="majorEastAsia" w:eastAsiaTheme="majorEastAsia"/>
                <w:color w:val="000000"/>
                <w:sz w:val="21"/>
                <w:szCs w:val="21"/>
                <w:highlight w:val="none"/>
                <w:lang w:bidi="ar"/>
              </w:rPr>
              <w:t>3.产品特点：球台台面采用SMC材料(片状模压增强塑料)整体高温模压一次成型，球网板采用厚度为2mm的钢板,台面底部采用"井"网格加强筋结构，每半块板面支撑架为4纵4横支撑连接，台面水平度可调节</w:t>
            </w:r>
            <w:r>
              <w:rPr>
                <w:rFonts w:hint="eastAsia" w:cs="宋体" w:asciiTheme="majorEastAsia" w:hAnsiTheme="majorEastAsia" w:eastAsiaTheme="majorEastAsia"/>
                <w:color w:val="000000"/>
                <w:sz w:val="21"/>
                <w:szCs w:val="21"/>
                <w:highlight w:val="none"/>
                <w:lang w:eastAsia="zh-CN" w:bidi="ar"/>
              </w:rPr>
              <w:t>，</w:t>
            </w:r>
            <w:r>
              <w:rPr>
                <w:rFonts w:hint="eastAsia" w:cs="宋体" w:asciiTheme="majorEastAsia" w:hAnsiTheme="majorEastAsia" w:eastAsiaTheme="majorEastAsia"/>
                <w:color w:val="000000"/>
                <w:sz w:val="21"/>
                <w:szCs w:val="21"/>
                <w:highlight w:val="none"/>
                <w:lang w:bidi="ar"/>
              </w:rPr>
              <w:t>球台半张台面两对角线之差≤4mm；半张台面平面度≤5mm；端、边线宽度20mm；中线宽度3mm；中线对称度≤3mm；中线与网间距离≤50mm,中线与端线间距≤10mm；台面弹性为230mm～260mm。</w:t>
            </w:r>
          </w:p>
          <w:p w14:paraId="3D5CACAD">
            <w:pPr>
              <w:textAlignment w:val="center"/>
              <w:rPr>
                <w:rFonts w:hint="default" w:cs="宋体" w:asciiTheme="majorEastAsia" w:hAnsiTheme="majorEastAsia" w:eastAsiaTheme="majorEastAsia"/>
                <w:color w:val="000000"/>
                <w:sz w:val="21"/>
                <w:szCs w:val="21"/>
                <w:highlight w:val="none"/>
                <w:lang w:val="en-US" w:eastAsia="zh-CN" w:bidi="ar"/>
              </w:rPr>
            </w:pPr>
            <w:r>
              <w:rPr>
                <w:rFonts w:hint="eastAsia" w:cs="宋体" w:asciiTheme="majorEastAsia" w:hAnsiTheme="majorEastAsia" w:eastAsiaTheme="majorEastAsia"/>
                <w:color w:val="000000"/>
                <w:sz w:val="21"/>
                <w:szCs w:val="21"/>
                <w:highlight w:val="none"/>
                <w:lang w:bidi="ar"/>
              </w:rPr>
              <w:t>★</w:t>
            </w:r>
            <w:r>
              <w:rPr>
                <w:rFonts w:hint="eastAsia" w:cs="宋体" w:asciiTheme="majorEastAsia" w:hAnsiTheme="majorEastAsia" w:eastAsiaTheme="majorEastAsia"/>
                <w:color w:val="000000"/>
                <w:sz w:val="21"/>
                <w:szCs w:val="21"/>
                <w:highlight w:val="none"/>
                <w:lang w:val="en-US" w:eastAsia="zh-CN" w:bidi="ar"/>
              </w:rPr>
              <w:t>4.器材符合《室外健身器材的安全通用要求》（GB19272-2024）中的相关技术标准，需提供国家认可的第三方认证机构出具的产品认证证书及确认函，扫描件加盖公章。</w:t>
            </w:r>
          </w:p>
        </w:tc>
      </w:tr>
      <w:tr w14:paraId="62487A9E">
        <w:tblPrEx>
          <w:tblCellMar>
            <w:top w:w="0" w:type="dxa"/>
            <w:left w:w="108" w:type="dxa"/>
            <w:bottom w:w="0" w:type="dxa"/>
            <w:right w:w="108" w:type="dxa"/>
          </w:tblCellMar>
        </w:tblPrEx>
        <w:trPr>
          <w:trHeight w:val="502"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9323">
            <w:pPr>
              <w:jc w:val="center"/>
              <w:rPr>
                <w:rFonts w:cs="宋体" w:asciiTheme="majorEastAsia" w:hAnsiTheme="majorEastAsia" w:eastAsiaTheme="majorEastAsia"/>
                <w:color w:val="000000"/>
                <w:sz w:val="21"/>
                <w:szCs w:val="21"/>
                <w:highlight w:val="none"/>
                <w:lang w:bidi="ar"/>
              </w:rPr>
            </w:pPr>
            <w:r>
              <w:rPr>
                <w:rFonts w:hint="eastAsia" w:cs="宋体" w:asciiTheme="majorEastAsia" w:hAnsiTheme="majorEastAsia" w:eastAsiaTheme="majorEastAsia"/>
                <w:color w:val="000000"/>
                <w:sz w:val="21"/>
                <w:szCs w:val="21"/>
                <w:highlight w:val="none"/>
              </w:rPr>
              <w:t>2</w:t>
            </w:r>
          </w:p>
        </w:tc>
        <w:tc>
          <w:tcPr>
            <w:tcW w:w="158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79DB5E0">
            <w:pPr>
              <w:jc w:val="center"/>
              <w:textAlignment w:val="center"/>
              <w:rPr>
                <w:rFonts w:cs="宋体" w:asciiTheme="majorEastAsia" w:hAnsiTheme="majorEastAsia" w:eastAsiaTheme="majorEastAsia"/>
                <w:color w:val="000000"/>
                <w:sz w:val="21"/>
                <w:szCs w:val="21"/>
                <w:highlight w:val="none"/>
              </w:rPr>
            </w:pPr>
            <w:r>
              <w:rPr>
                <w:rFonts w:hint="eastAsia" w:ascii="宋体" w:hAnsi="宋体" w:eastAsia="宋体"/>
                <w:sz w:val="21"/>
                <w:szCs w:val="21"/>
                <w:highlight w:val="none"/>
              </w:rPr>
              <w:t>悬浮拼装运动地板</w:t>
            </w:r>
          </w:p>
        </w:tc>
        <w:tc>
          <w:tcPr>
            <w:tcW w:w="7154" w:type="dxa"/>
            <w:tcBorders>
              <w:top w:val="single" w:color="auto" w:sz="4" w:space="0"/>
              <w:left w:val="single" w:color="auto" w:sz="4" w:space="0"/>
              <w:bottom w:val="single" w:color="auto" w:sz="4" w:space="0"/>
              <w:right w:val="single" w:color="auto" w:sz="4" w:space="0"/>
            </w:tcBorders>
            <w:shd w:val="clear" w:color="auto" w:fill="auto"/>
            <w:vAlign w:val="center"/>
          </w:tcPr>
          <w:p w14:paraId="6D18C402">
            <w:pPr>
              <w:textAlignment w:val="center"/>
              <w:rPr>
                <w:rFonts w:hint="eastAsia" w:cs="宋体" w:asciiTheme="majorEastAsia" w:hAnsiTheme="majorEastAsia" w:eastAsiaTheme="majorEastAsia"/>
                <w:color w:val="000000"/>
                <w:sz w:val="21"/>
                <w:szCs w:val="21"/>
                <w:highlight w:val="none"/>
                <w:lang w:bidi="ar"/>
              </w:rPr>
            </w:pPr>
            <w:r>
              <w:rPr>
                <w:rFonts w:hint="eastAsia" w:cs="宋体" w:asciiTheme="majorEastAsia" w:hAnsiTheme="majorEastAsia" w:eastAsiaTheme="majorEastAsia"/>
                <w:color w:val="000000"/>
                <w:sz w:val="21"/>
                <w:szCs w:val="21"/>
                <w:highlight w:val="none"/>
                <w:lang w:bidi="ar"/>
              </w:rPr>
              <w:t>60m</w:t>
            </w:r>
          </w:p>
          <w:p w14:paraId="554756FA">
            <w:pPr>
              <w:rPr>
                <w:rFonts w:ascii="宋体" w:hAnsi="宋体" w:eastAsia="宋体"/>
                <w:sz w:val="21"/>
                <w:szCs w:val="21"/>
                <w:highlight w:val="none"/>
              </w:rPr>
            </w:pPr>
            <w:r>
              <w:rPr>
                <w:rFonts w:hint="eastAsia" w:ascii="宋体" w:hAnsi="宋体" w:eastAsia="宋体"/>
                <w:sz w:val="21"/>
                <w:szCs w:val="21"/>
                <w:highlight w:val="none"/>
              </w:rPr>
              <w:t>悬浮式拼装地板采用PP(聚丙烯)，无毒、无味、绿色环保。</w:t>
            </w:r>
          </w:p>
          <w:p w14:paraId="6AFB6D65">
            <w:pPr>
              <w:spacing w:line="276" w:lineRule="auto"/>
              <w:rPr>
                <w:rFonts w:ascii="宋体" w:hAnsi="宋体" w:eastAsia="宋体"/>
                <w:sz w:val="21"/>
                <w:szCs w:val="21"/>
                <w:highlight w:val="none"/>
              </w:rPr>
            </w:pPr>
            <w:r>
              <w:rPr>
                <w:rFonts w:ascii="宋体" w:hAnsi="宋体" w:eastAsia="宋体"/>
                <w:sz w:val="21"/>
                <w:szCs w:val="21"/>
                <w:highlight w:val="none"/>
              </w:rPr>
              <w:t>1.</w:t>
            </w:r>
            <w:r>
              <w:rPr>
                <w:rFonts w:hint="eastAsia" w:ascii="宋体" w:hAnsi="宋体" w:eastAsia="宋体"/>
                <w:sz w:val="21"/>
                <w:szCs w:val="21"/>
                <w:highlight w:val="none"/>
              </w:rPr>
              <w:t>规格：</w:t>
            </w:r>
            <w:r>
              <w:rPr>
                <w:rFonts w:ascii="宋体" w:hAnsi="宋体" w:eastAsia="宋体"/>
                <w:sz w:val="21"/>
                <w:szCs w:val="21"/>
                <w:highlight w:val="none"/>
              </w:rPr>
              <w:t>30*41cm</w:t>
            </w:r>
            <w:r>
              <w:rPr>
                <w:rFonts w:hint="eastAsia" w:ascii="宋体" w:hAnsi="宋体" w:eastAsia="宋体"/>
                <w:sz w:val="21"/>
                <w:szCs w:val="21"/>
                <w:highlight w:val="none"/>
              </w:rPr>
              <w:t>；厚度≥</w:t>
            </w:r>
            <w:r>
              <w:rPr>
                <w:rFonts w:ascii="宋体" w:hAnsi="宋体" w:eastAsia="宋体"/>
                <w:sz w:val="21"/>
                <w:szCs w:val="21"/>
                <w:highlight w:val="none"/>
              </w:rPr>
              <w:t>1.5</w:t>
            </w:r>
            <w:r>
              <w:rPr>
                <w:rFonts w:hint="eastAsia" w:ascii="宋体" w:hAnsi="宋体" w:eastAsia="宋体"/>
                <w:sz w:val="21"/>
                <w:szCs w:val="21"/>
                <w:highlight w:val="none"/>
              </w:rPr>
              <w:t>cm</w:t>
            </w:r>
          </w:p>
          <w:p w14:paraId="1F4B724F">
            <w:pPr>
              <w:spacing w:line="360" w:lineRule="auto"/>
              <w:rPr>
                <w:rFonts w:ascii="宋体" w:hAnsi="宋体" w:eastAsia="宋体"/>
                <w:sz w:val="21"/>
                <w:szCs w:val="21"/>
                <w:highlight w:val="none"/>
              </w:rPr>
            </w:pPr>
            <w:r>
              <w:rPr>
                <w:rFonts w:ascii="宋体" w:hAnsi="宋体" w:eastAsia="宋体"/>
                <w:sz w:val="21"/>
                <w:szCs w:val="21"/>
                <w:highlight w:val="none"/>
              </w:rPr>
              <w:t>2.</w:t>
            </w:r>
            <w:r>
              <w:rPr>
                <w:rFonts w:hint="eastAsia" w:ascii="宋体" w:hAnsi="宋体" w:eastAsia="宋体"/>
                <w:sz w:val="21"/>
                <w:szCs w:val="21"/>
                <w:highlight w:val="none"/>
              </w:rPr>
              <w:t>垂直变形：0.6-3.0mm</w:t>
            </w:r>
          </w:p>
          <w:p w14:paraId="013A527C">
            <w:pPr>
              <w:spacing w:line="276" w:lineRule="auto"/>
              <w:rPr>
                <w:rFonts w:ascii="宋体" w:hAnsi="宋体" w:eastAsia="宋体"/>
                <w:sz w:val="21"/>
                <w:szCs w:val="21"/>
                <w:highlight w:val="none"/>
              </w:rPr>
            </w:pPr>
            <w:r>
              <w:rPr>
                <w:rFonts w:ascii="宋体" w:hAnsi="宋体" w:eastAsia="宋体"/>
                <w:sz w:val="21"/>
                <w:szCs w:val="21"/>
                <w:highlight w:val="none"/>
              </w:rPr>
              <w:t>3.</w:t>
            </w:r>
            <w:r>
              <w:rPr>
                <w:rFonts w:hint="eastAsia" w:ascii="宋体" w:hAnsi="宋体" w:eastAsia="宋体"/>
                <w:sz w:val="21"/>
                <w:szCs w:val="21"/>
                <w:highlight w:val="none"/>
              </w:rPr>
              <w:t>抗滑值（20℃）：80-110BPN</w:t>
            </w:r>
          </w:p>
          <w:p w14:paraId="641312B7">
            <w:pPr>
              <w:spacing w:line="276" w:lineRule="auto"/>
              <w:rPr>
                <w:rFonts w:ascii="宋体" w:hAnsi="宋体" w:eastAsia="宋体"/>
                <w:sz w:val="21"/>
                <w:szCs w:val="21"/>
                <w:highlight w:val="none"/>
              </w:rPr>
            </w:pPr>
            <w:r>
              <w:rPr>
                <w:rFonts w:hint="eastAsia" w:ascii="宋体" w:hAnsi="宋体" w:eastAsia="宋体"/>
                <w:sz w:val="21"/>
                <w:szCs w:val="21"/>
                <w:highlight w:val="none"/>
              </w:rPr>
              <w:t>4</w:t>
            </w:r>
            <w:r>
              <w:rPr>
                <w:rFonts w:ascii="宋体" w:hAnsi="宋体" w:eastAsia="宋体"/>
                <w:sz w:val="21"/>
                <w:szCs w:val="21"/>
                <w:highlight w:val="none"/>
              </w:rPr>
              <w:t>.</w:t>
            </w:r>
            <w:r>
              <w:rPr>
                <w:rFonts w:hint="eastAsia" w:ascii="宋体" w:hAnsi="宋体" w:eastAsia="宋体"/>
                <w:sz w:val="21"/>
                <w:szCs w:val="21"/>
                <w:highlight w:val="none"/>
              </w:rPr>
              <w:t>拉伸强度：≥0.4MPa</w:t>
            </w:r>
          </w:p>
          <w:p w14:paraId="3DE45806">
            <w:pPr>
              <w:spacing w:line="276" w:lineRule="auto"/>
              <w:rPr>
                <w:rFonts w:ascii="宋体" w:hAnsi="宋体" w:eastAsia="宋体"/>
                <w:sz w:val="21"/>
                <w:szCs w:val="21"/>
                <w:highlight w:val="none"/>
              </w:rPr>
            </w:pPr>
            <w:r>
              <w:rPr>
                <w:rFonts w:ascii="宋体" w:hAnsi="宋体" w:eastAsia="宋体"/>
                <w:sz w:val="21"/>
                <w:szCs w:val="21"/>
                <w:highlight w:val="none"/>
              </w:rPr>
              <w:t>5.</w:t>
            </w:r>
            <w:r>
              <w:rPr>
                <w:rFonts w:hint="eastAsia" w:ascii="宋体" w:hAnsi="宋体" w:eastAsia="宋体"/>
                <w:sz w:val="21"/>
                <w:szCs w:val="21"/>
                <w:highlight w:val="none"/>
              </w:rPr>
              <w:t>苯并[a]芘≤1.0mg /kg</w:t>
            </w:r>
          </w:p>
          <w:p w14:paraId="132F6F0A">
            <w:pPr>
              <w:spacing w:line="276" w:lineRule="auto"/>
              <w:rPr>
                <w:rFonts w:ascii="宋体" w:hAnsi="宋体" w:eastAsia="宋体"/>
                <w:sz w:val="21"/>
                <w:szCs w:val="21"/>
                <w:highlight w:val="none"/>
              </w:rPr>
            </w:pPr>
            <w:r>
              <w:rPr>
                <w:rFonts w:ascii="宋体" w:hAnsi="宋体" w:eastAsia="宋体"/>
                <w:sz w:val="21"/>
                <w:szCs w:val="21"/>
                <w:highlight w:val="none"/>
              </w:rPr>
              <w:t>6.</w:t>
            </w:r>
            <w:r>
              <w:rPr>
                <w:rFonts w:hint="eastAsia" w:ascii="宋体" w:hAnsi="宋体" w:eastAsia="宋体"/>
                <w:sz w:val="21"/>
                <w:szCs w:val="21"/>
                <w:highlight w:val="none"/>
              </w:rPr>
              <w:t xml:space="preserve">甲苯、二甲苯和乙苯总和：≤1.0mg/(m².h) </w:t>
            </w:r>
          </w:p>
          <w:p w14:paraId="0EDA3F3F">
            <w:pPr>
              <w:spacing w:line="276" w:lineRule="auto"/>
              <w:rPr>
                <w:rFonts w:ascii="宋体" w:hAnsi="宋体" w:eastAsia="宋体"/>
                <w:bCs/>
                <w:sz w:val="21"/>
                <w:szCs w:val="21"/>
                <w:highlight w:val="none"/>
              </w:rPr>
            </w:pPr>
            <w:r>
              <w:rPr>
                <w:rFonts w:ascii="宋体" w:hAnsi="宋体" w:eastAsia="宋体"/>
                <w:sz w:val="21"/>
                <w:szCs w:val="21"/>
                <w:highlight w:val="none"/>
              </w:rPr>
              <w:t>7.</w:t>
            </w:r>
            <w:r>
              <w:rPr>
                <w:rFonts w:hint="eastAsia" w:ascii="宋体" w:hAnsi="宋体" w:eastAsia="宋体"/>
                <w:sz w:val="21"/>
                <w:szCs w:val="21"/>
                <w:highlight w:val="none"/>
              </w:rPr>
              <w:t>可溶性镉含量：≤10mg/kg</w:t>
            </w:r>
            <w:r>
              <w:rPr>
                <w:rFonts w:ascii="宋体" w:hAnsi="宋体" w:eastAsia="宋体"/>
                <w:sz w:val="21"/>
                <w:szCs w:val="21"/>
                <w:highlight w:val="none"/>
              </w:rPr>
              <w:t xml:space="preserve"> </w:t>
            </w:r>
            <w:r>
              <w:rPr>
                <w:rFonts w:ascii="宋体" w:hAnsi="宋体" w:eastAsia="宋体"/>
                <w:sz w:val="21"/>
                <w:szCs w:val="21"/>
                <w:highlight w:val="none"/>
              </w:rPr>
              <w:cr/>
            </w:r>
            <w:r>
              <w:rPr>
                <w:rFonts w:hint="eastAsia" w:ascii="宋体" w:hAnsi="宋体" w:eastAsia="宋体"/>
                <w:bCs/>
                <w:sz w:val="21"/>
                <w:szCs w:val="21"/>
                <w:highlight w:val="none"/>
              </w:rPr>
              <w:t>★</w:t>
            </w:r>
            <w:r>
              <w:rPr>
                <w:rFonts w:ascii="宋体" w:hAnsi="宋体" w:eastAsia="宋体"/>
                <w:sz w:val="21"/>
                <w:szCs w:val="21"/>
                <w:highlight w:val="none"/>
              </w:rPr>
              <w:t>8</w:t>
            </w:r>
            <w:r>
              <w:rPr>
                <w:rFonts w:hint="eastAsia" w:ascii="宋体" w:hAnsi="宋体" w:eastAsia="宋体"/>
                <w:sz w:val="21"/>
                <w:szCs w:val="21"/>
                <w:highlight w:val="none"/>
              </w:rPr>
              <w:t>.悬浮拼装运动地板，经循环测试（湿热-冻融-氙灯-雨水浸泡）总时长不低于2000h后，检测周期不低于老化时长，灰卡等级4-5级；尺寸变化率≤0.4%，</w:t>
            </w:r>
            <w:r>
              <w:rPr>
                <w:rFonts w:ascii="宋体" w:hAnsi="宋体" w:eastAsia="宋体"/>
                <w:sz w:val="21"/>
                <w:szCs w:val="21"/>
                <w:highlight w:val="none"/>
              </w:rPr>
              <w:t>须</w:t>
            </w:r>
            <w:r>
              <w:rPr>
                <w:rFonts w:hint="eastAsia" w:ascii="宋体" w:hAnsi="宋体" w:eastAsia="宋体"/>
                <w:sz w:val="21"/>
                <w:szCs w:val="21"/>
                <w:highlight w:val="none"/>
              </w:rPr>
              <w:t>提供具有CMA和CNAS标识的对此项要求的单独测试合格检测报告原件扫描件</w:t>
            </w:r>
            <w:r>
              <w:rPr>
                <w:rFonts w:hint="eastAsia" w:ascii="宋体" w:hAnsi="宋体" w:eastAsia="宋体"/>
                <w:bCs/>
                <w:sz w:val="21"/>
                <w:szCs w:val="21"/>
                <w:highlight w:val="none"/>
              </w:rPr>
              <w:t>。</w:t>
            </w:r>
          </w:p>
          <w:p w14:paraId="06CF63F2">
            <w:pPr>
              <w:spacing w:line="276" w:lineRule="auto"/>
              <w:rPr>
                <w:rFonts w:ascii="宋体" w:hAnsi="宋体" w:eastAsia="宋体"/>
                <w:bCs/>
                <w:sz w:val="21"/>
                <w:szCs w:val="21"/>
                <w:highlight w:val="none"/>
              </w:rPr>
            </w:pPr>
            <w:r>
              <w:rPr>
                <w:rFonts w:hint="eastAsia" w:ascii="宋体" w:hAnsi="宋体" w:eastAsia="宋体"/>
                <w:bCs/>
                <w:sz w:val="21"/>
                <w:szCs w:val="21"/>
                <w:highlight w:val="none"/>
              </w:rPr>
              <w:t>★</w:t>
            </w:r>
            <w:r>
              <w:rPr>
                <w:rFonts w:ascii="宋体" w:hAnsi="宋体" w:eastAsia="宋体"/>
                <w:sz w:val="21"/>
                <w:szCs w:val="21"/>
                <w:highlight w:val="none"/>
              </w:rPr>
              <w:t>9.</w:t>
            </w:r>
            <w:r>
              <w:rPr>
                <w:rFonts w:hint="eastAsia" w:ascii="宋体" w:hAnsi="宋体" w:eastAsia="宋体"/>
                <w:sz w:val="21"/>
                <w:szCs w:val="21"/>
                <w:highlight w:val="none"/>
              </w:rPr>
              <w:t>悬浮拼装运动地板，经耐消毒水-中性洗涤剂循环试验不低于2000h后，检测周期不低于老化时长，灰卡等级4-5级；抗滑值依据GB36246-2018标准80-110，</w:t>
            </w:r>
            <w:r>
              <w:rPr>
                <w:rFonts w:ascii="宋体" w:hAnsi="宋体" w:eastAsia="宋体"/>
                <w:sz w:val="21"/>
                <w:szCs w:val="21"/>
                <w:highlight w:val="none"/>
              </w:rPr>
              <w:t>须</w:t>
            </w:r>
            <w:r>
              <w:rPr>
                <w:rFonts w:hint="eastAsia" w:ascii="宋体" w:hAnsi="宋体" w:eastAsia="宋体"/>
                <w:sz w:val="21"/>
                <w:szCs w:val="21"/>
                <w:highlight w:val="none"/>
              </w:rPr>
              <w:t>提供具有CMA和CNAS标识的对此项要求的单独测试合格检测报告原件扫描件</w:t>
            </w:r>
            <w:r>
              <w:rPr>
                <w:rFonts w:hint="eastAsia" w:ascii="宋体" w:hAnsi="宋体" w:eastAsia="宋体"/>
                <w:bCs/>
                <w:sz w:val="21"/>
                <w:szCs w:val="21"/>
                <w:highlight w:val="none"/>
              </w:rPr>
              <w:t>。</w:t>
            </w:r>
          </w:p>
          <w:p w14:paraId="675DF364">
            <w:pPr>
              <w:spacing w:line="276" w:lineRule="auto"/>
              <w:rPr>
                <w:rFonts w:hint="eastAsia" w:ascii="宋体" w:hAnsi="宋体" w:eastAsia="宋体"/>
                <w:b/>
                <w:sz w:val="21"/>
                <w:szCs w:val="21"/>
                <w:highlight w:val="none"/>
                <w:lang w:eastAsia="zh-CN"/>
              </w:rPr>
            </w:pPr>
            <w:r>
              <w:rPr>
                <w:rFonts w:hint="eastAsia" w:ascii="宋体" w:hAnsi="宋体" w:eastAsia="宋体"/>
                <w:sz w:val="21"/>
                <w:szCs w:val="21"/>
                <w:highlight w:val="none"/>
              </w:rPr>
              <w:t>1</w:t>
            </w:r>
            <w:r>
              <w:rPr>
                <w:rFonts w:hint="eastAsia" w:ascii="宋体" w:hAnsi="宋体" w:eastAsia="宋体"/>
                <w:sz w:val="21"/>
                <w:szCs w:val="21"/>
                <w:highlight w:val="none"/>
                <w:lang w:val="en-US" w:eastAsia="zh-CN"/>
              </w:rPr>
              <w:t>0</w:t>
            </w:r>
            <w:r>
              <w:rPr>
                <w:rFonts w:ascii="宋体" w:hAnsi="宋体" w:eastAsia="宋体"/>
                <w:sz w:val="21"/>
                <w:szCs w:val="21"/>
                <w:highlight w:val="none"/>
              </w:rPr>
              <w:t>.</w:t>
            </w:r>
            <w:r>
              <w:rPr>
                <w:rFonts w:hint="eastAsia" w:ascii="宋体" w:hAnsi="宋体" w:eastAsia="宋体"/>
                <w:sz w:val="21"/>
                <w:szCs w:val="21"/>
                <w:highlight w:val="none"/>
              </w:rPr>
              <w:t>悬浮拼装运动地板原料具有国家认可的检测机构出具的急性经皮毒性试验，急性全身毒性试验，急性经口毒性试验，急性眼刺激性腐蚀性试验后，测试无毒性或无刺激性的等不少于4种试验的CMA标识检测报告原件扫描件</w:t>
            </w:r>
            <w:r>
              <w:rPr>
                <w:rFonts w:hint="eastAsia" w:ascii="宋体" w:hAnsi="宋体" w:eastAsia="宋体"/>
                <w:sz w:val="21"/>
                <w:szCs w:val="21"/>
                <w:highlight w:val="none"/>
                <w:lang w:eastAsia="zh-CN"/>
              </w:rPr>
              <w:t>。</w:t>
            </w:r>
          </w:p>
          <w:p w14:paraId="726A3B37">
            <w:pPr>
              <w:spacing w:line="276" w:lineRule="auto"/>
              <w:rPr>
                <w:rFonts w:hint="eastAsia" w:ascii="宋体" w:hAnsi="宋体" w:eastAsia="宋体"/>
                <w:b/>
                <w:sz w:val="21"/>
                <w:szCs w:val="21"/>
                <w:highlight w:val="none"/>
                <w:lang w:eastAsia="zh-CN"/>
              </w:rPr>
            </w:pPr>
            <w:r>
              <w:rPr>
                <w:rFonts w:hint="eastAsia" w:ascii="宋体" w:hAnsi="宋体" w:eastAsia="宋体"/>
                <w:sz w:val="21"/>
                <w:szCs w:val="21"/>
                <w:highlight w:val="none"/>
                <w:lang w:val="en-US" w:eastAsia="zh-CN"/>
              </w:rPr>
              <w:t>11</w:t>
            </w:r>
            <w:r>
              <w:rPr>
                <w:rFonts w:ascii="宋体" w:hAnsi="宋体" w:eastAsia="宋体"/>
                <w:b/>
                <w:bCs/>
                <w:sz w:val="21"/>
                <w:szCs w:val="21"/>
                <w:highlight w:val="none"/>
              </w:rPr>
              <w:t>.</w:t>
            </w:r>
            <w:r>
              <w:rPr>
                <w:rFonts w:hint="eastAsia" w:ascii="宋体" w:hAnsi="宋体" w:eastAsia="宋体"/>
                <w:sz w:val="21"/>
                <w:szCs w:val="21"/>
                <w:highlight w:val="none"/>
              </w:rPr>
              <w:t>悬浮拼装运动地板耐老化性臭氧老化不低于10000h后，检测周期不低于老化时长，邵氏硬度≥70Shore A，须提供具有CMA和CNAS标识的检测报告原件扫描件</w:t>
            </w:r>
            <w:r>
              <w:rPr>
                <w:rFonts w:hint="eastAsia" w:ascii="宋体" w:hAnsi="宋体" w:eastAsia="宋体"/>
                <w:sz w:val="21"/>
                <w:szCs w:val="21"/>
                <w:highlight w:val="none"/>
                <w:lang w:eastAsia="zh-CN"/>
              </w:rPr>
              <w:t>。</w:t>
            </w:r>
          </w:p>
          <w:p w14:paraId="1CE22B25">
            <w:pPr>
              <w:spacing w:line="276" w:lineRule="auto"/>
              <w:rPr>
                <w:rFonts w:ascii="宋体" w:hAnsi="宋体" w:eastAsia="宋体"/>
                <w:b/>
                <w:sz w:val="21"/>
                <w:szCs w:val="21"/>
                <w:highlight w:val="none"/>
              </w:rPr>
            </w:pPr>
            <w:r>
              <w:rPr>
                <w:rFonts w:hint="eastAsia" w:ascii="宋体" w:hAnsi="宋体" w:eastAsia="宋体"/>
                <w:sz w:val="21"/>
                <w:szCs w:val="21"/>
                <w:highlight w:val="none"/>
                <w:lang w:val="en-US" w:eastAsia="zh-CN"/>
              </w:rPr>
              <w:t>12</w:t>
            </w:r>
            <w:r>
              <w:rPr>
                <w:rFonts w:ascii="宋体" w:hAnsi="宋体" w:eastAsia="宋体"/>
                <w:sz w:val="21"/>
                <w:szCs w:val="21"/>
                <w:highlight w:val="none"/>
              </w:rPr>
              <w:t>.</w:t>
            </w:r>
            <w:r>
              <w:rPr>
                <w:rFonts w:hint="eastAsia" w:ascii="宋体" w:hAnsi="宋体" w:eastAsia="宋体"/>
                <w:sz w:val="21"/>
                <w:szCs w:val="21"/>
                <w:highlight w:val="none"/>
              </w:rPr>
              <w:t>悬浮拼装运动地板具有国家认可的检测机构出具的附带CMA或CNAS标识的短链氯化石蜡、中链氯化石蜡、长链氯化石蜡未检出的检测报告原件扫描件；</w:t>
            </w:r>
          </w:p>
          <w:p w14:paraId="7C9D4FB8">
            <w:pPr>
              <w:spacing w:line="276" w:lineRule="auto"/>
              <w:rPr>
                <w:rFonts w:hint="eastAsia" w:ascii="宋体" w:hAnsi="宋体" w:eastAsia="宋体"/>
                <w:bCs/>
                <w:sz w:val="21"/>
                <w:szCs w:val="21"/>
                <w:highlight w:val="none"/>
                <w:lang w:eastAsia="zh-CN"/>
              </w:rPr>
            </w:pPr>
            <w:r>
              <w:rPr>
                <w:rFonts w:hint="eastAsia" w:ascii="宋体" w:hAnsi="宋体" w:eastAsia="宋体"/>
                <w:kern w:val="0"/>
                <w:sz w:val="21"/>
                <w:szCs w:val="21"/>
                <w:highlight w:val="none"/>
                <w:lang w:val="en-US" w:eastAsia="zh-CN"/>
              </w:rPr>
              <w:t>13</w:t>
            </w:r>
            <w:r>
              <w:rPr>
                <w:rFonts w:ascii="宋体" w:hAnsi="宋体" w:eastAsia="宋体"/>
                <w:kern w:val="0"/>
                <w:sz w:val="21"/>
                <w:szCs w:val="21"/>
                <w:highlight w:val="none"/>
              </w:rPr>
              <w:t>.</w:t>
            </w:r>
            <w:r>
              <w:rPr>
                <w:rFonts w:hint="eastAsia" w:ascii="宋体" w:hAnsi="宋体" w:eastAsia="宋体"/>
                <w:sz w:val="21"/>
                <w:szCs w:val="21"/>
                <w:highlight w:val="none"/>
              </w:rPr>
              <w:t>悬浮拼装运动地板</w:t>
            </w:r>
            <w:r>
              <w:rPr>
                <w:rFonts w:hint="eastAsia" w:ascii="宋体" w:hAnsi="宋体" w:eastAsia="宋体"/>
                <w:kern w:val="0"/>
                <w:sz w:val="21"/>
                <w:szCs w:val="21"/>
                <w:highlight w:val="none"/>
              </w:rPr>
              <w:t>的耐盐腐蚀性（如雨水，汗水等），中性盐雾试验不低于6500h后，检测周期不低于老化时长，拉伸强度≥0.4MPa；断裂伸长率≥40%，须提供具有CMA标识的检测报告</w:t>
            </w:r>
            <w:r>
              <w:rPr>
                <w:rFonts w:hint="eastAsia" w:ascii="宋体" w:hAnsi="宋体" w:eastAsia="宋体"/>
                <w:sz w:val="21"/>
                <w:szCs w:val="21"/>
                <w:highlight w:val="none"/>
              </w:rPr>
              <w:t>原件扫描件</w:t>
            </w:r>
            <w:r>
              <w:rPr>
                <w:rFonts w:hint="eastAsia" w:ascii="宋体" w:hAnsi="宋体" w:eastAsia="宋体"/>
                <w:kern w:val="0"/>
                <w:sz w:val="21"/>
                <w:szCs w:val="21"/>
                <w:highlight w:val="none"/>
                <w:lang w:eastAsia="zh-CN"/>
              </w:rPr>
              <w:t>。</w:t>
            </w:r>
          </w:p>
          <w:p w14:paraId="69A9D7B5">
            <w:pPr>
              <w:textAlignment w:val="center"/>
              <w:rPr>
                <w:rFonts w:cs="宋体" w:asciiTheme="majorEastAsia" w:hAnsiTheme="majorEastAsia" w:eastAsiaTheme="majorEastAsia"/>
                <w:color w:val="000000"/>
                <w:sz w:val="21"/>
                <w:szCs w:val="21"/>
                <w:highlight w:val="none"/>
              </w:rPr>
            </w:pPr>
          </w:p>
        </w:tc>
      </w:tr>
    </w:tbl>
    <w:p w14:paraId="3ECEB1EA">
      <w:pPr>
        <w:rPr>
          <w:color w:val="000000" w:themeColor="text1"/>
          <w:sz w:val="10"/>
          <w:szCs w:val="10"/>
          <w:highlight w:val="none"/>
          <w:lang w:eastAsia="zh-CN"/>
          <w14:textFill>
            <w14:solidFill>
              <w14:schemeClr w14:val="tx1"/>
            </w14:solidFill>
          </w14:textFill>
        </w:rPr>
      </w:pPr>
      <w:r>
        <w:rPr>
          <w:color w:val="000000" w:themeColor="text1"/>
          <w:sz w:val="10"/>
          <w:szCs w:val="10"/>
          <w:highlight w:val="none"/>
          <w:lang w:eastAsia="zh-CN"/>
          <w14:textFill>
            <w14:solidFill>
              <w14:schemeClr w14:val="tx1"/>
            </w14:solidFill>
          </w14:textFill>
        </w:rPr>
        <w:br w:type="page"/>
      </w:r>
    </w:p>
    <w:p w14:paraId="3227AB41">
      <w:pPr>
        <w:rPr>
          <w:color w:val="000000" w:themeColor="text1"/>
          <w:sz w:val="10"/>
          <w:szCs w:val="10"/>
          <w:highlight w:val="none"/>
          <w:lang w:eastAsia="zh-CN"/>
          <w14:textFill>
            <w14:solidFill>
              <w14:schemeClr w14:val="tx1"/>
            </w14:solidFill>
          </w14:textFill>
        </w:rPr>
      </w:pPr>
    </w:p>
    <w:p w14:paraId="03DDD5B8">
      <w:pPr>
        <w:rPr>
          <w:color w:val="000000" w:themeColor="text1"/>
          <w:sz w:val="10"/>
          <w:szCs w:val="10"/>
          <w:highlight w:val="none"/>
          <w:lang w:eastAsia="zh-CN"/>
          <w14:textFill>
            <w14:solidFill>
              <w14:schemeClr w14:val="tx1"/>
            </w14:solidFill>
          </w14:textFill>
        </w:rPr>
      </w:pPr>
    </w:p>
    <w:p w14:paraId="6850970A">
      <w:pPr>
        <w:jc w:val="center"/>
        <w:rPr>
          <w:rFonts w:hint="eastAsia"/>
          <w:b/>
          <w:bCs/>
          <w:sz w:val="24"/>
          <w:szCs w:val="24"/>
          <w:highlight w:val="none"/>
          <w:lang w:eastAsia="zh-CN"/>
        </w:rPr>
      </w:pPr>
      <w:bookmarkStart w:id="136" w:name="_bookmark193"/>
      <w:bookmarkEnd w:id="136"/>
      <w:bookmarkStart w:id="137" w:name="_Toc14651"/>
    </w:p>
    <w:p w14:paraId="1727C025">
      <w:pPr>
        <w:jc w:val="center"/>
        <w:rPr>
          <w:b/>
          <w:bCs/>
          <w:sz w:val="24"/>
          <w:szCs w:val="24"/>
          <w:highlight w:val="none"/>
          <w:lang w:eastAsia="zh-CN"/>
        </w:rPr>
      </w:pPr>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第六章  响应文件格式</w:t>
      </w:r>
      <w:bookmarkEnd w:id="137"/>
    </w:p>
    <w:p w14:paraId="622AADED">
      <w:pPr>
        <w:wordWrap w:val="0"/>
        <w:spacing w:line="572" w:lineRule="exact"/>
        <w:rPr>
          <w:rFonts w:asciiTheme="minorEastAsia" w:hAnsiTheme="minorEastAsia" w:eastAsiaTheme="minorEastAsia" w:cstheme="minorEastAsia"/>
          <w:color w:val="000000" w:themeColor="text1"/>
          <w:highlight w:val="none"/>
          <w:lang w:eastAsia="zh-CN"/>
          <w14:textFill>
            <w14:solidFill>
              <w14:schemeClr w14:val="tx1"/>
            </w14:solidFill>
          </w14:textFill>
        </w:rPr>
        <w:sectPr>
          <w:footerReference r:id="rId5" w:type="default"/>
          <w:pgSz w:w="12240" w:h="15840"/>
          <w:pgMar w:top="1420" w:right="1720" w:bottom="1120" w:left="1720" w:header="0" w:footer="921" w:gutter="0"/>
          <w:pgBorders>
            <w:top w:val="none" w:sz="0" w:space="0"/>
            <w:left w:val="none" w:sz="0" w:space="0"/>
            <w:bottom w:val="none" w:sz="0" w:space="0"/>
            <w:right w:val="none" w:sz="0" w:space="0"/>
          </w:pgBorders>
          <w:pgNumType w:fmt="decimal"/>
          <w:cols w:space="720" w:num="1"/>
        </w:sectPr>
      </w:pPr>
    </w:p>
    <w:p w14:paraId="495F85B2">
      <w:pPr>
        <w:pStyle w:val="8"/>
        <w:wordWrap w:val="0"/>
        <w:rPr>
          <w:rFonts w:asciiTheme="minorEastAsia" w:hAnsiTheme="minorEastAsia" w:eastAsiaTheme="minorEastAsia" w:cstheme="minorEastAsia"/>
          <w:b/>
          <w:color w:val="000000" w:themeColor="text1"/>
          <w:sz w:val="20"/>
          <w:highlight w:val="none"/>
          <w:lang w:eastAsia="zh-CN"/>
          <w14:textFill>
            <w14:solidFill>
              <w14:schemeClr w14:val="tx1"/>
            </w14:solidFill>
          </w14:textFill>
        </w:rPr>
      </w:pPr>
    </w:p>
    <w:p w14:paraId="11FFA389">
      <w:pPr>
        <w:pStyle w:val="8"/>
        <w:wordWrap w:val="0"/>
        <w:rPr>
          <w:rFonts w:asciiTheme="minorEastAsia" w:hAnsiTheme="minorEastAsia" w:eastAsiaTheme="minorEastAsia" w:cstheme="minorEastAsia"/>
          <w:b/>
          <w:color w:val="000000" w:themeColor="text1"/>
          <w:sz w:val="20"/>
          <w:highlight w:val="none"/>
          <w:lang w:eastAsia="zh-CN"/>
          <w14:textFill>
            <w14:solidFill>
              <w14:schemeClr w14:val="tx1"/>
            </w14:solidFill>
          </w14:textFill>
        </w:rPr>
      </w:pPr>
    </w:p>
    <w:p w14:paraId="5DFD13F7">
      <w:pPr>
        <w:pStyle w:val="8"/>
        <w:wordWrap w:val="0"/>
        <w:spacing w:before="6"/>
        <w:rPr>
          <w:rFonts w:asciiTheme="minorEastAsia" w:hAnsiTheme="minorEastAsia" w:eastAsiaTheme="minorEastAsia" w:cstheme="minorEastAsia"/>
          <w:b/>
          <w:color w:val="000000" w:themeColor="text1"/>
          <w:sz w:val="24"/>
          <w:highlight w:val="none"/>
          <w:lang w:eastAsia="zh-CN"/>
          <w14:textFill>
            <w14:solidFill>
              <w14:schemeClr w14:val="tx1"/>
            </w14:solidFill>
          </w14:textFill>
        </w:rPr>
      </w:pPr>
    </w:p>
    <w:p w14:paraId="1CD83525">
      <w:pPr>
        <w:jc w:val="center"/>
        <w:rPr>
          <w:rFonts w:eastAsia="黑体"/>
          <w:sz w:val="20"/>
          <w:szCs w:val="20"/>
          <w:highlight w:val="none"/>
          <w:lang w:eastAsia="zh-CN"/>
        </w:rPr>
      </w:pPr>
      <w:bookmarkStart w:id="138" w:name="_bookmark194"/>
      <w:bookmarkEnd w:id="138"/>
      <w:r>
        <w:rPr>
          <w:rFonts w:hint="eastAsia" w:eastAsia="黑体"/>
          <w:sz w:val="28"/>
          <w:szCs w:val="28"/>
          <w:highlight w:val="none"/>
          <w:u w:val="single"/>
          <w:lang w:eastAsia="zh-CN"/>
        </w:rPr>
        <w:t xml:space="preserve">                </w:t>
      </w:r>
      <w:r>
        <w:rPr>
          <w:rFonts w:eastAsia="黑体"/>
          <w:sz w:val="28"/>
          <w:szCs w:val="28"/>
          <w:highlight w:val="none"/>
          <w:lang w:eastAsia="zh-CN"/>
        </w:rPr>
        <w:t>（项目名称）</w:t>
      </w:r>
    </w:p>
    <w:p w14:paraId="49C674F8">
      <w:pPr>
        <w:jc w:val="center"/>
        <w:rPr>
          <w:rFonts w:eastAsia="黑体"/>
          <w:sz w:val="20"/>
          <w:szCs w:val="20"/>
          <w:highlight w:val="none"/>
          <w:lang w:eastAsia="zh-CN"/>
        </w:rPr>
      </w:pPr>
    </w:p>
    <w:p w14:paraId="5F8DC237">
      <w:pPr>
        <w:rPr>
          <w:rFonts w:eastAsia="黑体"/>
          <w:sz w:val="20"/>
          <w:szCs w:val="20"/>
          <w:highlight w:val="none"/>
          <w:lang w:eastAsia="zh-CN"/>
        </w:rPr>
      </w:pPr>
    </w:p>
    <w:p w14:paraId="22C2880A">
      <w:pPr>
        <w:jc w:val="center"/>
        <w:rPr>
          <w:rFonts w:eastAsia="黑体"/>
          <w:sz w:val="44"/>
          <w:szCs w:val="44"/>
          <w:highlight w:val="none"/>
          <w:lang w:eastAsia="zh-CN"/>
        </w:rPr>
      </w:pPr>
    </w:p>
    <w:p w14:paraId="2D783011">
      <w:pPr>
        <w:jc w:val="center"/>
        <w:rPr>
          <w:rFonts w:eastAsia="黑体"/>
          <w:sz w:val="44"/>
          <w:szCs w:val="44"/>
          <w:highlight w:val="none"/>
          <w:lang w:eastAsia="zh-CN"/>
        </w:rPr>
      </w:pPr>
      <w:r>
        <w:rPr>
          <w:rFonts w:hint="eastAsia" w:eastAsia="黑体"/>
          <w:sz w:val="44"/>
          <w:szCs w:val="44"/>
          <w:highlight w:val="none"/>
          <w:lang w:eastAsia="zh-CN"/>
        </w:rPr>
        <w:t>响  应</w:t>
      </w:r>
      <w:r>
        <w:rPr>
          <w:rFonts w:eastAsia="黑体"/>
          <w:sz w:val="44"/>
          <w:szCs w:val="44"/>
          <w:highlight w:val="none"/>
          <w:lang w:eastAsia="zh-CN"/>
        </w:rPr>
        <w:t xml:space="preserve">  文  件</w:t>
      </w:r>
    </w:p>
    <w:p w14:paraId="056F0D9E">
      <w:pPr>
        <w:rPr>
          <w:rFonts w:eastAsia="黑体"/>
          <w:sz w:val="28"/>
          <w:szCs w:val="28"/>
          <w:highlight w:val="none"/>
          <w:lang w:eastAsia="zh-CN"/>
        </w:rPr>
      </w:pPr>
    </w:p>
    <w:p w14:paraId="7E2406D2">
      <w:pPr>
        <w:pStyle w:val="3"/>
        <w:rPr>
          <w:highlight w:val="none"/>
          <w:lang w:eastAsia="zh-CN"/>
        </w:rPr>
      </w:pPr>
    </w:p>
    <w:p w14:paraId="2FD11699">
      <w:pPr>
        <w:jc w:val="center"/>
        <w:rPr>
          <w:rFonts w:eastAsia="黑体"/>
          <w:sz w:val="28"/>
          <w:szCs w:val="28"/>
          <w:highlight w:val="none"/>
          <w:lang w:eastAsia="zh-CN"/>
        </w:rPr>
      </w:pPr>
      <w:r>
        <w:rPr>
          <w:rFonts w:hint="eastAsia" w:eastAsia="黑体"/>
          <w:sz w:val="28"/>
          <w:szCs w:val="28"/>
          <w:highlight w:val="none"/>
          <w:lang w:val="en-US" w:eastAsia="zh-CN"/>
        </w:rPr>
        <w:t>项目</w:t>
      </w:r>
      <w:r>
        <w:rPr>
          <w:rFonts w:hint="eastAsia" w:eastAsia="黑体"/>
          <w:sz w:val="28"/>
          <w:szCs w:val="28"/>
          <w:highlight w:val="none"/>
          <w:lang w:eastAsia="zh-CN"/>
        </w:rPr>
        <w:t>编号：</w:t>
      </w:r>
    </w:p>
    <w:p w14:paraId="4255F6B3">
      <w:pPr>
        <w:rPr>
          <w:rFonts w:eastAsia="黑体"/>
          <w:sz w:val="28"/>
          <w:szCs w:val="28"/>
          <w:highlight w:val="none"/>
          <w:lang w:eastAsia="zh-CN"/>
        </w:rPr>
      </w:pPr>
    </w:p>
    <w:p w14:paraId="26430C77">
      <w:pPr>
        <w:rPr>
          <w:rFonts w:eastAsia="黑体"/>
          <w:sz w:val="28"/>
          <w:szCs w:val="28"/>
          <w:highlight w:val="none"/>
          <w:lang w:eastAsia="zh-CN"/>
        </w:rPr>
      </w:pPr>
    </w:p>
    <w:p w14:paraId="54AC1D55">
      <w:pPr>
        <w:rPr>
          <w:rFonts w:eastAsia="黑体"/>
          <w:sz w:val="28"/>
          <w:szCs w:val="28"/>
          <w:highlight w:val="none"/>
          <w:lang w:eastAsia="zh-CN"/>
        </w:rPr>
      </w:pPr>
    </w:p>
    <w:p w14:paraId="17A34089">
      <w:pPr>
        <w:pStyle w:val="3"/>
        <w:rPr>
          <w:rFonts w:eastAsia="黑体"/>
          <w:sz w:val="28"/>
          <w:szCs w:val="28"/>
          <w:highlight w:val="none"/>
          <w:lang w:eastAsia="zh-CN"/>
        </w:rPr>
      </w:pPr>
    </w:p>
    <w:p w14:paraId="0BA2D107">
      <w:pPr>
        <w:rPr>
          <w:rFonts w:eastAsia="黑体"/>
          <w:sz w:val="28"/>
          <w:szCs w:val="28"/>
          <w:highlight w:val="none"/>
          <w:lang w:eastAsia="zh-CN"/>
        </w:rPr>
      </w:pPr>
    </w:p>
    <w:p w14:paraId="2B04EB86">
      <w:pPr>
        <w:pStyle w:val="3"/>
        <w:rPr>
          <w:rFonts w:eastAsia="黑体"/>
          <w:sz w:val="28"/>
          <w:szCs w:val="28"/>
          <w:highlight w:val="none"/>
          <w:lang w:eastAsia="zh-CN"/>
        </w:rPr>
      </w:pPr>
    </w:p>
    <w:p w14:paraId="22BD4BA4">
      <w:pPr>
        <w:rPr>
          <w:rFonts w:eastAsia="黑体"/>
          <w:sz w:val="28"/>
          <w:szCs w:val="28"/>
          <w:highlight w:val="none"/>
          <w:lang w:eastAsia="zh-CN"/>
        </w:rPr>
      </w:pPr>
    </w:p>
    <w:p w14:paraId="3EB331E3">
      <w:pPr>
        <w:pStyle w:val="3"/>
        <w:rPr>
          <w:highlight w:val="none"/>
          <w:lang w:eastAsia="zh-CN"/>
        </w:rPr>
      </w:pPr>
    </w:p>
    <w:p w14:paraId="10DFBE3B">
      <w:pPr>
        <w:rPr>
          <w:rFonts w:eastAsia="黑体"/>
          <w:sz w:val="28"/>
          <w:szCs w:val="28"/>
          <w:highlight w:val="none"/>
          <w:lang w:eastAsia="zh-CN"/>
        </w:rPr>
      </w:pPr>
    </w:p>
    <w:p w14:paraId="3B219682">
      <w:pPr>
        <w:rPr>
          <w:rFonts w:eastAsia="黑体"/>
          <w:sz w:val="28"/>
          <w:szCs w:val="28"/>
          <w:highlight w:val="none"/>
          <w:lang w:eastAsia="zh-CN"/>
        </w:rPr>
      </w:pPr>
    </w:p>
    <w:p w14:paraId="4A0D2B2A">
      <w:pPr>
        <w:rPr>
          <w:rFonts w:eastAsia="黑体"/>
          <w:sz w:val="28"/>
          <w:szCs w:val="28"/>
          <w:highlight w:val="none"/>
          <w:lang w:eastAsia="zh-CN"/>
        </w:rPr>
      </w:pPr>
    </w:p>
    <w:p w14:paraId="5F9DEA2B">
      <w:pPr>
        <w:rPr>
          <w:rFonts w:eastAsia="黑体"/>
          <w:sz w:val="28"/>
          <w:szCs w:val="28"/>
          <w:highlight w:val="none"/>
          <w:lang w:eastAsia="zh-CN"/>
        </w:rPr>
      </w:pPr>
    </w:p>
    <w:p w14:paraId="667B6F33">
      <w:pPr>
        <w:spacing w:line="480" w:lineRule="auto"/>
        <w:jc w:val="center"/>
        <w:rPr>
          <w:rFonts w:eastAsia="黑体"/>
          <w:sz w:val="28"/>
          <w:szCs w:val="28"/>
          <w:highlight w:val="none"/>
          <w:u w:val="single"/>
          <w:lang w:eastAsia="zh-CN"/>
        </w:rPr>
      </w:pPr>
      <w:r>
        <w:rPr>
          <w:rFonts w:hint="eastAsia" w:eastAsia="黑体"/>
          <w:sz w:val="28"/>
          <w:szCs w:val="28"/>
          <w:highlight w:val="none"/>
          <w:lang w:eastAsia="zh-CN"/>
        </w:rPr>
        <w:t>供应商</w:t>
      </w:r>
      <w:r>
        <w:rPr>
          <w:rFonts w:eastAsia="黑体"/>
          <w:sz w:val="28"/>
          <w:szCs w:val="28"/>
          <w:highlight w:val="none"/>
          <w:lang w:eastAsia="zh-CN"/>
        </w:rPr>
        <w:t>：</w:t>
      </w:r>
      <w:r>
        <w:rPr>
          <w:rFonts w:eastAsia="黑体"/>
          <w:sz w:val="28"/>
          <w:szCs w:val="28"/>
          <w:highlight w:val="none"/>
          <w:u w:val="single"/>
          <w:lang w:eastAsia="zh-CN"/>
        </w:rPr>
        <w:t xml:space="preserve">                     </w:t>
      </w:r>
      <w:r>
        <w:rPr>
          <w:rFonts w:hint="eastAsia" w:eastAsia="黑体"/>
          <w:sz w:val="28"/>
          <w:szCs w:val="28"/>
          <w:highlight w:val="none"/>
          <w:u w:val="single"/>
          <w:lang w:eastAsia="zh-CN"/>
        </w:rPr>
        <w:t xml:space="preserve">  </w:t>
      </w:r>
      <w:r>
        <w:rPr>
          <w:rFonts w:eastAsia="黑体"/>
          <w:sz w:val="28"/>
          <w:szCs w:val="28"/>
          <w:highlight w:val="none"/>
          <w:u w:val="single"/>
          <w:lang w:eastAsia="zh-CN"/>
        </w:rPr>
        <w:t xml:space="preserve">       </w:t>
      </w:r>
      <w:r>
        <w:rPr>
          <w:rFonts w:eastAsia="黑体"/>
          <w:sz w:val="28"/>
          <w:szCs w:val="28"/>
          <w:highlight w:val="none"/>
          <w:lang w:eastAsia="zh-CN"/>
        </w:rPr>
        <w:t>（盖单位章）</w:t>
      </w:r>
    </w:p>
    <w:p w14:paraId="47487D47">
      <w:pPr>
        <w:spacing w:line="480" w:lineRule="auto"/>
        <w:jc w:val="center"/>
        <w:rPr>
          <w:rFonts w:eastAsia="黑体"/>
          <w:sz w:val="28"/>
          <w:szCs w:val="28"/>
          <w:highlight w:val="none"/>
          <w:lang w:eastAsia="zh-CN"/>
        </w:rPr>
      </w:pPr>
    </w:p>
    <w:p w14:paraId="0D82248D">
      <w:pPr>
        <w:spacing w:line="480" w:lineRule="auto"/>
        <w:jc w:val="center"/>
        <w:rPr>
          <w:rFonts w:eastAsia="黑体"/>
          <w:sz w:val="28"/>
          <w:szCs w:val="28"/>
          <w:highlight w:val="none"/>
          <w:lang w:eastAsia="zh-CN"/>
        </w:rPr>
      </w:pPr>
      <w:r>
        <w:rPr>
          <w:rFonts w:eastAsia="黑体"/>
          <w:sz w:val="28"/>
          <w:szCs w:val="28"/>
          <w:highlight w:val="none"/>
          <w:lang w:eastAsia="zh-CN"/>
        </w:rPr>
        <w:t>法定代表人或其委托代理人：</w:t>
      </w:r>
      <w:r>
        <w:rPr>
          <w:rFonts w:eastAsia="黑体"/>
          <w:sz w:val="28"/>
          <w:szCs w:val="28"/>
          <w:highlight w:val="none"/>
          <w:u w:val="single"/>
          <w:lang w:eastAsia="zh-CN"/>
        </w:rPr>
        <w:t xml:space="preserve">                </w:t>
      </w:r>
      <w:r>
        <w:rPr>
          <w:rFonts w:eastAsia="黑体"/>
          <w:sz w:val="28"/>
          <w:szCs w:val="28"/>
          <w:highlight w:val="none"/>
          <w:lang w:eastAsia="zh-CN"/>
        </w:rPr>
        <w:t>（签字）</w:t>
      </w:r>
    </w:p>
    <w:p w14:paraId="2CA043B2">
      <w:pPr>
        <w:spacing w:line="480" w:lineRule="auto"/>
        <w:jc w:val="center"/>
        <w:rPr>
          <w:rFonts w:eastAsia="黑体"/>
          <w:sz w:val="28"/>
          <w:szCs w:val="28"/>
          <w:highlight w:val="none"/>
          <w:lang w:eastAsia="zh-CN"/>
        </w:rPr>
      </w:pPr>
      <w:r>
        <w:rPr>
          <w:rFonts w:eastAsia="黑体"/>
          <w:sz w:val="28"/>
          <w:szCs w:val="28"/>
          <w:highlight w:val="none"/>
          <w:u w:val="single"/>
          <w:lang w:eastAsia="zh-CN"/>
        </w:rPr>
        <w:t xml:space="preserve">        </w:t>
      </w:r>
      <w:r>
        <w:rPr>
          <w:rFonts w:eastAsia="黑体"/>
          <w:sz w:val="28"/>
          <w:szCs w:val="28"/>
          <w:highlight w:val="none"/>
          <w:lang w:eastAsia="zh-CN"/>
        </w:rPr>
        <w:t>年</w:t>
      </w:r>
      <w:r>
        <w:rPr>
          <w:rFonts w:eastAsia="黑体"/>
          <w:sz w:val="28"/>
          <w:szCs w:val="28"/>
          <w:highlight w:val="none"/>
          <w:u w:val="single"/>
          <w:lang w:eastAsia="zh-CN"/>
        </w:rPr>
        <w:t xml:space="preserve">        </w:t>
      </w:r>
      <w:r>
        <w:rPr>
          <w:rFonts w:eastAsia="黑体"/>
          <w:sz w:val="28"/>
          <w:szCs w:val="28"/>
          <w:highlight w:val="none"/>
          <w:lang w:eastAsia="zh-CN"/>
        </w:rPr>
        <w:t>月</w:t>
      </w:r>
      <w:r>
        <w:rPr>
          <w:rFonts w:eastAsia="黑体"/>
          <w:sz w:val="28"/>
          <w:szCs w:val="28"/>
          <w:highlight w:val="none"/>
          <w:u w:val="single"/>
          <w:lang w:eastAsia="zh-CN"/>
        </w:rPr>
        <w:t xml:space="preserve">        </w:t>
      </w:r>
      <w:r>
        <w:rPr>
          <w:rFonts w:eastAsia="黑体"/>
          <w:sz w:val="28"/>
          <w:szCs w:val="28"/>
          <w:highlight w:val="none"/>
          <w:lang w:eastAsia="zh-CN"/>
        </w:rPr>
        <w:t>日</w:t>
      </w:r>
    </w:p>
    <w:p w14:paraId="3993F7A4">
      <w:pPr>
        <w:rPr>
          <w:rFonts w:asciiTheme="minorEastAsia" w:hAnsiTheme="minorEastAsia" w:eastAsiaTheme="minorEastAsia" w:cstheme="minorEastAsia"/>
          <w:b/>
          <w:bCs/>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br w:type="page"/>
      </w:r>
    </w:p>
    <w:p w14:paraId="3D5F632C">
      <w:pPr>
        <w:wordWrap w:val="0"/>
        <w:jc w:val="cente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pPr>
    </w:p>
    <w:p w14:paraId="59BCAB1E">
      <w:pPr>
        <w:wordWrap w:val="0"/>
        <w:jc w:val="center"/>
        <w:rPr>
          <w:rFonts w:asciiTheme="minorEastAsia" w:hAnsiTheme="minorEastAsia" w:eastAsiaTheme="minorEastAsia" w:cstheme="minorEastAsia"/>
          <w:b/>
          <w:bCs/>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目</w:t>
      </w: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 xml:space="preserve">  录</w:t>
      </w:r>
    </w:p>
    <w:p w14:paraId="0C00D0AC">
      <w:pPr>
        <w:pStyle w:val="8"/>
        <w:wordWrap w:val="0"/>
        <w:rPr>
          <w:rFonts w:asciiTheme="minorEastAsia" w:hAnsiTheme="minorEastAsia" w:eastAsiaTheme="minorEastAsia" w:cstheme="minorEastAsia"/>
          <w:b/>
          <w:color w:val="000000" w:themeColor="text1"/>
          <w:sz w:val="20"/>
          <w:highlight w:val="none"/>
          <w:lang w:eastAsia="zh-CN"/>
          <w14:textFill>
            <w14:solidFill>
              <w14:schemeClr w14:val="tx1"/>
            </w14:solidFill>
          </w14:textFill>
        </w:rPr>
      </w:pPr>
    </w:p>
    <w:p w14:paraId="5B11CCF9">
      <w:pPr>
        <w:rPr>
          <w:rFonts w:hint="default"/>
          <w:highlight w:val="none"/>
          <w:lang w:val="en-US" w:eastAsia="zh-CN"/>
        </w:rPr>
        <w:sectPr>
          <w:pgSz w:w="12240" w:h="15840"/>
          <w:pgMar w:top="1400" w:right="1720" w:bottom="1120" w:left="1700" w:header="0" w:footer="921" w:gutter="0"/>
          <w:pgBorders>
            <w:top w:val="none" w:sz="0" w:space="0"/>
            <w:left w:val="none" w:sz="0" w:space="0"/>
            <w:bottom w:val="none" w:sz="0" w:space="0"/>
            <w:right w:val="none" w:sz="0" w:space="0"/>
          </w:pgBorders>
          <w:pgNumType w:fmt="decimal"/>
          <w:cols w:space="720" w:num="1"/>
        </w:sectPr>
      </w:pPr>
    </w:p>
    <w:p w14:paraId="252B5BF7">
      <w:pPr>
        <w:wordWrap w:val="0"/>
        <w:spacing w:after="240" w:afterLines="100"/>
        <w:jc w:val="center"/>
        <w:rPr>
          <w:rFonts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bookmarkStart w:id="139" w:name="_bookmark195"/>
      <w:bookmarkEnd w:id="139"/>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一、报价函及报价函附录</w:t>
      </w:r>
    </w:p>
    <w:p w14:paraId="3FAAC9E0">
      <w:pPr>
        <w:pStyle w:val="4"/>
        <w:wordWrap w:val="0"/>
        <w:spacing w:line="360" w:lineRule="auto"/>
        <w:ind w:left="0" w:right="0"/>
        <w:jc w:val="center"/>
        <w:rPr>
          <w:rFonts w:asciiTheme="minorEastAsia" w:hAnsiTheme="minorEastAsia" w:eastAsiaTheme="minorEastAsia" w:cstheme="minorEastAsia"/>
          <w:b/>
          <w:bCs/>
          <w:color w:val="000000" w:themeColor="text1"/>
          <w:highlight w:val="none"/>
          <w:lang w:eastAsia="zh-CN"/>
          <w14:textFill>
            <w14:solidFill>
              <w14:schemeClr w14:val="tx1"/>
            </w14:solidFill>
          </w14:textFill>
        </w:rPr>
      </w:pPr>
      <w:bookmarkStart w:id="140" w:name="_bookmark196"/>
      <w:bookmarkEnd w:id="140"/>
      <w:bookmarkStart w:id="141" w:name="_Toc5430"/>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（一）报价函</w:t>
      </w:r>
      <w:bookmarkEnd w:id="141"/>
    </w:p>
    <w:p w14:paraId="5E07D2F1">
      <w:pPr>
        <w:pStyle w:val="8"/>
        <w:tabs>
          <w:tab w:val="left" w:pos="1991"/>
        </w:tabs>
        <w:wordWrap w:val="0"/>
        <w:ind w:left="100" w:right="108"/>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名</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称</w:t>
      </w:r>
      <w:r>
        <w:rPr>
          <w:rFonts w:hint="eastAsia" w:asciiTheme="minorEastAsia" w:hAnsiTheme="minorEastAsia" w:eastAsiaTheme="minorEastAsia" w:cstheme="minorEastAsia"/>
          <w:color w:val="000000" w:themeColor="text1"/>
          <w:spacing w:val="-10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76A459F4">
      <w:pPr>
        <w:pStyle w:val="8"/>
        <w:wordWrap w:val="0"/>
        <w:spacing w:before="12"/>
        <w:rPr>
          <w:rFonts w:asciiTheme="minorEastAsia" w:hAnsiTheme="minorEastAsia" w:eastAsiaTheme="minorEastAsia" w:cstheme="minorEastAsia"/>
          <w:color w:val="000000" w:themeColor="text1"/>
          <w:sz w:val="9"/>
          <w:highlight w:val="none"/>
          <w:lang w:eastAsia="zh-CN"/>
          <w14:textFill>
            <w14:solidFill>
              <w14:schemeClr w14:val="tx1"/>
            </w14:solidFill>
          </w14:textFill>
        </w:rPr>
      </w:pPr>
    </w:p>
    <w:p w14:paraId="141F3082">
      <w:pPr>
        <w:pStyle w:val="8"/>
        <w:tabs>
          <w:tab w:val="left" w:pos="1468"/>
          <w:tab w:val="left" w:pos="3883"/>
        </w:tabs>
        <w:wordWrap w:val="0"/>
        <w:spacing w:line="312"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9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我</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已</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仔</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细</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研</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究了</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3"/>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项</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目</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名称</w:t>
      </w:r>
      <w:r>
        <w:rPr>
          <w:rFonts w:hint="eastAsia" w:asciiTheme="minorEastAsia" w:hAnsiTheme="minorEastAsia" w:eastAsiaTheme="minorEastAsia" w:cstheme="minorEastAsia"/>
          <w:color w:val="000000" w:themeColor="text1"/>
          <w:spacing w:val="-9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4"/>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磋商文</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件</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全部</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内容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highlight w:val="none"/>
          <w:lang w:eastAsia="zh-CN"/>
          <w14:textFill>
            <w14:solidFill>
              <w14:schemeClr w14:val="tx1"/>
            </w14:solidFill>
          </w14:textFill>
        </w:rPr>
        <w:t>愿意以人民币（大写）</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highlight w:val="none"/>
          <w:lang w:eastAsia="zh-CN"/>
          <w14:textFill>
            <w14:solidFill>
              <w14:schemeClr w14:val="tx1"/>
            </w14:solidFill>
          </w14:textFill>
        </w:rPr>
        <w:t>）的磋商总报价</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，合同履行期限（供货期）：</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完成本项目工作，质量标准</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6862CFC2">
      <w:pPr>
        <w:pStyle w:val="8"/>
        <w:wordWrap w:val="0"/>
        <w:spacing w:line="312"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 我方的响应文件包括下列内容：</w:t>
      </w:r>
    </w:p>
    <w:p w14:paraId="0E6C32FF">
      <w:pPr>
        <w:pStyle w:val="8"/>
        <w:wordWrap w:val="0"/>
        <w:spacing w:line="312" w:lineRule="auto"/>
        <w:ind w:firstLine="735" w:firstLineChars="35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（1）报价函及报价函附录；</w:t>
      </w:r>
    </w:p>
    <w:p w14:paraId="426AD611">
      <w:pPr>
        <w:pStyle w:val="8"/>
        <w:wordWrap w:val="0"/>
        <w:spacing w:line="312" w:lineRule="auto"/>
        <w:ind w:firstLine="735" w:firstLineChars="35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（2）首次报价一览表；</w:t>
      </w:r>
    </w:p>
    <w:p w14:paraId="72282680">
      <w:pPr>
        <w:pStyle w:val="8"/>
        <w:wordWrap w:val="0"/>
        <w:spacing w:line="312" w:lineRule="auto"/>
        <w:ind w:firstLine="735" w:firstLineChars="35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（3）法定代表人身份证明；</w:t>
      </w:r>
    </w:p>
    <w:p w14:paraId="7E24F0E0">
      <w:pPr>
        <w:pStyle w:val="8"/>
        <w:wordWrap w:val="0"/>
        <w:spacing w:line="312" w:lineRule="auto"/>
        <w:ind w:firstLine="735" w:firstLineChars="35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（4）授权委托书；</w:t>
      </w:r>
    </w:p>
    <w:p w14:paraId="6D73AF30">
      <w:pPr>
        <w:pStyle w:val="8"/>
        <w:wordWrap w:val="0"/>
        <w:spacing w:line="312" w:lineRule="auto"/>
        <w:ind w:firstLine="735" w:firstLineChars="35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（5）资格审查资料；</w:t>
      </w:r>
    </w:p>
    <w:p w14:paraId="16EE2879">
      <w:pPr>
        <w:pStyle w:val="8"/>
        <w:wordWrap w:val="0"/>
        <w:spacing w:line="312" w:lineRule="auto"/>
        <w:ind w:firstLine="735" w:firstLineChars="35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（6）技术方案；</w:t>
      </w:r>
    </w:p>
    <w:p w14:paraId="6089A0C7">
      <w:pPr>
        <w:pStyle w:val="8"/>
        <w:wordWrap w:val="0"/>
        <w:spacing w:line="312" w:lineRule="auto"/>
        <w:ind w:firstLine="735" w:firstLineChars="35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 </w:t>
      </w:r>
    </w:p>
    <w:p w14:paraId="56194941">
      <w:pPr>
        <w:pStyle w:val="8"/>
        <w:wordWrap w:val="0"/>
        <w:spacing w:line="312"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响应文件的上述组成部分如存在内容不一致的，以报价函为准。 </w:t>
      </w:r>
    </w:p>
    <w:p w14:paraId="54740D51">
      <w:pPr>
        <w:pStyle w:val="8"/>
        <w:wordWrap w:val="0"/>
        <w:spacing w:line="312"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3．我方承诺在磋商文件规定的投标有效期内不撤销响应文件。</w:t>
      </w:r>
    </w:p>
    <w:p w14:paraId="56684574">
      <w:pPr>
        <w:pStyle w:val="8"/>
        <w:wordWrap w:val="0"/>
        <w:spacing w:line="312"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4．如我方中标，我方承诺：</w:t>
      </w:r>
    </w:p>
    <w:p w14:paraId="5E7BFADB">
      <w:pPr>
        <w:pStyle w:val="8"/>
        <w:wordWrap w:val="0"/>
        <w:spacing w:line="312"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（1）在收到成交通知书后，在成交通知书规定的期限内与你方签订合同；</w:t>
      </w:r>
    </w:p>
    <w:p w14:paraId="0A243852">
      <w:pPr>
        <w:pStyle w:val="8"/>
        <w:wordWrap w:val="0"/>
        <w:spacing w:line="312"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（2）在签订合同时不向你方提出附加条件；</w:t>
      </w:r>
    </w:p>
    <w:p w14:paraId="489FC5BF">
      <w:pPr>
        <w:pStyle w:val="8"/>
        <w:wordWrap w:val="0"/>
        <w:spacing w:line="312"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（3）在合同约定的期限内完成合同规定的全部义务。</w:t>
      </w:r>
    </w:p>
    <w:p w14:paraId="54414A7D">
      <w:pPr>
        <w:pStyle w:val="8"/>
        <w:tabs>
          <w:tab w:val="left" w:pos="3880"/>
        </w:tabs>
        <w:wordWrap w:val="0"/>
        <w:spacing w:line="312" w:lineRule="auto"/>
        <w:ind w:firstLine="42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5．</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（其</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他</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补</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充</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说</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明</w:t>
      </w:r>
      <w:r>
        <w:rPr>
          <w:rFonts w:hint="eastAsia" w:asciiTheme="minorEastAsia" w:hAnsiTheme="minorEastAsia" w:eastAsiaTheme="minorEastAsia" w:cstheme="minorEastAsia"/>
          <w:color w:val="000000" w:themeColor="text1"/>
          <w:spacing w:val="-106"/>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560C5976">
      <w:pPr>
        <w:pStyle w:val="8"/>
        <w:wordWrap w:val="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p>
    <w:p w14:paraId="1EC31CE3">
      <w:pPr>
        <w:pStyle w:val="8"/>
        <w:wordWrap w:val="0"/>
        <w:spacing w:before="4"/>
        <w:rPr>
          <w:rFonts w:asciiTheme="minorEastAsia" w:hAnsiTheme="minorEastAsia" w:eastAsiaTheme="minorEastAsia" w:cstheme="minorEastAsia"/>
          <w:color w:val="000000" w:themeColor="text1"/>
          <w:sz w:val="22"/>
          <w:highlight w:val="none"/>
          <w:lang w:eastAsia="zh-CN"/>
          <w14:textFill>
            <w14:solidFill>
              <w14:schemeClr w14:val="tx1"/>
            </w14:solidFill>
          </w14:textFill>
        </w:rPr>
      </w:pPr>
    </w:p>
    <w:p w14:paraId="590E8FF7">
      <w:pPr>
        <w:pStyle w:val="8"/>
        <w:tabs>
          <w:tab w:val="left" w:pos="7241"/>
        </w:tabs>
        <w:wordWrap w:val="0"/>
        <w:spacing w:line="312" w:lineRule="auto"/>
        <w:ind w:left="2640" w:leftChars="1200"/>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（盖单位章）</w:t>
      </w:r>
    </w:p>
    <w:p w14:paraId="00C895A0">
      <w:pPr>
        <w:pStyle w:val="8"/>
        <w:tabs>
          <w:tab w:val="left" w:pos="6381"/>
        </w:tabs>
        <w:wordWrap w:val="0"/>
        <w:spacing w:line="312" w:lineRule="auto"/>
        <w:ind w:left="2640" w:leftChars="1200"/>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法定代表人或其委托代理人：</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（签字）</w:t>
      </w:r>
    </w:p>
    <w:p w14:paraId="0657B503">
      <w:pPr>
        <w:pStyle w:val="8"/>
        <w:tabs>
          <w:tab w:val="left" w:pos="3232"/>
          <w:tab w:val="left" w:pos="8529"/>
        </w:tabs>
        <w:wordWrap w:val="0"/>
        <w:spacing w:line="312" w:lineRule="auto"/>
        <w:ind w:left="2640" w:leftChars="1200"/>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地    址：</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p>
    <w:p w14:paraId="6082DF13">
      <w:pPr>
        <w:pStyle w:val="8"/>
        <w:tabs>
          <w:tab w:val="left" w:pos="3232"/>
          <w:tab w:val="left" w:pos="8529"/>
        </w:tabs>
        <w:wordWrap w:val="0"/>
        <w:spacing w:line="312" w:lineRule="auto"/>
        <w:ind w:left="2640" w:leftChars="1200"/>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网    址：</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p>
    <w:p w14:paraId="198BB703">
      <w:pPr>
        <w:pStyle w:val="8"/>
        <w:tabs>
          <w:tab w:val="left" w:pos="3232"/>
          <w:tab w:val="left" w:pos="8529"/>
        </w:tabs>
        <w:wordWrap w:val="0"/>
        <w:spacing w:line="312" w:lineRule="auto"/>
        <w:ind w:left="2640" w:leftChars="1200"/>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电    话：</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p>
    <w:p w14:paraId="68F0741E">
      <w:pPr>
        <w:pStyle w:val="8"/>
        <w:tabs>
          <w:tab w:val="left" w:pos="3232"/>
          <w:tab w:val="left" w:pos="8529"/>
        </w:tabs>
        <w:wordWrap w:val="0"/>
        <w:spacing w:line="312" w:lineRule="auto"/>
        <w:ind w:left="2640" w:leftChars="1200"/>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传    真：</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p>
    <w:p w14:paraId="320BDD0B">
      <w:pPr>
        <w:pStyle w:val="8"/>
        <w:tabs>
          <w:tab w:val="left" w:pos="8529"/>
        </w:tabs>
        <w:wordWrap w:val="0"/>
        <w:spacing w:line="312" w:lineRule="auto"/>
        <w:ind w:left="2640" w:leftChars="1200"/>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邮政编码：</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p>
    <w:p w14:paraId="634400F3">
      <w:pPr>
        <w:pStyle w:val="8"/>
        <w:wordWrap w:val="0"/>
        <w:spacing w:before="1"/>
        <w:rPr>
          <w:rFonts w:asciiTheme="minorEastAsia" w:hAnsiTheme="minorEastAsia" w:eastAsiaTheme="minorEastAsia" w:cstheme="minorEastAsia"/>
          <w:color w:val="000000" w:themeColor="text1"/>
          <w:sz w:val="11"/>
          <w:highlight w:val="none"/>
          <w:lang w:eastAsia="zh-CN"/>
          <w14:textFill>
            <w14:solidFill>
              <w14:schemeClr w14:val="tx1"/>
            </w14:solidFill>
          </w14:textFill>
        </w:rPr>
      </w:pPr>
    </w:p>
    <w:p w14:paraId="3E328076">
      <w:pPr>
        <w:pStyle w:val="8"/>
        <w:tabs>
          <w:tab w:val="left" w:pos="631"/>
          <w:tab w:val="left" w:pos="1471"/>
          <w:tab w:val="left" w:pos="2311"/>
        </w:tabs>
        <w:wordWrap w:val="0"/>
        <w:spacing w:before="37"/>
        <w:ind w:right="117"/>
        <w:jc w:val="right"/>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1"/>
          <w:highlight w:val="none"/>
          <w:lang w:eastAsia="zh-CN"/>
          <w14:textFill>
            <w14:solidFill>
              <w14:schemeClr w14:val="tx1"/>
            </w14:solidFill>
          </w14:textFill>
        </w:rPr>
        <w:t>日</w:t>
      </w:r>
    </w:p>
    <w:p w14:paraId="62C56125">
      <w:pPr>
        <w:wordWrap w:val="0"/>
        <w:jc w:val="right"/>
        <w:rPr>
          <w:rFonts w:asciiTheme="minorEastAsia" w:hAnsiTheme="minorEastAsia" w:eastAsiaTheme="minorEastAsia" w:cstheme="minorEastAsia"/>
          <w:color w:val="000000" w:themeColor="text1"/>
          <w:highlight w:val="none"/>
          <w:lang w:eastAsia="zh-CN"/>
          <w14:textFill>
            <w14:solidFill>
              <w14:schemeClr w14:val="tx1"/>
            </w14:solidFill>
          </w14:textFill>
        </w:rPr>
        <w:sectPr>
          <w:pgSz w:w="12240" w:h="15840"/>
          <w:pgMar w:top="1500" w:right="1680" w:bottom="1120" w:left="1720" w:header="0" w:footer="921" w:gutter="0"/>
          <w:pgBorders>
            <w:top w:val="none" w:sz="0" w:space="0"/>
            <w:left w:val="none" w:sz="0" w:space="0"/>
            <w:bottom w:val="none" w:sz="0" w:space="0"/>
            <w:right w:val="none" w:sz="0" w:space="0"/>
          </w:pgBorders>
          <w:pgNumType w:fmt="decimal"/>
          <w:cols w:space="720" w:num="1"/>
        </w:sectPr>
      </w:pPr>
    </w:p>
    <w:p w14:paraId="07D37BD8">
      <w:pPr>
        <w:pStyle w:val="4"/>
        <w:wordWrap w:val="0"/>
        <w:spacing w:line="360" w:lineRule="auto"/>
        <w:ind w:left="0" w:right="0"/>
        <w:jc w:val="center"/>
        <w:rPr>
          <w:rFonts w:asciiTheme="minorEastAsia" w:hAnsiTheme="minorEastAsia" w:eastAsiaTheme="minorEastAsia" w:cstheme="minorEastAsia"/>
          <w:b/>
          <w:bCs/>
          <w:color w:val="000000" w:themeColor="text1"/>
          <w:highlight w:val="none"/>
          <w:lang w:eastAsia="zh-CN"/>
          <w14:textFill>
            <w14:solidFill>
              <w14:schemeClr w14:val="tx1"/>
            </w14:solidFill>
          </w14:textFill>
        </w:rPr>
      </w:pPr>
      <w:bookmarkStart w:id="142" w:name="_bookmark197"/>
      <w:bookmarkEnd w:id="142"/>
      <w:bookmarkStart w:id="143" w:name="_Toc4049"/>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（二）报价函附录</w:t>
      </w:r>
      <w:bookmarkEnd w:id="143"/>
    </w:p>
    <w:p w14:paraId="715CDE3E">
      <w:pPr>
        <w:pStyle w:val="8"/>
        <w:wordWrap w:val="0"/>
        <w:spacing w:before="11"/>
        <w:rPr>
          <w:rFonts w:asciiTheme="minorEastAsia" w:hAnsiTheme="minorEastAsia" w:eastAsiaTheme="minorEastAsia" w:cstheme="minorEastAsia"/>
          <w:color w:val="000000" w:themeColor="text1"/>
          <w:sz w:val="22"/>
          <w:highlight w:val="none"/>
          <w:lang w:eastAsia="zh-CN"/>
          <w14:textFill>
            <w14:solidFill>
              <w14:schemeClr w14:val="tx1"/>
            </w14:solidFill>
          </w14:textFill>
        </w:rPr>
      </w:pPr>
    </w:p>
    <w:tbl>
      <w:tblPr>
        <w:tblStyle w:val="27"/>
        <w:tblW w:w="9238" w:type="dxa"/>
        <w:tblInd w:w="0" w:type="dxa"/>
        <w:tblLayout w:type="fixed"/>
        <w:tblCellMar>
          <w:top w:w="0" w:type="dxa"/>
          <w:left w:w="108" w:type="dxa"/>
          <w:bottom w:w="0" w:type="dxa"/>
          <w:right w:w="108" w:type="dxa"/>
        </w:tblCellMar>
      </w:tblPr>
      <w:tblGrid>
        <w:gridCol w:w="851"/>
        <w:gridCol w:w="2229"/>
        <w:gridCol w:w="3912"/>
        <w:gridCol w:w="2246"/>
      </w:tblGrid>
      <w:tr w14:paraId="14A73661">
        <w:tblPrEx>
          <w:tblCellMar>
            <w:top w:w="0" w:type="dxa"/>
            <w:left w:w="108" w:type="dxa"/>
            <w:bottom w:w="0" w:type="dxa"/>
            <w:right w:w="108" w:type="dxa"/>
          </w:tblCellMar>
        </w:tblPrEx>
        <w:trPr>
          <w:trHeight w:val="492" w:hRule="atLeast"/>
        </w:trPr>
        <w:tc>
          <w:tcPr>
            <w:tcW w:w="851" w:type="dxa"/>
            <w:tcBorders>
              <w:top w:val="single" w:color="auto" w:sz="4" w:space="0"/>
              <w:left w:val="single" w:color="auto" w:sz="4" w:space="0"/>
              <w:bottom w:val="single" w:color="auto" w:sz="4" w:space="0"/>
              <w:right w:val="single" w:color="auto" w:sz="4" w:space="0"/>
            </w:tcBorders>
            <w:vAlign w:val="center"/>
          </w:tcPr>
          <w:p w14:paraId="53F30C1B">
            <w:pPr>
              <w:spacing w:line="440" w:lineRule="exact"/>
              <w:rPr>
                <w:szCs w:val="21"/>
                <w:highlight w:val="none"/>
              </w:rPr>
            </w:pPr>
            <w:r>
              <w:rPr>
                <w:rFonts w:hint="eastAsia"/>
                <w:szCs w:val="21"/>
                <w:highlight w:val="none"/>
              </w:rPr>
              <w:t>序号</w:t>
            </w:r>
          </w:p>
        </w:tc>
        <w:tc>
          <w:tcPr>
            <w:tcW w:w="2229" w:type="dxa"/>
            <w:tcBorders>
              <w:top w:val="single" w:color="auto" w:sz="4" w:space="0"/>
              <w:left w:val="single" w:color="auto" w:sz="4" w:space="0"/>
              <w:bottom w:val="single" w:color="auto" w:sz="4" w:space="0"/>
              <w:right w:val="single" w:color="auto" w:sz="4" w:space="0"/>
            </w:tcBorders>
            <w:vAlign w:val="center"/>
          </w:tcPr>
          <w:p w14:paraId="2D347468">
            <w:pPr>
              <w:spacing w:line="440" w:lineRule="exact"/>
              <w:rPr>
                <w:szCs w:val="21"/>
                <w:highlight w:val="none"/>
              </w:rPr>
            </w:pPr>
            <w:r>
              <w:rPr>
                <w:rFonts w:hint="eastAsia"/>
                <w:szCs w:val="21"/>
                <w:highlight w:val="none"/>
              </w:rPr>
              <w:t>条款名称</w:t>
            </w:r>
          </w:p>
        </w:tc>
        <w:tc>
          <w:tcPr>
            <w:tcW w:w="3912" w:type="dxa"/>
            <w:tcBorders>
              <w:top w:val="single" w:color="auto" w:sz="4" w:space="0"/>
              <w:left w:val="single" w:color="auto" w:sz="4" w:space="0"/>
              <w:bottom w:val="single" w:color="auto" w:sz="4" w:space="0"/>
              <w:right w:val="single" w:color="auto" w:sz="4" w:space="0"/>
            </w:tcBorders>
            <w:vAlign w:val="center"/>
          </w:tcPr>
          <w:p w14:paraId="2809FC96">
            <w:pPr>
              <w:spacing w:line="440" w:lineRule="exact"/>
              <w:rPr>
                <w:szCs w:val="21"/>
                <w:highlight w:val="none"/>
              </w:rPr>
            </w:pPr>
            <w:r>
              <w:rPr>
                <w:rFonts w:hint="eastAsia"/>
                <w:szCs w:val="21"/>
                <w:highlight w:val="none"/>
              </w:rPr>
              <w:t>约定内容</w:t>
            </w:r>
          </w:p>
        </w:tc>
        <w:tc>
          <w:tcPr>
            <w:tcW w:w="2246" w:type="dxa"/>
            <w:tcBorders>
              <w:top w:val="single" w:color="auto" w:sz="4" w:space="0"/>
              <w:left w:val="single" w:color="auto" w:sz="4" w:space="0"/>
              <w:bottom w:val="single" w:color="auto" w:sz="4" w:space="0"/>
              <w:right w:val="single" w:color="auto" w:sz="4" w:space="0"/>
            </w:tcBorders>
            <w:vAlign w:val="center"/>
          </w:tcPr>
          <w:p w14:paraId="4D21A8BA">
            <w:pPr>
              <w:spacing w:line="440" w:lineRule="exact"/>
              <w:rPr>
                <w:szCs w:val="21"/>
                <w:highlight w:val="none"/>
              </w:rPr>
            </w:pPr>
            <w:r>
              <w:rPr>
                <w:rFonts w:hint="eastAsia"/>
                <w:szCs w:val="21"/>
                <w:highlight w:val="none"/>
              </w:rPr>
              <w:t>是否响应</w:t>
            </w:r>
          </w:p>
        </w:tc>
      </w:tr>
      <w:tr w14:paraId="0F6AF17C">
        <w:tblPrEx>
          <w:tblCellMar>
            <w:top w:w="0" w:type="dxa"/>
            <w:left w:w="108" w:type="dxa"/>
            <w:bottom w:w="0" w:type="dxa"/>
            <w:right w:w="108" w:type="dxa"/>
          </w:tblCellMar>
        </w:tblPrEx>
        <w:trPr>
          <w:trHeight w:val="942" w:hRule="atLeast"/>
        </w:trPr>
        <w:tc>
          <w:tcPr>
            <w:tcW w:w="851" w:type="dxa"/>
            <w:tcBorders>
              <w:top w:val="single" w:color="auto" w:sz="4" w:space="0"/>
              <w:left w:val="single" w:color="auto" w:sz="4" w:space="0"/>
              <w:bottom w:val="single" w:color="auto" w:sz="4" w:space="0"/>
              <w:right w:val="single" w:color="auto" w:sz="4" w:space="0"/>
            </w:tcBorders>
            <w:vAlign w:val="center"/>
          </w:tcPr>
          <w:p w14:paraId="6927B160">
            <w:pPr>
              <w:spacing w:line="440" w:lineRule="exact"/>
              <w:jc w:val="center"/>
              <w:rPr>
                <w:szCs w:val="21"/>
                <w:highlight w:val="none"/>
                <w:lang w:eastAsia="zh-CN"/>
              </w:rPr>
            </w:pPr>
            <w:r>
              <w:rPr>
                <w:rFonts w:hint="eastAsia"/>
                <w:szCs w:val="21"/>
                <w:highlight w:val="none"/>
                <w:lang w:eastAsia="zh-CN"/>
              </w:rPr>
              <w:t>1</w:t>
            </w:r>
          </w:p>
        </w:tc>
        <w:tc>
          <w:tcPr>
            <w:tcW w:w="2229" w:type="dxa"/>
            <w:tcBorders>
              <w:top w:val="single" w:color="auto" w:sz="4" w:space="0"/>
              <w:left w:val="single" w:color="auto" w:sz="4" w:space="0"/>
              <w:bottom w:val="single" w:color="auto" w:sz="4" w:space="0"/>
              <w:right w:val="single" w:color="auto" w:sz="4" w:space="0"/>
            </w:tcBorders>
            <w:vAlign w:val="center"/>
          </w:tcPr>
          <w:p w14:paraId="6E4D625C">
            <w:pPr>
              <w:spacing w:line="440" w:lineRule="exact"/>
              <w:rPr>
                <w:szCs w:val="21"/>
                <w:highlight w:val="none"/>
                <w:lang w:eastAsia="zh-CN"/>
              </w:rPr>
            </w:pPr>
            <w:r>
              <w:rPr>
                <w:rFonts w:hint="eastAsia"/>
                <w:szCs w:val="21"/>
                <w:highlight w:val="none"/>
                <w:lang w:eastAsia="zh-CN"/>
              </w:rPr>
              <w:t>合同履行期限</w:t>
            </w:r>
          </w:p>
          <w:p w14:paraId="44B0BF5A">
            <w:pPr>
              <w:spacing w:line="440" w:lineRule="exact"/>
              <w:rPr>
                <w:szCs w:val="21"/>
                <w:highlight w:val="none"/>
                <w:lang w:eastAsia="zh-CN"/>
              </w:rPr>
            </w:pPr>
            <w:r>
              <w:rPr>
                <w:rFonts w:hint="eastAsia"/>
                <w:szCs w:val="21"/>
                <w:highlight w:val="none"/>
                <w:lang w:eastAsia="zh-CN"/>
              </w:rPr>
              <w:t>（供货期）</w:t>
            </w:r>
          </w:p>
        </w:tc>
        <w:tc>
          <w:tcPr>
            <w:tcW w:w="3912" w:type="dxa"/>
            <w:tcBorders>
              <w:top w:val="single" w:color="auto" w:sz="4" w:space="0"/>
              <w:left w:val="single" w:color="auto" w:sz="4" w:space="0"/>
              <w:bottom w:val="single" w:color="auto" w:sz="4" w:space="0"/>
              <w:right w:val="single" w:color="auto" w:sz="4" w:space="0"/>
            </w:tcBorders>
            <w:vAlign w:val="center"/>
          </w:tcPr>
          <w:p w14:paraId="71598C72">
            <w:pPr>
              <w:spacing w:line="440" w:lineRule="exact"/>
              <w:rPr>
                <w:szCs w:val="21"/>
                <w:highlight w:val="none"/>
                <w:lang w:eastAsia="zh-CN"/>
              </w:rPr>
            </w:pPr>
          </w:p>
        </w:tc>
        <w:tc>
          <w:tcPr>
            <w:tcW w:w="2246" w:type="dxa"/>
            <w:tcBorders>
              <w:top w:val="single" w:color="auto" w:sz="4" w:space="0"/>
              <w:left w:val="single" w:color="auto" w:sz="4" w:space="0"/>
              <w:bottom w:val="single" w:color="auto" w:sz="4" w:space="0"/>
              <w:right w:val="single" w:color="auto" w:sz="4" w:space="0"/>
            </w:tcBorders>
            <w:vAlign w:val="center"/>
          </w:tcPr>
          <w:p w14:paraId="196B13F0">
            <w:pPr>
              <w:spacing w:line="440" w:lineRule="exact"/>
              <w:rPr>
                <w:szCs w:val="21"/>
                <w:highlight w:val="none"/>
                <w:lang w:eastAsia="zh-CN"/>
              </w:rPr>
            </w:pPr>
          </w:p>
        </w:tc>
      </w:tr>
      <w:tr w14:paraId="603806C3">
        <w:tblPrEx>
          <w:tblCellMar>
            <w:top w:w="0" w:type="dxa"/>
            <w:left w:w="108" w:type="dxa"/>
            <w:bottom w:w="0" w:type="dxa"/>
            <w:right w:w="108" w:type="dxa"/>
          </w:tblCellMar>
        </w:tblPrEx>
        <w:trPr>
          <w:trHeight w:val="598" w:hRule="atLeast"/>
        </w:trPr>
        <w:tc>
          <w:tcPr>
            <w:tcW w:w="851" w:type="dxa"/>
            <w:tcBorders>
              <w:top w:val="single" w:color="auto" w:sz="4" w:space="0"/>
              <w:left w:val="single" w:color="auto" w:sz="4" w:space="0"/>
              <w:bottom w:val="single" w:color="auto" w:sz="4" w:space="0"/>
              <w:right w:val="single" w:color="auto" w:sz="4" w:space="0"/>
            </w:tcBorders>
            <w:vAlign w:val="center"/>
          </w:tcPr>
          <w:p w14:paraId="11A85A7E">
            <w:pPr>
              <w:spacing w:line="440" w:lineRule="exact"/>
              <w:jc w:val="center"/>
              <w:rPr>
                <w:szCs w:val="21"/>
                <w:highlight w:val="none"/>
                <w:lang w:eastAsia="zh-CN"/>
              </w:rPr>
            </w:pPr>
            <w:r>
              <w:rPr>
                <w:rFonts w:hint="eastAsia"/>
                <w:szCs w:val="21"/>
                <w:highlight w:val="none"/>
                <w:lang w:eastAsia="zh-CN"/>
              </w:rPr>
              <w:t>2</w:t>
            </w:r>
          </w:p>
        </w:tc>
        <w:tc>
          <w:tcPr>
            <w:tcW w:w="2229" w:type="dxa"/>
            <w:tcBorders>
              <w:top w:val="single" w:color="auto" w:sz="4" w:space="0"/>
              <w:left w:val="single" w:color="auto" w:sz="4" w:space="0"/>
              <w:bottom w:val="single" w:color="auto" w:sz="4" w:space="0"/>
              <w:right w:val="single" w:color="auto" w:sz="4" w:space="0"/>
            </w:tcBorders>
            <w:vAlign w:val="center"/>
          </w:tcPr>
          <w:p w14:paraId="2EE50ED9">
            <w:pPr>
              <w:spacing w:line="440" w:lineRule="exact"/>
              <w:rPr>
                <w:szCs w:val="21"/>
                <w:highlight w:val="none"/>
              </w:rPr>
            </w:pPr>
            <w:r>
              <w:rPr>
                <w:rFonts w:hint="eastAsia"/>
                <w:szCs w:val="21"/>
                <w:highlight w:val="none"/>
                <w:lang w:eastAsia="zh-CN"/>
              </w:rPr>
              <w:t>磋商</w:t>
            </w:r>
            <w:r>
              <w:rPr>
                <w:rFonts w:hint="eastAsia"/>
                <w:szCs w:val="21"/>
                <w:highlight w:val="none"/>
              </w:rPr>
              <w:t>有效期</w:t>
            </w:r>
          </w:p>
        </w:tc>
        <w:tc>
          <w:tcPr>
            <w:tcW w:w="3912" w:type="dxa"/>
            <w:tcBorders>
              <w:top w:val="single" w:color="auto" w:sz="4" w:space="0"/>
              <w:left w:val="single" w:color="auto" w:sz="4" w:space="0"/>
              <w:bottom w:val="single" w:color="auto" w:sz="4" w:space="0"/>
              <w:right w:val="single" w:color="auto" w:sz="4" w:space="0"/>
            </w:tcBorders>
            <w:vAlign w:val="center"/>
          </w:tcPr>
          <w:p w14:paraId="143BBB22">
            <w:pPr>
              <w:spacing w:line="440" w:lineRule="exact"/>
              <w:rPr>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065C5970">
            <w:pPr>
              <w:spacing w:line="440" w:lineRule="exact"/>
              <w:rPr>
                <w:szCs w:val="21"/>
                <w:highlight w:val="none"/>
              </w:rPr>
            </w:pPr>
          </w:p>
        </w:tc>
      </w:tr>
      <w:tr w14:paraId="6A8C7B7A">
        <w:tblPrEx>
          <w:tblCellMar>
            <w:top w:w="0" w:type="dxa"/>
            <w:left w:w="108" w:type="dxa"/>
            <w:bottom w:w="0" w:type="dxa"/>
            <w:right w:w="108" w:type="dxa"/>
          </w:tblCellMar>
        </w:tblPrEx>
        <w:trPr>
          <w:trHeight w:val="598" w:hRule="atLeast"/>
        </w:trPr>
        <w:tc>
          <w:tcPr>
            <w:tcW w:w="851" w:type="dxa"/>
            <w:tcBorders>
              <w:top w:val="single" w:color="auto" w:sz="4" w:space="0"/>
              <w:left w:val="single" w:color="auto" w:sz="4" w:space="0"/>
              <w:bottom w:val="single" w:color="auto" w:sz="4" w:space="0"/>
              <w:right w:val="single" w:color="auto" w:sz="4" w:space="0"/>
            </w:tcBorders>
            <w:vAlign w:val="center"/>
          </w:tcPr>
          <w:p w14:paraId="07450213">
            <w:pPr>
              <w:spacing w:line="440" w:lineRule="exact"/>
              <w:jc w:val="center"/>
              <w:rPr>
                <w:szCs w:val="21"/>
                <w:highlight w:val="none"/>
                <w:lang w:eastAsia="zh-CN"/>
              </w:rPr>
            </w:pPr>
            <w:r>
              <w:rPr>
                <w:rFonts w:hint="eastAsia"/>
                <w:szCs w:val="21"/>
                <w:highlight w:val="none"/>
                <w:lang w:eastAsia="zh-CN"/>
              </w:rPr>
              <w:t>3</w:t>
            </w:r>
          </w:p>
        </w:tc>
        <w:tc>
          <w:tcPr>
            <w:tcW w:w="2229" w:type="dxa"/>
            <w:tcBorders>
              <w:top w:val="single" w:color="auto" w:sz="4" w:space="0"/>
              <w:left w:val="single" w:color="auto" w:sz="4" w:space="0"/>
              <w:bottom w:val="single" w:color="auto" w:sz="4" w:space="0"/>
              <w:right w:val="single" w:color="auto" w:sz="4" w:space="0"/>
            </w:tcBorders>
            <w:vAlign w:val="center"/>
          </w:tcPr>
          <w:p w14:paraId="391BC289">
            <w:pPr>
              <w:spacing w:line="440" w:lineRule="exact"/>
              <w:rPr>
                <w:kern w:val="2"/>
                <w:sz w:val="21"/>
                <w:szCs w:val="21"/>
                <w:highlight w:val="none"/>
                <w:lang w:eastAsia="zh-CN"/>
              </w:rPr>
            </w:pPr>
            <w:r>
              <w:rPr>
                <w:rFonts w:hint="eastAsia"/>
                <w:szCs w:val="21"/>
                <w:highlight w:val="none"/>
                <w:lang w:eastAsia="zh-CN"/>
              </w:rPr>
              <w:t>质量标准</w:t>
            </w:r>
          </w:p>
        </w:tc>
        <w:tc>
          <w:tcPr>
            <w:tcW w:w="3912" w:type="dxa"/>
            <w:tcBorders>
              <w:top w:val="single" w:color="auto" w:sz="4" w:space="0"/>
              <w:left w:val="single" w:color="auto" w:sz="4" w:space="0"/>
              <w:bottom w:val="single" w:color="auto" w:sz="4" w:space="0"/>
              <w:right w:val="single" w:color="auto" w:sz="4" w:space="0"/>
            </w:tcBorders>
            <w:vAlign w:val="center"/>
          </w:tcPr>
          <w:p w14:paraId="72D82FB1">
            <w:pPr>
              <w:spacing w:line="440" w:lineRule="exact"/>
              <w:rPr>
                <w:kern w:val="2"/>
                <w:sz w:val="21"/>
                <w:szCs w:val="21"/>
                <w:highlight w:val="none"/>
                <w:lang w:eastAsia="zh-CN"/>
              </w:rPr>
            </w:pPr>
          </w:p>
        </w:tc>
        <w:tc>
          <w:tcPr>
            <w:tcW w:w="2246" w:type="dxa"/>
            <w:tcBorders>
              <w:top w:val="single" w:color="auto" w:sz="4" w:space="0"/>
              <w:left w:val="single" w:color="auto" w:sz="4" w:space="0"/>
              <w:bottom w:val="single" w:color="auto" w:sz="4" w:space="0"/>
              <w:right w:val="single" w:color="auto" w:sz="4" w:space="0"/>
            </w:tcBorders>
            <w:vAlign w:val="center"/>
          </w:tcPr>
          <w:p w14:paraId="3144751D">
            <w:pPr>
              <w:spacing w:line="440" w:lineRule="exact"/>
              <w:rPr>
                <w:szCs w:val="21"/>
                <w:highlight w:val="none"/>
              </w:rPr>
            </w:pPr>
          </w:p>
        </w:tc>
      </w:tr>
      <w:tr w14:paraId="2F08F30D">
        <w:tblPrEx>
          <w:tblCellMar>
            <w:top w:w="0" w:type="dxa"/>
            <w:left w:w="108" w:type="dxa"/>
            <w:bottom w:w="0" w:type="dxa"/>
            <w:right w:w="108" w:type="dxa"/>
          </w:tblCellMar>
        </w:tblPrEx>
        <w:trPr>
          <w:trHeight w:val="598" w:hRule="atLeast"/>
        </w:trPr>
        <w:tc>
          <w:tcPr>
            <w:tcW w:w="851" w:type="dxa"/>
            <w:tcBorders>
              <w:top w:val="single" w:color="auto" w:sz="4" w:space="0"/>
              <w:left w:val="single" w:color="auto" w:sz="4" w:space="0"/>
              <w:bottom w:val="single" w:color="auto" w:sz="4" w:space="0"/>
              <w:right w:val="single" w:color="auto" w:sz="4" w:space="0"/>
            </w:tcBorders>
            <w:vAlign w:val="center"/>
          </w:tcPr>
          <w:p w14:paraId="0AC70D43">
            <w:pPr>
              <w:spacing w:line="440" w:lineRule="exact"/>
              <w:jc w:val="center"/>
              <w:rPr>
                <w:szCs w:val="21"/>
                <w:highlight w:val="none"/>
                <w:lang w:eastAsia="zh-CN"/>
              </w:rPr>
            </w:pPr>
            <w:r>
              <w:rPr>
                <w:rFonts w:hint="eastAsia"/>
                <w:szCs w:val="21"/>
                <w:highlight w:val="none"/>
                <w:lang w:eastAsia="zh-CN"/>
              </w:rPr>
              <w:t>4</w:t>
            </w:r>
          </w:p>
        </w:tc>
        <w:tc>
          <w:tcPr>
            <w:tcW w:w="2229" w:type="dxa"/>
            <w:tcBorders>
              <w:top w:val="single" w:color="auto" w:sz="4" w:space="0"/>
              <w:left w:val="single" w:color="auto" w:sz="4" w:space="0"/>
              <w:bottom w:val="single" w:color="auto" w:sz="4" w:space="0"/>
              <w:right w:val="single" w:color="auto" w:sz="4" w:space="0"/>
            </w:tcBorders>
            <w:vAlign w:val="center"/>
          </w:tcPr>
          <w:p w14:paraId="7068B883">
            <w:pPr>
              <w:spacing w:line="440" w:lineRule="exact"/>
              <w:rPr>
                <w:kern w:val="2"/>
                <w:sz w:val="21"/>
                <w:szCs w:val="21"/>
                <w:highlight w:val="none"/>
                <w:lang w:eastAsia="zh-CN"/>
              </w:rPr>
            </w:pPr>
          </w:p>
        </w:tc>
        <w:tc>
          <w:tcPr>
            <w:tcW w:w="3912" w:type="dxa"/>
            <w:tcBorders>
              <w:top w:val="single" w:color="auto" w:sz="4" w:space="0"/>
              <w:left w:val="single" w:color="auto" w:sz="4" w:space="0"/>
              <w:bottom w:val="single" w:color="auto" w:sz="4" w:space="0"/>
              <w:right w:val="single" w:color="auto" w:sz="4" w:space="0"/>
            </w:tcBorders>
            <w:vAlign w:val="center"/>
          </w:tcPr>
          <w:p w14:paraId="128ED350">
            <w:pPr>
              <w:spacing w:line="440" w:lineRule="exact"/>
              <w:rPr>
                <w:kern w:val="2"/>
                <w:sz w:val="21"/>
                <w:szCs w:val="21"/>
                <w:highlight w:val="none"/>
                <w:lang w:eastAsia="zh-CN"/>
              </w:rPr>
            </w:pPr>
          </w:p>
        </w:tc>
        <w:tc>
          <w:tcPr>
            <w:tcW w:w="2246" w:type="dxa"/>
            <w:tcBorders>
              <w:top w:val="single" w:color="auto" w:sz="4" w:space="0"/>
              <w:left w:val="single" w:color="auto" w:sz="4" w:space="0"/>
              <w:bottom w:val="single" w:color="auto" w:sz="4" w:space="0"/>
              <w:right w:val="single" w:color="auto" w:sz="4" w:space="0"/>
            </w:tcBorders>
            <w:vAlign w:val="center"/>
          </w:tcPr>
          <w:p w14:paraId="756AD672">
            <w:pPr>
              <w:spacing w:line="440" w:lineRule="exact"/>
              <w:rPr>
                <w:szCs w:val="21"/>
                <w:highlight w:val="none"/>
              </w:rPr>
            </w:pPr>
          </w:p>
        </w:tc>
      </w:tr>
      <w:tr w14:paraId="09F25FC9">
        <w:tblPrEx>
          <w:tblCellMar>
            <w:top w:w="0" w:type="dxa"/>
            <w:left w:w="108" w:type="dxa"/>
            <w:bottom w:w="0" w:type="dxa"/>
            <w:right w:w="108" w:type="dxa"/>
          </w:tblCellMar>
        </w:tblPrEx>
        <w:trPr>
          <w:trHeight w:val="598" w:hRule="atLeast"/>
        </w:trPr>
        <w:tc>
          <w:tcPr>
            <w:tcW w:w="851" w:type="dxa"/>
            <w:tcBorders>
              <w:top w:val="single" w:color="auto" w:sz="4" w:space="0"/>
              <w:left w:val="single" w:color="auto" w:sz="4" w:space="0"/>
              <w:bottom w:val="single" w:color="auto" w:sz="4" w:space="0"/>
              <w:right w:val="single" w:color="auto" w:sz="4" w:space="0"/>
            </w:tcBorders>
            <w:vAlign w:val="center"/>
          </w:tcPr>
          <w:p w14:paraId="3A886142">
            <w:pPr>
              <w:spacing w:line="440" w:lineRule="exact"/>
              <w:jc w:val="center"/>
              <w:rPr>
                <w:szCs w:val="21"/>
                <w:highlight w:val="none"/>
                <w:lang w:eastAsia="zh-CN"/>
              </w:rPr>
            </w:pPr>
            <w:r>
              <w:rPr>
                <w:rFonts w:hint="eastAsia"/>
                <w:szCs w:val="21"/>
                <w:highlight w:val="none"/>
                <w:lang w:eastAsia="zh-CN"/>
              </w:rPr>
              <w:t>5</w:t>
            </w:r>
          </w:p>
        </w:tc>
        <w:tc>
          <w:tcPr>
            <w:tcW w:w="2229" w:type="dxa"/>
            <w:tcBorders>
              <w:top w:val="single" w:color="auto" w:sz="4" w:space="0"/>
              <w:left w:val="single" w:color="auto" w:sz="4" w:space="0"/>
              <w:bottom w:val="single" w:color="auto" w:sz="4" w:space="0"/>
              <w:right w:val="single" w:color="auto" w:sz="4" w:space="0"/>
            </w:tcBorders>
            <w:vAlign w:val="center"/>
          </w:tcPr>
          <w:p w14:paraId="0188A672">
            <w:pPr>
              <w:spacing w:line="440" w:lineRule="exact"/>
              <w:rPr>
                <w:szCs w:val="21"/>
                <w:highlight w:val="none"/>
                <w:lang w:eastAsia="zh-CN"/>
              </w:rPr>
            </w:pPr>
            <w:r>
              <w:rPr>
                <w:rFonts w:hint="eastAsia"/>
                <w:szCs w:val="21"/>
                <w:highlight w:val="none"/>
              </w:rPr>
              <w:t>……</w:t>
            </w:r>
          </w:p>
        </w:tc>
        <w:tc>
          <w:tcPr>
            <w:tcW w:w="3912" w:type="dxa"/>
            <w:tcBorders>
              <w:top w:val="single" w:color="auto" w:sz="4" w:space="0"/>
              <w:left w:val="single" w:color="auto" w:sz="4" w:space="0"/>
              <w:bottom w:val="single" w:color="auto" w:sz="4" w:space="0"/>
              <w:right w:val="single" w:color="auto" w:sz="4" w:space="0"/>
            </w:tcBorders>
            <w:vAlign w:val="center"/>
          </w:tcPr>
          <w:p w14:paraId="027339C7">
            <w:pPr>
              <w:rPr>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238A4A4D">
            <w:pPr>
              <w:spacing w:line="440" w:lineRule="exact"/>
              <w:rPr>
                <w:szCs w:val="21"/>
                <w:highlight w:val="none"/>
              </w:rPr>
            </w:pPr>
          </w:p>
        </w:tc>
      </w:tr>
      <w:tr w14:paraId="7E287D72">
        <w:tblPrEx>
          <w:tblCellMar>
            <w:top w:w="0" w:type="dxa"/>
            <w:left w:w="108" w:type="dxa"/>
            <w:bottom w:w="0" w:type="dxa"/>
            <w:right w:w="108" w:type="dxa"/>
          </w:tblCellMar>
        </w:tblPrEx>
        <w:trPr>
          <w:trHeight w:val="598" w:hRule="atLeast"/>
        </w:trPr>
        <w:tc>
          <w:tcPr>
            <w:tcW w:w="851" w:type="dxa"/>
            <w:tcBorders>
              <w:top w:val="single" w:color="auto" w:sz="4" w:space="0"/>
              <w:left w:val="single" w:color="auto" w:sz="4" w:space="0"/>
              <w:bottom w:val="single" w:color="auto" w:sz="4" w:space="0"/>
              <w:right w:val="single" w:color="auto" w:sz="4" w:space="0"/>
            </w:tcBorders>
            <w:vAlign w:val="center"/>
          </w:tcPr>
          <w:p w14:paraId="1D856CE4">
            <w:pPr>
              <w:spacing w:line="440" w:lineRule="exact"/>
              <w:jc w:val="center"/>
              <w:rPr>
                <w:szCs w:val="21"/>
                <w:highlight w:val="none"/>
                <w:lang w:eastAsia="zh-CN"/>
              </w:rPr>
            </w:pPr>
            <w:r>
              <w:rPr>
                <w:rFonts w:hint="eastAsia"/>
                <w:szCs w:val="21"/>
                <w:highlight w:val="none"/>
                <w:lang w:eastAsia="zh-CN"/>
              </w:rPr>
              <w:t>6</w:t>
            </w:r>
          </w:p>
        </w:tc>
        <w:tc>
          <w:tcPr>
            <w:tcW w:w="2229" w:type="dxa"/>
            <w:tcBorders>
              <w:top w:val="single" w:color="auto" w:sz="4" w:space="0"/>
              <w:left w:val="single" w:color="auto" w:sz="4" w:space="0"/>
              <w:bottom w:val="single" w:color="auto" w:sz="4" w:space="0"/>
              <w:right w:val="single" w:color="auto" w:sz="4" w:space="0"/>
            </w:tcBorders>
            <w:vAlign w:val="center"/>
          </w:tcPr>
          <w:p w14:paraId="02064602">
            <w:pPr>
              <w:spacing w:line="440" w:lineRule="exact"/>
              <w:rPr>
                <w:szCs w:val="21"/>
                <w:highlight w:val="none"/>
              </w:rPr>
            </w:pPr>
            <w:r>
              <w:rPr>
                <w:rFonts w:hint="eastAsia"/>
                <w:szCs w:val="21"/>
                <w:highlight w:val="none"/>
              </w:rPr>
              <w:t>……</w:t>
            </w:r>
          </w:p>
        </w:tc>
        <w:tc>
          <w:tcPr>
            <w:tcW w:w="3912" w:type="dxa"/>
            <w:tcBorders>
              <w:top w:val="single" w:color="auto" w:sz="4" w:space="0"/>
              <w:left w:val="single" w:color="auto" w:sz="4" w:space="0"/>
              <w:bottom w:val="single" w:color="auto" w:sz="4" w:space="0"/>
              <w:right w:val="single" w:color="auto" w:sz="4" w:space="0"/>
            </w:tcBorders>
            <w:vAlign w:val="center"/>
          </w:tcPr>
          <w:p w14:paraId="13798252">
            <w:pPr>
              <w:spacing w:line="440" w:lineRule="exact"/>
              <w:rPr>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4504954B">
            <w:pPr>
              <w:spacing w:line="440" w:lineRule="exact"/>
              <w:rPr>
                <w:szCs w:val="21"/>
                <w:highlight w:val="none"/>
              </w:rPr>
            </w:pPr>
          </w:p>
        </w:tc>
      </w:tr>
      <w:tr w14:paraId="24DFD3F0">
        <w:tblPrEx>
          <w:tblCellMar>
            <w:top w:w="0" w:type="dxa"/>
            <w:left w:w="108" w:type="dxa"/>
            <w:bottom w:w="0" w:type="dxa"/>
            <w:right w:w="108" w:type="dxa"/>
          </w:tblCellMar>
        </w:tblPrEx>
        <w:trPr>
          <w:trHeight w:val="953" w:hRule="atLeast"/>
        </w:trPr>
        <w:tc>
          <w:tcPr>
            <w:tcW w:w="9238" w:type="dxa"/>
            <w:gridSpan w:val="4"/>
            <w:tcBorders>
              <w:top w:val="single" w:color="auto" w:sz="4" w:space="0"/>
              <w:left w:val="single" w:color="auto" w:sz="4" w:space="0"/>
              <w:bottom w:val="single" w:color="auto" w:sz="4" w:space="0"/>
              <w:right w:val="single" w:color="auto" w:sz="4" w:space="0"/>
            </w:tcBorders>
            <w:vAlign w:val="center"/>
          </w:tcPr>
          <w:p w14:paraId="34CD41F9">
            <w:pPr>
              <w:spacing w:line="440" w:lineRule="exact"/>
              <w:rPr>
                <w:szCs w:val="21"/>
                <w:highlight w:val="none"/>
                <w:lang w:eastAsia="zh-CN"/>
              </w:rPr>
            </w:pPr>
            <w:r>
              <w:rPr>
                <w:rFonts w:hint="eastAsia"/>
                <w:szCs w:val="21"/>
                <w:highlight w:val="none"/>
                <w:lang w:eastAsia="zh-CN"/>
              </w:rPr>
              <w:t>备注：供应商在响应磋商文件中规定的实质性要求和条件的基础上，可做出其他有利于采购人的承诺。此类承诺可在本表中予以补充填写。</w:t>
            </w:r>
          </w:p>
        </w:tc>
      </w:tr>
    </w:tbl>
    <w:p w14:paraId="17F08D58">
      <w:pPr>
        <w:pStyle w:val="8"/>
        <w:wordWrap w:val="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p>
    <w:p w14:paraId="18653117">
      <w:pPr>
        <w:spacing w:line="440" w:lineRule="exact"/>
        <w:rPr>
          <w:szCs w:val="21"/>
          <w:highlight w:val="none"/>
          <w:lang w:eastAsia="zh-CN"/>
        </w:rPr>
      </w:pPr>
    </w:p>
    <w:p w14:paraId="30FDFFC2">
      <w:pPr>
        <w:spacing w:line="440" w:lineRule="exact"/>
        <w:rPr>
          <w:szCs w:val="21"/>
          <w:highlight w:val="none"/>
          <w:lang w:eastAsia="zh-CN"/>
        </w:rPr>
      </w:pPr>
    </w:p>
    <w:p w14:paraId="4DFFBB27">
      <w:pPr>
        <w:spacing w:line="440" w:lineRule="exact"/>
        <w:rPr>
          <w:szCs w:val="21"/>
          <w:highlight w:val="none"/>
          <w:lang w:eastAsia="zh-CN"/>
        </w:rPr>
      </w:pPr>
    </w:p>
    <w:p w14:paraId="5F7CDC4D">
      <w:pPr>
        <w:spacing w:line="440" w:lineRule="exact"/>
        <w:rPr>
          <w:szCs w:val="21"/>
          <w:highlight w:val="none"/>
          <w:lang w:eastAsia="zh-CN"/>
        </w:rPr>
      </w:pPr>
    </w:p>
    <w:p w14:paraId="5B30ED29">
      <w:pPr>
        <w:spacing w:line="440" w:lineRule="exact"/>
        <w:rPr>
          <w:szCs w:val="21"/>
          <w:highlight w:val="none"/>
          <w:lang w:eastAsia="zh-CN"/>
        </w:rPr>
      </w:pPr>
    </w:p>
    <w:p w14:paraId="22C46512">
      <w:pPr>
        <w:spacing w:line="440" w:lineRule="exact"/>
        <w:rPr>
          <w:szCs w:val="21"/>
          <w:highlight w:val="none"/>
          <w:lang w:eastAsia="zh-CN"/>
        </w:rPr>
      </w:pPr>
      <w:r>
        <w:rPr>
          <w:rFonts w:hint="eastAsia"/>
          <w:szCs w:val="21"/>
          <w:highlight w:val="none"/>
          <w:lang w:eastAsia="zh-CN"/>
        </w:rPr>
        <w:t>供 应 商：</w:t>
      </w:r>
      <w:r>
        <w:rPr>
          <w:rFonts w:hint="eastAsia"/>
          <w:szCs w:val="21"/>
          <w:highlight w:val="none"/>
          <w:u w:val="single"/>
          <w:lang w:eastAsia="zh-CN"/>
        </w:rPr>
        <w:t xml:space="preserve">                      </w:t>
      </w:r>
      <w:r>
        <w:rPr>
          <w:rFonts w:hint="eastAsia"/>
          <w:szCs w:val="21"/>
          <w:highlight w:val="none"/>
          <w:lang w:eastAsia="zh-CN"/>
        </w:rPr>
        <w:t>（盖单位章）</w:t>
      </w:r>
    </w:p>
    <w:p w14:paraId="734EE3E4">
      <w:pPr>
        <w:spacing w:line="440" w:lineRule="exact"/>
        <w:rPr>
          <w:rFonts w:hint="eastAsia"/>
          <w:szCs w:val="21"/>
          <w:highlight w:val="none"/>
          <w:lang w:eastAsia="zh-CN"/>
        </w:rPr>
      </w:pPr>
    </w:p>
    <w:p w14:paraId="4FA2B3D0">
      <w:pPr>
        <w:spacing w:line="440" w:lineRule="exact"/>
        <w:rPr>
          <w:szCs w:val="21"/>
          <w:highlight w:val="none"/>
          <w:lang w:eastAsia="zh-CN"/>
        </w:rPr>
      </w:pPr>
      <w:r>
        <w:rPr>
          <w:rFonts w:hint="eastAsia"/>
          <w:szCs w:val="21"/>
          <w:highlight w:val="none"/>
          <w:lang w:eastAsia="zh-CN"/>
        </w:rPr>
        <w:t>法定代表人或其委托代理人：</w:t>
      </w:r>
      <w:r>
        <w:rPr>
          <w:rFonts w:hint="eastAsia"/>
          <w:szCs w:val="21"/>
          <w:highlight w:val="none"/>
          <w:u w:val="single"/>
          <w:lang w:eastAsia="zh-CN"/>
        </w:rPr>
        <w:t xml:space="preserve">          </w:t>
      </w:r>
      <w:r>
        <w:rPr>
          <w:rFonts w:hint="eastAsia"/>
          <w:szCs w:val="21"/>
          <w:highlight w:val="none"/>
          <w:lang w:eastAsia="zh-CN"/>
        </w:rPr>
        <w:t>（签字）</w:t>
      </w:r>
    </w:p>
    <w:p w14:paraId="36BC8F9A">
      <w:pPr>
        <w:spacing w:line="440" w:lineRule="exact"/>
        <w:jc w:val="right"/>
        <w:rPr>
          <w:rFonts w:hint="eastAsia"/>
          <w:szCs w:val="21"/>
          <w:highlight w:val="none"/>
          <w:u w:val="single"/>
          <w:lang w:eastAsia="zh-CN"/>
        </w:rPr>
      </w:pPr>
    </w:p>
    <w:p w14:paraId="75DFA1AF">
      <w:pPr>
        <w:spacing w:line="440" w:lineRule="exact"/>
        <w:jc w:val="right"/>
        <w:rPr>
          <w:rFonts w:hint="eastAsia"/>
          <w:szCs w:val="21"/>
          <w:highlight w:val="none"/>
          <w:u w:val="single"/>
          <w:lang w:eastAsia="zh-CN"/>
        </w:rPr>
      </w:pPr>
    </w:p>
    <w:p w14:paraId="1B629602">
      <w:pPr>
        <w:spacing w:line="440" w:lineRule="exact"/>
        <w:jc w:val="right"/>
        <w:rPr>
          <w:sz w:val="20"/>
          <w:szCs w:val="20"/>
          <w:highlight w:val="none"/>
          <w:lang w:eastAsia="zh-CN"/>
        </w:rPr>
      </w:pPr>
      <w:r>
        <w:rPr>
          <w:rFonts w:hint="eastAsia"/>
          <w:szCs w:val="21"/>
          <w:highlight w:val="none"/>
          <w:u w:val="single"/>
          <w:lang w:eastAsia="zh-CN"/>
        </w:rPr>
        <w:t xml:space="preserve">        </w:t>
      </w:r>
      <w:r>
        <w:rPr>
          <w:rFonts w:hint="eastAsia"/>
          <w:szCs w:val="21"/>
          <w:highlight w:val="none"/>
          <w:lang w:eastAsia="zh-CN"/>
        </w:rPr>
        <w:t>年</w:t>
      </w:r>
      <w:r>
        <w:rPr>
          <w:rFonts w:hint="eastAsia"/>
          <w:szCs w:val="21"/>
          <w:highlight w:val="none"/>
          <w:u w:val="single"/>
          <w:lang w:eastAsia="zh-CN"/>
        </w:rPr>
        <w:t xml:space="preserve">        </w:t>
      </w:r>
      <w:r>
        <w:rPr>
          <w:rFonts w:hint="eastAsia"/>
          <w:szCs w:val="21"/>
          <w:highlight w:val="none"/>
          <w:lang w:eastAsia="zh-CN"/>
        </w:rPr>
        <w:t>月</w:t>
      </w:r>
      <w:r>
        <w:rPr>
          <w:rFonts w:hint="eastAsia"/>
          <w:szCs w:val="21"/>
          <w:highlight w:val="none"/>
          <w:u w:val="single"/>
          <w:lang w:eastAsia="zh-CN"/>
        </w:rPr>
        <w:t xml:space="preserve">        </w:t>
      </w:r>
      <w:r>
        <w:rPr>
          <w:rFonts w:hint="eastAsia"/>
          <w:szCs w:val="21"/>
          <w:highlight w:val="none"/>
          <w:lang w:eastAsia="zh-CN"/>
        </w:rPr>
        <w:t>日</w:t>
      </w:r>
    </w:p>
    <w:p w14:paraId="37C9DF9B">
      <w:pPr>
        <w:wordWrap w:val="0"/>
        <w:jc w:val="right"/>
        <w:rPr>
          <w:rFonts w:asciiTheme="minorEastAsia" w:hAnsiTheme="minorEastAsia" w:eastAsiaTheme="minorEastAsia" w:cstheme="minorEastAsia"/>
          <w:color w:val="000000" w:themeColor="text1"/>
          <w:highlight w:val="none"/>
          <w:lang w:eastAsia="zh-CN"/>
          <w14:textFill>
            <w14:solidFill>
              <w14:schemeClr w14:val="tx1"/>
            </w14:solidFill>
          </w14:textFill>
        </w:rPr>
        <w:sectPr>
          <w:pgSz w:w="12240" w:h="15840"/>
          <w:pgMar w:top="1400" w:right="1620" w:bottom="1120" w:left="1620" w:header="0" w:footer="921" w:gutter="0"/>
          <w:pgBorders>
            <w:top w:val="none" w:sz="0" w:space="0"/>
            <w:left w:val="none" w:sz="0" w:space="0"/>
            <w:bottom w:val="none" w:sz="0" w:space="0"/>
            <w:right w:val="none" w:sz="0" w:space="0"/>
          </w:pgBorders>
          <w:pgNumType w:fmt="decimal"/>
          <w:cols w:space="720" w:num="1"/>
        </w:sectPr>
      </w:pPr>
    </w:p>
    <w:p w14:paraId="5B32F5A6">
      <w:pPr>
        <w:wordWrap w:val="0"/>
        <w:spacing w:after="240" w:afterLines="100"/>
        <w:jc w:val="center"/>
        <w:rPr>
          <w:rFonts w:hint="default"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bookmarkStart w:id="144" w:name="_bookmark198"/>
      <w:bookmarkEnd w:id="144"/>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二、首次报价一览表</w:t>
      </w:r>
    </w:p>
    <w:p w14:paraId="52C3E766">
      <w:pPr>
        <w:widowControl/>
        <w:wordWrap w:val="0"/>
        <w:autoSpaceDE w:val="0"/>
        <w:autoSpaceDN w:val="0"/>
        <w:spacing w:line="360" w:lineRule="auto"/>
        <w:ind w:right="890"/>
        <w:textAlignment w:val="bottom"/>
        <w:rPr>
          <w:rFonts w:asciiTheme="minorEastAsia" w:hAnsiTheme="minorEastAsia" w:eastAsiaTheme="minorEastAsia" w:cstheme="minorEastAsia"/>
          <w:color w:val="000000" w:themeColor="text1"/>
          <w:highlight w:val="none"/>
          <w:lang w:eastAsia="zh-CN"/>
          <w14:textFill>
            <w14:solidFill>
              <w14:schemeClr w14:val="tx1"/>
            </w14:solidFill>
          </w14:textFill>
        </w:rPr>
      </w:pPr>
    </w:p>
    <w:p w14:paraId="26F47D0A">
      <w:pPr>
        <w:widowControl/>
        <w:wordWrap w:val="0"/>
        <w:autoSpaceDE w:val="0"/>
        <w:autoSpaceDN w:val="0"/>
        <w:spacing w:line="360" w:lineRule="auto"/>
        <w:textAlignment w:val="bottom"/>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名称：</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   </w:t>
      </w:r>
    </w:p>
    <w:p w14:paraId="0F235ED6">
      <w:pPr>
        <w:widowControl/>
        <w:wordWrap w:val="0"/>
        <w:autoSpaceDE w:val="0"/>
        <w:autoSpaceDN w:val="0"/>
        <w:spacing w:line="360" w:lineRule="auto"/>
        <w:textAlignment w:val="bottom"/>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编号：</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p>
    <w:tbl>
      <w:tblPr>
        <w:tblStyle w:val="27"/>
        <w:tblW w:w="50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638"/>
        <w:gridCol w:w="2421"/>
        <w:gridCol w:w="1715"/>
        <w:gridCol w:w="1738"/>
      </w:tblGrid>
      <w:tr w14:paraId="22B6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53" w:type="pct"/>
            <w:vAlign w:val="center"/>
          </w:tcPr>
          <w:p w14:paraId="6BD8A088">
            <w:pPr>
              <w:wordWrap w:val="0"/>
              <w:autoSpaceDE w:val="0"/>
              <w:autoSpaceDN w:val="0"/>
              <w:adjustRightInd w:val="0"/>
              <w:jc w:val="center"/>
              <w:rPr>
                <w:rFonts w:asciiTheme="minorEastAsia" w:hAnsiTheme="minorEastAsia" w:eastAsiaTheme="minorEastAsia" w:cstheme="minorEastAsia"/>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Cs w:val="21"/>
                <w:highlight w:val="none"/>
                <w:lang w:val="zh-CN"/>
                <w14:textFill>
                  <w14:solidFill>
                    <w14:schemeClr w14:val="tx1"/>
                  </w14:solidFill>
                </w14:textFill>
              </w:rPr>
              <w:t>名称</w:t>
            </w:r>
          </w:p>
        </w:tc>
        <w:tc>
          <w:tcPr>
            <w:tcW w:w="904" w:type="pct"/>
            <w:vAlign w:val="center"/>
          </w:tcPr>
          <w:p w14:paraId="63E385FC">
            <w:pPr>
              <w:wordWrap w:val="0"/>
              <w:autoSpaceDE w:val="0"/>
              <w:autoSpaceDN w:val="0"/>
              <w:adjustRightInd w:val="0"/>
              <w:jc w:val="center"/>
              <w:rPr>
                <w:rFonts w:hint="default"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磋商总报价（万元）</w:t>
            </w:r>
          </w:p>
        </w:tc>
        <w:tc>
          <w:tcPr>
            <w:tcW w:w="1336" w:type="pct"/>
            <w:vAlign w:val="center"/>
          </w:tcPr>
          <w:p w14:paraId="4170D309">
            <w:pPr>
              <w:wordWrap w:val="0"/>
              <w:autoSpaceDE w:val="0"/>
              <w:autoSpaceDN w:val="0"/>
              <w:adjustRightInd w:val="0"/>
              <w:jc w:val="center"/>
              <w:rPr>
                <w:rFonts w:hint="eastAsia"/>
                <w:color w:val="000000" w:themeColor="text1"/>
                <w:highlight w:val="none"/>
                <w:lang w:val="zh-CN" w:eastAsia="zh-CN"/>
                <w14:textFill>
                  <w14:solidFill>
                    <w14:schemeClr w14:val="tx1"/>
                  </w14:solidFill>
                </w14:textFill>
              </w:rPr>
            </w:pPr>
            <w:r>
              <w:rPr>
                <w:rFonts w:hint="eastAsia"/>
                <w:color w:val="000000" w:themeColor="text1"/>
                <w:highlight w:val="none"/>
                <w:lang w:val="zh-CN" w:eastAsia="zh-CN"/>
                <w14:textFill>
                  <w14:solidFill>
                    <w14:schemeClr w14:val="tx1"/>
                  </w14:solidFill>
                </w14:textFill>
              </w:rPr>
              <w:t>合同履行期限</w:t>
            </w:r>
          </w:p>
          <w:p w14:paraId="121B7BDB">
            <w:pPr>
              <w:wordWrap w:val="0"/>
              <w:autoSpaceDE w:val="0"/>
              <w:autoSpaceDN w:val="0"/>
              <w:adjustRightInd w:val="0"/>
              <w:jc w:val="center"/>
              <w:rPr>
                <w:rFonts w:hint="eastAsia"/>
                <w:color w:val="000000" w:themeColor="text1"/>
                <w:highlight w:val="none"/>
                <w:lang w:val="zh-CN" w:eastAsia="zh-CN"/>
                <w14:textFill>
                  <w14:solidFill>
                    <w14:schemeClr w14:val="tx1"/>
                  </w14:solidFill>
                </w14:textFill>
              </w:rPr>
            </w:pPr>
            <w:r>
              <w:rPr>
                <w:rFonts w:hint="eastAsia"/>
                <w:color w:val="000000" w:themeColor="text1"/>
                <w:highlight w:val="none"/>
                <w:lang w:val="zh-CN" w:eastAsia="zh-CN"/>
                <w14:textFill>
                  <w14:solidFill>
                    <w14:schemeClr w14:val="tx1"/>
                  </w14:solidFill>
                </w14:textFill>
              </w:rPr>
              <w:t>（供货期）</w:t>
            </w:r>
          </w:p>
        </w:tc>
        <w:tc>
          <w:tcPr>
            <w:tcW w:w="946" w:type="pct"/>
            <w:vAlign w:val="center"/>
          </w:tcPr>
          <w:p w14:paraId="13F3AD4A">
            <w:pPr>
              <w:wordWrap w:val="0"/>
              <w:autoSpaceDE w:val="0"/>
              <w:autoSpaceDN w:val="0"/>
              <w:adjustRightInd w:val="0"/>
              <w:jc w:val="center"/>
              <w:rPr>
                <w:rFonts w:asciiTheme="minorEastAsia" w:hAnsiTheme="minorEastAsia" w:eastAsiaTheme="minorEastAsia" w:cstheme="minorEastAsia"/>
                <w:bCs/>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zh-CN" w:eastAsia="zh-CN"/>
                <w14:textFill>
                  <w14:solidFill>
                    <w14:schemeClr w14:val="tx1"/>
                  </w14:solidFill>
                </w14:textFill>
              </w:rPr>
              <w:t>质量标准</w:t>
            </w:r>
          </w:p>
        </w:tc>
        <w:tc>
          <w:tcPr>
            <w:tcW w:w="959" w:type="pct"/>
            <w:vAlign w:val="center"/>
          </w:tcPr>
          <w:p w14:paraId="15EBECEE">
            <w:pPr>
              <w:wordWrap w:val="0"/>
              <w:autoSpaceDE w:val="0"/>
              <w:autoSpaceDN w:val="0"/>
              <w:adjustRightInd w:val="0"/>
              <w:jc w:val="center"/>
              <w:rPr>
                <w:rFonts w:asciiTheme="minorEastAsia" w:hAnsiTheme="minorEastAsia" w:eastAsiaTheme="minorEastAsia" w:cstheme="minorEastAsia"/>
                <w:bCs/>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备注</w:t>
            </w:r>
          </w:p>
        </w:tc>
      </w:tr>
      <w:tr w14:paraId="1AF2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853" w:type="pct"/>
            <w:vAlign w:val="center"/>
          </w:tcPr>
          <w:p w14:paraId="0724CA96">
            <w:pPr>
              <w:wordWrap w:val="0"/>
              <w:autoSpaceDE w:val="0"/>
              <w:autoSpaceDN w:val="0"/>
              <w:adjustRightInd w:val="0"/>
              <w:jc w:val="cente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p>
        </w:tc>
        <w:tc>
          <w:tcPr>
            <w:tcW w:w="904" w:type="pct"/>
            <w:vAlign w:val="center"/>
          </w:tcPr>
          <w:p w14:paraId="1A07D16B">
            <w:pPr>
              <w:wordWrap w:val="0"/>
              <w:autoSpaceDE w:val="0"/>
              <w:autoSpaceDN w:val="0"/>
              <w:adjustRightInd w:val="0"/>
              <w:jc w:val="center"/>
              <w:rPr>
                <w:rFonts w:asciiTheme="minorEastAsia" w:hAnsiTheme="minorEastAsia" w:eastAsiaTheme="minorEastAsia" w:cstheme="minorEastAsia"/>
                <w:bCs/>
                <w:color w:val="000000" w:themeColor="text1"/>
                <w:szCs w:val="21"/>
                <w:highlight w:val="none"/>
                <w:lang w:val="zh-CN"/>
                <w14:textFill>
                  <w14:solidFill>
                    <w14:schemeClr w14:val="tx1"/>
                  </w14:solidFill>
                </w14:textFill>
              </w:rPr>
            </w:pPr>
          </w:p>
        </w:tc>
        <w:tc>
          <w:tcPr>
            <w:tcW w:w="1336" w:type="pct"/>
            <w:vAlign w:val="center"/>
          </w:tcPr>
          <w:p w14:paraId="028DB44A">
            <w:pPr>
              <w:wordWrap w:val="0"/>
              <w:autoSpaceDE w:val="0"/>
              <w:autoSpaceDN w:val="0"/>
              <w:adjustRightInd w:val="0"/>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pPr>
          </w:p>
        </w:tc>
        <w:tc>
          <w:tcPr>
            <w:tcW w:w="946" w:type="pct"/>
            <w:vAlign w:val="center"/>
          </w:tcPr>
          <w:p w14:paraId="2293CB7E">
            <w:pPr>
              <w:wordWrap w:val="0"/>
              <w:autoSpaceDE w:val="0"/>
              <w:autoSpaceDN w:val="0"/>
              <w:adjustRightInd w:val="0"/>
              <w:jc w:val="center"/>
              <w:rPr>
                <w:rFonts w:asciiTheme="minorEastAsia" w:hAnsiTheme="minorEastAsia" w:eastAsiaTheme="minorEastAsia" w:cstheme="minorEastAsia"/>
                <w:bCs/>
                <w:color w:val="000000" w:themeColor="text1"/>
                <w:szCs w:val="21"/>
                <w:highlight w:val="none"/>
                <w:lang w:val="zh-CN" w:eastAsia="zh-CN"/>
                <w14:textFill>
                  <w14:solidFill>
                    <w14:schemeClr w14:val="tx1"/>
                  </w14:solidFill>
                </w14:textFill>
              </w:rPr>
            </w:pPr>
          </w:p>
        </w:tc>
        <w:tc>
          <w:tcPr>
            <w:tcW w:w="959" w:type="pct"/>
            <w:vAlign w:val="center"/>
          </w:tcPr>
          <w:p w14:paraId="1ACE9C9E">
            <w:pPr>
              <w:wordWrap w:val="0"/>
              <w:autoSpaceDE w:val="0"/>
              <w:autoSpaceDN w:val="0"/>
              <w:adjustRightInd w:val="0"/>
              <w:jc w:val="center"/>
              <w:rPr>
                <w:rFonts w:asciiTheme="minorEastAsia" w:hAnsiTheme="minorEastAsia" w:eastAsiaTheme="minorEastAsia" w:cstheme="minorEastAsia"/>
                <w:bCs/>
                <w:color w:val="000000" w:themeColor="text1"/>
                <w:szCs w:val="21"/>
                <w:highlight w:val="none"/>
                <w:lang w:val="zh-CN" w:eastAsia="zh-CN"/>
                <w14:textFill>
                  <w14:solidFill>
                    <w14:schemeClr w14:val="tx1"/>
                  </w14:solidFill>
                </w14:textFill>
              </w:rPr>
            </w:pPr>
          </w:p>
        </w:tc>
      </w:tr>
    </w:tbl>
    <w:p w14:paraId="2C46C1B7">
      <w:pPr>
        <w:widowControl/>
        <w:wordWrap w:val="0"/>
        <w:autoSpaceDE w:val="0"/>
        <w:autoSpaceDN w:val="0"/>
        <w:spacing w:line="360" w:lineRule="auto"/>
        <w:ind w:right="893"/>
        <w:textAlignment w:val="bottom"/>
        <w:rPr>
          <w:highlight w:val="none"/>
          <w:lang w:eastAsia="zh-CN"/>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注：</w:t>
      </w:r>
      <w:r>
        <w:rPr>
          <w:rFonts w:hint="eastAsia"/>
          <w:highlight w:val="none"/>
          <w:lang w:eastAsia="zh-CN"/>
        </w:rPr>
        <w:t>本表内容必须与响应文件中内容一致，如不一致以报价一览表内容为准；</w:t>
      </w:r>
    </w:p>
    <w:p w14:paraId="4A356114">
      <w:pPr>
        <w:widowControl/>
        <w:wordWrap w:val="0"/>
        <w:autoSpaceDE w:val="0"/>
        <w:autoSpaceDN w:val="0"/>
        <w:spacing w:line="360" w:lineRule="auto"/>
        <w:ind w:right="893"/>
        <w:textAlignment w:val="bottom"/>
        <w:rPr>
          <w:rFonts w:asciiTheme="minorEastAsia" w:hAnsiTheme="minorEastAsia" w:eastAsiaTheme="minorEastAsia" w:cstheme="minorEastAsia"/>
          <w:color w:val="000000" w:themeColor="text1"/>
          <w:highlight w:val="none"/>
          <w:lang w:eastAsia="zh-CN"/>
          <w14:textFill>
            <w14:solidFill>
              <w14:schemeClr w14:val="tx1"/>
            </w14:solidFill>
          </w14:textFill>
        </w:rPr>
      </w:pPr>
    </w:p>
    <w:p w14:paraId="7483B533">
      <w:pPr>
        <w:pStyle w:val="3"/>
        <w:rPr>
          <w:rFonts w:asciiTheme="minorEastAsia" w:hAnsiTheme="minorEastAsia" w:eastAsiaTheme="minorEastAsia" w:cstheme="minorEastAsia"/>
          <w:color w:val="000000" w:themeColor="text1"/>
          <w:highlight w:val="none"/>
          <w:lang w:eastAsia="zh-CN"/>
          <w14:textFill>
            <w14:solidFill>
              <w14:schemeClr w14:val="tx1"/>
            </w14:solidFill>
          </w14:textFill>
        </w:rPr>
      </w:pPr>
    </w:p>
    <w:p w14:paraId="3C11D80D">
      <w:pPr>
        <w:rPr>
          <w:highlight w:val="none"/>
          <w:lang w:eastAsia="zh-CN"/>
        </w:rPr>
      </w:pPr>
    </w:p>
    <w:p w14:paraId="62E5CF4E">
      <w:pPr>
        <w:pStyle w:val="8"/>
        <w:tabs>
          <w:tab w:val="left" w:pos="7321"/>
        </w:tabs>
        <w:wordWrap w:val="0"/>
        <w:spacing w:before="36"/>
        <w:ind w:left="2701"/>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（盖单位章）</w:t>
      </w:r>
    </w:p>
    <w:p w14:paraId="068FED51">
      <w:pPr>
        <w:pStyle w:val="8"/>
        <w:tabs>
          <w:tab w:val="left" w:pos="7321"/>
        </w:tabs>
        <w:wordWrap w:val="0"/>
        <w:spacing w:before="36"/>
        <w:ind w:left="2701"/>
        <w:rPr>
          <w:rFonts w:asciiTheme="minorEastAsia" w:hAnsiTheme="minorEastAsia" w:eastAsiaTheme="minorEastAsia" w:cstheme="minorEastAsia"/>
          <w:color w:val="000000" w:themeColor="text1"/>
          <w:highlight w:val="none"/>
          <w:lang w:eastAsia="zh-CN"/>
          <w14:textFill>
            <w14:solidFill>
              <w14:schemeClr w14:val="tx1"/>
            </w14:solidFill>
          </w14:textFill>
        </w:rPr>
      </w:pPr>
    </w:p>
    <w:p w14:paraId="0384F0F8">
      <w:pPr>
        <w:pStyle w:val="8"/>
        <w:tabs>
          <w:tab w:val="left" w:pos="7321"/>
        </w:tabs>
        <w:wordWrap w:val="0"/>
        <w:spacing w:before="36"/>
        <w:ind w:left="2701"/>
        <w:rPr>
          <w:rFonts w:asciiTheme="minorEastAsia" w:hAnsiTheme="minorEastAsia" w:eastAsiaTheme="minorEastAsia" w:cstheme="minorEastAsia"/>
          <w:color w:val="000000" w:themeColor="text1"/>
          <w:highlight w:val="none"/>
          <w:lang w:eastAsia="zh-CN"/>
          <w14:textFill>
            <w14:solidFill>
              <w14:schemeClr w14:val="tx1"/>
            </w14:solidFill>
          </w14:textFill>
        </w:rPr>
      </w:pPr>
    </w:p>
    <w:p w14:paraId="65FEDB43">
      <w:pPr>
        <w:pStyle w:val="8"/>
        <w:wordWrap w:val="0"/>
        <w:spacing w:before="12"/>
        <w:rPr>
          <w:rFonts w:asciiTheme="minorEastAsia" w:hAnsiTheme="minorEastAsia" w:eastAsiaTheme="minorEastAsia" w:cstheme="minorEastAsia"/>
          <w:color w:val="000000" w:themeColor="text1"/>
          <w:sz w:val="9"/>
          <w:highlight w:val="none"/>
          <w:lang w:eastAsia="zh-CN"/>
          <w14:textFill>
            <w14:solidFill>
              <w14:schemeClr w14:val="tx1"/>
            </w14:solidFill>
          </w14:textFill>
        </w:rPr>
      </w:pPr>
    </w:p>
    <w:p w14:paraId="209E1369">
      <w:pPr>
        <w:pStyle w:val="8"/>
        <w:tabs>
          <w:tab w:val="left" w:pos="6481"/>
        </w:tabs>
        <w:wordWrap w:val="0"/>
        <w:spacing w:before="37"/>
        <w:ind w:left="2701"/>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法定代表人或其委托代理人：</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（签字）</w:t>
      </w:r>
    </w:p>
    <w:p w14:paraId="6AB689EA">
      <w:pPr>
        <w:pStyle w:val="8"/>
        <w:wordWrap w:val="0"/>
        <w:spacing w:before="10"/>
        <w:rPr>
          <w:rFonts w:asciiTheme="minorEastAsia" w:hAnsiTheme="minorEastAsia" w:eastAsiaTheme="minorEastAsia" w:cstheme="minorEastAsia"/>
          <w:color w:val="000000" w:themeColor="text1"/>
          <w:sz w:val="9"/>
          <w:highlight w:val="none"/>
          <w:lang w:eastAsia="zh-CN"/>
          <w14:textFill>
            <w14:solidFill>
              <w14:schemeClr w14:val="tx1"/>
            </w14:solidFill>
          </w14:textFill>
        </w:rPr>
      </w:pPr>
    </w:p>
    <w:p w14:paraId="6CEE708D">
      <w:pPr>
        <w:wordWrap w:val="0"/>
        <w:jc w:val="right"/>
        <w:rPr>
          <w:rFonts w:asciiTheme="minorEastAsia" w:hAnsiTheme="minorEastAsia" w:eastAsiaTheme="minorEastAsia" w:cstheme="minorEastAsia"/>
          <w:color w:val="000000" w:themeColor="text1"/>
          <w:highlight w:val="none"/>
          <w:u w:val="single"/>
          <w:lang w:eastAsia="zh-CN"/>
          <w14:textFill>
            <w14:solidFill>
              <w14:schemeClr w14:val="tx1"/>
            </w14:solidFill>
          </w14:textFill>
        </w:rPr>
      </w:pPr>
    </w:p>
    <w:p w14:paraId="76D798B9">
      <w:pPr>
        <w:wordWrap w:val="0"/>
        <w:jc w:val="right"/>
        <w:rPr>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日</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br w:type="page"/>
      </w:r>
    </w:p>
    <w:p w14:paraId="2D85CA0F">
      <w:pPr>
        <w:rPr>
          <w:rFonts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p>
    <w:p w14:paraId="4D609920">
      <w:pPr>
        <w:pStyle w:val="13"/>
        <w:rPr>
          <w:highlight w:val="none"/>
          <w:lang w:eastAsia="zh-CN"/>
        </w:rPr>
      </w:pPr>
    </w:p>
    <w:p w14:paraId="16F40A29">
      <w:pPr>
        <w:wordWrap w:val="0"/>
        <w:spacing w:after="240" w:afterLines="100"/>
        <w:jc w:val="center"/>
        <w:rPr>
          <w:rFonts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三、法定代表人身份证明</w:t>
      </w:r>
    </w:p>
    <w:p w14:paraId="46285A63">
      <w:pPr>
        <w:pStyle w:val="8"/>
        <w:wordWrap w:val="0"/>
        <w:rPr>
          <w:rFonts w:asciiTheme="minorEastAsia" w:hAnsiTheme="minorEastAsia" w:eastAsiaTheme="minorEastAsia" w:cstheme="minorEastAsia"/>
          <w:b/>
          <w:color w:val="000000" w:themeColor="text1"/>
          <w:sz w:val="32"/>
          <w:highlight w:val="none"/>
          <w:lang w:eastAsia="zh-CN"/>
          <w14:textFill>
            <w14:solidFill>
              <w14:schemeClr w14:val="tx1"/>
            </w14:solidFill>
          </w14:textFill>
        </w:rPr>
      </w:pPr>
    </w:p>
    <w:p w14:paraId="06014206">
      <w:pPr>
        <w:pStyle w:val="8"/>
        <w:wordWrap w:val="0"/>
        <w:rPr>
          <w:rFonts w:asciiTheme="minorEastAsia" w:hAnsiTheme="minorEastAsia" w:eastAsiaTheme="minorEastAsia" w:cstheme="minorEastAsia"/>
          <w:b/>
          <w:color w:val="000000" w:themeColor="text1"/>
          <w:sz w:val="32"/>
          <w:highlight w:val="none"/>
          <w:lang w:eastAsia="zh-CN"/>
          <w14:textFill>
            <w14:solidFill>
              <w14:schemeClr w14:val="tx1"/>
            </w14:solidFill>
          </w14:textFill>
        </w:rPr>
      </w:pPr>
    </w:p>
    <w:p w14:paraId="6C9BF961">
      <w:pPr>
        <w:pStyle w:val="8"/>
        <w:wordWrap w:val="0"/>
        <w:spacing w:before="8"/>
        <w:rPr>
          <w:rFonts w:asciiTheme="minorEastAsia" w:hAnsiTheme="minorEastAsia" w:eastAsiaTheme="minorEastAsia" w:cstheme="minorEastAsia"/>
          <w:b/>
          <w:color w:val="000000" w:themeColor="text1"/>
          <w:sz w:val="25"/>
          <w:highlight w:val="none"/>
          <w:lang w:eastAsia="zh-CN"/>
          <w14:textFill>
            <w14:solidFill>
              <w14:schemeClr w14:val="tx1"/>
            </w14:solidFill>
          </w14:textFill>
        </w:rPr>
      </w:pPr>
    </w:p>
    <w:p w14:paraId="0416E193">
      <w:pPr>
        <w:pStyle w:val="8"/>
        <w:tabs>
          <w:tab w:val="left" w:pos="3928"/>
        </w:tabs>
        <w:wordWrap w:val="0"/>
        <w:ind w:left="100"/>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供应商名称：</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p>
    <w:p w14:paraId="0F747E1E">
      <w:pPr>
        <w:pStyle w:val="8"/>
        <w:wordWrap w:val="0"/>
        <w:spacing w:before="1"/>
        <w:rPr>
          <w:rFonts w:asciiTheme="minorEastAsia" w:hAnsiTheme="minorEastAsia" w:eastAsiaTheme="minorEastAsia" w:cstheme="minorEastAsia"/>
          <w:color w:val="000000" w:themeColor="text1"/>
          <w:sz w:val="11"/>
          <w:highlight w:val="none"/>
          <w:lang w:eastAsia="zh-CN"/>
          <w14:textFill>
            <w14:solidFill>
              <w14:schemeClr w14:val="tx1"/>
            </w14:solidFill>
          </w14:textFill>
        </w:rPr>
      </w:pPr>
    </w:p>
    <w:p w14:paraId="30A37FE8">
      <w:pPr>
        <w:pStyle w:val="8"/>
        <w:tabs>
          <w:tab w:val="left" w:pos="2412"/>
          <w:tab w:val="left" w:pos="3883"/>
          <w:tab w:val="left" w:pos="5352"/>
          <w:tab w:val="left" w:pos="6869"/>
        </w:tabs>
        <w:wordWrap w:val="0"/>
        <w:spacing w:before="37"/>
        <w:ind w:left="100"/>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姓名：</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性别：</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年龄：</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职务：</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p>
    <w:p w14:paraId="54128FA6">
      <w:pPr>
        <w:pStyle w:val="8"/>
        <w:wordWrap w:val="0"/>
        <w:spacing w:before="4"/>
        <w:rPr>
          <w:rFonts w:asciiTheme="minorEastAsia" w:hAnsiTheme="minorEastAsia" w:eastAsiaTheme="minorEastAsia" w:cstheme="minorEastAsia"/>
          <w:color w:val="000000" w:themeColor="text1"/>
          <w:sz w:val="11"/>
          <w:highlight w:val="none"/>
          <w:lang w:eastAsia="zh-CN"/>
          <w14:textFill>
            <w14:solidFill>
              <w14:schemeClr w14:val="tx1"/>
            </w14:solidFill>
          </w14:textFill>
        </w:rPr>
      </w:pPr>
    </w:p>
    <w:p w14:paraId="1265914E">
      <w:pPr>
        <w:pStyle w:val="8"/>
        <w:tabs>
          <w:tab w:val="left" w:pos="2832"/>
        </w:tabs>
        <w:wordWrap w:val="0"/>
        <w:spacing w:before="37"/>
        <w:ind w:left="100"/>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系</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（供应商名称）的法定代表人。</w:t>
      </w:r>
    </w:p>
    <w:p w14:paraId="5E4645DF">
      <w:pPr>
        <w:pStyle w:val="8"/>
        <w:wordWrap w:val="0"/>
        <w:spacing w:before="10"/>
        <w:rPr>
          <w:rFonts w:asciiTheme="minorEastAsia" w:hAnsiTheme="minorEastAsia" w:eastAsiaTheme="minorEastAsia" w:cstheme="minorEastAsia"/>
          <w:color w:val="000000" w:themeColor="text1"/>
          <w:sz w:val="9"/>
          <w:highlight w:val="none"/>
          <w:lang w:eastAsia="zh-CN"/>
          <w14:textFill>
            <w14:solidFill>
              <w14:schemeClr w14:val="tx1"/>
            </w14:solidFill>
          </w14:textFill>
        </w:rPr>
      </w:pPr>
    </w:p>
    <w:p w14:paraId="15F916A2">
      <w:pPr>
        <w:pStyle w:val="8"/>
        <w:wordWrap w:val="0"/>
        <w:spacing w:before="36"/>
        <w:ind w:left="520"/>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特此证明。</w:t>
      </w:r>
    </w:p>
    <w:p w14:paraId="2BB41BAF">
      <w:pPr>
        <w:pStyle w:val="8"/>
        <w:wordWrap w:val="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p>
    <w:p w14:paraId="67C3B57B">
      <w:pPr>
        <w:pStyle w:val="8"/>
        <w:wordWrap w:val="0"/>
        <w:spacing w:before="4"/>
        <w:rPr>
          <w:rFonts w:asciiTheme="minorEastAsia" w:hAnsiTheme="minorEastAsia" w:eastAsiaTheme="minorEastAsia" w:cstheme="minorEastAsia"/>
          <w:color w:val="000000" w:themeColor="text1"/>
          <w:sz w:val="26"/>
          <w:highlight w:val="none"/>
          <w:lang w:eastAsia="zh-CN"/>
          <w14:textFill>
            <w14:solidFill>
              <w14:schemeClr w14:val="tx1"/>
            </w14:solidFill>
          </w14:textFill>
        </w:rPr>
      </w:pPr>
    </w:p>
    <w:p w14:paraId="08DA1375">
      <w:pPr>
        <w:pStyle w:val="8"/>
        <w:wordWrap w:val="0"/>
        <w:ind w:left="100"/>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附：法定代表人身份证复印件。</w:t>
      </w:r>
    </w:p>
    <w:p w14:paraId="41C76E26">
      <w:pPr>
        <w:pStyle w:val="8"/>
        <w:wordWrap w:val="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p>
    <w:p w14:paraId="1CE75804">
      <w:pPr>
        <w:pStyle w:val="8"/>
        <w:wordWrap w:val="0"/>
        <w:spacing w:before="1"/>
        <w:rPr>
          <w:rFonts w:asciiTheme="minorEastAsia" w:hAnsiTheme="minorEastAsia" w:eastAsiaTheme="minorEastAsia" w:cstheme="minorEastAsia"/>
          <w:color w:val="000000" w:themeColor="text1"/>
          <w:sz w:val="26"/>
          <w:highlight w:val="none"/>
          <w:lang w:eastAsia="zh-CN"/>
          <w14:textFill>
            <w14:solidFill>
              <w14:schemeClr w14:val="tx1"/>
            </w14:solidFill>
          </w14:textFill>
        </w:rPr>
      </w:pPr>
    </w:p>
    <w:p w14:paraId="569BF873">
      <w:pPr>
        <w:pStyle w:val="8"/>
        <w:wordWrap w:val="0"/>
        <w:ind w:left="100"/>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注：本身份证明需由供应商加盖单位公章。</w:t>
      </w:r>
    </w:p>
    <w:p w14:paraId="233DE1CB">
      <w:pPr>
        <w:pStyle w:val="8"/>
        <w:wordWrap w:val="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p>
    <w:p w14:paraId="585288E7">
      <w:pPr>
        <w:pStyle w:val="8"/>
        <w:wordWrap w:val="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p>
    <w:p w14:paraId="18E53998">
      <w:pPr>
        <w:pStyle w:val="8"/>
        <w:wordWrap w:val="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p>
    <w:p w14:paraId="24A777F5">
      <w:pPr>
        <w:pStyle w:val="8"/>
        <w:wordWrap w:val="0"/>
        <w:spacing w:before="1"/>
        <w:rPr>
          <w:rFonts w:asciiTheme="minorEastAsia" w:hAnsiTheme="minorEastAsia" w:eastAsiaTheme="minorEastAsia" w:cstheme="minorEastAsia"/>
          <w:color w:val="000000" w:themeColor="text1"/>
          <w:sz w:val="17"/>
          <w:highlight w:val="none"/>
          <w:lang w:eastAsia="zh-CN"/>
          <w14:textFill>
            <w14:solidFill>
              <w14:schemeClr w14:val="tx1"/>
            </w14:solidFill>
          </w14:textFill>
        </w:rPr>
      </w:pPr>
    </w:p>
    <w:p w14:paraId="500D2587">
      <w:pPr>
        <w:pStyle w:val="8"/>
        <w:tabs>
          <w:tab w:val="left" w:pos="6521"/>
        </w:tabs>
        <w:wordWrap w:val="0"/>
        <w:spacing w:before="37"/>
        <w:ind w:left="4212"/>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（盖单位章）</w:t>
      </w:r>
    </w:p>
    <w:p w14:paraId="75496656">
      <w:pPr>
        <w:pStyle w:val="8"/>
        <w:wordWrap w:val="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p>
    <w:p w14:paraId="047B0169">
      <w:pPr>
        <w:pStyle w:val="8"/>
        <w:wordWrap w:val="0"/>
        <w:spacing w:before="7"/>
        <w:rPr>
          <w:rFonts w:asciiTheme="minorEastAsia" w:hAnsiTheme="minorEastAsia" w:eastAsiaTheme="minorEastAsia" w:cstheme="minorEastAsia"/>
          <w:color w:val="000000" w:themeColor="text1"/>
          <w:sz w:val="23"/>
          <w:highlight w:val="none"/>
          <w:lang w:eastAsia="zh-CN"/>
          <w14:textFill>
            <w14:solidFill>
              <w14:schemeClr w14:val="tx1"/>
            </w14:solidFill>
          </w14:textFill>
        </w:rPr>
      </w:pPr>
    </w:p>
    <w:p w14:paraId="1B6D4BFB">
      <w:pPr>
        <w:pStyle w:val="8"/>
        <w:tabs>
          <w:tab w:val="left" w:pos="5352"/>
          <w:tab w:val="left" w:pos="6192"/>
          <w:tab w:val="left" w:pos="7032"/>
        </w:tabs>
        <w:wordWrap w:val="0"/>
        <w:spacing w:before="36"/>
        <w:ind w:left="4721"/>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日</w:t>
      </w:r>
    </w:p>
    <w:p w14:paraId="0659A38F">
      <w:pPr>
        <w:wordWrap w:val="0"/>
        <w:rPr>
          <w:rFonts w:asciiTheme="minorEastAsia" w:hAnsiTheme="minorEastAsia" w:eastAsiaTheme="minorEastAsia" w:cstheme="minorEastAsia"/>
          <w:color w:val="000000" w:themeColor="text1"/>
          <w:highlight w:val="none"/>
          <w:lang w:eastAsia="zh-CN"/>
          <w14:textFill>
            <w14:solidFill>
              <w14:schemeClr w14:val="tx1"/>
            </w14:solidFill>
          </w14:textFill>
        </w:rPr>
        <w:sectPr>
          <w:pgSz w:w="12240" w:h="15840"/>
          <w:pgMar w:top="1400" w:right="1720" w:bottom="1120" w:left="1700" w:header="0" w:footer="921" w:gutter="0"/>
          <w:pgBorders>
            <w:top w:val="none" w:sz="0" w:space="0"/>
            <w:left w:val="none" w:sz="0" w:space="0"/>
            <w:bottom w:val="none" w:sz="0" w:space="0"/>
            <w:right w:val="none" w:sz="0" w:space="0"/>
          </w:pgBorders>
          <w:pgNumType w:fmt="decimal"/>
          <w:cols w:space="720" w:num="1"/>
        </w:sectPr>
      </w:pPr>
    </w:p>
    <w:p w14:paraId="187DDEEE">
      <w:pPr>
        <w:wordWrap w:val="0"/>
        <w:spacing w:after="240" w:afterLines="100"/>
        <w:jc w:val="center"/>
        <w:rPr>
          <w:rFonts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bookmarkStart w:id="145" w:name="_bookmark199"/>
      <w:bookmarkEnd w:id="145"/>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四、授权委托书</w:t>
      </w:r>
    </w:p>
    <w:p w14:paraId="359D2675">
      <w:pPr>
        <w:pStyle w:val="8"/>
        <w:wordWrap w:val="0"/>
        <w:rPr>
          <w:rFonts w:asciiTheme="minorEastAsia" w:hAnsiTheme="minorEastAsia" w:eastAsiaTheme="minorEastAsia" w:cstheme="minorEastAsia"/>
          <w:b/>
          <w:color w:val="000000" w:themeColor="text1"/>
          <w:sz w:val="32"/>
          <w:highlight w:val="none"/>
          <w:lang w:eastAsia="zh-CN"/>
          <w14:textFill>
            <w14:solidFill>
              <w14:schemeClr w14:val="tx1"/>
            </w14:solidFill>
          </w14:textFill>
        </w:rPr>
      </w:pPr>
    </w:p>
    <w:p w14:paraId="0BDAE995">
      <w:pPr>
        <w:pStyle w:val="8"/>
        <w:wordWrap w:val="0"/>
        <w:spacing w:before="4"/>
        <w:rPr>
          <w:rFonts w:asciiTheme="minorEastAsia" w:hAnsiTheme="minorEastAsia" w:eastAsiaTheme="minorEastAsia" w:cstheme="minorEastAsia"/>
          <w:b/>
          <w:color w:val="000000" w:themeColor="text1"/>
          <w:sz w:val="32"/>
          <w:highlight w:val="none"/>
          <w:lang w:eastAsia="zh-CN"/>
          <w14:textFill>
            <w14:solidFill>
              <w14:schemeClr w14:val="tx1"/>
            </w14:solidFill>
          </w14:textFill>
        </w:rPr>
      </w:pPr>
    </w:p>
    <w:p w14:paraId="31E99F2B">
      <w:pPr>
        <w:pStyle w:val="8"/>
        <w:tabs>
          <w:tab w:val="left" w:pos="2421"/>
          <w:tab w:val="left" w:pos="5585"/>
        </w:tabs>
        <w:wordWrap w:val="0"/>
        <w:ind w:left="520"/>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本人</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（姓名）系</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（供应商名称）的法定代表人，现</w:t>
      </w:r>
    </w:p>
    <w:p w14:paraId="520D357C">
      <w:pPr>
        <w:pStyle w:val="8"/>
        <w:wordWrap w:val="0"/>
        <w:spacing w:before="10"/>
        <w:rPr>
          <w:rFonts w:asciiTheme="minorEastAsia" w:hAnsiTheme="minorEastAsia" w:eastAsiaTheme="minorEastAsia" w:cstheme="minorEastAsia"/>
          <w:color w:val="000000" w:themeColor="text1"/>
          <w:sz w:val="9"/>
          <w:highlight w:val="none"/>
          <w:lang w:eastAsia="zh-CN"/>
          <w14:textFill>
            <w14:solidFill>
              <w14:schemeClr w14:val="tx1"/>
            </w14:solidFill>
          </w14:textFill>
        </w:rPr>
      </w:pPr>
    </w:p>
    <w:p w14:paraId="61ECB83D">
      <w:pPr>
        <w:pStyle w:val="8"/>
        <w:tabs>
          <w:tab w:val="left" w:pos="1789"/>
        </w:tabs>
        <w:wordWrap w:val="0"/>
        <w:spacing w:before="36"/>
        <w:ind w:left="100"/>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委托</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（姓名）为我方代理人。代理人根据授权，以我方名义签署、澄清确认、递</w:t>
      </w:r>
    </w:p>
    <w:p w14:paraId="28057041">
      <w:pPr>
        <w:pStyle w:val="8"/>
        <w:wordWrap w:val="0"/>
        <w:spacing w:before="10"/>
        <w:rPr>
          <w:rFonts w:asciiTheme="minorEastAsia" w:hAnsiTheme="minorEastAsia" w:eastAsiaTheme="minorEastAsia" w:cstheme="minorEastAsia"/>
          <w:color w:val="000000" w:themeColor="text1"/>
          <w:sz w:val="9"/>
          <w:highlight w:val="none"/>
          <w:lang w:eastAsia="zh-CN"/>
          <w14:textFill>
            <w14:solidFill>
              <w14:schemeClr w14:val="tx1"/>
            </w14:solidFill>
          </w14:textFill>
        </w:rPr>
      </w:pPr>
    </w:p>
    <w:p w14:paraId="5C970D88">
      <w:pPr>
        <w:pStyle w:val="8"/>
        <w:tabs>
          <w:tab w:val="left" w:pos="3566"/>
        </w:tabs>
        <w:wordWrap w:val="0"/>
        <w:spacing w:before="36" w:line="386" w:lineRule="auto"/>
        <w:ind w:left="100" w:right="140"/>
        <w:rPr>
          <w:rFonts w:hint="eastAsia" w:asciiTheme="minorEastAsia" w:hAnsiTheme="minorEastAsia" w:eastAsiaTheme="minorEastAsia" w:cstheme="minorEastAsia"/>
          <w:color w:val="000000" w:themeColor="text1"/>
          <w:spacing w:val="-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highlight w:val="none"/>
          <w:lang w:eastAsia="zh-CN"/>
          <w14:textFill>
            <w14:solidFill>
              <w14:schemeClr w14:val="tx1"/>
            </w14:solidFill>
          </w14:textFill>
        </w:rPr>
        <w:t xml:space="preserve">交、撤回、修改招标项目响应文件、签订合同和处理有关事宜，其法律后果由我方承担。 </w:t>
      </w:r>
    </w:p>
    <w:p w14:paraId="6E786A8B">
      <w:pPr>
        <w:pStyle w:val="8"/>
        <w:tabs>
          <w:tab w:val="left" w:pos="3566"/>
        </w:tabs>
        <w:wordWrap w:val="0"/>
        <w:spacing w:before="36" w:line="386" w:lineRule="auto"/>
        <w:ind w:left="100" w:right="140" w:firstLine="420" w:firstLineChars="200"/>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委托期限：</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53A0C405">
      <w:pPr>
        <w:pStyle w:val="8"/>
        <w:wordWrap w:val="0"/>
        <w:spacing w:before="36"/>
        <w:ind w:left="520" w:right="108"/>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代理人无转委托权。</w:t>
      </w:r>
    </w:p>
    <w:p w14:paraId="0ED027EC">
      <w:pPr>
        <w:pStyle w:val="8"/>
        <w:wordWrap w:val="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p>
    <w:p w14:paraId="1C4C3DB9">
      <w:pPr>
        <w:pStyle w:val="8"/>
        <w:wordWrap w:val="0"/>
        <w:spacing w:before="4"/>
        <w:rPr>
          <w:rFonts w:asciiTheme="minorEastAsia" w:hAnsiTheme="minorEastAsia" w:eastAsiaTheme="minorEastAsia" w:cstheme="minorEastAsia"/>
          <w:color w:val="000000" w:themeColor="text1"/>
          <w:sz w:val="26"/>
          <w:highlight w:val="none"/>
          <w:lang w:eastAsia="zh-CN"/>
          <w14:textFill>
            <w14:solidFill>
              <w14:schemeClr w14:val="tx1"/>
            </w14:solidFill>
          </w14:textFill>
        </w:rPr>
      </w:pPr>
    </w:p>
    <w:p w14:paraId="58CB2A1D">
      <w:pPr>
        <w:pStyle w:val="8"/>
        <w:wordWrap w:val="0"/>
        <w:ind w:left="100" w:right="108"/>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附：法定代表人身份证复印件及委托代理人身份证复印件</w:t>
      </w:r>
    </w:p>
    <w:p w14:paraId="35219FC1">
      <w:pPr>
        <w:pStyle w:val="8"/>
        <w:wordWrap w:val="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p>
    <w:p w14:paraId="4494BA51">
      <w:pPr>
        <w:pStyle w:val="8"/>
        <w:wordWrap w:val="0"/>
        <w:spacing w:before="1"/>
        <w:rPr>
          <w:rFonts w:asciiTheme="minorEastAsia" w:hAnsiTheme="minorEastAsia" w:eastAsiaTheme="minorEastAsia" w:cstheme="minorEastAsia"/>
          <w:color w:val="000000" w:themeColor="text1"/>
          <w:sz w:val="26"/>
          <w:highlight w:val="none"/>
          <w:lang w:eastAsia="zh-CN"/>
          <w14:textFill>
            <w14:solidFill>
              <w14:schemeClr w14:val="tx1"/>
            </w14:solidFill>
          </w14:textFill>
        </w:rPr>
      </w:pPr>
    </w:p>
    <w:p w14:paraId="4621FE6B">
      <w:pPr>
        <w:pStyle w:val="8"/>
        <w:wordWrap w:val="0"/>
        <w:ind w:left="100" w:right="108"/>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注：本授权委托书需由供应商加盖单位公章并由其法定代表人和委托代理人签字。</w:t>
      </w:r>
    </w:p>
    <w:p w14:paraId="504B4372">
      <w:pPr>
        <w:pStyle w:val="8"/>
        <w:wordWrap w:val="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p>
    <w:p w14:paraId="44A12EA5">
      <w:pPr>
        <w:pStyle w:val="8"/>
        <w:wordWrap w:val="0"/>
        <w:spacing w:before="4"/>
        <w:rPr>
          <w:rFonts w:asciiTheme="minorEastAsia" w:hAnsiTheme="minorEastAsia" w:eastAsiaTheme="minorEastAsia" w:cstheme="minorEastAsia"/>
          <w:color w:val="000000" w:themeColor="text1"/>
          <w:sz w:val="26"/>
          <w:highlight w:val="none"/>
          <w:lang w:eastAsia="zh-CN"/>
          <w14:textFill>
            <w14:solidFill>
              <w14:schemeClr w14:val="tx1"/>
            </w14:solidFill>
          </w14:textFill>
        </w:rPr>
      </w:pPr>
    </w:p>
    <w:p w14:paraId="3E433DFA">
      <w:pPr>
        <w:pStyle w:val="8"/>
        <w:tabs>
          <w:tab w:val="left" w:pos="3216"/>
          <w:tab w:val="left" w:pos="3636"/>
          <w:tab w:val="left" w:pos="7241"/>
        </w:tabs>
        <w:wordWrap w:val="0"/>
        <w:ind w:left="2793" w:right="108"/>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  应  商</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3"/>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（盖单位章）</w:t>
      </w:r>
    </w:p>
    <w:p w14:paraId="50580A5B">
      <w:pPr>
        <w:pStyle w:val="8"/>
        <w:wordWrap w:val="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p>
    <w:p w14:paraId="462EB0E1">
      <w:pPr>
        <w:pStyle w:val="8"/>
        <w:wordWrap w:val="0"/>
        <w:spacing w:before="7"/>
        <w:rPr>
          <w:rFonts w:asciiTheme="minorEastAsia" w:hAnsiTheme="minorEastAsia" w:eastAsiaTheme="minorEastAsia" w:cstheme="minorEastAsia"/>
          <w:color w:val="000000" w:themeColor="text1"/>
          <w:sz w:val="23"/>
          <w:highlight w:val="none"/>
          <w:lang w:eastAsia="zh-CN"/>
          <w14:textFill>
            <w14:solidFill>
              <w14:schemeClr w14:val="tx1"/>
            </w14:solidFill>
          </w14:textFill>
        </w:rPr>
      </w:pPr>
    </w:p>
    <w:p w14:paraId="334F0827">
      <w:pPr>
        <w:pStyle w:val="8"/>
        <w:tabs>
          <w:tab w:val="left" w:pos="6401"/>
        </w:tabs>
        <w:wordWrap w:val="0"/>
        <w:spacing w:before="36"/>
        <w:ind w:left="2791" w:right="108"/>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法定代表人：</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（签字）</w:t>
      </w:r>
    </w:p>
    <w:p w14:paraId="56D995BB">
      <w:pPr>
        <w:pStyle w:val="8"/>
        <w:wordWrap w:val="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p>
    <w:p w14:paraId="2B4840A4">
      <w:pPr>
        <w:pStyle w:val="8"/>
        <w:wordWrap w:val="0"/>
        <w:spacing w:before="4"/>
        <w:rPr>
          <w:rFonts w:asciiTheme="minorEastAsia" w:hAnsiTheme="minorEastAsia" w:eastAsiaTheme="minorEastAsia" w:cstheme="minorEastAsia"/>
          <w:color w:val="000000" w:themeColor="text1"/>
          <w:sz w:val="23"/>
          <w:highlight w:val="none"/>
          <w:lang w:eastAsia="zh-CN"/>
          <w14:textFill>
            <w14:solidFill>
              <w14:schemeClr w14:val="tx1"/>
            </w14:solidFill>
          </w14:textFill>
        </w:rPr>
      </w:pPr>
    </w:p>
    <w:p w14:paraId="210688CA">
      <w:pPr>
        <w:pStyle w:val="8"/>
        <w:tabs>
          <w:tab w:val="left" w:pos="8549"/>
        </w:tabs>
        <w:wordWrap w:val="0"/>
        <w:spacing w:before="37"/>
        <w:ind w:left="2793" w:right="108"/>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身份证号码：</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p>
    <w:p w14:paraId="1F5D8D68">
      <w:pPr>
        <w:pStyle w:val="8"/>
        <w:wordWrap w:val="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p>
    <w:p w14:paraId="1E8E5465">
      <w:pPr>
        <w:pStyle w:val="8"/>
        <w:wordWrap w:val="0"/>
        <w:spacing w:before="6"/>
        <w:rPr>
          <w:rFonts w:asciiTheme="minorEastAsia" w:hAnsiTheme="minorEastAsia" w:eastAsiaTheme="minorEastAsia" w:cstheme="minorEastAsia"/>
          <w:color w:val="000000" w:themeColor="text1"/>
          <w:sz w:val="29"/>
          <w:highlight w:val="none"/>
          <w:lang w:eastAsia="zh-CN"/>
          <w14:textFill>
            <w14:solidFill>
              <w14:schemeClr w14:val="tx1"/>
            </w14:solidFill>
          </w14:textFill>
        </w:rPr>
      </w:pPr>
    </w:p>
    <w:p w14:paraId="496C5AD8">
      <w:pPr>
        <w:pStyle w:val="8"/>
        <w:tabs>
          <w:tab w:val="left" w:pos="7661"/>
        </w:tabs>
        <w:wordWrap w:val="0"/>
        <w:spacing w:before="36"/>
        <w:ind w:left="2793" w:right="108"/>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委托代理人：</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（签字）</w:t>
      </w:r>
    </w:p>
    <w:p w14:paraId="1C7CB452">
      <w:pPr>
        <w:pStyle w:val="8"/>
        <w:wordWrap w:val="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p>
    <w:p w14:paraId="20F01F3B">
      <w:pPr>
        <w:pStyle w:val="8"/>
        <w:wordWrap w:val="0"/>
        <w:spacing w:before="7"/>
        <w:rPr>
          <w:rFonts w:asciiTheme="minorEastAsia" w:hAnsiTheme="minorEastAsia" w:eastAsiaTheme="minorEastAsia" w:cstheme="minorEastAsia"/>
          <w:color w:val="000000" w:themeColor="text1"/>
          <w:sz w:val="23"/>
          <w:highlight w:val="none"/>
          <w:lang w:eastAsia="zh-CN"/>
          <w14:textFill>
            <w14:solidFill>
              <w14:schemeClr w14:val="tx1"/>
            </w14:solidFill>
          </w14:textFill>
        </w:rPr>
      </w:pPr>
    </w:p>
    <w:p w14:paraId="48F77A35">
      <w:pPr>
        <w:pStyle w:val="8"/>
        <w:tabs>
          <w:tab w:val="left" w:pos="8549"/>
        </w:tabs>
        <w:wordWrap w:val="0"/>
        <w:spacing w:before="37"/>
        <w:ind w:left="2793" w:right="108"/>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身份证号码：</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p>
    <w:p w14:paraId="40744F86">
      <w:pPr>
        <w:pStyle w:val="8"/>
        <w:wordWrap w:val="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p>
    <w:p w14:paraId="23F14997">
      <w:pPr>
        <w:pStyle w:val="8"/>
        <w:wordWrap w:val="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p>
    <w:p w14:paraId="07555609">
      <w:pPr>
        <w:pStyle w:val="8"/>
        <w:wordWrap w:val="0"/>
        <w:rPr>
          <w:rFonts w:asciiTheme="minorEastAsia" w:hAnsiTheme="minorEastAsia" w:eastAsiaTheme="minorEastAsia" w:cstheme="minorEastAsia"/>
          <w:color w:val="000000" w:themeColor="text1"/>
          <w:sz w:val="20"/>
          <w:highlight w:val="none"/>
          <w:lang w:eastAsia="zh-CN"/>
          <w14:textFill>
            <w14:solidFill>
              <w14:schemeClr w14:val="tx1"/>
            </w14:solidFill>
          </w14:textFill>
        </w:rPr>
      </w:pPr>
    </w:p>
    <w:p w14:paraId="7F155848">
      <w:pPr>
        <w:pStyle w:val="8"/>
        <w:wordWrap w:val="0"/>
        <w:spacing w:before="8"/>
        <w:rPr>
          <w:rFonts w:asciiTheme="minorEastAsia" w:hAnsiTheme="minorEastAsia" w:eastAsiaTheme="minorEastAsia" w:cstheme="minorEastAsia"/>
          <w:color w:val="000000" w:themeColor="text1"/>
          <w:sz w:val="27"/>
          <w:highlight w:val="none"/>
          <w:lang w:eastAsia="zh-CN"/>
          <w14:textFill>
            <w14:solidFill>
              <w14:schemeClr w14:val="tx1"/>
            </w14:solidFill>
          </w14:textFill>
        </w:rPr>
      </w:pPr>
    </w:p>
    <w:p w14:paraId="6F4A1838">
      <w:pPr>
        <w:pStyle w:val="8"/>
        <w:tabs>
          <w:tab w:val="left" w:pos="736"/>
          <w:tab w:val="left" w:pos="1682"/>
          <w:tab w:val="left" w:pos="2626"/>
        </w:tabs>
        <w:wordWrap w:val="0"/>
        <w:spacing w:before="36"/>
        <w:ind w:right="113"/>
        <w:jc w:val="right"/>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3"/>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highlight w:val="none"/>
          <w:u w:val="singl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日</w:t>
      </w:r>
    </w:p>
    <w:p w14:paraId="0132F3D6">
      <w:pPr>
        <w:wordWrap w:val="0"/>
        <w:jc w:val="right"/>
        <w:rPr>
          <w:rFonts w:asciiTheme="minorEastAsia" w:hAnsiTheme="minorEastAsia" w:eastAsiaTheme="minorEastAsia" w:cstheme="minorEastAsia"/>
          <w:color w:val="000000" w:themeColor="text1"/>
          <w:highlight w:val="none"/>
          <w:lang w:eastAsia="zh-CN"/>
          <w14:textFill>
            <w14:solidFill>
              <w14:schemeClr w14:val="tx1"/>
            </w14:solidFill>
          </w14:textFill>
        </w:rPr>
        <w:sectPr>
          <w:pgSz w:w="12240" w:h="15840"/>
          <w:pgMar w:top="1400" w:right="1680" w:bottom="1120" w:left="1700" w:header="0" w:footer="921" w:gutter="0"/>
          <w:pgBorders>
            <w:top w:val="none" w:sz="0" w:space="0"/>
            <w:left w:val="none" w:sz="0" w:space="0"/>
            <w:bottom w:val="none" w:sz="0" w:space="0"/>
            <w:right w:val="none" w:sz="0" w:space="0"/>
          </w:pgBorders>
          <w:pgNumType w:fmt="decimal"/>
          <w:cols w:space="720" w:num="1"/>
        </w:sectPr>
      </w:pPr>
    </w:p>
    <w:p w14:paraId="605A3BFF">
      <w:pPr>
        <w:jc w:val="center"/>
        <w:rPr>
          <w:rFonts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bookmarkStart w:id="146" w:name="_bookmark200"/>
      <w:bookmarkEnd w:id="146"/>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五、磋商保证金</w:t>
      </w:r>
    </w:p>
    <w:p w14:paraId="72976020">
      <w:pPr>
        <w:spacing w:line="360" w:lineRule="auto"/>
        <w:ind w:firstLine="420" w:firstLineChars="200"/>
        <w:rPr>
          <w:bCs/>
          <w:sz w:val="21"/>
          <w:szCs w:val="21"/>
          <w:highlight w:val="none"/>
          <w:lang w:eastAsia="zh-CN"/>
        </w:rPr>
      </w:pPr>
    </w:p>
    <w:p w14:paraId="600F3C56">
      <w:pPr>
        <w:spacing w:line="360" w:lineRule="auto"/>
        <w:ind w:firstLine="420" w:firstLineChars="200"/>
        <w:rPr>
          <w:bCs/>
          <w:sz w:val="21"/>
          <w:szCs w:val="21"/>
          <w:highlight w:val="none"/>
          <w:lang w:eastAsia="zh-CN"/>
        </w:rPr>
      </w:pPr>
    </w:p>
    <w:p w14:paraId="183928C2">
      <w:pPr>
        <w:spacing w:line="360" w:lineRule="auto"/>
        <w:ind w:firstLine="420" w:firstLineChars="200"/>
        <w:rPr>
          <w:bCs/>
          <w:sz w:val="21"/>
          <w:szCs w:val="21"/>
          <w:highlight w:val="none"/>
          <w:lang w:eastAsia="zh-CN"/>
        </w:rPr>
      </w:pPr>
    </w:p>
    <w:p w14:paraId="22AA3951">
      <w:pPr>
        <w:spacing w:line="360" w:lineRule="auto"/>
        <w:ind w:firstLine="420" w:firstLineChars="200"/>
        <w:rPr>
          <w:bCs/>
          <w:sz w:val="21"/>
          <w:szCs w:val="21"/>
          <w:highlight w:val="none"/>
          <w:lang w:eastAsia="zh-CN"/>
        </w:rPr>
      </w:pPr>
      <w:r>
        <w:rPr>
          <w:rFonts w:hint="eastAsia"/>
          <w:bCs/>
          <w:sz w:val="21"/>
          <w:szCs w:val="21"/>
          <w:highlight w:val="none"/>
          <w:lang w:eastAsia="zh-CN"/>
        </w:rPr>
        <w:t>根据长春市财政局发布的长财采购〔2021〕695 号文件要求，诚信记录良好的供应商不收取磋商保证金，对于满足《中华人民共和国政府采购法》第二十二条有关规定，经“信用中国”网站查询存在行政处罚信息的供应商，采购人、采购代理机构可以按规定收取磋商保证金。</w:t>
      </w:r>
    </w:p>
    <w:p w14:paraId="6C64FF63">
      <w:pPr>
        <w:spacing w:line="360" w:lineRule="auto"/>
        <w:rPr>
          <w:bCs/>
          <w:color w:val="000000"/>
          <w:szCs w:val="21"/>
          <w:highlight w:val="none"/>
          <w:lang w:val="zh-CN" w:eastAsia="zh-CN"/>
        </w:rPr>
      </w:pPr>
    </w:p>
    <w:p w14:paraId="6B06B2CD">
      <w:pPr>
        <w:spacing w:before="240" w:beforeLines="100" w:after="120" w:afterLines="50" w:line="360" w:lineRule="auto"/>
        <w:ind w:firstLine="420" w:firstLineChars="200"/>
        <w:rPr>
          <w:bCs/>
          <w:sz w:val="24"/>
          <w:highlight w:val="none"/>
          <w:lang w:eastAsia="zh-CN"/>
        </w:rPr>
      </w:pPr>
      <w:r>
        <w:rPr>
          <w:rFonts w:hint="eastAsia"/>
          <w:sz w:val="21"/>
          <w:szCs w:val="21"/>
          <w:highlight w:val="none"/>
          <w:lang w:val="zh-CN" w:eastAsia="zh-CN"/>
        </w:rPr>
        <w:t>符合要求的供应商在</w:t>
      </w:r>
      <w:r>
        <w:rPr>
          <w:rFonts w:hint="eastAsia"/>
          <w:sz w:val="21"/>
          <w:szCs w:val="21"/>
          <w:highlight w:val="none"/>
          <w:lang w:eastAsia="zh-CN"/>
        </w:rPr>
        <w:t>响应</w:t>
      </w:r>
      <w:r>
        <w:rPr>
          <w:rFonts w:hint="eastAsia"/>
          <w:sz w:val="21"/>
          <w:szCs w:val="21"/>
          <w:highlight w:val="none"/>
          <w:lang w:val="zh-CN" w:eastAsia="zh-CN"/>
        </w:rPr>
        <w:t>件中提供“信用中国”网站查询无行政处罚信息的证明材料。</w:t>
      </w:r>
    </w:p>
    <w:p w14:paraId="2B114A84">
      <w:pPr>
        <w:rPr>
          <w:rFonts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br w:type="page"/>
      </w:r>
    </w:p>
    <w:p w14:paraId="2D8B22F3">
      <w:pPr>
        <w:wordWrap w:val="0"/>
        <w:spacing w:after="240" w:afterLines="100"/>
        <w:jc w:val="center"/>
        <w:rPr>
          <w:rFonts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六、</w:t>
      </w:r>
      <w:bookmarkStart w:id="147" w:name="_bookmark203"/>
      <w:bookmarkEnd w:id="147"/>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资格审查资料</w:t>
      </w:r>
    </w:p>
    <w:p w14:paraId="7CFCC94A">
      <w:pPr>
        <w:pStyle w:val="8"/>
        <w:wordWrap w:val="0"/>
        <w:spacing w:before="9"/>
        <w:rPr>
          <w:rFonts w:asciiTheme="minorEastAsia" w:hAnsiTheme="minorEastAsia" w:eastAsiaTheme="minorEastAsia" w:cstheme="minorEastAsia"/>
          <w:b/>
          <w:color w:val="000000" w:themeColor="text1"/>
          <w:sz w:val="15"/>
          <w:highlight w:val="none"/>
          <w:lang w:eastAsia="zh-CN"/>
          <w14:textFill>
            <w14:solidFill>
              <w14:schemeClr w14:val="tx1"/>
            </w14:solidFill>
          </w14:textFill>
        </w:rPr>
      </w:pPr>
    </w:p>
    <w:p w14:paraId="612023F6">
      <w:pPr>
        <w:adjustRightInd w:val="0"/>
        <w:snapToGrid w:val="0"/>
        <w:spacing w:line="300" w:lineRule="auto"/>
        <w:jc w:val="center"/>
        <w:outlineLvl w:val="0"/>
        <w:rPr>
          <w:b/>
          <w:bCs/>
          <w:sz w:val="32"/>
          <w:szCs w:val="32"/>
          <w:highlight w:val="none"/>
          <w:lang w:eastAsia="zh-CN"/>
        </w:rPr>
      </w:pPr>
      <w:bookmarkStart w:id="148" w:name="_bookmark204"/>
      <w:bookmarkEnd w:id="148"/>
      <w:bookmarkStart w:id="149" w:name="_Toc4621"/>
      <w:r>
        <w:rPr>
          <w:rFonts w:hint="eastAsia"/>
          <w:b/>
          <w:bCs/>
          <w:sz w:val="32"/>
          <w:szCs w:val="32"/>
          <w:highlight w:val="none"/>
          <w:lang w:eastAsia="zh-CN"/>
        </w:rPr>
        <w:t>（一）基本情况表</w:t>
      </w:r>
      <w:bookmarkEnd w:id="149"/>
    </w:p>
    <w:p w14:paraId="405B6246">
      <w:pPr>
        <w:pStyle w:val="8"/>
        <w:wordWrap w:val="0"/>
        <w:rPr>
          <w:rFonts w:asciiTheme="minorEastAsia" w:hAnsiTheme="minorEastAsia" w:eastAsiaTheme="minorEastAsia" w:cstheme="minorEastAsia"/>
          <w:color w:val="000000" w:themeColor="text1"/>
          <w:sz w:val="23"/>
          <w:highlight w:val="none"/>
          <w:lang w:eastAsia="zh-CN"/>
          <w14:textFill>
            <w14:solidFill>
              <w14:schemeClr w14:val="tx1"/>
            </w14:solidFill>
          </w14:textFill>
        </w:rPr>
      </w:pPr>
    </w:p>
    <w:tbl>
      <w:tblPr>
        <w:tblStyle w:val="2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897"/>
        <w:gridCol w:w="1021"/>
        <w:gridCol w:w="1276"/>
        <w:gridCol w:w="195"/>
        <w:gridCol w:w="1246"/>
        <w:gridCol w:w="260"/>
        <w:gridCol w:w="2410"/>
      </w:tblGrid>
      <w:tr w14:paraId="2C22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7480690E">
            <w:pPr>
              <w:jc w:val="center"/>
              <w:rPr>
                <w:szCs w:val="21"/>
                <w:highlight w:val="none"/>
              </w:rPr>
            </w:pPr>
            <w:r>
              <w:rPr>
                <w:rFonts w:hint="eastAsia"/>
                <w:szCs w:val="21"/>
                <w:highlight w:val="none"/>
                <w:lang w:eastAsia="zh-CN"/>
              </w:rPr>
              <w:t>供应商</w:t>
            </w:r>
            <w:r>
              <w:rPr>
                <w:rFonts w:hint="eastAsia"/>
                <w:szCs w:val="21"/>
                <w:highlight w:val="none"/>
              </w:rPr>
              <w:t>名称</w:t>
            </w:r>
          </w:p>
        </w:tc>
        <w:tc>
          <w:tcPr>
            <w:tcW w:w="7305" w:type="dxa"/>
            <w:gridSpan w:val="7"/>
            <w:vAlign w:val="center"/>
          </w:tcPr>
          <w:p w14:paraId="359706BD">
            <w:pPr>
              <w:jc w:val="center"/>
              <w:rPr>
                <w:szCs w:val="21"/>
                <w:highlight w:val="none"/>
              </w:rPr>
            </w:pPr>
          </w:p>
        </w:tc>
      </w:tr>
      <w:tr w14:paraId="66AD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6BDC69FE">
            <w:pPr>
              <w:jc w:val="center"/>
              <w:rPr>
                <w:szCs w:val="21"/>
                <w:highlight w:val="none"/>
              </w:rPr>
            </w:pPr>
            <w:r>
              <w:rPr>
                <w:rFonts w:hint="eastAsia"/>
                <w:szCs w:val="21"/>
                <w:highlight w:val="none"/>
              </w:rPr>
              <w:t>注册地址</w:t>
            </w:r>
          </w:p>
        </w:tc>
        <w:tc>
          <w:tcPr>
            <w:tcW w:w="3389" w:type="dxa"/>
            <w:gridSpan w:val="4"/>
            <w:vAlign w:val="center"/>
          </w:tcPr>
          <w:p w14:paraId="36823836">
            <w:pPr>
              <w:jc w:val="center"/>
              <w:rPr>
                <w:szCs w:val="21"/>
                <w:highlight w:val="none"/>
              </w:rPr>
            </w:pPr>
          </w:p>
        </w:tc>
        <w:tc>
          <w:tcPr>
            <w:tcW w:w="1246" w:type="dxa"/>
            <w:vAlign w:val="center"/>
          </w:tcPr>
          <w:p w14:paraId="14B845B1">
            <w:pPr>
              <w:jc w:val="center"/>
              <w:rPr>
                <w:szCs w:val="21"/>
                <w:highlight w:val="none"/>
              </w:rPr>
            </w:pPr>
            <w:r>
              <w:rPr>
                <w:rFonts w:hint="eastAsia"/>
                <w:szCs w:val="21"/>
                <w:highlight w:val="none"/>
              </w:rPr>
              <w:t>邮政编码</w:t>
            </w:r>
          </w:p>
        </w:tc>
        <w:tc>
          <w:tcPr>
            <w:tcW w:w="2670" w:type="dxa"/>
            <w:gridSpan w:val="2"/>
            <w:vAlign w:val="center"/>
          </w:tcPr>
          <w:p w14:paraId="2D171BB0">
            <w:pPr>
              <w:jc w:val="center"/>
              <w:rPr>
                <w:szCs w:val="21"/>
                <w:highlight w:val="none"/>
              </w:rPr>
            </w:pPr>
          </w:p>
        </w:tc>
      </w:tr>
      <w:tr w14:paraId="58F8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Merge w:val="restart"/>
            <w:vAlign w:val="center"/>
          </w:tcPr>
          <w:p w14:paraId="67B67DAA">
            <w:pPr>
              <w:jc w:val="center"/>
              <w:rPr>
                <w:szCs w:val="21"/>
                <w:highlight w:val="none"/>
              </w:rPr>
            </w:pPr>
            <w:r>
              <w:rPr>
                <w:rFonts w:hint="eastAsia"/>
                <w:szCs w:val="21"/>
                <w:highlight w:val="none"/>
              </w:rPr>
              <w:t>联系方式</w:t>
            </w:r>
          </w:p>
        </w:tc>
        <w:tc>
          <w:tcPr>
            <w:tcW w:w="897" w:type="dxa"/>
            <w:vAlign w:val="center"/>
          </w:tcPr>
          <w:p w14:paraId="3C1711D1">
            <w:pPr>
              <w:jc w:val="center"/>
              <w:rPr>
                <w:szCs w:val="21"/>
                <w:highlight w:val="none"/>
              </w:rPr>
            </w:pPr>
            <w:r>
              <w:rPr>
                <w:rFonts w:hint="eastAsia"/>
                <w:szCs w:val="21"/>
                <w:highlight w:val="none"/>
              </w:rPr>
              <w:t>联系人</w:t>
            </w:r>
          </w:p>
        </w:tc>
        <w:tc>
          <w:tcPr>
            <w:tcW w:w="2492" w:type="dxa"/>
            <w:gridSpan w:val="3"/>
            <w:vAlign w:val="center"/>
          </w:tcPr>
          <w:p w14:paraId="57AB423E">
            <w:pPr>
              <w:jc w:val="center"/>
              <w:rPr>
                <w:szCs w:val="21"/>
                <w:highlight w:val="none"/>
              </w:rPr>
            </w:pPr>
          </w:p>
        </w:tc>
        <w:tc>
          <w:tcPr>
            <w:tcW w:w="1246" w:type="dxa"/>
            <w:vAlign w:val="center"/>
          </w:tcPr>
          <w:p w14:paraId="0D0A2D9C">
            <w:pPr>
              <w:jc w:val="center"/>
              <w:rPr>
                <w:szCs w:val="21"/>
                <w:highlight w:val="none"/>
              </w:rPr>
            </w:pPr>
            <w:r>
              <w:rPr>
                <w:rFonts w:hint="eastAsia"/>
                <w:szCs w:val="21"/>
                <w:highlight w:val="none"/>
              </w:rPr>
              <w:t>电  话</w:t>
            </w:r>
          </w:p>
        </w:tc>
        <w:tc>
          <w:tcPr>
            <w:tcW w:w="2670" w:type="dxa"/>
            <w:gridSpan w:val="2"/>
            <w:vAlign w:val="center"/>
          </w:tcPr>
          <w:p w14:paraId="7904D5BC">
            <w:pPr>
              <w:jc w:val="center"/>
              <w:rPr>
                <w:szCs w:val="21"/>
                <w:highlight w:val="none"/>
              </w:rPr>
            </w:pPr>
          </w:p>
        </w:tc>
      </w:tr>
      <w:tr w14:paraId="1311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Merge w:val="continue"/>
            <w:vAlign w:val="center"/>
          </w:tcPr>
          <w:p w14:paraId="39FF8491">
            <w:pPr>
              <w:jc w:val="center"/>
              <w:rPr>
                <w:szCs w:val="21"/>
                <w:highlight w:val="none"/>
              </w:rPr>
            </w:pPr>
          </w:p>
        </w:tc>
        <w:tc>
          <w:tcPr>
            <w:tcW w:w="897" w:type="dxa"/>
            <w:vAlign w:val="center"/>
          </w:tcPr>
          <w:p w14:paraId="5B9268BE">
            <w:pPr>
              <w:jc w:val="center"/>
              <w:rPr>
                <w:szCs w:val="21"/>
                <w:highlight w:val="none"/>
              </w:rPr>
            </w:pPr>
            <w:r>
              <w:rPr>
                <w:rFonts w:hint="eastAsia"/>
                <w:szCs w:val="21"/>
                <w:highlight w:val="none"/>
              </w:rPr>
              <w:t>传  真</w:t>
            </w:r>
          </w:p>
        </w:tc>
        <w:tc>
          <w:tcPr>
            <w:tcW w:w="2492" w:type="dxa"/>
            <w:gridSpan w:val="3"/>
            <w:vAlign w:val="center"/>
          </w:tcPr>
          <w:p w14:paraId="242613C9">
            <w:pPr>
              <w:jc w:val="center"/>
              <w:rPr>
                <w:szCs w:val="21"/>
                <w:highlight w:val="none"/>
              </w:rPr>
            </w:pPr>
          </w:p>
        </w:tc>
        <w:tc>
          <w:tcPr>
            <w:tcW w:w="1246" w:type="dxa"/>
            <w:vAlign w:val="center"/>
          </w:tcPr>
          <w:p w14:paraId="3465842E">
            <w:pPr>
              <w:jc w:val="center"/>
              <w:rPr>
                <w:szCs w:val="21"/>
                <w:highlight w:val="none"/>
              </w:rPr>
            </w:pPr>
            <w:r>
              <w:rPr>
                <w:rFonts w:hint="eastAsia"/>
                <w:szCs w:val="21"/>
                <w:highlight w:val="none"/>
              </w:rPr>
              <w:t>网  址</w:t>
            </w:r>
          </w:p>
        </w:tc>
        <w:tc>
          <w:tcPr>
            <w:tcW w:w="2670" w:type="dxa"/>
            <w:gridSpan w:val="2"/>
            <w:vAlign w:val="center"/>
          </w:tcPr>
          <w:p w14:paraId="5CF2674E">
            <w:pPr>
              <w:jc w:val="center"/>
              <w:rPr>
                <w:szCs w:val="21"/>
                <w:highlight w:val="none"/>
              </w:rPr>
            </w:pPr>
          </w:p>
        </w:tc>
      </w:tr>
      <w:tr w14:paraId="0F4C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6C5F3BFD">
            <w:pPr>
              <w:jc w:val="center"/>
              <w:rPr>
                <w:szCs w:val="21"/>
                <w:highlight w:val="none"/>
              </w:rPr>
            </w:pPr>
            <w:r>
              <w:rPr>
                <w:rFonts w:hint="eastAsia"/>
                <w:szCs w:val="21"/>
                <w:highlight w:val="none"/>
              </w:rPr>
              <w:t>组织结构</w:t>
            </w:r>
          </w:p>
        </w:tc>
        <w:tc>
          <w:tcPr>
            <w:tcW w:w="7305" w:type="dxa"/>
            <w:gridSpan w:val="7"/>
            <w:vAlign w:val="center"/>
          </w:tcPr>
          <w:p w14:paraId="2A2F1D04">
            <w:pPr>
              <w:jc w:val="center"/>
              <w:rPr>
                <w:szCs w:val="21"/>
                <w:highlight w:val="none"/>
              </w:rPr>
            </w:pPr>
          </w:p>
        </w:tc>
      </w:tr>
      <w:tr w14:paraId="7B8A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6CA1F22C">
            <w:pPr>
              <w:jc w:val="center"/>
              <w:rPr>
                <w:szCs w:val="21"/>
                <w:highlight w:val="none"/>
              </w:rPr>
            </w:pPr>
            <w:r>
              <w:rPr>
                <w:rFonts w:hint="eastAsia"/>
                <w:szCs w:val="21"/>
                <w:highlight w:val="none"/>
              </w:rPr>
              <w:t>法定代表人</w:t>
            </w:r>
          </w:p>
        </w:tc>
        <w:tc>
          <w:tcPr>
            <w:tcW w:w="897" w:type="dxa"/>
            <w:vAlign w:val="center"/>
          </w:tcPr>
          <w:p w14:paraId="03174B23">
            <w:pPr>
              <w:jc w:val="center"/>
              <w:rPr>
                <w:szCs w:val="21"/>
                <w:highlight w:val="none"/>
              </w:rPr>
            </w:pPr>
            <w:r>
              <w:rPr>
                <w:rFonts w:hint="eastAsia"/>
                <w:szCs w:val="21"/>
                <w:highlight w:val="none"/>
              </w:rPr>
              <w:t>姓名</w:t>
            </w:r>
          </w:p>
        </w:tc>
        <w:tc>
          <w:tcPr>
            <w:tcW w:w="2297" w:type="dxa"/>
            <w:gridSpan w:val="2"/>
            <w:vAlign w:val="center"/>
          </w:tcPr>
          <w:p w14:paraId="3357FCDC">
            <w:pPr>
              <w:jc w:val="center"/>
              <w:rPr>
                <w:szCs w:val="21"/>
                <w:highlight w:val="none"/>
              </w:rPr>
            </w:pPr>
          </w:p>
        </w:tc>
        <w:tc>
          <w:tcPr>
            <w:tcW w:w="1701" w:type="dxa"/>
            <w:gridSpan w:val="3"/>
            <w:vAlign w:val="center"/>
          </w:tcPr>
          <w:p w14:paraId="2948F75E">
            <w:pPr>
              <w:jc w:val="center"/>
              <w:rPr>
                <w:kern w:val="2"/>
                <w:sz w:val="21"/>
                <w:szCs w:val="21"/>
                <w:highlight w:val="none"/>
                <w:lang w:eastAsia="zh-CN"/>
              </w:rPr>
            </w:pPr>
            <w:r>
              <w:rPr>
                <w:rFonts w:hint="eastAsia"/>
                <w:szCs w:val="21"/>
                <w:highlight w:val="none"/>
              </w:rPr>
              <w:t>电话</w:t>
            </w:r>
          </w:p>
        </w:tc>
        <w:tc>
          <w:tcPr>
            <w:tcW w:w="2410" w:type="dxa"/>
            <w:vAlign w:val="center"/>
          </w:tcPr>
          <w:p w14:paraId="4216C1DD">
            <w:pPr>
              <w:jc w:val="center"/>
              <w:rPr>
                <w:szCs w:val="21"/>
                <w:highlight w:val="none"/>
              </w:rPr>
            </w:pPr>
          </w:p>
        </w:tc>
      </w:tr>
      <w:tr w14:paraId="512B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1A42F381">
            <w:pPr>
              <w:jc w:val="center"/>
              <w:rPr>
                <w:szCs w:val="21"/>
                <w:highlight w:val="none"/>
              </w:rPr>
            </w:pPr>
            <w:r>
              <w:rPr>
                <w:rFonts w:hint="eastAsia"/>
                <w:szCs w:val="21"/>
                <w:highlight w:val="none"/>
              </w:rPr>
              <w:t>成立时间</w:t>
            </w:r>
          </w:p>
        </w:tc>
        <w:tc>
          <w:tcPr>
            <w:tcW w:w="1918" w:type="dxa"/>
            <w:gridSpan w:val="2"/>
            <w:vAlign w:val="center"/>
          </w:tcPr>
          <w:p w14:paraId="14A033C7">
            <w:pPr>
              <w:jc w:val="center"/>
              <w:rPr>
                <w:szCs w:val="21"/>
                <w:highlight w:val="none"/>
              </w:rPr>
            </w:pPr>
          </w:p>
        </w:tc>
        <w:tc>
          <w:tcPr>
            <w:tcW w:w="5387" w:type="dxa"/>
            <w:gridSpan w:val="5"/>
            <w:vAlign w:val="center"/>
          </w:tcPr>
          <w:p w14:paraId="630D8DE1">
            <w:pPr>
              <w:jc w:val="both"/>
              <w:rPr>
                <w:szCs w:val="21"/>
                <w:highlight w:val="none"/>
                <w:lang w:eastAsia="zh-CN"/>
              </w:rPr>
            </w:pPr>
            <w:r>
              <w:rPr>
                <w:rFonts w:hint="eastAsia"/>
                <w:szCs w:val="21"/>
                <w:highlight w:val="none"/>
                <w:lang w:eastAsia="zh-CN"/>
              </w:rPr>
              <w:t>员工总人数：              技术人员：</w:t>
            </w:r>
          </w:p>
        </w:tc>
      </w:tr>
      <w:tr w14:paraId="2823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3C04D36A">
            <w:pPr>
              <w:jc w:val="center"/>
              <w:rPr>
                <w:szCs w:val="21"/>
                <w:highlight w:val="none"/>
              </w:rPr>
            </w:pPr>
            <w:r>
              <w:rPr>
                <w:rFonts w:hint="eastAsia"/>
                <w:szCs w:val="21"/>
                <w:highlight w:val="none"/>
              </w:rPr>
              <w:t>营业执照号</w:t>
            </w:r>
          </w:p>
        </w:tc>
        <w:tc>
          <w:tcPr>
            <w:tcW w:w="7305" w:type="dxa"/>
            <w:gridSpan w:val="7"/>
            <w:vAlign w:val="center"/>
          </w:tcPr>
          <w:p w14:paraId="368E3439">
            <w:pPr>
              <w:jc w:val="center"/>
              <w:rPr>
                <w:szCs w:val="21"/>
                <w:highlight w:val="none"/>
              </w:rPr>
            </w:pPr>
          </w:p>
        </w:tc>
      </w:tr>
      <w:tr w14:paraId="761D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30F9EB38">
            <w:pPr>
              <w:jc w:val="center"/>
              <w:rPr>
                <w:szCs w:val="21"/>
                <w:highlight w:val="none"/>
              </w:rPr>
            </w:pPr>
            <w:r>
              <w:rPr>
                <w:rFonts w:hint="eastAsia"/>
                <w:szCs w:val="21"/>
                <w:highlight w:val="none"/>
              </w:rPr>
              <w:t>注册资金</w:t>
            </w:r>
          </w:p>
        </w:tc>
        <w:tc>
          <w:tcPr>
            <w:tcW w:w="7305" w:type="dxa"/>
            <w:gridSpan w:val="7"/>
            <w:vAlign w:val="center"/>
          </w:tcPr>
          <w:p w14:paraId="37A4D620">
            <w:pPr>
              <w:jc w:val="center"/>
              <w:rPr>
                <w:szCs w:val="21"/>
                <w:highlight w:val="none"/>
              </w:rPr>
            </w:pPr>
          </w:p>
        </w:tc>
      </w:tr>
      <w:tr w14:paraId="7F4C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7C363121">
            <w:pPr>
              <w:jc w:val="center"/>
              <w:rPr>
                <w:szCs w:val="21"/>
                <w:highlight w:val="none"/>
              </w:rPr>
            </w:pPr>
            <w:r>
              <w:rPr>
                <w:rFonts w:hint="eastAsia"/>
                <w:szCs w:val="21"/>
                <w:highlight w:val="none"/>
              </w:rPr>
              <w:t>开户银行</w:t>
            </w:r>
          </w:p>
        </w:tc>
        <w:tc>
          <w:tcPr>
            <w:tcW w:w="7305" w:type="dxa"/>
            <w:gridSpan w:val="7"/>
            <w:vAlign w:val="center"/>
          </w:tcPr>
          <w:p w14:paraId="6607D093">
            <w:pPr>
              <w:jc w:val="center"/>
              <w:rPr>
                <w:szCs w:val="21"/>
                <w:highlight w:val="none"/>
              </w:rPr>
            </w:pPr>
          </w:p>
        </w:tc>
      </w:tr>
      <w:tr w14:paraId="04D0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50984D30">
            <w:pPr>
              <w:jc w:val="center"/>
              <w:rPr>
                <w:szCs w:val="21"/>
                <w:highlight w:val="none"/>
              </w:rPr>
            </w:pPr>
            <w:r>
              <w:rPr>
                <w:rFonts w:hint="eastAsia"/>
                <w:szCs w:val="21"/>
                <w:highlight w:val="none"/>
              </w:rPr>
              <w:t>账号</w:t>
            </w:r>
          </w:p>
        </w:tc>
        <w:tc>
          <w:tcPr>
            <w:tcW w:w="7305" w:type="dxa"/>
            <w:gridSpan w:val="7"/>
            <w:vAlign w:val="center"/>
          </w:tcPr>
          <w:p w14:paraId="6E301D76">
            <w:pPr>
              <w:jc w:val="center"/>
              <w:rPr>
                <w:szCs w:val="21"/>
                <w:highlight w:val="none"/>
              </w:rPr>
            </w:pPr>
          </w:p>
        </w:tc>
      </w:tr>
      <w:tr w14:paraId="1608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695" w:type="dxa"/>
            <w:vAlign w:val="center"/>
          </w:tcPr>
          <w:p w14:paraId="1A0BFB45">
            <w:pPr>
              <w:jc w:val="center"/>
              <w:rPr>
                <w:szCs w:val="21"/>
                <w:highlight w:val="none"/>
              </w:rPr>
            </w:pPr>
            <w:r>
              <w:rPr>
                <w:rFonts w:hint="eastAsia"/>
                <w:szCs w:val="21"/>
                <w:highlight w:val="none"/>
              </w:rPr>
              <w:t>经营范围</w:t>
            </w:r>
          </w:p>
        </w:tc>
        <w:tc>
          <w:tcPr>
            <w:tcW w:w="7305" w:type="dxa"/>
            <w:gridSpan w:val="7"/>
            <w:vAlign w:val="center"/>
          </w:tcPr>
          <w:p w14:paraId="2CDE775C">
            <w:pPr>
              <w:jc w:val="center"/>
              <w:rPr>
                <w:szCs w:val="21"/>
                <w:highlight w:val="none"/>
              </w:rPr>
            </w:pPr>
          </w:p>
        </w:tc>
      </w:tr>
      <w:tr w14:paraId="3189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2494FE78">
            <w:pPr>
              <w:jc w:val="center"/>
              <w:rPr>
                <w:szCs w:val="21"/>
                <w:highlight w:val="none"/>
              </w:rPr>
            </w:pPr>
            <w:r>
              <w:rPr>
                <w:rFonts w:hint="eastAsia"/>
                <w:szCs w:val="21"/>
                <w:highlight w:val="none"/>
              </w:rPr>
              <w:t>备注</w:t>
            </w:r>
          </w:p>
        </w:tc>
        <w:tc>
          <w:tcPr>
            <w:tcW w:w="7305" w:type="dxa"/>
            <w:gridSpan w:val="7"/>
            <w:vAlign w:val="center"/>
          </w:tcPr>
          <w:p w14:paraId="51FB0A67">
            <w:pPr>
              <w:jc w:val="center"/>
              <w:rPr>
                <w:szCs w:val="21"/>
                <w:highlight w:val="none"/>
              </w:rPr>
            </w:pPr>
          </w:p>
        </w:tc>
      </w:tr>
    </w:tbl>
    <w:p w14:paraId="1B87A23B">
      <w:pPr>
        <w:pStyle w:val="8"/>
        <w:wordWrap w:val="0"/>
        <w:spacing w:before="74" w:line="331" w:lineRule="auto"/>
        <w:ind w:left="240"/>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highlight w:val="none"/>
          <w:lang w:eastAsia="zh-CN"/>
          <w14:textFill>
            <w14:solidFill>
              <w14:schemeClr w14:val="tx1"/>
            </w14:solidFill>
          </w14:textFill>
        </w:rPr>
        <w:t>注：</w:t>
      </w:r>
      <w:r>
        <w:rPr>
          <w:rFonts w:hint="eastAsia"/>
          <w:spacing w:val="-5"/>
          <w:highlight w:val="none"/>
          <w:lang w:eastAsia="zh-CN"/>
        </w:rPr>
        <w:t>后附营业执照、开户证明等。</w:t>
      </w:r>
    </w:p>
    <w:p w14:paraId="0CE677A8">
      <w:pPr>
        <w:wordWrap w:val="0"/>
        <w:spacing w:line="331" w:lineRule="auto"/>
        <w:rPr>
          <w:rFonts w:asciiTheme="minorEastAsia" w:hAnsiTheme="minorEastAsia" w:eastAsiaTheme="minorEastAsia" w:cstheme="minorEastAsia"/>
          <w:color w:val="000000" w:themeColor="text1"/>
          <w:highlight w:val="none"/>
          <w:lang w:eastAsia="zh-CN"/>
          <w14:textFill>
            <w14:solidFill>
              <w14:schemeClr w14:val="tx1"/>
            </w14:solidFill>
          </w14:textFill>
        </w:rPr>
        <w:sectPr>
          <w:footerReference r:id="rId6" w:type="default"/>
          <w:pgSz w:w="12240" w:h="15840"/>
          <w:pgMar w:top="1500" w:right="1560" w:bottom="1120" w:left="1560" w:header="0" w:footer="921" w:gutter="0"/>
          <w:pgBorders>
            <w:top w:val="none" w:sz="0" w:space="0"/>
            <w:left w:val="none" w:sz="0" w:space="0"/>
            <w:bottom w:val="none" w:sz="0" w:space="0"/>
            <w:right w:val="none" w:sz="0" w:space="0"/>
          </w:pgBorders>
          <w:pgNumType w:fmt="decimal"/>
          <w:cols w:space="720" w:num="1"/>
        </w:sectPr>
      </w:pPr>
    </w:p>
    <w:p w14:paraId="1927CCEE">
      <w:pPr>
        <w:adjustRightInd w:val="0"/>
        <w:snapToGrid w:val="0"/>
        <w:spacing w:line="300" w:lineRule="auto"/>
        <w:jc w:val="center"/>
        <w:outlineLvl w:val="0"/>
        <w:rPr>
          <w:b/>
          <w:bCs/>
          <w:sz w:val="32"/>
          <w:szCs w:val="32"/>
          <w:highlight w:val="none"/>
          <w:lang w:eastAsia="zh-CN"/>
        </w:rPr>
      </w:pPr>
      <w:bookmarkStart w:id="150" w:name="_bookmark205"/>
      <w:bookmarkEnd w:id="150"/>
      <w:r>
        <w:rPr>
          <w:rFonts w:hint="eastAsia"/>
          <w:b/>
          <w:bCs/>
          <w:sz w:val="32"/>
          <w:szCs w:val="32"/>
          <w:highlight w:val="none"/>
          <w:lang w:eastAsia="zh-CN"/>
        </w:rPr>
        <w:t>（二）资格条件承诺函</w:t>
      </w:r>
    </w:p>
    <w:p w14:paraId="7052F0B9">
      <w:pPr>
        <w:spacing w:line="360" w:lineRule="auto"/>
        <w:rPr>
          <w:sz w:val="21"/>
          <w:szCs w:val="21"/>
          <w:highlight w:val="none"/>
          <w:lang w:eastAsia="zh-CN"/>
        </w:rPr>
      </w:pPr>
      <w:bookmarkStart w:id="151" w:name="_bookmark206"/>
      <w:bookmarkEnd w:id="151"/>
      <w:bookmarkStart w:id="152" w:name="_Toc15067"/>
    </w:p>
    <w:p w14:paraId="6F044537">
      <w:pPr>
        <w:spacing w:line="480" w:lineRule="auto"/>
        <w:rPr>
          <w:sz w:val="21"/>
          <w:szCs w:val="21"/>
          <w:highlight w:val="none"/>
          <w:lang w:eastAsia="zh-CN"/>
        </w:rPr>
      </w:pPr>
      <w:r>
        <w:rPr>
          <w:rFonts w:hint="eastAsia"/>
          <w:sz w:val="21"/>
          <w:szCs w:val="21"/>
          <w:highlight w:val="none"/>
          <w:lang w:eastAsia="zh-CN"/>
        </w:rPr>
        <w:t>致：</w:t>
      </w:r>
      <w:r>
        <w:rPr>
          <w:rFonts w:hint="eastAsia"/>
          <w:sz w:val="21"/>
          <w:szCs w:val="21"/>
          <w:highlight w:val="none"/>
          <w:u w:val="single"/>
          <w:lang w:eastAsia="zh-CN"/>
        </w:rPr>
        <w:t>（采购人、采购代理机构）</w:t>
      </w:r>
      <w:r>
        <w:rPr>
          <w:rFonts w:hint="eastAsia"/>
          <w:sz w:val="21"/>
          <w:szCs w:val="21"/>
          <w:highlight w:val="none"/>
          <w:lang w:eastAsia="zh-CN"/>
        </w:rPr>
        <w:t>:</w:t>
      </w:r>
    </w:p>
    <w:p w14:paraId="5FEB3922">
      <w:pPr>
        <w:spacing w:line="480" w:lineRule="auto"/>
        <w:ind w:firstLine="420" w:firstLineChars="200"/>
        <w:rPr>
          <w:sz w:val="21"/>
          <w:szCs w:val="21"/>
          <w:highlight w:val="none"/>
          <w:lang w:eastAsia="zh-CN"/>
        </w:rPr>
      </w:pPr>
      <w:r>
        <w:rPr>
          <w:rFonts w:hint="eastAsia"/>
          <w:sz w:val="21"/>
          <w:szCs w:val="21"/>
          <w:highlight w:val="none"/>
          <w:lang w:eastAsia="zh-CN"/>
        </w:rPr>
        <w:t>我单位</w:t>
      </w:r>
      <w:r>
        <w:rPr>
          <w:rFonts w:hint="eastAsia"/>
          <w:sz w:val="21"/>
          <w:szCs w:val="21"/>
          <w:highlight w:val="none"/>
          <w:u w:val="single"/>
          <w:lang w:eastAsia="zh-CN"/>
        </w:rPr>
        <w:t xml:space="preserve">    （公司）   </w:t>
      </w:r>
      <w:r>
        <w:rPr>
          <w:rFonts w:hint="eastAsia"/>
          <w:sz w:val="21"/>
          <w:szCs w:val="21"/>
          <w:highlight w:val="none"/>
          <w:lang w:eastAsia="zh-CN"/>
        </w:rPr>
        <w:t>参与</w:t>
      </w:r>
      <w:r>
        <w:rPr>
          <w:rFonts w:hint="eastAsia"/>
          <w:sz w:val="21"/>
          <w:szCs w:val="21"/>
          <w:highlight w:val="none"/>
          <w:u w:val="single"/>
          <w:lang w:eastAsia="zh-CN"/>
        </w:rPr>
        <w:t>（项目名称  项目编号）</w:t>
      </w:r>
      <w:r>
        <w:rPr>
          <w:rFonts w:hint="eastAsia"/>
          <w:sz w:val="21"/>
          <w:szCs w:val="21"/>
          <w:highlight w:val="none"/>
          <w:lang w:eastAsia="zh-CN"/>
        </w:rPr>
        <w:t>采购项目的政府采购活动，现承诺如下：</w:t>
      </w:r>
    </w:p>
    <w:p w14:paraId="1374EDF6">
      <w:pPr>
        <w:spacing w:line="480" w:lineRule="auto"/>
        <w:ind w:firstLine="420" w:firstLineChars="200"/>
        <w:rPr>
          <w:sz w:val="21"/>
          <w:szCs w:val="21"/>
          <w:highlight w:val="none"/>
          <w:lang w:eastAsia="zh-CN"/>
        </w:rPr>
      </w:pPr>
      <w:r>
        <w:rPr>
          <w:rFonts w:hint="eastAsia"/>
          <w:sz w:val="21"/>
          <w:szCs w:val="21"/>
          <w:highlight w:val="none"/>
          <w:lang w:eastAsia="zh-CN"/>
        </w:rPr>
        <w:t>1.具有良好的商业信誉和健全的财务会计制度；</w:t>
      </w:r>
    </w:p>
    <w:p w14:paraId="797DA649">
      <w:pPr>
        <w:spacing w:line="480" w:lineRule="auto"/>
        <w:ind w:firstLine="420" w:firstLineChars="200"/>
        <w:rPr>
          <w:sz w:val="21"/>
          <w:szCs w:val="21"/>
          <w:highlight w:val="none"/>
          <w:lang w:eastAsia="zh-CN"/>
        </w:rPr>
      </w:pPr>
      <w:r>
        <w:rPr>
          <w:rFonts w:hint="eastAsia"/>
          <w:sz w:val="21"/>
          <w:szCs w:val="21"/>
          <w:highlight w:val="none"/>
          <w:lang w:eastAsia="zh-CN"/>
        </w:rPr>
        <w:t>2.具有依法缴纳税收的良好记录；</w:t>
      </w:r>
    </w:p>
    <w:p w14:paraId="2C2DFEDC">
      <w:pPr>
        <w:spacing w:line="480" w:lineRule="auto"/>
        <w:ind w:firstLine="420" w:firstLineChars="200"/>
        <w:rPr>
          <w:sz w:val="21"/>
          <w:szCs w:val="21"/>
          <w:highlight w:val="none"/>
          <w:lang w:eastAsia="zh-CN"/>
        </w:rPr>
      </w:pPr>
      <w:r>
        <w:rPr>
          <w:rFonts w:hint="eastAsia"/>
          <w:sz w:val="21"/>
          <w:szCs w:val="21"/>
          <w:highlight w:val="none"/>
          <w:lang w:eastAsia="zh-CN"/>
        </w:rPr>
        <w:t>3.具有依法缴纳社会保障金的良好记录。</w:t>
      </w:r>
    </w:p>
    <w:p w14:paraId="4045F946">
      <w:pPr>
        <w:spacing w:line="480" w:lineRule="auto"/>
        <w:ind w:firstLine="420" w:firstLineChars="200"/>
        <w:rPr>
          <w:sz w:val="21"/>
          <w:szCs w:val="21"/>
          <w:highlight w:val="none"/>
          <w:lang w:eastAsia="zh-CN"/>
        </w:rPr>
      </w:pPr>
      <w:r>
        <w:rPr>
          <w:rFonts w:hint="eastAsia"/>
          <w:sz w:val="21"/>
          <w:szCs w:val="21"/>
          <w:highlight w:val="none"/>
          <w:lang w:eastAsia="zh-CN"/>
        </w:rPr>
        <w:t>我方在采购项目评审（评审）环节结束后，随时接受采购人、采购代理机构的检查验证，配合提供相关证明材料，证明符合《中华人民共和国政府采购法》规定的供应商基本资格条件。</w:t>
      </w:r>
    </w:p>
    <w:p w14:paraId="0D60C40E">
      <w:pPr>
        <w:spacing w:line="480" w:lineRule="auto"/>
        <w:ind w:firstLine="420" w:firstLineChars="200"/>
        <w:rPr>
          <w:sz w:val="21"/>
          <w:szCs w:val="21"/>
          <w:highlight w:val="none"/>
          <w:lang w:eastAsia="zh-CN"/>
        </w:rPr>
      </w:pPr>
      <w:r>
        <w:rPr>
          <w:rFonts w:hint="eastAsia"/>
          <w:sz w:val="21"/>
          <w:szCs w:val="21"/>
          <w:highlight w:val="none"/>
          <w:lang w:eastAsia="zh-CN"/>
        </w:rPr>
        <w:t>我单位</w:t>
      </w:r>
      <w:r>
        <w:rPr>
          <w:rFonts w:hint="eastAsia"/>
          <w:sz w:val="21"/>
          <w:szCs w:val="21"/>
          <w:highlight w:val="none"/>
          <w:u w:val="single"/>
          <w:lang w:eastAsia="zh-CN"/>
        </w:rPr>
        <w:t xml:space="preserve">    （公司）    </w:t>
      </w:r>
      <w:r>
        <w:rPr>
          <w:rFonts w:hint="eastAsia"/>
          <w:sz w:val="21"/>
          <w:szCs w:val="21"/>
          <w:highlight w:val="none"/>
          <w:lang w:eastAsia="zh-CN"/>
        </w:rPr>
        <w:t>对上述承诺的真实性负责。如有虚假，将依法承担相应责任。</w:t>
      </w:r>
    </w:p>
    <w:p w14:paraId="33538245">
      <w:pPr>
        <w:spacing w:line="480" w:lineRule="auto"/>
        <w:ind w:firstLine="420" w:firstLineChars="200"/>
        <w:rPr>
          <w:sz w:val="21"/>
          <w:szCs w:val="21"/>
          <w:highlight w:val="none"/>
          <w:lang w:eastAsia="zh-CN"/>
        </w:rPr>
      </w:pPr>
      <w:r>
        <w:rPr>
          <w:rFonts w:hint="eastAsia"/>
          <w:sz w:val="21"/>
          <w:szCs w:val="21"/>
          <w:highlight w:val="none"/>
          <w:lang w:eastAsia="zh-CN"/>
        </w:rPr>
        <w:t>特此承诺。</w:t>
      </w:r>
    </w:p>
    <w:p w14:paraId="0438817E">
      <w:pPr>
        <w:wordWrap w:val="0"/>
        <w:spacing w:line="480" w:lineRule="auto"/>
        <w:jc w:val="right"/>
        <w:rPr>
          <w:sz w:val="21"/>
          <w:szCs w:val="21"/>
          <w:highlight w:val="none"/>
          <w:lang w:eastAsia="zh-CN"/>
        </w:rPr>
      </w:pPr>
    </w:p>
    <w:p w14:paraId="418DFC8F">
      <w:pPr>
        <w:wordWrap w:val="0"/>
        <w:spacing w:line="360" w:lineRule="auto"/>
        <w:jc w:val="right"/>
        <w:rPr>
          <w:sz w:val="21"/>
          <w:szCs w:val="21"/>
          <w:highlight w:val="none"/>
          <w:lang w:eastAsia="zh-CN"/>
        </w:rPr>
      </w:pPr>
    </w:p>
    <w:p w14:paraId="5D7E13DF">
      <w:pPr>
        <w:wordWrap w:val="0"/>
        <w:spacing w:line="360" w:lineRule="auto"/>
        <w:jc w:val="right"/>
        <w:rPr>
          <w:sz w:val="21"/>
          <w:szCs w:val="21"/>
          <w:highlight w:val="none"/>
          <w:lang w:eastAsia="zh-CN"/>
        </w:rPr>
      </w:pPr>
    </w:p>
    <w:p w14:paraId="05A902A6">
      <w:pPr>
        <w:wordWrap w:val="0"/>
        <w:spacing w:line="360" w:lineRule="auto"/>
        <w:jc w:val="right"/>
        <w:rPr>
          <w:sz w:val="21"/>
          <w:szCs w:val="21"/>
          <w:highlight w:val="none"/>
          <w:lang w:eastAsia="zh-CN"/>
        </w:rPr>
      </w:pPr>
    </w:p>
    <w:p w14:paraId="5944689C">
      <w:pPr>
        <w:wordWrap w:val="0"/>
        <w:spacing w:line="360" w:lineRule="auto"/>
        <w:jc w:val="right"/>
        <w:rPr>
          <w:sz w:val="21"/>
          <w:szCs w:val="21"/>
          <w:highlight w:val="none"/>
          <w:lang w:eastAsia="zh-CN"/>
        </w:rPr>
      </w:pPr>
    </w:p>
    <w:p w14:paraId="16FF25E1">
      <w:pPr>
        <w:wordWrap w:val="0"/>
        <w:spacing w:line="360" w:lineRule="auto"/>
        <w:jc w:val="right"/>
        <w:rPr>
          <w:sz w:val="21"/>
          <w:szCs w:val="21"/>
          <w:highlight w:val="none"/>
          <w:lang w:eastAsia="zh-CN"/>
        </w:rPr>
      </w:pPr>
    </w:p>
    <w:p w14:paraId="06126A8A">
      <w:pPr>
        <w:wordWrap w:val="0"/>
        <w:spacing w:line="360" w:lineRule="auto"/>
        <w:jc w:val="right"/>
        <w:rPr>
          <w:sz w:val="21"/>
          <w:szCs w:val="21"/>
          <w:highlight w:val="none"/>
          <w:lang w:eastAsia="zh-CN"/>
        </w:rPr>
      </w:pPr>
      <w:r>
        <w:rPr>
          <w:rFonts w:hint="eastAsia"/>
          <w:sz w:val="21"/>
          <w:szCs w:val="21"/>
          <w:highlight w:val="none"/>
          <w:lang w:eastAsia="zh-CN"/>
        </w:rPr>
        <w:t xml:space="preserve">盖章：                      </w:t>
      </w:r>
    </w:p>
    <w:p w14:paraId="33F89E1B">
      <w:pPr>
        <w:wordWrap w:val="0"/>
        <w:spacing w:line="360" w:lineRule="auto"/>
        <w:jc w:val="right"/>
        <w:rPr>
          <w:sz w:val="21"/>
          <w:szCs w:val="21"/>
          <w:highlight w:val="none"/>
          <w:lang w:eastAsia="zh-CN"/>
        </w:rPr>
      </w:pPr>
      <w:r>
        <w:rPr>
          <w:rFonts w:hint="eastAsia"/>
          <w:sz w:val="21"/>
          <w:szCs w:val="21"/>
          <w:highlight w:val="none"/>
          <w:lang w:eastAsia="zh-CN"/>
        </w:rPr>
        <w:t xml:space="preserve">签字：                      </w:t>
      </w:r>
    </w:p>
    <w:p w14:paraId="54CF5901">
      <w:pPr>
        <w:spacing w:line="360" w:lineRule="auto"/>
        <w:jc w:val="center"/>
        <w:rPr>
          <w:b/>
          <w:bCs/>
          <w:sz w:val="32"/>
          <w:szCs w:val="32"/>
          <w:highlight w:val="none"/>
          <w:lang w:eastAsia="zh-CN"/>
        </w:rPr>
      </w:pPr>
      <w:r>
        <w:rPr>
          <w:rFonts w:hint="eastAsia"/>
          <w:sz w:val="21"/>
          <w:szCs w:val="21"/>
          <w:highlight w:val="none"/>
          <w:lang w:eastAsia="zh-CN"/>
        </w:rPr>
        <w:t xml:space="preserve">                                  日期：                   </w:t>
      </w:r>
      <w:r>
        <w:rPr>
          <w:rFonts w:hint="eastAsia"/>
          <w:b/>
          <w:bCs/>
          <w:sz w:val="32"/>
          <w:szCs w:val="32"/>
          <w:highlight w:val="none"/>
          <w:lang w:eastAsia="zh-CN"/>
        </w:rPr>
        <w:br w:type="page"/>
      </w:r>
    </w:p>
    <w:p w14:paraId="55F411A3">
      <w:pPr>
        <w:adjustRightInd w:val="0"/>
        <w:snapToGrid w:val="0"/>
        <w:spacing w:line="300" w:lineRule="auto"/>
        <w:jc w:val="center"/>
        <w:outlineLvl w:val="0"/>
        <w:rPr>
          <w:rFonts w:hint="default"/>
          <w:b/>
          <w:bCs/>
          <w:sz w:val="32"/>
          <w:szCs w:val="32"/>
          <w:highlight w:val="none"/>
          <w:lang w:val="en-US" w:eastAsia="zh-CN"/>
        </w:rPr>
      </w:pPr>
      <w:r>
        <w:rPr>
          <w:rFonts w:hint="eastAsia"/>
          <w:b/>
          <w:bCs/>
          <w:sz w:val="32"/>
          <w:szCs w:val="32"/>
          <w:highlight w:val="none"/>
          <w:lang w:eastAsia="zh-CN"/>
        </w:rPr>
        <w:t>（三）</w:t>
      </w:r>
      <w:bookmarkEnd w:id="152"/>
      <w:bookmarkStart w:id="153" w:name="_bookmark207"/>
      <w:bookmarkEnd w:id="153"/>
      <w:bookmarkStart w:id="154" w:name="_bookmark208"/>
      <w:bookmarkEnd w:id="154"/>
      <w:r>
        <w:rPr>
          <w:rFonts w:hint="eastAsia"/>
          <w:b/>
          <w:bCs/>
          <w:sz w:val="32"/>
          <w:szCs w:val="32"/>
          <w:highlight w:val="none"/>
          <w:lang w:eastAsia="zh-CN"/>
        </w:rPr>
        <w:t>企业实力</w:t>
      </w:r>
      <w:r>
        <w:rPr>
          <w:rFonts w:hint="eastAsia"/>
          <w:b/>
          <w:bCs/>
          <w:sz w:val="32"/>
          <w:szCs w:val="32"/>
          <w:highlight w:val="none"/>
          <w:lang w:val="en-US" w:eastAsia="zh-CN"/>
        </w:rPr>
        <w:t>证明材料（如有）</w:t>
      </w:r>
    </w:p>
    <w:p w14:paraId="3DBA9D6B">
      <w:pPr>
        <w:rPr>
          <w:rFonts w:hint="eastAsia"/>
          <w:b/>
          <w:bCs/>
          <w:sz w:val="32"/>
          <w:szCs w:val="32"/>
          <w:highlight w:val="none"/>
          <w:lang w:eastAsia="zh-CN"/>
        </w:rPr>
      </w:pPr>
      <w:r>
        <w:rPr>
          <w:rFonts w:hint="eastAsia"/>
          <w:b/>
          <w:bCs/>
          <w:sz w:val="32"/>
          <w:szCs w:val="32"/>
          <w:highlight w:val="none"/>
          <w:lang w:eastAsia="zh-CN"/>
        </w:rPr>
        <w:br w:type="page"/>
      </w:r>
    </w:p>
    <w:p w14:paraId="526B7B5B">
      <w:pPr>
        <w:adjustRightInd w:val="0"/>
        <w:snapToGrid w:val="0"/>
        <w:spacing w:line="300" w:lineRule="auto"/>
        <w:jc w:val="center"/>
        <w:outlineLvl w:val="0"/>
        <w:rPr>
          <w:rFonts w:hint="default"/>
          <w:b/>
          <w:bCs/>
          <w:sz w:val="32"/>
          <w:szCs w:val="32"/>
          <w:highlight w:val="none"/>
          <w:lang w:val="en-US" w:eastAsia="zh-CN"/>
        </w:rPr>
      </w:pPr>
      <w:r>
        <w:rPr>
          <w:rFonts w:hint="eastAsia"/>
          <w:b/>
          <w:bCs/>
          <w:sz w:val="32"/>
          <w:szCs w:val="32"/>
          <w:highlight w:val="none"/>
          <w:lang w:val="en-US" w:eastAsia="zh-CN"/>
        </w:rPr>
        <w:t>(四）产品保险证明材料（如有）</w:t>
      </w:r>
    </w:p>
    <w:p w14:paraId="3A578266">
      <w:pPr>
        <w:rPr>
          <w:rFonts w:hint="eastAsia"/>
          <w:b/>
          <w:bCs/>
          <w:sz w:val="32"/>
          <w:szCs w:val="32"/>
          <w:highlight w:val="none"/>
          <w:lang w:val="en-US" w:eastAsia="zh-CN"/>
        </w:rPr>
      </w:pPr>
      <w:r>
        <w:rPr>
          <w:rFonts w:hint="eastAsia"/>
          <w:b/>
          <w:bCs/>
          <w:sz w:val="32"/>
          <w:szCs w:val="32"/>
          <w:highlight w:val="none"/>
          <w:lang w:val="en-US" w:eastAsia="zh-CN"/>
        </w:rPr>
        <w:br w:type="page"/>
      </w:r>
    </w:p>
    <w:p w14:paraId="4F7DD223">
      <w:pPr>
        <w:adjustRightInd w:val="0"/>
        <w:snapToGrid w:val="0"/>
        <w:spacing w:line="300" w:lineRule="auto"/>
        <w:jc w:val="center"/>
        <w:outlineLvl w:val="0"/>
        <w:rPr>
          <w:rFonts w:ascii="华文中宋" w:hAnsi="华文中宋" w:eastAsia="华文中宋"/>
          <w:b/>
          <w:sz w:val="28"/>
          <w:highlight w:val="none"/>
          <w:lang w:eastAsia="zh-CN"/>
        </w:rPr>
      </w:pPr>
      <w:r>
        <w:rPr>
          <w:rFonts w:hint="eastAsia"/>
          <w:b/>
          <w:bCs/>
          <w:sz w:val="32"/>
          <w:szCs w:val="32"/>
          <w:highlight w:val="none"/>
          <w:lang w:val="en-US" w:eastAsia="zh-CN"/>
        </w:rPr>
        <w:t>七、</w:t>
      </w:r>
      <w:r>
        <w:rPr>
          <w:rFonts w:hint="eastAsia"/>
          <w:b/>
          <w:bCs/>
          <w:sz w:val="32"/>
          <w:szCs w:val="32"/>
          <w:highlight w:val="none"/>
          <w:lang w:eastAsia="zh-CN"/>
        </w:rPr>
        <w:t>商务</w:t>
      </w:r>
      <w:r>
        <w:rPr>
          <w:rFonts w:hint="eastAsia"/>
          <w:b/>
          <w:bCs/>
          <w:kern w:val="2"/>
          <w:sz w:val="32"/>
          <w:szCs w:val="32"/>
          <w:highlight w:val="none"/>
          <w:lang w:eastAsia="zh-CN"/>
        </w:rPr>
        <w:t>偏离表</w:t>
      </w:r>
    </w:p>
    <w:p w14:paraId="1CED617D">
      <w:pPr>
        <w:adjustRightInd w:val="0"/>
        <w:snapToGrid w:val="0"/>
        <w:spacing w:line="300" w:lineRule="auto"/>
        <w:rPr>
          <w:sz w:val="18"/>
          <w:highlight w:val="none"/>
          <w:lang w:eastAsia="zh-CN"/>
        </w:rPr>
      </w:pPr>
    </w:p>
    <w:p w14:paraId="5F39103B">
      <w:pPr>
        <w:adjustRightInd w:val="0"/>
        <w:snapToGrid w:val="0"/>
        <w:spacing w:line="300" w:lineRule="auto"/>
        <w:rPr>
          <w:sz w:val="21"/>
          <w:szCs w:val="21"/>
          <w:highlight w:val="none"/>
          <w:u w:val="single"/>
          <w:lang w:eastAsia="zh-CN"/>
        </w:rPr>
      </w:pPr>
      <w:r>
        <w:rPr>
          <w:rFonts w:hint="eastAsia"/>
          <w:sz w:val="21"/>
          <w:szCs w:val="21"/>
          <w:highlight w:val="none"/>
          <w:lang w:val="en-US" w:eastAsia="zh-CN"/>
        </w:rPr>
        <w:t>项目</w:t>
      </w:r>
      <w:r>
        <w:rPr>
          <w:rFonts w:hint="eastAsia"/>
          <w:sz w:val="21"/>
          <w:szCs w:val="21"/>
          <w:highlight w:val="none"/>
          <w:lang w:eastAsia="zh-CN"/>
        </w:rPr>
        <w:t xml:space="preserve">名称： </w:t>
      </w:r>
      <w:r>
        <w:rPr>
          <w:rFonts w:hint="eastAsia"/>
          <w:sz w:val="21"/>
          <w:szCs w:val="21"/>
          <w:highlight w:val="none"/>
          <w:u w:val="single"/>
          <w:lang w:eastAsia="zh-CN"/>
        </w:rPr>
        <w:t xml:space="preserve">                       </w:t>
      </w:r>
    </w:p>
    <w:p w14:paraId="77DB3CAE">
      <w:pPr>
        <w:adjustRightInd w:val="0"/>
        <w:snapToGrid w:val="0"/>
        <w:spacing w:line="300" w:lineRule="auto"/>
        <w:rPr>
          <w:snapToGrid w:val="0"/>
          <w:sz w:val="18"/>
          <w:highlight w:val="none"/>
        </w:rPr>
      </w:pPr>
      <w:r>
        <w:rPr>
          <w:rFonts w:hint="eastAsia"/>
          <w:sz w:val="21"/>
          <w:szCs w:val="21"/>
          <w:highlight w:val="none"/>
          <w:lang w:val="en-US" w:eastAsia="zh-CN"/>
        </w:rPr>
        <w:t>项目</w:t>
      </w:r>
      <w:r>
        <w:rPr>
          <w:rFonts w:hint="eastAsia"/>
          <w:sz w:val="21"/>
          <w:szCs w:val="21"/>
          <w:highlight w:val="none"/>
        </w:rPr>
        <w:t>编号：</w:t>
      </w:r>
      <w:r>
        <w:rPr>
          <w:rFonts w:hint="eastAsia"/>
          <w:i/>
          <w:iCs/>
          <w:sz w:val="21"/>
          <w:szCs w:val="21"/>
          <w:highlight w:val="none"/>
        </w:rPr>
        <w:t xml:space="preserve"> </w:t>
      </w:r>
      <w:r>
        <w:rPr>
          <w:rFonts w:hint="eastAsia"/>
          <w:sz w:val="21"/>
          <w:szCs w:val="21"/>
          <w:highlight w:val="none"/>
          <w:u w:val="single"/>
        </w:rPr>
        <w:t xml:space="preserve">                       </w:t>
      </w:r>
    </w:p>
    <w:tbl>
      <w:tblPr>
        <w:tblStyle w:val="27"/>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352"/>
        <w:gridCol w:w="2126"/>
        <w:gridCol w:w="1644"/>
        <w:gridCol w:w="2165"/>
      </w:tblGrid>
      <w:tr w14:paraId="1951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20" w:type="dxa"/>
            <w:vAlign w:val="center"/>
          </w:tcPr>
          <w:p w14:paraId="424B23EC">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序号</w:t>
            </w:r>
          </w:p>
        </w:tc>
        <w:tc>
          <w:tcPr>
            <w:tcW w:w="2352" w:type="dxa"/>
            <w:vAlign w:val="center"/>
          </w:tcPr>
          <w:p w14:paraId="58FBACF7">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lang w:eastAsia="zh-CN"/>
              </w:rPr>
              <w:t>磋商</w:t>
            </w:r>
            <w:r>
              <w:rPr>
                <w:rFonts w:hint="eastAsia" w:asciiTheme="minorEastAsia" w:hAnsiTheme="minorEastAsia" w:eastAsiaTheme="minorEastAsia"/>
                <w:b/>
                <w:sz w:val="21"/>
                <w:szCs w:val="21"/>
                <w:highlight w:val="none"/>
              </w:rPr>
              <w:t>文件要求</w:t>
            </w:r>
          </w:p>
        </w:tc>
        <w:tc>
          <w:tcPr>
            <w:tcW w:w="2126" w:type="dxa"/>
            <w:vAlign w:val="center"/>
          </w:tcPr>
          <w:p w14:paraId="4B2D49DC">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bCs/>
                <w:sz w:val="21"/>
                <w:szCs w:val="21"/>
                <w:highlight w:val="none"/>
                <w:lang w:eastAsia="zh-CN"/>
              </w:rPr>
              <w:t>响应</w:t>
            </w:r>
            <w:r>
              <w:rPr>
                <w:rFonts w:hint="eastAsia" w:asciiTheme="minorEastAsia" w:hAnsiTheme="minorEastAsia" w:eastAsiaTheme="minorEastAsia"/>
                <w:b/>
                <w:bCs/>
                <w:sz w:val="21"/>
                <w:szCs w:val="21"/>
                <w:highlight w:val="none"/>
              </w:rPr>
              <w:t>文件响应内容</w:t>
            </w:r>
          </w:p>
        </w:tc>
        <w:tc>
          <w:tcPr>
            <w:tcW w:w="1644" w:type="dxa"/>
            <w:vAlign w:val="center"/>
          </w:tcPr>
          <w:p w14:paraId="79E748E6">
            <w:pPr>
              <w:ind w:left="293" w:hanging="293" w:hangingChars="139"/>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偏离情况</w:t>
            </w:r>
          </w:p>
        </w:tc>
        <w:tc>
          <w:tcPr>
            <w:tcW w:w="2165" w:type="dxa"/>
            <w:vAlign w:val="center"/>
          </w:tcPr>
          <w:p w14:paraId="705FF9EA">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说明</w:t>
            </w:r>
          </w:p>
        </w:tc>
      </w:tr>
      <w:tr w14:paraId="5063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20" w:type="dxa"/>
            <w:vAlign w:val="center"/>
          </w:tcPr>
          <w:p w14:paraId="3F7B821A">
            <w:pPr>
              <w:spacing w:line="360" w:lineRule="auto"/>
              <w:jc w:val="center"/>
              <w:rPr>
                <w:rFonts w:asciiTheme="minorEastAsia" w:hAnsiTheme="minorEastAsia" w:eastAsiaTheme="minorEastAsia"/>
                <w:sz w:val="21"/>
                <w:szCs w:val="21"/>
                <w:highlight w:val="none"/>
              </w:rPr>
            </w:pPr>
          </w:p>
        </w:tc>
        <w:tc>
          <w:tcPr>
            <w:tcW w:w="2352" w:type="dxa"/>
            <w:vAlign w:val="center"/>
          </w:tcPr>
          <w:p w14:paraId="3725762C">
            <w:pPr>
              <w:spacing w:line="360" w:lineRule="auto"/>
              <w:jc w:val="center"/>
              <w:rPr>
                <w:rFonts w:asciiTheme="minorEastAsia" w:hAnsiTheme="minorEastAsia" w:eastAsiaTheme="minorEastAsia"/>
                <w:sz w:val="21"/>
                <w:szCs w:val="21"/>
                <w:highlight w:val="none"/>
              </w:rPr>
            </w:pPr>
          </w:p>
        </w:tc>
        <w:tc>
          <w:tcPr>
            <w:tcW w:w="2126" w:type="dxa"/>
            <w:vAlign w:val="center"/>
          </w:tcPr>
          <w:p w14:paraId="2E018C15">
            <w:pPr>
              <w:spacing w:line="360" w:lineRule="auto"/>
              <w:jc w:val="center"/>
              <w:rPr>
                <w:rFonts w:asciiTheme="minorEastAsia" w:hAnsiTheme="minorEastAsia" w:eastAsiaTheme="minorEastAsia"/>
                <w:sz w:val="21"/>
                <w:szCs w:val="21"/>
                <w:highlight w:val="none"/>
              </w:rPr>
            </w:pPr>
          </w:p>
        </w:tc>
        <w:tc>
          <w:tcPr>
            <w:tcW w:w="1644" w:type="dxa"/>
            <w:vAlign w:val="center"/>
          </w:tcPr>
          <w:p w14:paraId="3E251F10">
            <w:pPr>
              <w:spacing w:line="360" w:lineRule="auto"/>
              <w:jc w:val="center"/>
              <w:rPr>
                <w:rFonts w:asciiTheme="minorEastAsia" w:hAnsiTheme="minorEastAsia" w:eastAsiaTheme="minorEastAsia"/>
                <w:sz w:val="21"/>
                <w:szCs w:val="21"/>
                <w:highlight w:val="none"/>
              </w:rPr>
            </w:pPr>
          </w:p>
        </w:tc>
        <w:tc>
          <w:tcPr>
            <w:tcW w:w="2165" w:type="dxa"/>
            <w:vAlign w:val="center"/>
          </w:tcPr>
          <w:p w14:paraId="6BE0D2EF">
            <w:pPr>
              <w:spacing w:line="360" w:lineRule="auto"/>
              <w:jc w:val="center"/>
              <w:rPr>
                <w:rFonts w:asciiTheme="minorEastAsia" w:hAnsiTheme="minorEastAsia" w:eastAsiaTheme="minorEastAsia"/>
                <w:sz w:val="21"/>
                <w:szCs w:val="21"/>
                <w:highlight w:val="none"/>
              </w:rPr>
            </w:pPr>
          </w:p>
        </w:tc>
      </w:tr>
      <w:tr w14:paraId="7606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20" w:type="dxa"/>
            <w:vAlign w:val="center"/>
          </w:tcPr>
          <w:p w14:paraId="3C78EEA8">
            <w:pPr>
              <w:spacing w:line="360" w:lineRule="auto"/>
              <w:jc w:val="center"/>
              <w:rPr>
                <w:rFonts w:asciiTheme="minorEastAsia" w:hAnsiTheme="minorEastAsia" w:eastAsiaTheme="minorEastAsia"/>
                <w:sz w:val="21"/>
                <w:szCs w:val="21"/>
                <w:highlight w:val="none"/>
              </w:rPr>
            </w:pPr>
          </w:p>
        </w:tc>
        <w:tc>
          <w:tcPr>
            <w:tcW w:w="2352" w:type="dxa"/>
            <w:vAlign w:val="center"/>
          </w:tcPr>
          <w:p w14:paraId="735A57D4">
            <w:pPr>
              <w:spacing w:line="360" w:lineRule="auto"/>
              <w:jc w:val="center"/>
              <w:rPr>
                <w:rFonts w:asciiTheme="minorEastAsia" w:hAnsiTheme="minorEastAsia" w:eastAsiaTheme="minorEastAsia"/>
                <w:sz w:val="21"/>
                <w:szCs w:val="21"/>
                <w:highlight w:val="none"/>
              </w:rPr>
            </w:pPr>
          </w:p>
        </w:tc>
        <w:tc>
          <w:tcPr>
            <w:tcW w:w="2126" w:type="dxa"/>
            <w:vAlign w:val="center"/>
          </w:tcPr>
          <w:p w14:paraId="70BA5EEA">
            <w:pPr>
              <w:spacing w:line="360" w:lineRule="auto"/>
              <w:jc w:val="center"/>
              <w:rPr>
                <w:rFonts w:asciiTheme="minorEastAsia" w:hAnsiTheme="minorEastAsia" w:eastAsiaTheme="minorEastAsia"/>
                <w:sz w:val="21"/>
                <w:szCs w:val="21"/>
                <w:highlight w:val="none"/>
              </w:rPr>
            </w:pPr>
          </w:p>
        </w:tc>
        <w:tc>
          <w:tcPr>
            <w:tcW w:w="1644" w:type="dxa"/>
            <w:vAlign w:val="center"/>
          </w:tcPr>
          <w:p w14:paraId="64DF0A42">
            <w:pPr>
              <w:spacing w:line="360" w:lineRule="auto"/>
              <w:jc w:val="center"/>
              <w:rPr>
                <w:rFonts w:asciiTheme="minorEastAsia" w:hAnsiTheme="minorEastAsia" w:eastAsiaTheme="minorEastAsia"/>
                <w:sz w:val="21"/>
                <w:szCs w:val="21"/>
                <w:highlight w:val="none"/>
              </w:rPr>
            </w:pPr>
          </w:p>
        </w:tc>
        <w:tc>
          <w:tcPr>
            <w:tcW w:w="2165" w:type="dxa"/>
            <w:vAlign w:val="center"/>
          </w:tcPr>
          <w:p w14:paraId="2119739F">
            <w:pPr>
              <w:spacing w:line="360" w:lineRule="auto"/>
              <w:jc w:val="center"/>
              <w:rPr>
                <w:rFonts w:asciiTheme="minorEastAsia" w:hAnsiTheme="minorEastAsia" w:eastAsiaTheme="minorEastAsia"/>
                <w:sz w:val="21"/>
                <w:szCs w:val="21"/>
                <w:highlight w:val="none"/>
              </w:rPr>
            </w:pPr>
          </w:p>
        </w:tc>
      </w:tr>
      <w:tr w14:paraId="3EF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20" w:type="dxa"/>
            <w:vAlign w:val="center"/>
          </w:tcPr>
          <w:p w14:paraId="56C8340F">
            <w:pPr>
              <w:spacing w:line="360" w:lineRule="auto"/>
              <w:jc w:val="center"/>
              <w:rPr>
                <w:rFonts w:asciiTheme="minorEastAsia" w:hAnsiTheme="minorEastAsia" w:eastAsiaTheme="minorEastAsia"/>
                <w:sz w:val="21"/>
                <w:szCs w:val="21"/>
                <w:highlight w:val="none"/>
              </w:rPr>
            </w:pPr>
          </w:p>
        </w:tc>
        <w:tc>
          <w:tcPr>
            <w:tcW w:w="2352" w:type="dxa"/>
            <w:vAlign w:val="center"/>
          </w:tcPr>
          <w:p w14:paraId="5B9CD057">
            <w:pPr>
              <w:spacing w:line="360" w:lineRule="auto"/>
              <w:jc w:val="center"/>
              <w:rPr>
                <w:rFonts w:asciiTheme="minorEastAsia" w:hAnsiTheme="minorEastAsia" w:eastAsiaTheme="minorEastAsia"/>
                <w:sz w:val="21"/>
                <w:szCs w:val="21"/>
                <w:highlight w:val="none"/>
              </w:rPr>
            </w:pPr>
          </w:p>
        </w:tc>
        <w:tc>
          <w:tcPr>
            <w:tcW w:w="2126" w:type="dxa"/>
            <w:vAlign w:val="center"/>
          </w:tcPr>
          <w:p w14:paraId="6E01B65B">
            <w:pPr>
              <w:spacing w:line="360" w:lineRule="auto"/>
              <w:jc w:val="center"/>
              <w:rPr>
                <w:rFonts w:asciiTheme="minorEastAsia" w:hAnsiTheme="minorEastAsia" w:eastAsiaTheme="minorEastAsia"/>
                <w:sz w:val="21"/>
                <w:szCs w:val="21"/>
                <w:highlight w:val="none"/>
              </w:rPr>
            </w:pPr>
          </w:p>
        </w:tc>
        <w:tc>
          <w:tcPr>
            <w:tcW w:w="1644" w:type="dxa"/>
            <w:vAlign w:val="center"/>
          </w:tcPr>
          <w:p w14:paraId="1EAACE37">
            <w:pPr>
              <w:spacing w:line="360" w:lineRule="auto"/>
              <w:jc w:val="center"/>
              <w:rPr>
                <w:rFonts w:asciiTheme="minorEastAsia" w:hAnsiTheme="minorEastAsia" w:eastAsiaTheme="minorEastAsia"/>
                <w:sz w:val="21"/>
                <w:szCs w:val="21"/>
                <w:highlight w:val="none"/>
              </w:rPr>
            </w:pPr>
          </w:p>
        </w:tc>
        <w:tc>
          <w:tcPr>
            <w:tcW w:w="2165" w:type="dxa"/>
            <w:vAlign w:val="center"/>
          </w:tcPr>
          <w:p w14:paraId="510574B3">
            <w:pPr>
              <w:spacing w:line="360" w:lineRule="auto"/>
              <w:jc w:val="center"/>
              <w:rPr>
                <w:rFonts w:asciiTheme="minorEastAsia" w:hAnsiTheme="minorEastAsia" w:eastAsiaTheme="minorEastAsia"/>
                <w:sz w:val="21"/>
                <w:szCs w:val="21"/>
                <w:highlight w:val="none"/>
              </w:rPr>
            </w:pPr>
          </w:p>
        </w:tc>
      </w:tr>
      <w:tr w14:paraId="027A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20" w:type="dxa"/>
            <w:vAlign w:val="center"/>
          </w:tcPr>
          <w:p w14:paraId="6C12FD30">
            <w:pPr>
              <w:spacing w:line="360" w:lineRule="auto"/>
              <w:jc w:val="center"/>
              <w:rPr>
                <w:rFonts w:asciiTheme="minorEastAsia" w:hAnsiTheme="minorEastAsia" w:eastAsiaTheme="minorEastAsia"/>
                <w:sz w:val="21"/>
                <w:szCs w:val="21"/>
                <w:highlight w:val="none"/>
              </w:rPr>
            </w:pPr>
          </w:p>
        </w:tc>
        <w:tc>
          <w:tcPr>
            <w:tcW w:w="2352" w:type="dxa"/>
            <w:vAlign w:val="center"/>
          </w:tcPr>
          <w:p w14:paraId="1DDA503C">
            <w:pPr>
              <w:spacing w:line="360" w:lineRule="auto"/>
              <w:jc w:val="center"/>
              <w:rPr>
                <w:rFonts w:asciiTheme="minorEastAsia" w:hAnsiTheme="minorEastAsia" w:eastAsiaTheme="minorEastAsia"/>
                <w:sz w:val="21"/>
                <w:szCs w:val="21"/>
                <w:highlight w:val="none"/>
              </w:rPr>
            </w:pPr>
          </w:p>
        </w:tc>
        <w:tc>
          <w:tcPr>
            <w:tcW w:w="2126" w:type="dxa"/>
            <w:vAlign w:val="center"/>
          </w:tcPr>
          <w:p w14:paraId="2589E8F3">
            <w:pPr>
              <w:spacing w:line="360" w:lineRule="auto"/>
              <w:jc w:val="center"/>
              <w:rPr>
                <w:rFonts w:asciiTheme="minorEastAsia" w:hAnsiTheme="minorEastAsia" w:eastAsiaTheme="minorEastAsia"/>
                <w:sz w:val="21"/>
                <w:szCs w:val="21"/>
                <w:highlight w:val="none"/>
              </w:rPr>
            </w:pPr>
          </w:p>
        </w:tc>
        <w:tc>
          <w:tcPr>
            <w:tcW w:w="1644" w:type="dxa"/>
            <w:vAlign w:val="center"/>
          </w:tcPr>
          <w:p w14:paraId="04FDF30A">
            <w:pPr>
              <w:spacing w:line="360" w:lineRule="auto"/>
              <w:jc w:val="center"/>
              <w:rPr>
                <w:rFonts w:asciiTheme="minorEastAsia" w:hAnsiTheme="minorEastAsia" w:eastAsiaTheme="minorEastAsia"/>
                <w:sz w:val="21"/>
                <w:szCs w:val="21"/>
                <w:highlight w:val="none"/>
              </w:rPr>
            </w:pPr>
          </w:p>
        </w:tc>
        <w:tc>
          <w:tcPr>
            <w:tcW w:w="2165" w:type="dxa"/>
            <w:vAlign w:val="center"/>
          </w:tcPr>
          <w:p w14:paraId="2D01E1CE">
            <w:pPr>
              <w:spacing w:line="360" w:lineRule="auto"/>
              <w:jc w:val="center"/>
              <w:rPr>
                <w:rFonts w:asciiTheme="minorEastAsia" w:hAnsiTheme="minorEastAsia" w:eastAsiaTheme="minorEastAsia"/>
                <w:sz w:val="21"/>
                <w:szCs w:val="21"/>
                <w:highlight w:val="none"/>
              </w:rPr>
            </w:pPr>
          </w:p>
        </w:tc>
      </w:tr>
      <w:tr w14:paraId="069F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20" w:type="dxa"/>
            <w:vAlign w:val="center"/>
          </w:tcPr>
          <w:p w14:paraId="7A3C0501">
            <w:pPr>
              <w:spacing w:line="360" w:lineRule="auto"/>
              <w:jc w:val="center"/>
              <w:rPr>
                <w:rFonts w:asciiTheme="minorEastAsia" w:hAnsiTheme="minorEastAsia" w:eastAsiaTheme="minorEastAsia"/>
                <w:sz w:val="21"/>
                <w:szCs w:val="21"/>
                <w:highlight w:val="none"/>
              </w:rPr>
            </w:pPr>
          </w:p>
        </w:tc>
        <w:tc>
          <w:tcPr>
            <w:tcW w:w="2352" w:type="dxa"/>
            <w:vAlign w:val="center"/>
          </w:tcPr>
          <w:p w14:paraId="3C4D563D">
            <w:pPr>
              <w:spacing w:line="360" w:lineRule="auto"/>
              <w:jc w:val="center"/>
              <w:rPr>
                <w:rFonts w:asciiTheme="minorEastAsia" w:hAnsiTheme="minorEastAsia" w:eastAsiaTheme="minorEastAsia"/>
                <w:sz w:val="21"/>
                <w:szCs w:val="21"/>
                <w:highlight w:val="none"/>
              </w:rPr>
            </w:pPr>
          </w:p>
        </w:tc>
        <w:tc>
          <w:tcPr>
            <w:tcW w:w="2126" w:type="dxa"/>
            <w:vAlign w:val="center"/>
          </w:tcPr>
          <w:p w14:paraId="22AA5443">
            <w:pPr>
              <w:spacing w:line="360" w:lineRule="auto"/>
              <w:jc w:val="center"/>
              <w:rPr>
                <w:rFonts w:asciiTheme="minorEastAsia" w:hAnsiTheme="minorEastAsia" w:eastAsiaTheme="minorEastAsia"/>
                <w:sz w:val="21"/>
                <w:szCs w:val="21"/>
                <w:highlight w:val="none"/>
              </w:rPr>
            </w:pPr>
          </w:p>
        </w:tc>
        <w:tc>
          <w:tcPr>
            <w:tcW w:w="1644" w:type="dxa"/>
            <w:vAlign w:val="center"/>
          </w:tcPr>
          <w:p w14:paraId="002339A7">
            <w:pPr>
              <w:spacing w:line="360" w:lineRule="auto"/>
              <w:jc w:val="center"/>
              <w:rPr>
                <w:rFonts w:asciiTheme="minorEastAsia" w:hAnsiTheme="minorEastAsia" w:eastAsiaTheme="minorEastAsia"/>
                <w:sz w:val="21"/>
                <w:szCs w:val="21"/>
                <w:highlight w:val="none"/>
              </w:rPr>
            </w:pPr>
          </w:p>
        </w:tc>
        <w:tc>
          <w:tcPr>
            <w:tcW w:w="2165" w:type="dxa"/>
            <w:vAlign w:val="center"/>
          </w:tcPr>
          <w:p w14:paraId="5E46BE61">
            <w:pPr>
              <w:spacing w:line="360" w:lineRule="auto"/>
              <w:jc w:val="center"/>
              <w:rPr>
                <w:rFonts w:asciiTheme="minorEastAsia" w:hAnsiTheme="minorEastAsia" w:eastAsiaTheme="minorEastAsia"/>
                <w:sz w:val="21"/>
                <w:szCs w:val="21"/>
                <w:highlight w:val="none"/>
              </w:rPr>
            </w:pPr>
          </w:p>
        </w:tc>
      </w:tr>
    </w:tbl>
    <w:p w14:paraId="7EBC613C">
      <w:pPr>
        <w:pStyle w:val="9"/>
        <w:snapToGrid w:val="0"/>
        <w:spacing w:line="300" w:lineRule="auto"/>
        <w:ind w:firstLine="0"/>
        <w:rPr>
          <w:snapToGrid w:val="0"/>
          <w:sz w:val="18"/>
          <w:highlight w:val="none"/>
        </w:rPr>
      </w:pPr>
    </w:p>
    <w:p w14:paraId="3C9A0496">
      <w:pPr>
        <w:spacing w:before="120" w:beforeLines="50" w:line="288" w:lineRule="auto"/>
        <w:rPr>
          <w:sz w:val="21"/>
          <w:szCs w:val="21"/>
          <w:highlight w:val="none"/>
        </w:rPr>
      </w:pPr>
      <w:r>
        <w:rPr>
          <w:rFonts w:hint="eastAsia"/>
          <w:sz w:val="21"/>
          <w:szCs w:val="21"/>
          <w:highlight w:val="none"/>
        </w:rPr>
        <w:t>注明：</w:t>
      </w:r>
    </w:p>
    <w:p w14:paraId="7100FD68">
      <w:pPr>
        <w:pStyle w:val="38"/>
        <w:numPr>
          <w:ilvl w:val="0"/>
          <w:numId w:val="10"/>
        </w:numPr>
        <w:spacing w:line="288" w:lineRule="auto"/>
        <w:rPr>
          <w:sz w:val="21"/>
          <w:szCs w:val="21"/>
          <w:highlight w:val="none"/>
          <w:lang w:eastAsia="zh-CN"/>
        </w:rPr>
      </w:pPr>
      <w:r>
        <w:rPr>
          <w:rFonts w:hint="eastAsia"/>
          <w:bCs/>
          <w:sz w:val="21"/>
          <w:szCs w:val="21"/>
          <w:highlight w:val="none"/>
          <w:lang w:eastAsia="zh-CN"/>
        </w:rPr>
        <w:t>偏离情况项填写“正”、“负”或“无”，说明项中填写原因。</w:t>
      </w:r>
    </w:p>
    <w:p w14:paraId="693BEE1A">
      <w:pPr>
        <w:pStyle w:val="38"/>
        <w:numPr>
          <w:ilvl w:val="0"/>
          <w:numId w:val="10"/>
        </w:numPr>
        <w:spacing w:line="288" w:lineRule="auto"/>
        <w:rPr>
          <w:bCs/>
          <w:sz w:val="21"/>
          <w:szCs w:val="21"/>
          <w:highlight w:val="none"/>
          <w:lang w:eastAsia="zh-CN"/>
        </w:rPr>
      </w:pPr>
      <w:r>
        <w:rPr>
          <w:rFonts w:hint="eastAsia"/>
          <w:bCs/>
          <w:sz w:val="21"/>
          <w:szCs w:val="21"/>
          <w:highlight w:val="none"/>
          <w:lang w:eastAsia="zh-CN"/>
        </w:rPr>
        <w:t>供应商应按照采购文件要求进行响应，对响应有偏离的，则说明偏离的内容，若有要求提供相关证明资料的，须按要求提供，否则视为负偏离。</w:t>
      </w:r>
    </w:p>
    <w:p w14:paraId="022125E5">
      <w:pPr>
        <w:pStyle w:val="9"/>
        <w:snapToGrid w:val="0"/>
        <w:spacing w:line="300" w:lineRule="auto"/>
        <w:ind w:firstLine="0"/>
        <w:rPr>
          <w:b/>
          <w:bCs/>
          <w:snapToGrid w:val="0"/>
          <w:sz w:val="21"/>
          <w:szCs w:val="21"/>
          <w:highlight w:val="none"/>
          <w:lang w:eastAsia="zh-CN"/>
        </w:rPr>
      </w:pPr>
    </w:p>
    <w:p w14:paraId="0CD33271">
      <w:pPr>
        <w:pStyle w:val="9"/>
        <w:snapToGrid w:val="0"/>
        <w:spacing w:line="300" w:lineRule="auto"/>
        <w:ind w:firstLine="0"/>
        <w:rPr>
          <w:b/>
          <w:bCs/>
          <w:snapToGrid w:val="0"/>
          <w:sz w:val="21"/>
          <w:szCs w:val="21"/>
          <w:highlight w:val="none"/>
          <w:lang w:eastAsia="zh-CN"/>
        </w:rPr>
      </w:pPr>
    </w:p>
    <w:p w14:paraId="11ACE069">
      <w:pPr>
        <w:pStyle w:val="9"/>
        <w:snapToGrid w:val="0"/>
        <w:spacing w:line="300" w:lineRule="auto"/>
        <w:ind w:firstLine="0"/>
        <w:rPr>
          <w:b/>
          <w:bCs/>
          <w:snapToGrid w:val="0"/>
          <w:sz w:val="21"/>
          <w:szCs w:val="21"/>
          <w:highlight w:val="none"/>
          <w:lang w:eastAsia="zh-CN"/>
        </w:rPr>
      </w:pPr>
    </w:p>
    <w:p w14:paraId="092217B7">
      <w:pPr>
        <w:pStyle w:val="9"/>
        <w:snapToGrid w:val="0"/>
        <w:spacing w:line="300" w:lineRule="auto"/>
        <w:ind w:firstLine="0"/>
        <w:rPr>
          <w:b/>
          <w:bCs/>
          <w:snapToGrid w:val="0"/>
          <w:sz w:val="21"/>
          <w:szCs w:val="21"/>
          <w:highlight w:val="none"/>
          <w:lang w:eastAsia="zh-CN"/>
        </w:rPr>
      </w:pPr>
    </w:p>
    <w:tbl>
      <w:tblPr>
        <w:tblStyle w:val="27"/>
        <w:tblW w:w="8528" w:type="dxa"/>
        <w:tblInd w:w="0" w:type="dxa"/>
        <w:tblLayout w:type="fixed"/>
        <w:tblCellMar>
          <w:top w:w="0" w:type="dxa"/>
          <w:left w:w="108" w:type="dxa"/>
          <w:bottom w:w="0" w:type="dxa"/>
          <w:right w:w="108" w:type="dxa"/>
        </w:tblCellMar>
      </w:tblPr>
      <w:tblGrid>
        <w:gridCol w:w="5353"/>
        <w:gridCol w:w="3175"/>
      </w:tblGrid>
      <w:tr w14:paraId="41FD5D4E">
        <w:trPr>
          <w:trHeight w:val="680" w:hRule="atLeast"/>
        </w:trPr>
        <w:tc>
          <w:tcPr>
            <w:tcW w:w="5353" w:type="dxa"/>
            <w:shd w:val="clear" w:color="auto" w:fill="auto"/>
          </w:tcPr>
          <w:p w14:paraId="7C2B26D1">
            <w:pPr>
              <w:overflowPunct w:val="0"/>
              <w:adjustRightInd w:val="0"/>
              <w:spacing w:line="288" w:lineRule="auto"/>
              <w:rPr>
                <w:sz w:val="21"/>
                <w:szCs w:val="21"/>
                <w:highlight w:val="none"/>
                <w:lang w:eastAsia="zh-CN"/>
              </w:rPr>
            </w:pPr>
            <w:r>
              <w:rPr>
                <w:rFonts w:hint="eastAsia"/>
                <w:sz w:val="21"/>
                <w:szCs w:val="21"/>
                <w:highlight w:val="none"/>
                <w:lang w:eastAsia="zh-CN"/>
              </w:rPr>
              <w:t>供应商名称（加盖公章）：</w:t>
            </w:r>
          </w:p>
        </w:tc>
        <w:tc>
          <w:tcPr>
            <w:tcW w:w="3175" w:type="dxa"/>
            <w:shd w:val="clear" w:color="auto" w:fill="auto"/>
          </w:tcPr>
          <w:p w14:paraId="612613B4">
            <w:pPr>
              <w:spacing w:line="288" w:lineRule="auto"/>
              <w:rPr>
                <w:sz w:val="21"/>
                <w:szCs w:val="21"/>
                <w:highlight w:val="none"/>
                <w:lang w:eastAsia="zh-CN"/>
              </w:rPr>
            </w:pPr>
          </w:p>
        </w:tc>
      </w:tr>
      <w:tr w14:paraId="15EB4470">
        <w:tblPrEx>
          <w:tblCellMar>
            <w:top w:w="0" w:type="dxa"/>
            <w:left w:w="108" w:type="dxa"/>
            <w:bottom w:w="0" w:type="dxa"/>
            <w:right w:w="108" w:type="dxa"/>
          </w:tblCellMar>
        </w:tblPrEx>
        <w:trPr>
          <w:trHeight w:val="680" w:hRule="atLeast"/>
        </w:trPr>
        <w:tc>
          <w:tcPr>
            <w:tcW w:w="5353" w:type="dxa"/>
            <w:shd w:val="clear" w:color="auto" w:fill="auto"/>
          </w:tcPr>
          <w:p w14:paraId="2FA6ACAC">
            <w:pPr>
              <w:overflowPunct w:val="0"/>
              <w:adjustRightInd w:val="0"/>
              <w:spacing w:line="288" w:lineRule="auto"/>
              <w:rPr>
                <w:sz w:val="21"/>
                <w:szCs w:val="21"/>
                <w:highlight w:val="none"/>
                <w:lang w:eastAsia="zh-CN"/>
              </w:rPr>
            </w:pPr>
            <w:r>
              <w:rPr>
                <w:rFonts w:hint="eastAsia"/>
                <w:sz w:val="21"/>
                <w:szCs w:val="21"/>
                <w:highlight w:val="none"/>
                <w:lang w:eastAsia="zh-CN"/>
              </w:rPr>
              <w:t xml:space="preserve">法定代表人或其委托代理人（签字）： </w:t>
            </w:r>
          </w:p>
        </w:tc>
        <w:tc>
          <w:tcPr>
            <w:tcW w:w="3175" w:type="dxa"/>
            <w:shd w:val="clear" w:color="auto" w:fill="auto"/>
          </w:tcPr>
          <w:p w14:paraId="206D7D1B">
            <w:pPr>
              <w:spacing w:line="288" w:lineRule="auto"/>
              <w:rPr>
                <w:sz w:val="21"/>
                <w:szCs w:val="21"/>
                <w:highlight w:val="none"/>
                <w:lang w:eastAsia="zh-CN"/>
              </w:rPr>
            </w:pPr>
          </w:p>
        </w:tc>
      </w:tr>
      <w:tr w14:paraId="58BCB967">
        <w:trPr>
          <w:trHeight w:val="680" w:hRule="atLeast"/>
        </w:trPr>
        <w:tc>
          <w:tcPr>
            <w:tcW w:w="5353" w:type="dxa"/>
            <w:shd w:val="clear" w:color="auto" w:fill="auto"/>
          </w:tcPr>
          <w:p w14:paraId="73F29AEB">
            <w:pPr>
              <w:spacing w:line="288" w:lineRule="auto"/>
              <w:rPr>
                <w:sz w:val="21"/>
                <w:szCs w:val="21"/>
                <w:highlight w:val="none"/>
              </w:rPr>
            </w:pPr>
            <w:r>
              <w:rPr>
                <w:rFonts w:hint="eastAsia"/>
                <w:sz w:val="21"/>
                <w:szCs w:val="21"/>
                <w:highlight w:val="none"/>
              </w:rPr>
              <w:t>日期：      年      月        日</w:t>
            </w:r>
          </w:p>
        </w:tc>
        <w:tc>
          <w:tcPr>
            <w:tcW w:w="3175" w:type="dxa"/>
            <w:shd w:val="clear" w:color="auto" w:fill="auto"/>
          </w:tcPr>
          <w:p w14:paraId="49FDF521">
            <w:pPr>
              <w:spacing w:line="288" w:lineRule="auto"/>
              <w:rPr>
                <w:sz w:val="21"/>
                <w:szCs w:val="21"/>
                <w:highlight w:val="none"/>
              </w:rPr>
            </w:pPr>
          </w:p>
        </w:tc>
      </w:tr>
    </w:tbl>
    <w:p w14:paraId="48754425">
      <w:pPr>
        <w:adjustRightInd w:val="0"/>
        <w:snapToGrid w:val="0"/>
        <w:spacing w:line="300" w:lineRule="auto"/>
        <w:jc w:val="center"/>
        <w:outlineLvl w:val="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br w:type="page"/>
      </w:r>
    </w:p>
    <w:p w14:paraId="064A8EAB">
      <w:pPr>
        <w:adjustRightInd w:val="0"/>
        <w:snapToGrid w:val="0"/>
        <w:spacing w:line="300" w:lineRule="auto"/>
        <w:jc w:val="center"/>
        <w:outlineLvl w:val="0"/>
        <w:rPr>
          <w:b/>
          <w:bCs/>
          <w:sz w:val="32"/>
          <w:szCs w:val="32"/>
          <w:highlight w:val="none"/>
          <w:lang w:eastAsia="zh-CN"/>
        </w:rPr>
      </w:pPr>
      <w:r>
        <w:rPr>
          <w:rFonts w:hint="eastAsia"/>
          <w:b/>
          <w:bCs/>
          <w:sz w:val="32"/>
          <w:szCs w:val="32"/>
          <w:highlight w:val="none"/>
          <w:lang w:val="en-US" w:eastAsia="zh-CN"/>
        </w:rPr>
        <w:t>八、</w:t>
      </w:r>
      <w:r>
        <w:rPr>
          <w:rFonts w:hint="eastAsia"/>
          <w:b/>
          <w:bCs/>
          <w:sz w:val="32"/>
          <w:szCs w:val="32"/>
          <w:highlight w:val="none"/>
          <w:lang w:eastAsia="zh-CN"/>
        </w:rPr>
        <w:t>技术规格偏离表</w:t>
      </w:r>
    </w:p>
    <w:p w14:paraId="1A35FD05">
      <w:pPr>
        <w:adjustRightInd w:val="0"/>
        <w:snapToGrid w:val="0"/>
        <w:spacing w:line="300" w:lineRule="auto"/>
        <w:rPr>
          <w:sz w:val="21"/>
          <w:szCs w:val="21"/>
          <w:highlight w:val="none"/>
          <w:lang w:eastAsia="zh-CN"/>
        </w:rPr>
      </w:pPr>
    </w:p>
    <w:p w14:paraId="6C22F5FF">
      <w:pPr>
        <w:adjustRightInd w:val="0"/>
        <w:snapToGrid w:val="0"/>
        <w:spacing w:line="300" w:lineRule="auto"/>
        <w:rPr>
          <w:sz w:val="21"/>
          <w:szCs w:val="21"/>
          <w:highlight w:val="none"/>
          <w:u w:val="single"/>
        </w:rPr>
      </w:pPr>
      <w:bookmarkStart w:id="155" w:name="OLE_LINK5"/>
      <w:r>
        <w:rPr>
          <w:rFonts w:hint="eastAsia"/>
          <w:sz w:val="21"/>
          <w:szCs w:val="21"/>
          <w:highlight w:val="none"/>
          <w:lang w:val="en-US" w:eastAsia="zh-CN"/>
        </w:rPr>
        <w:t>项目</w:t>
      </w:r>
      <w:r>
        <w:rPr>
          <w:rFonts w:hint="eastAsia"/>
          <w:sz w:val="21"/>
          <w:szCs w:val="21"/>
          <w:highlight w:val="none"/>
        </w:rPr>
        <w:t xml:space="preserve">名称： </w:t>
      </w:r>
      <w:r>
        <w:rPr>
          <w:rFonts w:hint="eastAsia"/>
          <w:sz w:val="21"/>
          <w:szCs w:val="21"/>
          <w:highlight w:val="none"/>
          <w:u w:val="single"/>
        </w:rPr>
        <w:t xml:space="preserve">                       </w:t>
      </w:r>
    </w:p>
    <w:p w14:paraId="19DE2180">
      <w:pPr>
        <w:adjustRightInd w:val="0"/>
        <w:snapToGrid w:val="0"/>
        <w:spacing w:line="300" w:lineRule="auto"/>
        <w:rPr>
          <w:snapToGrid w:val="0"/>
          <w:sz w:val="18"/>
          <w:highlight w:val="none"/>
        </w:rPr>
      </w:pPr>
      <w:r>
        <w:rPr>
          <w:rFonts w:hint="eastAsia"/>
          <w:sz w:val="21"/>
          <w:szCs w:val="21"/>
          <w:highlight w:val="none"/>
          <w:lang w:val="en-US" w:eastAsia="zh-CN"/>
        </w:rPr>
        <w:t>项目</w:t>
      </w:r>
      <w:r>
        <w:rPr>
          <w:rFonts w:hint="eastAsia"/>
          <w:sz w:val="21"/>
          <w:szCs w:val="21"/>
          <w:highlight w:val="none"/>
        </w:rPr>
        <w:t>编号：</w:t>
      </w:r>
      <w:r>
        <w:rPr>
          <w:rFonts w:hint="eastAsia"/>
          <w:i/>
          <w:iCs/>
          <w:sz w:val="21"/>
          <w:szCs w:val="21"/>
          <w:highlight w:val="none"/>
        </w:rPr>
        <w:t xml:space="preserve"> </w:t>
      </w:r>
      <w:r>
        <w:rPr>
          <w:rFonts w:hint="eastAsia"/>
          <w:sz w:val="21"/>
          <w:szCs w:val="21"/>
          <w:highlight w:val="none"/>
          <w:u w:val="single"/>
        </w:rPr>
        <w:t xml:space="preserve">                       </w:t>
      </w:r>
    </w:p>
    <w:bookmarkEnd w:id="155"/>
    <w:tbl>
      <w:tblPr>
        <w:tblStyle w:val="27"/>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352"/>
        <w:gridCol w:w="2126"/>
        <w:gridCol w:w="1644"/>
        <w:gridCol w:w="2165"/>
      </w:tblGrid>
      <w:tr w14:paraId="0D63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20" w:type="dxa"/>
            <w:vAlign w:val="center"/>
          </w:tcPr>
          <w:p w14:paraId="77C079E3">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序号</w:t>
            </w:r>
          </w:p>
        </w:tc>
        <w:tc>
          <w:tcPr>
            <w:tcW w:w="2352" w:type="dxa"/>
            <w:vAlign w:val="center"/>
          </w:tcPr>
          <w:p w14:paraId="65A979BE">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lang w:eastAsia="zh-CN"/>
              </w:rPr>
              <w:t>磋商</w:t>
            </w:r>
            <w:r>
              <w:rPr>
                <w:rFonts w:hint="eastAsia" w:asciiTheme="minorEastAsia" w:hAnsiTheme="minorEastAsia" w:eastAsiaTheme="minorEastAsia"/>
                <w:b/>
                <w:sz w:val="21"/>
                <w:szCs w:val="21"/>
                <w:highlight w:val="none"/>
              </w:rPr>
              <w:t>文件要求</w:t>
            </w:r>
          </w:p>
        </w:tc>
        <w:tc>
          <w:tcPr>
            <w:tcW w:w="2126" w:type="dxa"/>
            <w:vAlign w:val="center"/>
          </w:tcPr>
          <w:p w14:paraId="3F86B963">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bCs/>
                <w:sz w:val="21"/>
                <w:szCs w:val="21"/>
                <w:highlight w:val="none"/>
                <w:lang w:eastAsia="zh-CN"/>
              </w:rPr>
              <w:t>响应</w:t>
            </w:r>
            <w:r>
              <w:rPr>
                <w:rFonts w:hint="eastAsia" w:asciiTheme="minorEastAsia" w:hAnsiTheme="minorEastAsia" w:eastAsiaTheme="minorEastAsia"/>
                <w:b/>
                <w:bCs/>
                <w:sz w:val="21"/>
                <w:szCs w:val="21"/>
                <w:highlight w:val="none"/>
              </w:rPr>
              <w:t>文件响应内容</w:t>
            </w:r>
          </w:p>
        </w:tc>
        <w:tc>
          <w:tcPr>
            <w:tcW w:w="1644" w:type="dxa"/>
            <w:vAlign w:val="center"/>
          </w:tcPr>
          <w:p w14:paraId="45868072">
            <w:pPr>
              <w:ind w:left="293" w:hanging="293" w:hangingChars="139"/>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偏离情况</w:t>
            </w:r>
          </w:p>
        </w:tc>
        <w:tc>
          <w:tcPr>
            <w:tcW w:w="2165" w:type="dxa"/>
            <w:vAlign w:val="center"/>
          </w:tcPr>
          <w:p w14:paraId="75B2836D">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说明</w:t>
            </w:r>
          </w:p>
        </w:tc>
      </w:tr>
      <w:tr w14:paraId="2FD2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20" w:type="dxa"/>
            <w:vAlign w:val="center"/>
          </w:tcPr>
          <w:p w14:paraId="503D5E8D">
            <w:pPr>
              <w:spacing w:line="360" w:lineRule="auto"/>
              <w:jc w:val="center"/>
              <w:rPr>
                <w:rFonts w:asciiTheme="minorEastAsia" w:hAnsiTheme="minorEastAsia" w:eastAsiaTheme="minorEastAsia"/>
                <w:sz w:val="21"/>
                <w:szCs w:val="21"/>
                <w:highlight w:val="none"/>
              </w:rPr>
            </w:pPr>
          </w:p>
        </w:tc>
        <w:tc>
          <w:tcPr>
            <w:tcW w:w="2352" w:type="dxa"/>
            <w:vAlign w:val="center"/>
          </w:tcPr>
          <w:p w14:paraId="02FC89BE">
            <w:pPr>
              <w:spacing w:line="360" w:lineRule="auto"/>
              <w:jc w:val="center"/>
              <w:rPr>
                <w:rFonts w:asciiTheme="minorEastAsia" w:hAnsiTheme="minorEastAsia" w:eastAsiaTheme="minorEastAsia"/>
                <w:sz w:val="21"/>
                <w:szCs w:val="21"/>
                <w:highlight w:val="none"/>
              </w:rPr>
            </w:pPr>
          </w:p>
        </w:tc>
        <w:tc>
          <w:tcPr>
            <w:tcW w:w="2126" w:type="dxa"/>
            <w:vAlign w:val="center"/>
          </w:tcPr>
          <w:p w14:paraId="1A02727C">
            <w:pPr>
              <w:spacing w:line="360" w:lineRule="auto"/>
              <w:jc w:val="center"/>
              <w:rPr>
                <w:rFonts w:asciiTheme="minorEastAsia" w:hAnsiTheme="minorEastAsia" w:eastAsiaTheme="minorEastAsia"/>
                <w:sz w:val="21"/>
                <w:szCs w:val="21"/>
                <w:highlight w:val="none"/>
              </w:rPr>
            </w:pPr>
          </w:p>
        </w:tc>
        <w:tc>
          <w:tcPr>
            <w:tcW w:w="1644" w:type="dxa"/>
            <w:vAlign w:val="center"/>
          </w:tcPr>
          <w:p w14:paraId="70B141B4">
            <w:pPr>
              <w:spacing w:line="360" w:lineRule="auto"/>
              <w:jc w:val="center"/>
              <w:rPr>
                <w:rFonts w:asciiTheme="minorEastAsia" w:hAnsiTheme="minorEastAsia" w:eastAsiaTheme="minorEastAsia"/>
                <w:sz w:val="21"/>
                <w:szCs w:val="21"/>
                <w:highlight w:val="none"/>
              </w:rPr>
            </w:pPr>
          </w:p>
        </w:tc>
        <w:tc>
          <w:tcPr>
            <w:tcW w:w="2165" w:type="dxa"/>
            <w:vAlign w:val="center"/>
          </w:tcPr>
          <w:p w14:paraId="56155D79">
            <w:pPr>
              <w:spacing w:line="360" w:lineRule="auto"/>
              <w:jc w:val="center"/>
              <w:rPr>
                <w:rFonts w:asciiTheme="minorEastAsia" w:hAnsiTheme="minorEastAsia" w:eastAsiaTheme="minorEastAsia"/>
                <w:sz w:val="21"/>
                <w:szCs w:val="21"/>
                <w:highlight w:val="none"/>
              </w:rPr>
            </w:pPr>
          </w:p>
        </w:tc>
      </w:tr>
      <w:tr w14:paraId="10A6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20" w:type="dxa"/>
            <w:vAlign w:val="center"/>
          </w:tcPr>
          <w:p w14:paraId="1C7A5329">
            <w:pPr>
              <w:spacing w:line="360" w:lineRule="auto"/>
              <w:jc w:val="center"/>
              <w:rPr>
                <w:rFonts w:asciiTheme="minorEastAsia" w:hAnsiTheme="minorEastAsia" w:eastAsiaTheme="minorEastAsia"/>
                <w:sz w:val="21"/>
                <w:szCs w:val="21"/>
                <w:highlight w:val="none"/>
              </w:rPr>
            </w:pPr>
          </w:p>
        </w:tc>
        <w:tc>
          <w:tcPr>
            <w:tcW w:w="2352" w:type="dxa"/>
            <w:vAlign w:val="center"/>
          </w:tcPr>
          <w:p w14:paraId="01F5B7BE">
            <w:pPr>
              <w:spacing w:line="360" w:lineRule="auto"/>
              <w:jc w:val="center"/>
              <w:rPr>
                <w:rFonts w:asciiTheme="minorEastAsia" w:hAnsiTheme="minorEastAsia" w:eastAsiaTheme="minorEastAsia"/>
                <w:sz w:val="21"/>
                <w:szCs w:val="21"/>
                <w:highlight w:val="none"/>
              </w:rPr>
            </w:pPr>
          </w:p>
        </w:tc>
        <w:tc>
          <w:tcPr>
            <w:tcW w:w="2126" w:type="dxa"/>
            <w:vAlign w:val="center"/>
          </w:tcPr>
          <w:p w14:paraId="5759DBCE">
            <w:pPr>
              <w:spacing w:line="360" w:lineRule="auto"/>
              <w:jc w:val="center"/>
              <w:rPr>
                <w:rFonts w:asciiTheme="minorEastAsia" w:hAnsiTheme="minorEastAsia" w:eastAsiaTheme="minorEastAsia"/>
                <w:sz w:val="21"/>
                <w:szCs w:val="21"/>
                <w:highlight w:val="none"/>
              </w:rPr>
            </w:pPr>
          </w:p>
        </w:tc>
        <w:tc>
          <w:tcPr>
            <w:tcW w:w="1644" w:type="dxa"/>
            <w:vAlign w:val="center"/>
          </w:tcPr>
          <w:p w14:paraId="3A8F4B75">
            <w:pPr>
              <w:spacing w:line="360" w:lineRule="auto"/>
              <w:jc w:val="center"/>
              <w:rPr>
                <w:rFonts w:asciiTheme="minorEastAsia" w:hAnsiTheme="minorEastAsia" w:eastAsiaTheme="minorEastAsia"/>
                <w:sz w:val="21"/>
                <w:szCs w:val="21"/>
                <w:highlight w:val="none"/>
              </w:rPr>
            </w:pPr>
          </w:p>
        </w:tc>
        <w:tc>
          <w:tcPr>
            <w:tcW w:w="2165" w:type="dxa"/>
            <w:vAlign w:val="center"/>
          </w:tcPr>
          <w:p w14:paraId="58C6EBC5">
            <w:pPr>
              <w:spacing w:line="360" w:lineRule="auto"/>
              <w:jc w:val="center"/>
              <w:rPr>
                <w:rFonts w:asciiTheme="minorEastAsia" w:hAnsiTheme="minorEastAsia" w:eastAsiaTheme="minorEastAsia"/>
                <w:sz w:val="21"/>
                <w:szCs w:val="21"/>
                <w:highlight w:val="none"/>
              </w:rPr>
            </w:pPr>
          </w:p>
        </w:tc>
      </w:tr>
      <w:tr w14:paraId="1B8D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20" w:type="dxa"/>
            <w:vAlign w:val="center"/>
          </w:tcPr>
          <w:p w14:paraId="151EB3E1">
            <w:pPr>
              <w:spacing w:line="360" w:lineRule="auto"/>
              <w:jc w:val="center"/>
              <w:rPr>
                <w:rFonts w:asciiTheme="minorEastAsia" w:hAnsiTheme="minorEastAsia" w:eastAsiaTheme="minorEastAsia"/>
                <w:sz w:val="21"/>
                <w:szCs w:val="21"/>
                <w:highlight w:val="none"/>
              </w:rPr>
            </w:pPr>
          </w:p>
        </w:tc>
        <w:tc>
          <w:tcPr>
            <w:tcW w:w="2352" w:type="dxa"/>
            <w:vAlign w:val="center"/>
          </w:tcPr>
          <w:p w14:paraId="14F2B669">
            <w:pPr>
              <w:spacing w:line="360" w:lineRule="auto"/>
              <w:jc w:val="center"/>
              <w:rPr>
                <w:rFonts w:asciiTheme="minorEastAsia" w:hAnsiTheme="minorEastAsia" w:eastAsiaTheme="minorEastAsia"/>
                <w:sz w:val="21"/>
                <w:szCs w:val="21"/>
                <w:highlight w:val="none"/>
              </w:rPr>
            </w:pPr>
          </w:p>
        </w:tc>
        <w:tc>
          <w:tcPr>
            <w:tcW w:w="2126" w:type="dxa"/>
            <w:vAlign w:val="center"/>
          </w:tcPr>
          <w:p w14:paraId="738498A9">
            <w:pPr>
              <w:spacing w:line="360" w:lineRule="auto"/>
              <w:jc w:val="center"/>
              <w:rPr>
                <w:rFonts w:asciiTheme="minorEastAsia" w:hAnsiTheme="minorEastAsia" w:eastAsiaTheme="minorEastAsia"/>
                <w:sz w:val="21"/>
                <w:szCs w:val="21"/>
                <w:highlight w:val="none"/>
              </w:rPr>
            </w:pPr>
          </w:p>
        </w:tc>
        <w:tc>
          <w:tcPr>
            <w:tcW w:w="1644" w:type="dxa"/>
            <w:vAlign w:val="center"/>
          </w:tcPr>
          <w:p w14:paraId="629544E1">
            <w:pPr>
              <w:spacing w:line="360" w:lineRule="auto"/>
              <w:jc w:val="center"/>
              <w:rPr>
                <w:rFonts w:asciiTheme="minorEastAsia" w:hAnsiTheme="minorEastAsia" w:eastAsiaTheme="minorEastAsia"/>
                <w:sz w:val="21"/>
                <w:szCs w:val="21"/>
                <w:highlight w:val="none"/>
              </w:rPr>
            </w:pPr>
          </w:p>
        </w:tc>
        <w:tc>
          <w:tcPr>
            <w:tcW w:w="2165" w:type="dxa"/>
            <w:vAlign w:val="center"/>
          </w:tcPr>
          <w:p w14:paraId="1B1A9EC4">
            <w:pPr>
              <w:spacing w:line="360" w:lineRule="auto"/>
              <w:jc w:val="center"/>
              <w:rPr>
                <w:rFonts w:asciiTheme="minorEastAsia" w:hAnsiTheme="minorEastAsia" w:eastAsiaTheme="minorEastAsia"/>
                <w:sz w:val="21"/>
                <w:szCs w:val="21"/>
                <w:highlight w:val="none"/>
              </w:rPr>
            </w:pPr>
          </w:p>
        </w:tc>
      </w:tr>
      <w:tr w14:paraId="44E6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920" w:type="dxa"/>
            <w:vAlign w:val="center"/>
          </w:tcPr>
          <w:p w14:paraId="32996A2F">
            <w:pPr>
              <w:spacing w:line="360" w:lineRule="auto"/>
              <w:jc w:val="center"/>
              <w:rPr>
                <w:rFonts w:asciiTheme="minorEastAsia" w:hAnsiTheme="minorEastAsia" w:eastAsiaTheme="minorEastAsia"/>
                <w:sz w:val="21"/>
                <w:szCs w:val="21"/>
                <w:highlight w:val="none"/>
              </w:rPr>
            </w:pPr>
          </w:p>
        </w:tc>
        <w:tc>
          <w:tcPr>
            <w:tcW w:w="2352" w:type="dxa"/>
            <w:vAlign w:val="center"/>
          </w:tcPr>
          <w:p w14:paraId="32215A85">
            <w:pPr>
              <w:spacing w:line="360" w:lineRule="auto"/>
              <w:jc w:val="center"/>
              <w:rPr>
                <w:rFonts w:asciiTheme="minorEastAsia" w:hAnsiTheme="minorEastAsia" w:eastAsiaTheme="minorEastAsia"/>
                <w:sz w:val="21"/>
                <w:szCs w:val="21"/>
                <w:highlight w:val="none"/>
              </w:rPr>
            </w:pPr>
          </w:p>
        </w:tc>
        <w:tc>
          <w:tcPr>
            <w:tcW w:w="2126" w:type="dxa"/>
            <w:vAlign w:val="center"/>
          </w:tcPr>
          <w:p w14:paraId="43EB3F29">
            <w:pPr>
              <w:spacing w:line="360" w:lineRule="auto"/>
              <w:jc w:val="center"/>
              <w:rPr>
                <w:rFonts w:asciiTheme="minorEastAsia" w:hAnsiTheme="minorEastAsia" w:eastAsiaTheme="minorEastAsia"/>
                <w:sz w:val="21"/>
                <w:szCs w:val="21"/>
                <w:highlight w:val="none"/>
              </w:rPr>
            </w:pPr>
          </w:p>
        </w:tc>
        <w:tc>
          <w:tcPr>
            <w:tcW w:w="1644" w:type="dxa"/>
            <w:vAlign w:val="center"/>
          </w:tcPr>
          <w:p w14:paraId="2B68CE43">
            <w:pPr>
              <w:spacing w:line="360" w:lineRule="auto"/>
              <w:jc w:val="center"/>
              <w:rPr>
                <w:rFonts w:asciiTheme="minorEastAsia" w:hAnsiTheme="minorEastAsia" w:eastAsiaTheme="minorEastAsia"/>
                <w:sz w:val="21"/>
                <w:szCs w:val="21"/>
                <w:highlight w:val="none"/>
              </w:rPr>
            </w:pPr>
          </w:p>
        </w:tc>
        <w:tc>
          <w:tcPr>
            <w:tcW w:w="2165" w:type="dxa"/>
            <w:vAlign w:val="center"/>
          </w:tcPr>
          <w:p w14:paraId="60843741">
            <w:pPr>
              <w:spacing w:line="360" w:lineRule="auto"/>
              <w:jc w:val="center"/>
              <w:rPr>
                <w:rFonts w:asciiTheme="minorEastAsia" w:hAnsiTheme="minorEastAsia" w:eastAsiaTheme="minorEastAsia"/>
                <w:sz w:val="21"/>
                <w:szCs w:val="21"/>
                <w:highlight w:val="none"/>
              </w:rPr>
            </w:pPr>
          </w:p>
        </w:tc>
      </w:tr>
      <w:tr w14:paraId="2342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20" w:type="dxa"/>
            <w:vAlign w:val="center"/>
          </w:tcPr>
          <w:p w14:paraId="48CC4CB7">
            <w:pPr>
              <w:spacing w:line="360" w:lineRule="auto"/>
              <w:jc w:val="center"/>
              <w:rPr>
                <w:rFonts w:asciiTheme="minorEastAsia" w:hAnsiTheme="minorEastAsia" w:eastAsiaTheme="minorEastAsia"/>
                <w:sz w:val="21"/>
                <w:szCs w:val="21"/>
                <w:highlight w:val="none"/>
              </w:rPr>
            </w:pPr>
          </w:p>
        </w:tc>
        <w:tc>
          <w:tcPr>
            <w:tcW w:w="2352" w:type="dxa"/>
            <w:vAlign w:val="center"/>
          </w:tcPr>
          <w:p w14:paraId="114462D5">
            <w:pPr>
              <w:spacing w:line="360" w:lineRule="auto"/>
              <w:jc w:val="center"/>
              <w:rPr>
                <w:rFonts w:asciiTheme="minorEastAsia" w:hAnsiTheme="minorEastAsia" w:eastAsiaTheme="minorEastAsia"/>
                <w:sz w:val="21"/>
                <w:szCs w:val="21"/>
                <w:highlight w:val="none"/>
              </w:rPr>
            </w:pPr>
          </w:p>
        </w:tc>
        <w:tc>
          <w:tcPr>
            <w:tcW w:w="2126" w:type="dxa"/>
            <w:vAlign w:val="center"/>
          </w:tcPr>
          <w:p w14:paraId="5376D65D">
            <w:pPr>
              <w:spacing w:line="360" w:lineRule="auto"/>
              <w:jc w:val="center"/>
              <w:rPr>
                <w:rFonts w:asciiTheme="minorEastAsia" w:hAnsiTheme="minorEastAsia" w:eastAsiaTheme="minorEastAsia"/>
                <w:sz w:val="21"/>
                <w:szCs w:val="21"/>
                <w:highlight w:val="none"/>
              </w:rPr>
            </w:pPr>
          </w:p>
        </w:tc>
        <w:tc>
          <w:tcPr>
            <w:tcW w:w="1644" w:type="dxa"/>
            <w:vAlign w:val="center"/>
          </w:tcPr>
          <w:p w14:paraId="6BDF2E48">
            <w:pPr>
              <w:spacing w:line="360" w:lineRule="auto"/>
              <w:jc w:val="center"/>
              <w:rPr>
                <w:rFonts w:asciiTheme="minorEastAsia" w:hAnsiTheme="minorEastAsia" w:eastAsiaTheme="minorEastAsia"/>
                <w:sz w:val="21"/>
                <w:szCs w:val="21"/>
                <w:highlight w:val="none"/>
              </w:rPr>
            </w:pPr>
          </w:p>
        </w:tc>
        <w:tc>
          <w:tcPr>
            <w:tcW w:w="2165" w:type="dxa"/>
            <w:vAlign w:val="center"/>
          </w:tcPr>
          <w:p w14:paraId="35A5BE25">
            <w:pPr>
              <w:spacing w:line="360" w:lineRule="auto"/>
              <w:jc w:val="center"/>
              <w:rPr>
                <w:rFonts w:asciiTheme="minorEastAsia" w:hAnsiTheme="minorEastAsia" w:eastAsiaTheme="minorEastAsia"/>
                <w:sz w:val="21"/>
                <w:szCs w:val="21"/>
                <w:highlight w:val="none"/>
              </w:rPr>
            </w:pPr>
          </w:p>
        </w:tc>
      </w:tr>
    </w:tbl>
    <w:p w14:paraId="110EDBCB">
      <w:pPr>
        <w:pStyle w:val="9"/>
        <w:snapToGrid w:val="0"/>
        <w:spacing w:line="300" w:lineRule="auto"/>
        <w:ind w:firstLine="0"/>
        <w:rPr>
          <w:snapToGrid w:val="0"/>
          <w:sz w:val="18"/>
          <w:highlight w:val="none"/>
        </w:rPr>
      </w:pPr>
    </w:p>
    <w:p w14:paraId="494570F2">
      <w:pPr>
        <w:spacing w:before="120" w:beforeLines="50" w:line="288" w:lineRule="auto"/>
        <w:rPr>
          <w:sz w:val="21"/>
          <w:szCs w:val="21"/>
          <w:highlight w:val="none"/>
        </w:rPr>
      </w:pPr>
      <w:r>
        <w:rPr>
          <w:rFonts w:hint="eastAsia"/>
          <w:sz w:val="21"/>
          <w:szCs w:val="21"/>
          <w:highlight w:val="none"/>
        </w:rPr>
        <w:t>注明：</w:t>
      </w:r>
    </w:p>
    <w:p w14:paraId="1702D45E">
      <w:pPr>
        <w:pStyle w:val="38"/>
        <w:numPr>
          <w:ilvl w:val="0"/>
          <w:numId w:val="10"/>
        </w:numPr>
        <w:spacing w:line="288" w:lineRule="auto"/>
        <w:rPr>
          <w:sz w:val="21"/>
          <w:szCs w:val="21"/>
          <w:highlight w:val="none"/>
          <w:lang w:eastAsia="zh-CN"/>
        </w:rPr>
      </w:pPr>
      <w:r>
        <w:rPr>
          <w:rFonts w:hint="eastAsia"/>
          <w:bCs/>
          <w:sz w:val="21"/>
          <w:szCs w:val="21"/>
          <w:highlight w:val="none"/>
          <w:lang w:eastAsia="zh-CN"/>
        </w:rPr>
        <w:t>偏离情况项填写“正”、“负”或“无”，说明项中填写原因。</w:t>
      </w:r>
    </w:p>
    <w:p w14:paraId="01ED54F6">
      <w:pPr>
        <w:pStyle w:val="38"/>
        <w:numPr>
          <w:ilvl w:val="0"/>
          <w:numId w:val="10"/>
        </w:numPr>
        <w:spacing w:line="288" w:lineRule="auto"/>
        <w:rPr>
          <w:bCs/>
          <w:sz w:val="21"/>
          <w:szCs w:val="21"/>
          <w:highlight w:val="none"/>
          <w:lang w:eastAsia="zh-CN"/>
        </w:rPr>
      </w:pPr>
      <w:r>
        <w:rPr>
          <w:rFonts w:hint="eastAsia"/>
          <w:bCs/>
          <w:sz w:val="21"/>
          <w:szCs w:val="21"/>
          <w:highlight w:val="none"/>
          <w:lang w:eastAsia="zh-CN"/>
        </w:rPr>
        <w:t>供应商应按照采购文件要求全面进行响应，对响应有偏离的，则说明偏离的内容，若有要求提供相关证明资料的，须按要求提供，否则视为负偏离。</w:t>
      </w:r>
    </w:p>
    <w:p w14:paraId="49E5FBD5">
      <w:pPr>
        <w:pStyle w:val="9"/>
        <w:snapToGrid w:val="0"/>
        <w:spacing w:line="300" w:lineRule="auto"/>
        <w:ind w:firstLine="0"/>
        <w:rPr>
          <w:b/>
          <w:bCs/>
          <w:snapToGrid w:val="0"/>
          <w:sz w:val="21"/>
          <w:szCs w:val="21"/>
          <w:highlight w:val="none"/>
          <w:lang w:eastAsia="zh-CN"/>
        </w:rPr>
      </w:pPr>
    </w:p>
    <w:p w14:paraId="7E81C907">
      <w:pPr>
        <w:pStyle w:val="9"/>
        <w:snapToGrid w:val="0"/>
        <w:spacing w:line="300" w:lineRule="auto"/>
        <w:ind w:firstLine="0"/>
        <w:rPr>
          <w:b/>
          <w:bCs/>
          <w:snapToGrid w:val="0"/>
          <w:sz w:val="21"/>
          <w:szCs w:val="21"/>
          <w:highlight w:val="none"/>
          <w:lang w:eastAsia="zh-CN"/>
        </w:rPr>
      </w:pPr>
    </w:p>
    <w:tbl>
      <w:tblPr>
        <w:tblStyle w:val="27"/>
        <w:tblW w:w="8528" w:type="dxa"/>
        <w:tblInd w:w="0" w:type="dxa"/>
        <w:tblLayout w:type="fixed"/>
        <w:tblCellMar>
          <w:top w:w="0" w:type="dxa"/>
          <w:left w:w="108" w:type="dxa"/>
          <w:bottom w:w="0" w:type="dxa"/>
          <w:right w:w="108" w:type="dxa"/>
        </w:tblCellMar>
      </w:tblPr>
      <w:tblGrid>
        <w:gridCol w:w="5353"/>
        <w:gridCol w:w="3175"/>
      </w:tblGrid>
      <w:tr w14:paraId="2C133A42">
        <w:tblPrEx>
          <w:tblCellMar>
            <w:top w:w="0" w:type="dxa"/>
            <w:left w:w="108" w:type="dxa"/>
            <w:bottom w:w="0" w:type="dxa"/>
            <w:right w:w="108" w:type="dxa"/>
          </w:tblCellMar>
        </w:tblPrEx>
        <w:trPr>
          <w:trHeight w:val="680" w:hRule="atLeast"/>
        </w:trPr>
        <w:tc>
          <w:tcPr>
            <w:tcW w:w="5353" w:type="dxa"/>
            <w:shd w:val="clear" w:color="auto" w:fill="auto"/>
          </w:tcPr>
          <w:p w14:paraId="03CB1395">
            <w:pPr>
              <w:overflowPunct w:val="0"/>
              <w:adjustRightInd w:val="0"/>
              <w:spacing w:line="288" w:lineRule="auto"/>
              <w:rPr>
                <w:sz w:val="21"/>
                <w:szCs w:val="21"/>
                <w:highlight w:val="none"/>
                <w:lang w:eastAsia="zh-CN"/>
              </w:rPr>
            </w:pPr>
            <w:r>
              <w:rPr>
                <w:rFonts w:hint="eastAsia"/>
                <w:sz w:val="21"/>
                <w:szCs w:val="21"/>
                <w:highlight w:val="none"/>
                <w:lang w:eastAsia="zh-CN"/>
              </w:rPr>
              <w:t>供应商名称（加盖公章）：</w:t>
            </w:r>
          </w:p>
        </w:tc>
        <w:tc>
          <w:tcPr>
            <w:tcW w:w="3175" w:type="dxa"/>
            <w:shd w:val="clear" w:color="auto" w:fill="auto"/>
          </w:tcPr>
          <w:p w14:paraId="47AC738E">
            <w:pPr>
              <w:spacing w:line="288" w:lineRule="auto"/>
              <w:rPr>
                <w:sz w:val="21"/>
                <w:szCs w:val="21"/>
                <w:highlight w:val="none"/>
                <w:lang w:eastAsia="zh-CN"/>
              </w:rPr>
            </w:pPr>
          </w:p>
        </w:tc>
      </w:tr>
      <w:tr w14:paraId="2E02D001">
        <w:tblPrEx>
          <w:tblCellMar>
            <w:top w:w="0" w:type="dxa"/>
            <w:left w:w="108" w:type="dxa"/>
            <w:bottom w:w="0" w:type="dxa"/>
            <w:right w:w="108" w:type="dxa"/>
          </w:tblCellMar>
        </w:tblPrEx>
        <w:trPr>
          <w:trHeight w:val="680" w:hRule="atLeast"/>
        </w:trPr>
        <w:tc>
          <w:tcPr>
            <w:tcW w:w="5353" w:type="dxa"/>
            <w:shd w:val="clear" w:color="auto" w:fill="auto"/>
          </w:tcPr>
          <w:p w14:paraId="436FF9C7">
            <w:pPr>
              <w:overflowPunct w:val="0"/>
              <w:adjustRightInd w:val="0"/>
              <w:spacing w:line="288" w:lineRule="auto"/>
              <w:rPr>
                <w:sz w:val="21"/>
                <w:szCs w:val="21"/>
                <w:highlight w:val="none"/>
                <w:lang w:eastAsia="zh-CN"/>
              </w:rPr>
            </w:pPr>
            <w:r>
              <w:rPr>
                <w:rFonts w:hint="eastAsia"/>
                <w:sz w:val="21"/>
                <w:szCs w:val="21"/>
                <w:highlight w:val="none"/>
                <w:lang w:eastAsia="zh-CN"/>
              </w:rPr>
              <w:t xml:space="preserve">法定代表人或其委托代理人（签字）： </w:t>
            </w:r>
          </w:p>
        </w:tc>
        <w:tc>
          <w:tcPr>
            <w:tcW w:w="3175" w:type="dxa"/>
            <w:shd w:val="clear" w:color="auto" w:fill="auto"/>
          </w:tcPr>
          <w:p w14:paraId="3A2E5833">
            <w:pPr>
              <w:spacing w:line="288" w:lineRule="auto"/>
              <w:rPr>
                <w:sz w:val="21"/>
                <w:szCs w:val="21"/>
                <w:highlight w:val="none"/>
                <w:lang w:eastAsia="zh-CN"/>
              </w:rPr>
            </w:pPr>
          </w:p>
        </w:tc>
      </w:tr>
      <w:tr w14:paraId="504404D3">
        <w:tblPrEx>
          <w:tblCellMar>
            <w:top w:w="0" w:type="dxa"/>
            <w:left w:w="108" w:type="dxa"/>
            <w:bottom w:w="0" w:type="dxa"/>
            <w:right w:w="108" w:type="dxa"/>
          </w:tblCellMar>
        </w:tblPrEx>
        <w:trPr>
          <w:trHeight w:val="680" w:hRule="atLeast"/>
        </w:trPr>
        <w:tc>
          <w:tcPr>
            <w:tcW w:w="5353" w:type="dxa"/>
            <w:shd w:val="clear" w:color="auto" w:fill="auto"/>
          </w:tcPr>
          <w:p w14:paraId="373C514B">
            <w:pPr>
              <w:spacing w:line="288" w:lineRule="auto"/>
              <w:rPr>
                <w:sz w:val="21"/>
                <w:szCs w:val="21"/>
                <w:highlight w:val="none"/>
              </w:rPr>
            </w:pPr>
            <w:r>
              <w:rPr>
                <w:rFonts w:hint="eastAsia"/>
                <w:sz w:val="21"/>
                <w:szCs w:val="21"/>
                <w:highlight w:val="none"/>
              </w:rPr>
              <w:t>日期：      年      月        日</w:t>
            </w:r>
          </w:p>
        </w:tc>
        <w:tc>
          <w:tcPr>
            <w:tcW w:w="3175" w:type="dxa"/>
            <w:shd w:val="clear" w:color="auto" w:fill="auto"/>
          </w:tcPr>
          <w:p w14:paraId="013B685D">
            <w:pPr>
              <w:spacing w:line="288" w:lineRule="auto"/>
              <w:rPr>
                <w:sz w:val="21"/>
                <w:szCs w:val="21"/>
                <w:highlight w:val="none"/>
              </w:rPr>
            </w:pPr>
          </w:p>
        </w:tc>
      </w:tr>
    </w:tbl>
    <w:p w14:paraId="0055DD81">
      <w:pPr>
        <w:spacing w:line="360" w:lineRule="auto"/>
        <w:ind w:firstLine="420" w:firstLineChars="200"/>
        <w:rPr>
          <w:sz w:val="21"/>
          <w:szCs w:val="21"/>
          <w:highlight w:val="none"/>
        </w:rPr>
      </w:pPr>
    </w:p>
    <w:p w14:paraId="517BDB99">
      <w:pPr>
        <w:spacing w:line="360" w:lineRule="auto"/>
        <w:ind w:firstLine="420" w:firstLineChars="200"/>
        <w:rPr>
          <w:rFonts w:hint="eastAsia"/>
          <w:sz w:val="21"/>
          <w:szCs w:val="21"/>
          <w:highlight w:val="none"/>
          <w:lang w:eastAsia="zh-CN"/>
        </w:rPr>
      </w:pPr>
    </w:p>
    <w:p w14:paraId="17B5C8C1">
      <w:pPr>
        <w:rPr>
          <w:b/>
          <w:bCs/>
          <w:kern w:val="2"/>
          <w:sz w:val="32"/>
          <w:szCs w:val="32"/>
          <w:highlight w:val="none"/>
          <w:lang w:eastAsia="zh-CN"/>
        </w:rPr>
      </w:pPr>
      <w:r>
        <w:rPr>
          <w:rFonts w:hint="eastAsia"/>
          <w:b/>
          <w:bCs/>
          <w:kern w:val="2"/>
          <w:sz w:val="32"/>
          <w:szCs w:val="32"/>
          <w:highlight w:val="none"/>
          <w:lang w:eastAsia="zh-CN"/>
        </w:rPr>
        <w:br w:type="page"/>
      </w:r>
    </w:p>
    <w:p w14:paraId="68E2F96F">
      <w:pP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bookmarkStart w:id="156" w:name="_bookmark211"/>
      <w:bookmarkEnd w:id="156"/>
    </w:p>
    <w:p w14:paraId="64047E0C">
      <w:pPr>
        <w:wordWrap w:val="0"/>
        <w:spacing w:after="240" w:afterLines="100"/>
        <w:jc w:val="center"/>
        <w:rPr>
          <w:rFonts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九</w:t>
      </w: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、其他资料</w:t>
      </w:r>
    </w:p>
    <w:p w14:paraId="7C9A3421">
      <w:pPr>
        <w:wordWrap w:val="0"/>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pPr>
    </w:p>
    <w:p w14:paraId="71401A32">
      <w:pPr>
        <w:wordWrap w:val="0"/>
        <w:rPr>
          <w:rFonts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磋商文件中要求的资料或供应商认为针对本项目有必要提供的资料，附后。</w:t>
      </w:r>
    </w:p>
    <w:p w14:paraId="2AF321F6">
      <w:pPr>
        <w:wordWrap w:val="0"/>
        <w:spacing w:after="240" w:afterLines="100"/>
        <w:jc w:val="center"/>
        <w:rPr>
          <w:rFonts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p>
    <w:p w14:paraId="7C085541">
      <w:pP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br w:type="page"/>
      </w:r>
    </w:p>
    <w:p w14:paraId="143A53A4">
      <w:pPr>
        <w:wordWrap w:val="0"/>
        <w:spacing w:after="240" w:afterLines="100"/>
        <w:jc w:val="center"/>
        <w:rPr>
          <w:rFonts w:hint="default"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十一</w:t>
      </w: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、技术</w:t>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部分</w:t>
      </w: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明标部分）</w:t>
      </w:r>
    </w:p>
    <w:p w14:paraId="483CD726">
      <w:pPr>
        <w:wordWrap w:val="0"/>
        <w:spacing w:line="357" w:lineRule="auto"/>
        <w:rPr>
          <w:color w:val="000000"/>
          <w:sz w:val="24"/>
          <w:szCs w:val="24"/>
          <w:highlight w:val="none"/>
          <w:lang w:eastAsia="zh-CN"/>
        </w:rPr>
      </w:pPr>
    </w:p>
    <w:p w14:paraId="1F5FF612">
      <w:pPr>
        <w:numPr>
          <w:ilvl w:val="0"/>
          <w:numId w:val="0"/>
        </w:numPr>
        <w:spacing w:line="36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bookmarkStart w:id="157" w:name="_bookmark212"/>
      <w:bookmarkEnd w:id="157"/>
      <w:r>
        <w:rPr>
          <w:rFonts w:hint="eastAsia"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悬浮拼装运动地板</w:t>
      </w:r>
      <w:r>
        <w:rPr>
          <w:rFonts w:hint="eastAsia" w:cs="宋体"/>
          <w:color w:val="000000" w:themeColor="text1"/>
          <w:sz w:val="21"/>
          <w:szCs w:val="21"/>
          <w:highlight w:val="none"/>
          <w:lang w:val="en-US" w:eastAsia="zh-CN"/>
          <w14:textFill>
            <w14:solidFill>
              <w14:schemeClr w14:val="tx1"/>
            </w14:solidFill>
          </w14:textFill>
        </w:rPr>
        <w:t>证明材料</w:t>
      </w:r>
    </w:p>
    <w:p w14:paraId="53B69C6D">
      <w:pPr>
        <w:spacing w:line="360" w:lineRule="auto"/>
        <w:jc w:val="both"/>
        <w:rPr>
          <w:rFonts w:hint="eastAsia"/>
          <w:sz w:val="21"/>
          <w:szCs w:val="21"/>
          <w:highlight w:val="none"/>
          <w:lang w:eastAsia="zh-CN"/>
        </w:rPr>
      </w:pPr>
    </w:p>
    <w:p w14:paraId="5C64D261">
      <w:pPr>
        <w:spacing w:line="360" w:lineRule="auto"/>
        <w:jc w:val="both"/>
        <w:rPr>
          <w:rFonts w:hint="eastAsia"/>
          <w:sz w:val="21"/>
          <w:szCs w:val="21"/>
          <w:highlight w:val="none"/>
          <w:lang w:eastAsia="zh-CN"/>
        </w:rPr>
      </w:pPr>
    </w:p>
    <w:p w14:paraId="3F87FDC2">
      <w:pPr>
        <w:spacing w:line="360" w:lineRule="auto"/>
        <w:jc w:val="both"/>
        <w:rPr>
          <w:rFonts w:hint="eastAsia"/>
          <w:sz w:val="21"/>
          <w:szCs w:val="21"/>
          <w:highlight w:val="none"/>
          <w:lang w:eastAsia="zh-CN"/>
        </w:rPr>
      </w:pPr>
    </w:p>
    <w:p w14:paraId="42FCAD64">
      <w:pPr>
        <w:spacing w:line="360" w:lineRule="auto"/>
        <w:jc w:val="both"/>
        <w:rPr>
          <w:rFonts w:hint="eastAsia"/>
          <w:sz w:val="21"/>
          <w:szCs w:val="21"/>
          <w:highlight w:val="none"/>
          <w:lang w:eastAsia="zh-CN"/>
        </w:rPr>
      </w:pPr>
    </w:p>
    <w:p w14:paraId="5F671953">
      <w:pPr>
        <w:spacing w:line="360" w:lineRule="auto"/>
        <w:jc w:val="both"/>
        <w:rPr>
          <w:rFonts w:hint="eastAsia"/>
          <w:sz w:val="21"/>
          <w:szCs w:val="21"/>
          <w:highlight w:val="none"/>
          <w:lang w:eastAsia="zh-CN"/>
        </w:rPr>
      </w:pPr>
    </w:p>
    <w:p w14:paraId="173BBCFF">
      <w:pPr>
        <w:spacing w:line="360" w:lineRule="auto"/>
        <w:jc w:val="both"/>
        <w:rPr>
          <w:rFonts w:hint="eastAsia"/>
          <w:sz w:val="21"/>
          <w:szCs w:val="21"/>
          <w:highlight w:val="none"/>
          <w:lang w:eastAsia="zh-CN"/>
        </w:rPr>
      </w:pPr>
    </w:p>
    <w:p w14:paraId="2C383ED5">
      <w:pPr>
        <w:spacing w:line="360" w:lineRule="auto"/>
        <w:jc w:val="both"/>
        <w:rPr>
          <w:rFonts w:hint="eastAsia"/>
          <w:sz w:val="21"/>
          <w:szCs w:val="21"/>
          <w:highlight w:val="none"/>
          <w:lang w:eastAsia="zh-CN"/>
        </w:rPr>
      </w:pPr>
    </w:p>
    <w:p w14:paraId="4DC84F7F">
      <w:pPr>
        <w:spacing w:line="360" w:lineRule="auto"/>
        <w:jc w:val="both"/>
        <w:rPr>
          <w:rFonts w:hint="eastAsia"/>
          <w:sz w:val="21"/>
          <w:szCs w:val="21"/>
          <w:highlight w:val="none"/>
          <w:lang w:eastAsia="zh-CN"/>
        </w:rPr>
      </w:pPr>
    </w:p>
    <w:p w14:paraId="79A2252E">
      <w:pPr>
        <w:spacing w:line="360" w:lineRule="auto"/>
        <w:jc w:val="both"/>
        <w:rPr>
          <w:rFonts w:hint="eastAsia"/>
          <w:sz w:val="21"/>
          <w:szCs w:val="21"/>
          <w:highlight w:val="none"/>
          <w:lang w:eastAsia="zh-CN"/>
        </w:rPr>
      </w:pPr>
    </w:p>
    <w:p w14:paraId="0C440EE2">
      <w:pPr>
        <w:spacing w:line="360" w:lineRule="auto"/>
        <w:jc w:val="both"/>
        <w:rPr>
          <w:rFonts w:hint="eastAsia"/>
          <w:sz w:val="21"/>
          <w:szCs w:val="21"/>
          <w:highlight w:val="none"/>
          <w:lang w:eastAsia="zh-CN"/>
        </w:rPr>
      </w:pPr>
    </w:p>
    <w:p w14:paraId="51207C6E">
      <w:pPr>
        <w:spacing w:line="360" w:lineRule="auto"/>
        <w:jc w:val="both"/>
        <w:rPr>
          <w:rFonts w:hint="eastAsia"/>
          <w:sz w:val="21"/>
          <w:szCs w:val="21"/>
          <w:highlight w:val="none"/>
          <w:lang w:eastAsia="zh-CN"/>
        </w:rPr>
      </w:pPr>
    </w:p>
    <w:p w14:paraId="6B01A23B">
      <w:pPr>
        <w:spacing w:line="360" w:lineRule="auto"/>
        <w:jc w:val="both"/>
        <w:rPr>
          <w:rFonts w:hint="eastAsia"/>
          <w:sz w:val="21"/>
          <w:szCs w:val="21"/>
          <w:highlight w:val="none"/>
          <w:lang w:eastAsia="zh-CN"/>
        </w:rPr>
      </w:pPr>
    </w:p>
    <w:p w14:paraId="0F51722D">
      <w:pPr>
        <w:spacing w:line="360" w:lineRule="auto"/>
        <w:jc w:val="both"/>
        <w:rPr>
          <w:rFonts w:hint="eastAsia"/>
          <w:sz w:val="21"/>
          <w:szCs w:val="21"/>
          <w:highlight w:val="none"/>
          <w:lang w:eastAsia="zh-CN"/>
        </w:rPr>
      </w:pPr>
    </w:p>
    <w:p w14:paraId="331AB800">
      <w:pPr>
        <w:spacing w:line="360" w:lineRule="auto"/>
        <w:jc w:val="both"/>
        <w:rPr>
          <w:rFonts w:hint="eastAsia"/>
          <w:sz w:val="21"/>
          <w:szCs w:val="21"/>
          <w:highlight w:val="none"/>
          <w:lang w:eastAsia="zh-CN"/>
        </w:rPr>
      </w:pPr>
    </w:p>
    <w:p w14:paraId="6676E4A4">
      <w:pPr>
        <w:spacing w:line="360" w:lineRule="auto"/>
        <w:jc w:val="both"/>
        <w:rPr>
          <w:rFonts w:hint="eastAsia"/>
          <w:sz w:val="21"/>
          <w:szCs w:val="21"/>
          <w:highlight w:val="none"/>
          <w:lang w:eastAsia="zh-CN"/>
        </w:rPr>
      </w:pPr>
    </w:p>
    <w:p w14:paraId="3310D06F">
      <w:pPr>
        <w:spacing w:line="360" w:lineRule="auto"/>
        <w:jc w:val="both"/>
        <w:rPr>
          <w:rFonts w:hint="eastAsia"/>
          <w:sz w:val="21"/>
          <w:szCs w:val="21"/>
          <w:highlight w:val="none"/>
          <w:lang w:eastAsia="zh-CN"/>
        </w:rPr>
      </w:pPr>
    </w:p>
    <w:p w14:paraId="4189AF06">
      <w:pPr>
        <w:spacing w:line="360" w:lineRule="auto"/>
        <w:jc w:val="both"/>
        <w:rPr>
          <w:rFonts w:hint="eastAsia"/>
          <w:sz w:val="21"/>
          <w:szCs w:val="21"/>
          <w:highlight w:val="none"/>
          <w:lang w:eastAsia="zh-CN"/>
        </w:rPr>
      </w:pPr>
    </w:p>
    <w:p w14:paraId="15225949">
      <w:pPr>
        <w:spacing w:line="360" w:lineRule="auto"/>
        <w:jc w:val="both"/>
        <w:rPr>
          <w:rFonts w:hint="eastAsia"/>
          <w:sz w:val="21"/>
          <w:szCs w:val="21"/>
          <w:highlight w:val="none"/>
          <w:lang w:eastAsia="zh-CN"/>
        </w:rPr>
      </w:pPr>
    </w:p>
    <w:p w14:paraId="02E8AF94">
      <w:pPr>
        <w:spacing w:line="360" w:lineRule="auto"/>
        <w:jc w:val="both"/>
        <w:rPr>
          <w:rFonts w:hint="eastAsia"/>
          <w:sz w:val="21"/>
          <w:szCs w:val="21"/>
          <w:highlight w:val="none"/>
          <w:lang w:eastAsia="zh-CN"/>
        </w:rPr>
      </w:pPr>
    </w:p>
    <w:p w14:paraId="3196C013">
      <w:pPr>
        <w:spacing w:line="360" w:lineRule="auto"/>
        <w:jc w:val="both"/>
        <w:rPr>
          <w:rFonts w:hint="eastAsia"/>
          <w:sz w:val="21"/>
          <w:szCs w:val="21"/>
          <w:highlight w:val="none"/>
          <w:lang w:eastAsia="zh-CN"/>
        </w:rPr>
      </w:pPr>
    </w:p>
    <w:p w14:paraId="4517A60E">
      <w:pPr>
        <w:spacing w:line="360" w:lineRule="auto"/>
        <w:jc w:val="both"/>
        <w:rPr>
          <w:rFonts w:hint="eastAsia"/>
          <w:sz w:val="21"/>
          <w:szCs w:val="21"/>
          <w:highlight w:val="none"/>
          <w:lang w:eastAsia="zh-CN"/>
        </w:rPr>
      </w:pPr>
    </w:p>
    <w:p w14:paraId="6D1A3495">
      <w:pPr>
        <w:spacing w:line="360" w:lineRule="auto"/>
        <w:jc w:val="both"/>
        <w:rPr>
          <w:rFonts w:hint="eastAsia"/>
          <w:sz w:val="21"/>
          <w:szCs w:val="21"/>
          <w:highlight w:val="none"/>
          <w:lang w:eastAsia="zh-CN"/>
        </w:rPr>
      </w:pPr>
    </w:p>
    <w:p w14:paraId="421AB7D2">
      <w:pPr>
        <w:spacing w:line="360" w:lineRule="auto"/>
        <w:jc w:val="both"/>
        <w:rPr>
          <w:rFonts w:hint="eastAsia"/>
          <w:sz w:val="21"/>
          <w:szCs w:val="21"/>
          <w:highlight w:val="none"/>
          <w:lang w:eastAsia="zh-CN"/>
        </w:rPr>
      </w:pPr>
    </w:p>
    <w:p w14:paraId="59E0A42C">
      <w:pPr>
        <w:spacing w:line="360" w:lineRule="auto"/>
        <w:jc w:val="both"/>
        <w:rPr>
          <w:rFonts w:hint="eastAsia"/>
          <w:sz w:val="21"/>
          <w:szCs w:val="21"/>
          <w:highlight w:val="none"/>
          <w:lang w:eastAsia="zh-CN"/>
        </w:rPr>
      </w:pPr>
    </w:p>
    <w:p w14:paraId="53ED8969">
      <w:pPr>
        <w:spacing w:line="360" w:lineRule="auto"/>
        <w:jc w:val="both"/>
        <w:rPr>
          <w:rFonts w:hint="eastAsia"/>
          <w:sz w:val="21"/>
          <w:szCs w:val="21"/>
          <w:highlight w:val="none"/>
          <w:lang w:eastAsia="zh-CN"/>
        </w:rPr>
      </w:pPr>
    </w:p>
    <w:p w14:paraId="30E771A2">
      <w:pPr>
        <w:spacing w:line="360" w:lineRule="auto"/>
        <w:jc w:val="both"/>
        <w:rPr>
          <w:rFonts w:hint="eastAsia"/>
          <w:sz w:val="21"/>
          <w:szCs w:val="21"/>
          <w:highlight w:val="none"/>
          <w:lang w:eastAsia="zh-CN"/>
        </w:rPr>
      </w:pPr>
    </w:p>
    <w:p w14:paraId="114565A6">
      <w:pPr>
        <w:spacing w:line="360" w:lineRule="auto"/>
        <w:jc w:val="both"/>
        <w:rPr>
          <w:rFonts w:hint="eastAsia"/>
          <w:sz w:val="21"/>
          <w:szCs w:val="21"/>
          <w:highlight w:val="none"/>
          <w:lang w:eastAsia="zh-CN"/>
        </w:rPr>
      </w:pPr>
    </w:p>
    <w:p w14:paraId="66C243A9">
      <w:pPr>
        <w:rPr>
          <w:rFonts w:hint="eastAsia" w:ascii="宋体" w:hAnsi="宋体" w:cs="宋体"/>
          <w:b/>
          <w:color w:val="000000" w:themeColor="text1"/>
          <w:sz w:val="32"/>
          <w:szCs w:val="32"/>
          <w:highlight w:val="none"/>
          <w:lang w:val="en-US" w:eastAsia="zh-CN"/>
          <w14:textFill>
            <w14:solidFill>
              <w14:schemeClr w14:val="tx1"/>
            </w14:solidFill>
          </w14:textFill>
        </w:rPr>
      </w:pPr>
      <w:r>
        <w:rPr>
          <w:rFonts w:hint="eastAsia" w:ascii="宋体" w:hAnsi="宋体" w:cs="宋体"/>
          <w:b/>
          <w:color w:val="000000" w:themeColor="text1"/>
          <w:sz w:val="32"/>
          <w:szCs w:val="32"/>
          <w:highlight w:val="none"/>
          <w:lang w:val="en-US" w:eastAsia="zh-CN"/>
          <w14:textFill>
            <w14:solidFill>
              <w14:schemeClr w14:val="tx1"/>
            </w14:solidFill>
          </w14:textFill>
        </w:rPr>
        <w:br w:type="page"/>
      </w:r>
    </w:p>
    <w:p w14:paraId="4CAFD2F0">
      <w:pPr>
        <w:jc w:val="center"/>
        <w:rPr>
          <w:rFonts w:hint="default"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cs="宋体"/>
          <w:b/>
          <w:color w:val="000000" w:themeColor="text1"/>
          <w:sz w:val="32"/>
          <w:szCs w:val="32"/>
          <w:highlight w:val="none"/>
          <w:lang w:val="en-US" w:eastAsia="zh-CN"/>
          <w14:textFill>
            <w14:solidFill>
              <w14:schemeClr w14:val="tx1"/>
            </w14:solidFill>
          </w14:textFill>
        </w:rPr>
        <w:t>十</w:t>
      </w:r>
      <w:r>
        <w:rPr>
          <w:rFonts w:hint="eastAsia" w:cs="宋体"/>
          <w:b/>
          <w:color w:val="000000" w:themeColor="text1"/>
          <w:sz w:val="32"/>
          <w:szCs w:val="32"/>
          <w:highlight w:val="none"/>
          <w:lang w:val="en-US" w:eastAsia="zh-CN"/>
          <w14:textFill>
            <w14:solidFill>
              <w14:schemeClr w14:val="tx1"/>
            </w14:solidFill>
          </w14:textFill>
        </w:rPr>
        <w:t>二</w:t>
      </w:r>
      <w:r>
        <w:rPr>
          <w:rFonts w:hint="eastAsia" w:ascii="宋体" w:hAnsi="宋体" w:cs="宋体"/>
          <w:b/>
          <w:color w:val="000000" w:themeColor="text1"/>
          <w:sz w:val="32"/>
          <w:szCs w:val="32"/>
          <w:highlight w:val="none"/>
          <w14:textFill>
            <w14:solidFill>
              <w14:schemeClr w14:val="tx1"/>
            </w14:solidFill>
          </w14:textFill>
        </w:rPr>
        <w:t>、</w:t>
      </w:r>
      <w:r>
        <w:rPr>
          <w:rFonts w:hint="eastAsia" w:cs="宋体"/>
          <w:b/>
          <w:color w:val="000000" w:themeColor="text1"/>
          <w:sz w:val="32"/>
          <w:szCs w:val="32"/>
          <w:highlight w:val="none"/>
          <w:lang w:val="en-US" w:eastAsia="zh-CN"/>
          <w14:textFill>
            <w14:solidFill>
              <w14:schemeClr w14:val="tx1"/>
            </w14:solidFill>
          </w14:textFill>
        </w:rPr>
        <w:t>技术部分</w:t>
      </w:r>
      <w:r>
        <w:rPr>
          <w:rFonts w:hint="eastAsia" w:ascii="宋体" w:hAnsi="宋体" w:cs="宋体"/>
          <w:b/>
          <w:color w:val="000000" w:themeColor="text1"/>
          <w:sz w:val="32"/>
          <w:szCs w:val="32"/>
          <w:highlight w:val="none"/>
          <w:lang w:val="en-US" w:eastAsia="zh-CN"/>
          <w14:textFill>
            <w14:solidFill>
              <w14:schemeClr w14:val="tx1"/>
            </w14:solidFill>
          </w14:textFill>
        </w:rPr>
        <w:t>(暗标部分）</w:t>
      </w:r>
    </w:p>
    <w:p w14:paraId="01F99B9F">
      <w:pPr>
        <w:spacing w:line="360" w:lineRule="auto"/>
        <w:jc w:val="both"/>
        <w:rPr>
          <w:rFonts w:hint="eastAsia" w:ascii="宋体" w:hAnsi="宋体" w:cs="宋体"/>
          <w:sz w:val="21"/>
          <w:szCs w:val="21"/>
          <w:highlight w:val="none"/>
        </w:rPr>
      </w:pPr>
    </w:p>
    <w:p w14:paraId="74C119E6">
      <w:pPr>
        <w:pStyle w:val="10"/>
        <w:rPr>
          <w:rFonts w:hint="eastAsia"/>
          <w:highlight w:val="none"/>
        </w:rPr>
      </w:pPr>
    </w:p>
    <w:p w14:paraId="57D7EAD5">
      <w:pPr>
        <w:spacing w:line="360" w:lineRule="auto"/>
        <w:jc w:val="both"/>
        <w:rPr>
          <w:rFonts w:hint="eastAsia"/>
          <w:sz w:val="21"/>
          <w:szCs w:val="21"/>
          <w:highlight w:val="none"/>
          <w:lang w:eastAsia="zh-CN"/>
        </w:rPr>
      </w:pPr>
      <w:r>
        <w:rPr>
          <w:rFonts w:hint="eastAsia"/>
          <w:sz w:val="21"/>
          <w:szCs w:val="21"/>
          <w:highlight w:val="none"/>
          <w:lang w:eastAsia="zh-CN"/>
        </w:rPr>
        <w:t>响应文件技术标必须遵守的统一格式和规范</w:t>
      </w:r>
    </w:p>
    <w:p w14:paraId="282889E6">
      <w:pPr>
        <w:spacing w:line="360" w:lineRule="auto"/>
        <w:jc w:val="both"/>
        <w:rPr>
          <w:rFonts w:hint="eastAsia"/>
          <w:sz w:val="21"/>
          <w:szCs w:val="21"/>
          <w:highlight w:val="none"/>
          <w:lang w:eastAsia="zh-CN"/>
        </w:rPr>
      </w:pPr>
      <w:r>
        <w:rPr>
          <w:rFonts w:hint="eastAsia"/>
          <w:sz w:val="21"/>
          <w:szCs w:val="21"/>
          <w:highlight w:val="none"/>
          <w:lang w:eastAsia="zh-CN"/>
        </w:rPr>
        <w:t>技术标文件（暗标）未按以下“盲评”要求制作的，为无效投标，除下述要求外，不得因暗标格式问题认定为无效投标：</w:t>
      </w:r>
    </w:p>
    <w:p w14:paraId="51EF5E37">
      <w:pPr>
        <w:spacing w:line="360" w:lineRule="auto"/>
        <w:jc w:val="both"/>
        <w:rPr>
          <w:rFonts w:hint="eastAsia"/>
          <w:sz w:val="21"/>
          <w:szCs w:val="21"/>
          <w:highlight w:val="none"/>
          <w:lang w:eastAsia="zh-CN"/>
        </w:rPr>
      </w:pPr>
      <w:r>
        <w:rPr>
          <w:rFonts w:hint="eastAsia"/>
          <w:sz w:val="21"/>
          <w:szCs w:val="21"/>
          <w:highlight w:val="none"/>
          <w:lang w:eastAsia="zh-CN"/>
        </w:rPr>
        <w:t>一、版面要求：A4纸张大小；</w:t>
      </w:r>
    </w:p>
    <w:p w14:paraId="6870CC77">
      <w:pPr>
        <w:spacing w:line="360" w:lineRule="auto"/>
        <w:jc w:val="both"/>
        <w:rPr>
          <w:rFonts w:hint="eastAsia"/>
          <w:sz w:val="21"/>
          <w:szCs w:val="21"/>
          <w:highlight w:val="none"/>
          <w:lang w:eastAsia="zh-CN"/>
        </w:rPr>
      </w:pPr>
      <w:r>
        <w:rPr>
          <w:rFonts w:hint="eastAsia"/>
          <w:sz w:val="21"/>
          <w:szCs w:val="21"/>
          <w:highlight w:val="none"/>
          <w:lang w:eastAsia="zh-CN"/>
        </w:rPr>
        <w:t>二、颜色要求：所有文字、图、表均为黑色；</w:t>
      </w:r>
    </w:p>
    <w:p w14:paraId="12DBD0F7">
      <w:pPr>
        <w:spacing w:line="360" w:lineRule="auto"/>
        <w:jc w:val="both"/>
        <w:rPr>
          <w:rFonts w:hint="eastAsia"/>
          <w:sz w:val="21"/>
          <w:szCs w:val="21"/>
          <w:highlight w:val="none"/>
          <w:lang w:eastAsia="zh-CN"/>
        </w:rPr>
      </w:pPr>
      <w:r>
        <w:rPr>
          <w:rFonts w:hint="eastAsia"/>
          <w:sz w:val="21"/>
          <w:szCs w:val="21"/>
          <w:highlight w:val="none"/>
          <w:lang w:eastAsia="zh-CN"/>
        </w:rPr>
        <w:t>三、字体要求：标题及正文部分所用文字均采用“宋体”四号“常规”字；所有字体均不得出现加粗、加色、倾斜、下划线等标记；</w:t>
      </w:r>
    </w:p>
    <w:p w14:paraId="090E7A34">
      <w:pPr>
        <w:spacing w:line="360" w:lineRule="auto"/>
        <w:jc w:val="both"/>
        <w:rPr>
          <w:rFonts w:hint="eastAsia"/>
          <w:sz w:val="21"/>
          <w:szCs w:val="21"/>
          <w:highlight w:val="none"/>
          <w:lang w:eastAsia="zh-CN"/>
        </w:rPr>
      </w:pPr>
      <w:r>
        <w:rPr>
          <w:rFonts w:hint="eastAsia"/>
          <w:sz w:val="21"/>
          <w:szCs w:val="21"/>
          <w:highlight w:val="none"/>
          <w:lang w:eastAsia="zh-CN"/>
        </w:rPr>
        <w:t>四、排版要求：页边距要求上边距2.5厘米，其余均为2厘米；不得设置封面、目录；正文行间距为固定值30磅；文字内容（含正文标题、正文）统一设为左对齐，首行缩进2字符，段落前后不设置空行；不得设置页眉、页脚和页码；</w:t>
      </w:r>
    </w:p>
    <w:p w14:paraId="4AACB8E5">
      <w:pPr>
        <w:spacing w:line="360" w:lineRule="auto"/>
        <w:jc w:val="both"/>
        <w:rPr>
          <w:rFonts w:hint="eastAsia"/>
          <w:sz w:val="21"/>
          <w:szCs w:val="21"/>
          <w:highlight w:val="none"/>
          <w:lang w:eastAsia="zh-CN"/>
        </w:rPr>
      </w:pPr>
      <w:r>
        <w:rPr>
          <w:rFonts w:hint="eastAsia"/>
          <w:sz w:val="21"/>
          <w:szCs w:val="21"/>
          <w:highlight w:val="none"/>
          <w:lang w:eastAsia="zh-CN"/>
        </w:rPr>
        <w:t>五、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06543402">
      <w:pPr>
        <w:spacing w:line="360" w:lineRule="auto"/>
        <w:jc w:val="both"/>
        <w:rPr>
          <w:rFonts w:hint="eastAsia"/>
          <w:sz w:val="21"/>
          <w:szCs w:val="21"/>
          <w:highlight w:val="none"/>
          <w:lang w:eastAsia="zh-CN"/>
        </w:rPr>
      </w:pPr>
      <w:r>
        <w:rPr>
          <w:rFonts w:hint="eastAsia"/>
          <w:sz w:val="21"/>
          <w:szCs w:val="21"/>
          <w:highlight w:val="none"/>
          <w:lang w:eastAsia="zh-CN"/>
        </w:rPr>
        <w:t>六、其它：除满足上述各项要求外，构成响应文件的“技术暗标”的正文中均不得出现供应商的名称和其它可识别供应商身份的字符、徽标、人员名称以及其他可能被辨别出供应商身份的任何标记。</w:t>
      </w:r>
    </w:p>
    <w:p w14:paraId="0ACE2BA5">
      <w:pPr>
        <w:spacing w:line="360" w:lineRule="auto"/>
        <w:jc w:val="both"/>
        <w:rPr>
          <w:rFonts w:hint="eastAsia"/>
          <w:sz w:val="21"/>
          <w:szCs w:val="21"/>
          <w:highlight w:val="none"/>
          <w:lang w:eastAsia="zh-CN"/>
        </w:rPr>
      </w:pPr>
    </w:p>
    <w:p w14:paraId="419FC72A">
      <w:pPr>
        <w:spacing w:line="360" w:lineRule="auto"/>
        <w:jc w:val="both"/>
        <w:rPr>
          <w:rFonts w:hint="eastAsia"/>
          <w:sz w:val="21"/>
          <w:szCs w:val="21"/>
          <w:highlight w:val="none"/>
          <w:lang w:eastAsia="zh-CN"/>
        </w:rPr>
      </w:pPr>
    </w:p>
    <w:p w14:paraId="2779D9D7">
      <w:pPr>
        <w:spacing w:line="360" w:lineRule="auto"/>
        <w:jc w:val="both"/>
        <w:rPr>
          <w:rFonts w:hint="eastAsia"/>
          <w:sz w:val="21"/>
          <w:szCs w:val="21"/>
          <w:highlight w:val="none"/>
          <w:lang w:eastAsia="zh-CN"/>
        </w:rPr>
      </w:pPr>
    </w:p>
    <w:p w14:paraId="45475F83">
      <w:pPr>
        <w:spacing w:line="360" w:lineRule="auto"/>
        <w:jc w:val="both"/>
        <w:rPr>
          <w:rFonts w:hint="eastAsia"/>
          <w:sz w:val="21"/>
          <w:szCs w:val="21"/>
          <w:highlight w:val="none"/>
          <w:lang w:eastAsia="zh-CN"/>
        </w:rPr>
      </w:pPr>
    </w:p>
    <w:p w14:paraId="0206AABF">
      <w:pPr>
        <w:spacing w:line="360" w:lineRule="auto"/>
        <w:jc w:val="both"/>
        <w:rPr>
          <w:rFonts w:hint="eastAsia"/>
          <w:sz w:val="21"/>
          <w:szCs w:val="21"/>
          <w:highlight w:val="none"/>
          <w:lang w:eastAsia="zh-CN"/>
        </w:rPr>
      </w:pPr>
    </w:p>
    <w:p w14:paraId="75D1683C">
      <w:pPr>
        <w:spacing w:line="360" w:lineRule="auto"/>
        <w:jc w:val="both"/>
        <w:rPr>
          <w:rFonts w:hint="eastAsia"/>
          <w:sz w:val="21"/>
          <w:szCs w:val="21"/>
          <w:highlight w:val="none"/>
          <w:lang w:eastAsia="zh-CN"/>
        </w:rPr>
      </w:pPr>
    </w:p>
    <w:p w14:paraId="6606F005">
      <w:pPr>
        <w:spacing w:line="360" w:lineRule="auto"/>
        <w:jc w:val="both"/>
        <w:rPr>
          <w:rFonts w:hint="eastAsia"/>
          <w:sz w:val="21"/>
          <w:szCs w:val="21"/>
          <w:highlight w:val="none"/>
          <w:lang w:eastAsia="zh-CN"/>
        </w:rPr>
      </w:pPr>
    </w:p>
    <w:p w14:paraId="0DD21B2F">
      <w:pPr>
        <w:spacing w:line="360" w:lineRule="auto"/>
        <w:jc w:val="both"/>
        <w:rPr>
          <w:rFonts w:hint="eastAsia"/>
          <w:sz w:val="21"/>
          <w:szCs w:val="21"/>
          <w:highlight w:val="none"/>
          <w:lang w:eastAsia="zh-CN"/>
        </w:rPr>
      </w:pPr>
    </w:p>
    <w:p w14:paraId="25C4C617">
      <w:pPr>
        <w:spacing w:line="360" w:lineRule="auto"/>
        <w:jc w:val="both"/>
        <w:rPr>
          <w:rFonts w:hint="eastAsia"/>
          <w:sz w:val="21"/>
          <w:szCs w:val="21"/>
          <w:highlight w:val="none"/>
          <w:lang w:eastAsia="zh-CN"/>
        </w:rPr>
      </w:pPr>
    </w:p>
    <w:p w14:paraId="408CDA25">
      <w:pPr>
        <w:spacing w:line="360" w:lineRule="auto"/>
        <w:jc w:val="both"/>
        <w:rPr>
          <w:rFonts w:hint="eastAsia"/>
          <w:sz w:val="21"/>
          <w:szCs w:val="21"/>
          <w:highlight w:val="none"/>
          <w:lang w:eastAsia="zh-CN"/>
        </w:rPr>
      </w:pPr>
    </w:p>
    <w:p w14:paraId="1246B581">
      <w:pPr>
        <w:spacing w:line="360" w:lineRule="auto"/>
        <w:jc w:val="both"/>
        <w:rPr>
          <w:rFonts w:hint="eastAsia"/>
          <w:sz w:val="21"/>
          <w:szCs w:val="21"/>
          <w:highlight w:val="none"/>
          <w:lang w:eastAsia="zh-CN"/>
        </w:rPr>
      </w:pPr>
    </w:p>
    <w:p w14:paraId="4FEE030E">
      <w:pP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p>
    <w:p w14:paraId="1138C11A">
      <w:pP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br w:type="page"/>
      </w:r>
    </w:p>
    <w:p w14:paraId="646A68D5">
      <w:pP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p>
    <w:p w14:paraId="129B77B1">
      <w:pPr>
        <w:wordWrap w:val="0"/>
        <w:spacing w:line="315" w:lineRule="auto"/>
        <w:jc w:val="center"/>
        <w:rPr>
          <w:rFonts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最后报价表</w:t>
      </w:r>
    </w:p>
    <w:p w14:paraId="442F8516">
      <w:pPr>
        <w:wordWrap w:val="0"/>
        <w:spacing w:line="360" w:lineRule="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p>
    <w:p w14:paraId="2712BCB6">
      <w:pPr>
        <w:wordWrap w:val="0"/>
        <w:spacing w:line="360" w:lineRule="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p>
    <w:p w14:paraId="7A868B16">
      <w:pPr>
        <w:wordWrap w:val="0"/>
        <w:spacing w:line="360" w:lineRule="auto"/>
        <w:rPr>
          <w:rFonts w:hint="eastAsia"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名称： </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p>
    <w:p w14:paraId="052CE1E4">
      <w:pPr>
        <w:wordWrap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lang w:eastAsia="zh-CN"/>
          <w14:textFill>
            <w14:solidFill>
              <w14:schemeClr w14:val="tx1"/>
            </w14:solidFill>
          </w14:textFill>
        </w:rPr>
        <w:t>编号：</w:t>
      </w:r>
      <w:r>
        <w:rPr>
          <w:rFonts w:hint="eastAsia" w:ascii="宋体" w:hAnsi="宋体" w:eastAsia="宋体" w:cs="宋体"/>
          <w:i/>
          <w:iCs/>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p>
    <w:tbl>
      <w:tblPr>
        <w:tblStyle w:val="27"/>
        <w:tblW w:w="45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0"/>
        <w:gridCol w:w="3998"/>
      </w:tblGrid>
      <w:tr w14:paraId="32E9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 w:hRule="exact"/>
          <w:jc w:val="center"/>
        </w:trPr>
        <w:tc>
          <w:tcPr>
            <w:tcW w:w="2585" w:type="pct"/>
            <w:vAlign w:val="center"/>
          </w:tcPr>
          <w:p w14:paraId="56CF3494">
            <w:pPr>
              <w:wordWrap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供应商名称</w:t>
            </w:r>
          </w:p>
        </w:tc>
        <w:tc>
          <w:tcPr>
            <w:tcW w:w="2414" w:type="pct"/>
            <w:tcBorders>
              <w:right w:val="single" w:color="auto" w:sz="4" w:space="0"/>
            </w:tcBorders>
            <w:vAlign w:val="center"/>
          </w:tcPr>
          <w:p w14:paraId="7FEC1E5C">
            <w:pPr>
              <w:wordWrap w:val="0"/>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最后</w:t>
            </w:r>
            <w:r>
              <w:rPr>
                <w:rFonts w:hint="eastAsia" w:ascii="宋体" w:hAnsi="宋体" w:eastAsia="宋体" w:cs="宋体"/>
                <w:color w:val="000000" w:themeColor="text1"/>
                <w:sz w:val="21"/>
                <w:szCs w:val="21"/>
                <w:highlight w:val="none"/>
                <w:lang w:eastAsia="zh-CN"/>
                <w14:textFill>
                  <w14:solidFill>
                    <w14:schemeClr w14:val="tx1"/>
                  </w14:solidFill>
                </w14:textFill>
              </w:rPr>
              <w:t>总</w:t>
            </w:r>
            <w:r>
              <w:rPr>
                <w:rFonts w:hint="eastAsia" w:ascii="宋体" w:hAnsi="宋体" w:eastAsia="宋体" w:cs="宋体"/>
                <w:color w:val="000000" w:themeColor="text1"/>
                <w:sz w:val="21"/>
                <w:szCs w:val="21"/>
                <w:highlight w:val="none"/>
                <w14:textFill>
                  <w14:solidFill>
                    <w14:schemeClr w14:val="tx1"/>
                  </w14:solidFill>
                </w14:textFill>
              </w:rPr>
              <w:t>报价</w:t>
            </w:r>
            <w:r>
              <w:rPr>
                <w:rFonts w:hint="eastAsia" w:ascii="宋体" w:hAnsi="宋体" w:eastAsia="宋体" w:cs="宋体"/>
                <w:color w:val="000000" w:themeColor="text1"/>
                <w:sz w:val="21"/>
                <w:szCs w:val="21"/>
                <w:highlight w:val="none"/>
                <w:lang w:eastAsia="zh-CN"/>
                <w14:textFill>
                  <w14:solidFill>
                    <w14:schemeClr w14:val="tx1"/>
                  </w14:solidFill>
                </w14:textFill>
              </w:rPr>
              <w:t>（元）</w:t>
            </w:r>
          </w:p>
        </w:tc>
      </w:tr>
      <w:tr w14:paraId="17B1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jc w:val="center"/>
        </w:trPr>
        <w:tc>
          <w:tcPr>
            <w:tcW w:w="2585" w:type="pct"/>
            <w:vMerge w:val="restart"/>
            <w:vAlign w:val="center"/>
          </w:tcPr>
          <w:p w14:paraId="5F90C2EB">
            <w:pPr>
              <w:wordWrap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2414" w:type="pct"/>
            <w:vMerge w:val="restart"/>
            <w:tcBorders>
              <w:right w:val="single" w:color="auto" w:sz="4" w:space="0"/>
            </w:tcBorders>
            <w:vAlign w:val="center"/>
          </w:tcPr>
          <w:p w14:paraId="50E20006">
            <w:pPr>
              <w:wordWrap w:val="0"/>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0EAE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2585" w:type="pct"/>
            <w:vMerge w:val="continue"/>
            <w:vAlign w:val="center"/>
          </w:tcPr>
          <w:p w14:paraId="16F081B2">
            <w:pPr>
              <w:wordWrap w:val="0"/>
              <w:spacing w:line="360" w:lineRule="auto"/>
              <w:jc w:val="both"/>
              <w:rPr>
                <w:rFonts w:hint="eastAsia" w:ascii="宋体" w:hAnsi="宋体" w:eastAsia="宋体" w:cs="宋体"/>
                <w:sz w:val="21"/>
                <w:szCs w:val="21"/>
                <w:highlight w:val="none"/>
              </w:rPr>
            </w:pPr>
          </w:p>
        </w:tc>
        <w:tc>
          <w:tcPr>
            <w:tcW w:w="2414" w:type="pct"/>
            <w:vMerge w:val="continue"/>
            <w:tcBorders>
              <w:right w:val="single" w:color="auto" w:sz="4" w:space="0"/>
            </w:tcBorders>
            <w:vAlign w:val="center"/>
          </w:tcPr>
          <w:p w14:paraId="08EDD5EE">
            <w:pPr>
              <w:wordWrap w:val="0"/>
              <w:spacing w:line="360" w:lineRule="auto"/>
              <w:jc w:val="both"/>
              <w:rPr>
                <w:rFonts w:hint="eastAsia" w:ascii="宋体" w:hAnsi="宋体" w:eastAsia="宋体" w:cs="宋体"/>
                <w:sz w:val="21"/>
                <w:szCs w:val="21"/>
                <w:highlight w:val="none"/>
              </w:rPr>
            </w:pPr>
          </w:p>
        </w:tc>
      </w:tr>
    </w:tbl>
    <w:p w14:paraId="6F1A1831">
      <w:pPr>
        <w:wordWrap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9EBBBA9">
      <w:pPr>
        <w:wordWrap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注：1、此表不需填写，不需放入响应文件格式内。</w:t>
      </w:r>
    </w:p>
    <w:p w14:paraId="22EE8388">
      <w:pPr>
        <w:numPr>
          <w:ilvl w:val="0"/>
          <w:numId w:val="11"/>
        </w:numPr>
        <w:wordWrap w:val="0"/>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此表为通过初步审查合格的供应商按照磋商要求，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上传至政府采购云平台（以平台要求格式为准）</w:t>
      </w:r>
    </w:p>
    <w:p w14:paraId="18878F22">
      <w:pPr>
        <w:wordWrap w:val="0"/>
        <w:spacing w:line="315"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p>
    <w:p w14:paraId="14AC262D">
      <w:pPr>
        <w:wordWrap w:val="0"/>
        <w:rPr>
          <w:rFonts w:hint="eastAsia" w:ascii="宋体" w:hAnsi="宋体" w:eastAsia="宋体" w:cs="宋体"/>
          <w:color w:val="000000" w:themeColor="text1"/>
          <w:sz w:val="21"/>
          <w:szCs w:val="21"/>
          <w:highlight w:val="none"/>
          <w:lang w:eastAsia="zh-CN"/>
          <w14:textFill>
            <w14:solidFill>
              <w14:schemeClr w14:val="tx1"/>
            </w14:solidFill>
          </w14:textFill>
        </w:rPr>
      </w:pPr>
    </w:p>
    <w:p w14:paraId="5869204B">
      <w:pPr>
        <w:wordWrap w:val="0"/>
        <w:rPr>
          <w:rFonts w:hint="eastAsia" w:ascii="宋体" w:hAnsi="宋体" w:eastAsia="宋体" w:cs="宋体"/>
          <w:color w:val="000000" w:themeColor="text1"/>
          <w:sz w:val="21"/>
          <w:szCs w:val="21"/>
          <w:highlight w:val="none"/>
          <w:lang w:eastAsia="zh-CN"/>
          <w14:textFill>
            <w14:solidFill>
              <w14:schemeClr w14:val="tx1"/>
            </w14:solidFill>
          </w14:textFill>
        </w:rPr>
      </w:pPr>
    </w:p>
    <w:p w14:paraId="59265A75">
      <w:pPr>
        <w:wordWrap w:val="0"/>
        <w:rPr>
          <w:rFonts w:hint="eastAsia"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供应商授权代表签字：</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p>
    <w:p w14:paraId="01D67F5D">
      <w:pPr>
        <w:wordWrap w:val="0"/>
        <w:rPr>
          <w:rFonts w:hint="eastAsia" w:ascii="宋体" w:hAnsi="宋体" w:eastAsia="宋体" w:cs="宋体"/>
          <w:color w:val="000000" w:themeColor="text1"/>
          <w:sz w:val="21"/>
          <w:szCs w:val="21"/>
          <w:highlight w:val="none"/>
          <w:lang w:eastAsia="zh-CN"/>
          <w14:textFill>
            <w14:solidFill>
              <w14:schemeClr w14:val="tx1"/>
            </w14:solidFill>
          </w14:textFill>
        </w:rPr>
      </w:pPr>
    </w:p>
    <w:p w14:paraId="292BCC25">
      <w:pPr>
        <w:wordWrap w:val="0"/>
        <w:rPr>
          <w:rFonts w:hint="eastAsia" w:ascii="宋体" w:hAnsi="宋体" w:eastAsia="宋体" w:cs="宋体"/>
          <w:color w:val="000000" w:themeColor="text1"/>
          <w:sz w:val="21"/>
          <w:szCs w:val="21"/>
          <w:highlight w:val="none"/>
          <w:lang w:eastAsia="zh-CN"/>
          <w14:textFill>
            <w14:solidFill>
              <w14:schemeClr w14:val="tx1"/>
            </w14:solidFill>
          </w14:textFill>
        </w:rPr>
      </w:pPr>
    </w:p>
    <w:p w14:paraId="4F86541A">
      <w:pPr>
        <w:wordWrap w:val="0"/>
        <w:rPr>
          <w:rFonts w:hint="eastAsia" w:ascii="宋体" w:hAnsi="宋体" w:eastAsia="宋体" w:cs="宋体"/>
          <w:color w:val="000000" w:themeColor="text1"/>
          <w:sz w:val="21"/>
          <w:szCs w:val="21"/>
          <w:highlight w:val="none"/>
          <w:lang w:eastAsia="zh-CN"/>
          <w14:textFill>
            <w14:solidFill>
              <w14:schemeClr w14:val="tx1"/>
            </w14:solidFill>
          </w14:textFill>
        </w:rPr>
      </w:pPr>
    </w:p>
    <w:p w14:paraId="3BF2156F">
      <w:pPr>
        <w:wordWrap w:val="0"/>
        <w:rPr>
          <w:rFonts w:hint="eastAsia"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日       期：</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p>
    <w:p w14:paraId="4BAA71F9">
      <w:pPr>
        <w:widowControl/>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br w:type="page"/>
      </w:r>
    </w:p>
    <w:p w14:paraId="3BE6428E">
      <w:pPr>
        <w:spacing w:line="360" w:lineRule="auto"/>
        <w:rPr>
          <w:sz w:val="24"/>
          <w:szCs w:val="24"/>
          <w:highlight w:val="none"/>
          <w:lang w:eastAsia="zh-CN"/>
        </w:rPr>
      </w:pPr>
      <w:r>
        <w:rPr>
          <w:rFonts w:hint="eastAsia"/>
          <w:sz w:val="24"/>
          <w:szCs w:val="24"/>
          <w:highlight w:val="none"/>
          <w:lang w:eastAsia="zh-CN"/>
        </w:rPr>
        <w:t>附件：</w:t>
      </w:r>
    </w:p>
    <w:p w14:paraId="5B2D0709">
      <w:pPr>
        <w:spacing w:line="360" w:lineRule="auto"/>
        <w:jc w:val="center"/>
        <w:rPr>
          <w:b/>
          <w:sz w:val="28"/>
          <w:szCs w:val="28"/>
          <w:highlight w:val="none"/>
          <w:lang w:eastAsia="zh-CN"/>
        </w:rPr>
      </w:pPr>
      <w:r>
        <w:rPr>
          <w:rFonts w:hint="eastAsia"/>
          <w:b/>
          <w:sz w:val="28"/>
          <w:szCs w:val="28"/>
          <w:highlight w:val="none"/>
          <w:lang w:eastAsia="zh-CN"/>
        </w:rPr>
        <w:t>政府采购促进中小企业发展管理办法</w:t>
      </w:r>
    </w:p>
    <w:p w14:paraId="6000A6B8">
      <w:pPr>
        <w:spacing w:beforeAutospacing="1" w:afterAutospacing="1" w:line="288" w:lineRule="auto"/>
        <w:jc w:val="center"/>
        <w:rPr>
          <w:sz w:val="24"/>
          <w:szCs w:val="24"/>
          <w:highlight w:val="none"/>
          <w:lang w:eastAsia="zh-CN"/>
        </w:rPr>
      </w:pPr>
      <w:r>
        <w:rPr>
          <w:rFonts w:hint="eastAsia"/>
          <w:color w:val="333333"/>
          <w:sz w:val="24"/>
          <w:szCs w:val="24"/>
          <w:highlight w:val="none"/>
          <w:lang w:eastAsia="zh-CN" w:bidi="ar"/>
        </w:rPr>
        <w:t>财库〔2020〕46号</w:t>
      </w:r>
    </w:p>
    <w:p w14:paraId="060E3BDD">
      <w:pPr>
        <w:spacing w:beforeAutospacing="1" w:afterAutospacing="1" w:line="288" w:lineRule="auto"/>
        <w:rPr>
          <w:rFonts w:asciiTheme="majorEastAsia" w:hAnsiTheme="majorEastAsia" w:eastAsiaTheme="majorEastAsia"/>
          <w:sz w:val="21"/>
          <w:szCs w:val="21"/>
          <w:highlight w:val="none"/>
          <w:lang w:eastAsia="zh-CN"/>
        </w:rPr>
      </w:pPr>
      <w:r>
        <w:rPr>
          <w:rFonts w:hint="eastAsia"/>
          <w:color w:val="333333"/>
          <w:sz w:val="24"/>
          <w:szCs w:val="24"/>
          <w:highlight w:val="none"/>
          <w:lang w:eastAsia="zh-CN" w:bidi="ar"/>
        </w:rPr>
        <w:t xml:space="preserve">    </w:t>
      </w:r>
      <w:r>
        <w:rPr>
          <w:rStyle w:val="30"/>
          <w:rFonts w:hint="eastAsia" w:asciiTheme="majorEastAsia" w:hAnsiTheme="majorEastAsia" w:eastAsiaTheme="majorEastAsia"/>
          <w:color w:val="333333"/>
          <w:sz w:val="21"/>
          <w:szCs w:val="21"/>
          <w:highlight w:val="none"/>
          <w:lang w:eastAsia="zh-CN" w:bidi="ar"/>
        </w:rPr>
        <w:t>第一条</w:t>
      </w:r>
      <w:r>
        <w:rPr>
          <w:rFonts w:hint="eastAsia" w:asciiTheme="majorEastAsia" w:hAnsiTheme="majorEastAsia" w:eastAsiaTheme="majorEastAsia"/>
          <w:color w:val="333333"/>
          <w:sz w:val="21"/>
          <w:szCs w:val="21"/>
          <w:highlight w:val="none"/>
          <w:lang w:eastAsia="zh-CN" w:bidi="ar"/>
        </w:rPr>
        <w:t xml:space="preserve">  为了发挥政府采购的政策功能，促进中小企业健康发展，根据《中华人民共和国政府采购法》、《中华人民共和国中小企业促进法》等有关法律法规，制定本办法。</w:t>
      </w:r>
    </w:p>
    <w:p w14:paraId="1A1FD829">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第二条</w:t>
      </w:r>
      <w:r>
        <w:rPr>
          <w:rFonts w:hint="eastAsia" w:asciiTheme="majorEastAsia" w:hAnsiTheme="majorEastAsia" w:eastAsiaTheme="majorEastAsia"/>
          <w:color w:val="333333"/>
          <w:sz w:val="21"/>
          <w:szCs w:val="21"/>
          <w:highlight w:val="none"/>
          <w:lang w:eastAsia="zh-CN" w:bidi="ar"/>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E9CB535">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符合中小企业划分标准的个体工商户，在政府采购活动中视同中小企业。</w:t>
      </w:r>
    </w:p>
    <w:p w14:paraId="51300A37">
      <w:pPr>
        <w:spacing w:beforeAutospacing="1" w:afterAutospacing="1" w:line="288" w:lineRule="auto"/>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 xml:space="preserve">   </w:t>
      </w:r>
      <w:r>
        <w:rPr>
          <w:rStyle w:val="30"/>
          <w:rFonts w:hint="eastAsia" w:asciiTheme="majorEastAsia" w:hAnsiTheme="majorEastAsia" w:eastAsiaTheme="majorEastAsia"/>
          <w:color w:val="333333"/>
          <w:sz w:val="21"/>
          <w:szCs w:val="21"/>
          <w:highlight w:val="none"/>
          <w:lang w:eastAsia="zh-CN" w:bidi="ar"/>
        </w:rPr>
        <w:t xml:space="preserve"> 第三条</w:t>
      </w:r>
      <w:r>
        <w:rPr>
          <w:rFonts w:hint="eastAsia" w:asciiTheme="majorEastAsia" w:hAnsiTheme="majorEastAsia" w:eastAsiaTheme="majorEastAsia"/>
          <w:color w:val="333333"/>
          <w:sz w:val="21"/>
          <w:szCs w:val="21"/>
          <w:highlight w:val="none"/>
          <w:lang w:eastAsia="zh-CN" w:bidi="ar"/>
        </w:rPr>
        <w:t xml:space="preserve">  采购人在政府采购活动中应当通过加强采购需求管理，落实预留采购份额、价格评审优惠、优先采购等措施，提高中小企业在政府采购中的份额，支持中小企业发展。</w:t>
      </w:r>
    </w:p>
    <w:p w14:paraId="7A618353">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第四条</w:t>
      </w:r>
      <w:r>
        <w:rPr>
          <w:rFonts w:hint="eastAsia" w:asciiTheme="majorEastAsia" w:hAnsiTheme="majorEastAsia" w:eastAsiaTheme="majorEastAsia"/>
          <w:color w:val="333333"/>
          <w:sz w:val="21"/>
          <w:szCs w:val="21"/>
          <w:highlight w:val="none"/>
          <w:lang w:eastAsia="zh-CN" w:bidi="ar"/>
        </w:rPr>
        <w:t xml:space="preserve">  在政府采购活动中，供应商提供的货物、工程或者服务符合下列情形的，享受本办法规定的中小企业扶持政策：</w:t>
      </w:r>
    </w:p>
    <w:p w14:paraId="1FCE9BF2">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（一）在货物采购项目中，货物由中小企业制造，即货物由中小企业生产且使用该中小企业商号或者注册商标；</w:t>
      </w:r>
    </w:p>
    <w:p w14:paraId="6F55EE90">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（二）在工程采购项目中，工程由中小企业承建，即工程施工单位为中小企业；</w:t>
      </w:r>
    </w:p>
    <w:p w14:paraId="53A2B49C">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（三）在服务采购项目中，服务由中小企业承接，即提供服务的人员为中小企业依照《中华人民共和国劳动合同法》订立劳动合同的从业人员。</w:t>
      </w:r>
    </w:p>
    <w:p w14:paraId="309DC5A7">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在货物采购项目中，供应商提供的货物既有中小企业制造货物，也有大型企业制造货物的，不享受本办法规定的中小企业扶持政策。</w:t>
      </w:r>
    </w:p>
    <w:p w14:paraId="41D701A0">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以联合体形式参加政府采购活动，联合体各方均为中小企业的，联合体视同中小企业。其中，联合体各方均为小微企业的，联合体视同小微企业。</w:t>
      </w:r>
    </w:p>
    <w:p w14:paraId="28839EC9">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第五条</w:t>
      </w:r>
      <w:r>
        <w:rPr>
          <w:rFonts w:hint="eastAsia" w:asciiTheme="majorEastAsia" w:hAnsiTheme="majorEastAsia" w:eastAsiaTheme="majorEastAsia"/>
          <w:color w:val="333333"/>
          <w:sz w:val="21"/>
          <w:szCs w:val="21"/>
          <w:highlight w:val="none"/>
          <w:lang w:eastAsia="zh-CN" w:bidi="ar"/>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49A69D3">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第六条</w:t>
      </w:r>
      <w:r>
        <w:rPr>
          <w:rFonts w:hint="eastAsia" w:asciiTheme="majorEastAsia" w:hAnsiTheme="majorEastAsia" w:eastAsiaTheme="majorEastAsia"/>
          <w:color w:val="333333"/>
          <w:sz w:val="21"/>
          <w:szCs w:val="21"/>
          <w:highlight w:val="none"/>
          <w:lang w:eastAsia="zh-CN" w:bidi="ar"/>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2588F951">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符合下列情形之一的，可不专门面向中小企业预留采购份额：</w:t>
      </w:r>
    </w:p>
    <w:p w14:paraId="205D43F2">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（一）法律法规和国家有关政策明确规定优先或者应当面向事业单位、社会组织等非企业主体采购的；</w:t>
      </w:r>
    </w:p>
    <w:p w14:paraId="028732F9">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（二）因确需使用不可替代的专利、专有技术，基础设施限制，或者提供特定公共服务等原因，只能从中小企业之外的供应商处采购的；</w:t>
      </w:r>
    </w:p>
    <w:p w14:paraId="17CC9B31">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（三）按照本办法规定预留采购份额无法确保充分供应、充分竞争，或者存在可能影响政府采购目标实现的情形；</w:t>
      </w:r>
    </w:p>
    <w:p w14:paraId="2913DD33">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（四）框架协议采购项目；</w:t>
      </w:r>
    </w:p>
    <w:p w14:paraId="6AA41DAB">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（五）省级以上人民政府财政部门规定的其他情形。</w:t>
      </w:r>
    </w:p>
    <w:p w14:paraId="7B0000EB">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除上述情形外，其他均为适宜由中小企业提供的情形。</w:t>
      </w:r>
    </w:p>
    <w:p w14:paraId="4E97908F">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第七条</w:t>
      </w:r>
      <w:r>
        <w:rPr>
          <w:rFonts w:hint="eastAsia" w:asciiTheme="majorEastAsia" w:hAnsiTheme="majorEastAsia" w:eastAsiaTheme="majorEastAsia"/>
          <w:color w:val="333333"/>
          <w:sz w:val="21"/>
          <w:szCs w:val="21"/>
          <w:highlight w:val="none"/>
          <w:lang w:eastAsia="zh-CN" w:bidi="ar"/>
        </w:rPr>
        <w:t xml:space="preserve">  采购限额标准以上，200万元以下的货物和服务采购项目、400万元以下的工程采购项目，适宜由中小企业提供的，采购人应当专门面向中小企业采购。</w:t>
      </w:r>
    </w:p>
    <w:p w14:paraId="6CDA6A9C">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第八条</w:t>
      </w:r>
      <w:r>
        <w:rPr>
          <w:rFonts w:hint="eastAsia" w:asciiTheme="majorEastAsia" w:hAnsiTheme="majorEastAsia" w:eastAsiaTheme="majorEastAsia"/>
          <w:color w:val="333333"/>
          <w:sz w:val="21"/>
          <w:szCs w:val="21"/>
          <w:highlight w:val="none"/>
          <w:lang w:eastAsia="zh-CN" w:bidi="ar"/>
        </w:rPr>
        <w:t xml:space="preserve">  超过200万元的货物和服务采购项目、超过400万元的工程采购项目中适宜由中小企业提供的，预留该部分采购项目预算总额的30%以上专门面向中小企业采购，其中预留给小微企业的比例不低于 60%。预留份额通过下列措施进行：</w:t>
      </w:r>
    </w:p>
    <w:p w14:paraId="4FA578FD">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（一）将采购项目整体或者设置采购包专门面向中小企业采购；</w:t>
      </w:r>
    </w:p>
    <w:p w14:paraId="0993D2C6">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（二）要求供应商以联合体形式参加采购活动，且联合体中中小企业承担的部分达到一定比例；</w:t>
      </w:r>
    </w:p>
    <w:p w14:paraId="60E9738B">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（三）要求获得采购合同的供应商将采购项目中的一定比例分包给一家或者多家中小企业。</w:t>
      </w:r>
    </w:p>
    <w:p w14:paraId="53794D85">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组成联合体或者接受分包合同的中小企业与联合体内其他企业、分包企业之间不得存在直接控股、管理关系。</w:t>
      </w:r>
    </w:p>
    <w:p w14:paraId="32033F06">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第九条</w:t>
      </w:r>
      <w:r>
        <w:rPr>
          <w:rFonts w:hint="eastAsia" w:asciiTheme="majorEastAsia" w:hAnsiTheme="majorEastAsia" w:eastAsiaTheme="majorEastAsia"/>
          <w:color w:val="333333"/>
          <w:sz w:val="21"/>
          <w:szCs w:val="21"/>
          <w:highlight w:val="none"/>
          <w:lang w:eastAsia="zh-CN" w:bidi="ar"/>
        </w:rPr>
        <w:t xml:space="preserve">  对于经主管预算单位统筹后未预留份额专门面向中小企业采购的采购项目，以及预留份额项目中的非预留部分采购包，采购人、采购代理机构应当对符合本办法规定的小微企业报价给予 6%—10%（工程项目为3%—5%）的扣除，用扣除后的价格参加评审。适用招标投标法的政府采购工程建设项目，采用综合评估法但未采用低价优先法计算价格分的，评审时应当在采用原报价进行评分的基础上增加其价格得分的3%—5%作为其价格分。</w:t>
      </w:r>
    </w:p>
    <w:p w14:paraId="2823EF52">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审时应当在采用原报价进行评分的基础上增加其价格得分的1%—2%作为其价格分。组成联合体或者接受分包的小微企业与联合体内其他企业、分包企业之间存在直接控股、管理关系的，不享受价格扣除优惠政策。</w:t>
      </w:r>
    </w:p>
    <w:p w14:paraId="3EFA6995">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19D344F5">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第十条</w:t>
      </w:r>
      <w:r>
        <w:rPr>
          <w:rFonts w:hint="eastAsia" w:asciiTheme="majorEastAsia" w:hAnsiTheme="majorEastAsia" w:eastAsiaTheme="majorEastAsia"/>
          <w:color w:val="333333"/>
          <w:sz w:val="21"/>
          <w:szCs w:val="21"/>
          <w:highlight w:val="none"/>
          <w:lang w:eastAsia="zh-CN" w:bidi="ar"/>
        </w:rPr>
        <w:t xml:space="preserve">  采购人应当严格按照本办法规定和主管预算单位制定的预留采购份额具体方案开展采购活动。预留份额的采购项目或者采购包，通过发布公告方式邀请供应商后，符合资格条件的中小企业数量不足3 家的，应当中止采购活动，视同未预留份额的采购项目或者采购包，按照本办法第九条有关规定重新组织采购活动。</w:t>
      </w:r>
    </w:p>
    <w:p w14:paraId="0A1360C2">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第十一条</w:t>
      </w:r>
      <w:r>
        <w:rPr>
          <w:rFonts w:hint="eastAsia" w:asciiTheme="majorEastAsia" w:hAnsiTheme="majorEastAsia" w:eastAsiaTheme="majorEastAsia"/>
          <w:color w:val="333333"/>
          <w:sz w:val="21"/>
          <w:szCs w:val="21"/>
          <w:highlight w:val="none"/>
          <w:lang w:eastAsia="zh-CN" w:bidi="ar"/>
        </w:rPr>
        <w:t xml:space="preserve">  中小企业参加政府采购活动，应当出具本办法规定的《中小企业声明函》（附 1），否则不得享受相关中小企业扶持政策。任何单位和个人不得要求供应商提供《中小企业声明函》之外的中小企业身份证明文件。</w:t>
      </w:r>
    </w:p>
    <w:p w14:paraId="7B08284A">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第十二条</w:t>
      </w:r>
      <w:r>
        <w:rPr>
          <w:rFonts w:hint="eastAsia" w:asciiTheme="majorEastAsia" w:hAnsiTheme="majorEastAsia" w:eastAsiaTheme="majorEastAsia"/>
          <w:color w:val="333333"/>
          <w:sz w:val="21"/>
          <w:szCs w:val="21"/>
          <w:highlight w:val="none"/>
          <w:lang w:eastAsia="zh-CN" w:bidi="ar"/>
        </w:rPr>
        <w:t xml:space="preserve">  采购项目涉及中小企业采购的，采购文件应当明确以下内容：</w:t>
      </w:r>
    </w:p>
    <w:p w14:paraId="500CB478">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（一）预留份额的采购项目或者采购包，明确该项目或相关采购包专门面向中小企业采购，以及相关标的及预算金额；</w:t>
      </w:r>
    </w:p>
    <w:p w14:paraId="7F426B98">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（二）要求以联合体形式参加或者合同分包的，明确联合协议或者分包意向协议中中小企业合同金额应当达到的比例，并作为供应商资格条件；</w:t>
      </w:r>
    </w:p>
    <w:p w14:paraId="16296B27">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（三）非预留份额的采购项目或者采购包，明确有关价格扣除比例或者价格分加分比例；</w:t>
      </w:r>
    </w:p>
    <w:p w14:paraId="2DF1903B">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（四）规定依据本办法规定享受扶持政策获得政府采购合同的，小微企业不得将合同分包给大中型企业，中型企业不得将合同分包给大型企业；</w:t>
      </w:r>
    </w:p>
    <w:p w14:paraId="32756F32">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（五）采购人认为具备相关条件的，明确对中小企业在资金支付期限、预付款比例等方面的优惠措施；</w:t>
      </w:r>
    </w:p>
    <w:p w14:paraId="589AAAED">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（六）明确采购标的对应的中小企业划分标准所属行业；</w:t>
      </w:r>
    </w:p>
    <w:p w14:paraId="5B6FA65E">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（七）法律法规和省级以上人民政府财政部门规定的其他事项。</w:t>
      </w:r>
    </w:p>
    <w:p w14:paraId="18054A86">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第十三条</w:t>
      </w:r>
      <w:r>
        <w:rPr>
          <w:rFonts w:hint="eastAsia" w:asciiTheme="majorEastAsia" w:hAnsiTheme="majorEastAsia" w:eastAsiaTheme="majorEastAsia"/>
          <w:color w:val="333333"/>
          <w:sz w:val="21"/>
          <w:szCs w:val="21"/>
          <w:highlight w:val="none"/>
          <w:lang w:eastAsia="zh-CN" w:bidi="ar"/>
        </w:rPr>
        <w:t xml:space="preserve">  中标、成交供应商享受本办法规定的中小企业扶持政策的，采购人、采购代理机构应当随中标、成交结果公开中标、成交供应商的《中小企业声明函》。</w:t>
      </w:r>
    </w:p>
    <w:p w14:paraId="22ACACE1">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适用招标投标法的政府采购工程建设项目，应当在公示中标候选人时公开中标候选人的《中小企业声明函》。</w:t>
      </w:r>
    </w:p>
    <w:p w14:paraId="6FB907FB">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第十四条</w:t>
      </w:r>
      <w:r>
        <w:rPr>
          <w:rFonts w:hint="eastAsia" w:asciiTheme="majorEastAsia" w:hAnsiTheme="majorEastAsia" w:eastAsiaTheme="majorEastAsia"/>
          <w:color w:val="333333"/>
          <w:sz w:val="21"/>
          <w:szCs w:val="21"/>
          <w:highlight w:val="none"/>
          <w:lang w:eastAsia="zh-CN" w:bidi="ar"/>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4B30351">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第十五条</w:t>
      </w:r>
      <w:r>
        <w:rPr>
          <w:rFonts w:hint="eastAsia" w:asciiTheme="majorEastAsia" w:hAnsiTheme="majorEastAsia" w:eastAsiaTheme="majorEastAsia"/>
          <w:color w:val="333333"/>
          <w:sz w:val="21"/>
          <w:szCs w:val="21"/>
          <w:highlight w:val="none"/>
          <w:lang w:eastAsia="zh-CN" w:bidi="ar"/>
        </w:rPr>
        <w:t xml:space="preserve">  鼓励各地区、各部门在采购活动中允许中小企业引入信用担保手段，为中小企业在投标（响应）保证、履约保证等方面提供专业化服务。鼓励中小企业依法合规通过政府采购合同融资。</w:t>
      </w:r>
    </w:p>
    <w:p w14:paraId="6B92A075">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第十六条</w:t>
      </w:r>
      <w:r>
        <w:rPr>
          <w:rFonts w:hint="eastAsia" w:asciiTheme="majorEastAsia" w:hAnsiTheme="majorEastAsia" w:eastAsiaTheme="majorEastAsia"/>
          <w:color w:val="333333"/>
          <w:sz w:val="21"/>
          <w:szCs w:val="21"/>
          <w:highlight w:val="none"/>
          <w:lang w:eastAsia="zh-CN" w:bidi="ar"/>
        </w:rPr>
        <w:t xml:space="preserve">  政府采购监督检查、投诉处理及政府采购行政处罚中对中小企业的认定，由货物制造商或者工程、服务供应商注册登记所在地的县级以上人民政府中小企业主管部门负责。</w:t>
      </w:r>
    </w:p>
    <w:p w14:paraId="00BB1029">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中小企业主管部门应当在收到财政部门或者有关招标投标行政监督部门关于协助开展中小企业认定函后10个工作日内做出书面答复。</w:t>
      </w:r>
    </w:p>
    <w:p w14:paraId="3FEC13C9">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第十七条</w:t>
      </w:r>
      <w:r>
        <w:rPr>
          <w:rFonts w:hint="eastAsia" w:asciiTheme="majorEastAsia" w:hAnsiTheme="majorEastAsia" w:eastAsiaTheme="majorEastAsia"/>
          <w:color w:val="333333"/>
          <w:sz w:val="21"/>
          <w:szCs w:val="21"/>
          <w:highlight w:val="none"/>
          <w:lang w:eastAsia="zh-CN" w:bidi="ar"/>
        </w:rPr>
        <w:t xml:space="preserve">  各地区、各部门应当对涉及中小企业采购的预算项目实施全过程绩效管理，合理设置绩效目标和指标，落实扶持中小企业有关政策要求，定期开展绩效监控和评价，强化绩效评价结果应用。</w:t>
      </w:r>
    </w:p>
    <w:p w14:paraId="7DCCACF4">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第十八条</w:t>
      </w:r>
      <w:r>
        <w:rPr>
          <w:rFonts w:hint="eastAsia" w:asciiTheme="majorEastAsia" w:hAnsiTheme="majorEastAsia" w:eastAsiaTheme="majorEastAsia"/>
          <w:color w:val="333333"/>
          <w:sz w:val="21"/>
          <w:szCs w:val="21"/>
          <w:highlight w:val="none"/>
          <w:lang w:eastAsia="zh-CN" w:bidi="ar"/>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6C5C8AD7">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第十九条</w:t>
      </w:r>
      <w:r>
        <w:rPr>
          <w:rFonts w:hint="eastAsia" w:asciiTheme="majorEastAsia" w:hAnsiTheme="majorEastAsia" w:eastAsiaTheme="majorEastAsia"/>
          <w:color w:val="333333"/>
          <w:sz w:val="21"/>
          <w:szCs w:val="21"/>
          <w:highlight w:val="none"/>
          <w:lang w:eastAsia="zh-CN" w:bidi="ar"/>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3E29DAA">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第二十条</w:t>
      </w:r>
      <w:r>
        <w:rPr>
          <w:rFonts w:hint="eastAsia" w:asciiTheme="majorEastAsia" w:hAnsiTheme="majorEastAsia" w:eastAsiaTheme="majorEastAsia"/>
          <w:color w:val="333333"/>
          <w:sz w:val="21"/>
          <w:szCs w:val="21"/>
          <w:highlight w:val="none"/>
          <w:lang w:eastAsia="zh-CN" w:bidi="ar"/>
        </w:rPr>
        <w:t xml:space="preserve">  供应商按照本办法规定提供声明函内容不实的，属于提供虚假材料谋取中标、成交，依照《中华人民共和国政府采购法》等国家有关规定追究相应责任。</w:t>
      </w:r>
    </w:p>
    <w:p w14:paraId="00F837C4">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适用招标投标法的政府采购工程建设项目，供应商按照本办法规定提供声明函内容不实的，属于弄虚作假骗取中标，依照《中华人民共和国招标投标法》等国家有关规定追究相应责任。</w:t>
      </w:r>
    </w:p>
    <w:p w14:paraId="1F87FDBF">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第二十一条</w:t>
      </w:r>
      <w:r>
        <w:rPr>
          <w:rFonts w:hint="eastAsia" w:asciiTheme="majorEastAsia" w:hAnsiTheme="majorEastAsia" w:eastAsiaTheme="majorEastAsia"/>
          <w:color w:val="333333"/>
          <w:sz w:val="21"/>
          <w:szCs w:val="21"/>
          <w:highlight w:val="none"/>
          <w:lang w:eastAsia="zh-CN" w:bidi="ar"/>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61C005CD">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第二十二条</w:t>
      </w:r>
      <w:r>
        <w:rPr>
          <w:rFonts w:hint="eastAsia" w:asciiTheme="majorEastAsia" w:hAnsiTheme="majorEastAsia" w:eastAsiaTheme="majorEastAsia"/>
          <w:color w:val="333333"/>
          <w:sz w:val="21"/>
          <w:szCs w:val="21"/>
          <w:highlight w:val="none"/>
          <w:lang w:eastAsia="zh-CN" w:bidi="ar"/>
        </w:rPr>
        <w:t xml:space="preserve">  对外援助项目、国家相关资格或者资质管理制度另有规定的项目，不适用本办法。</w:t>
      </w:r>
    </w:p>
    <w:p w14:paraId="5BAC111A">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第二十三条</w:t>
      </w:r>
      <w:r>
        <w:rPr>
          <w:rFonts w:hint="eastAsia" w:asciiTheme="majorEastAsia" w:hAnsiTheme="majorEastAsia" w:eastAsiaTheme="majorEastAsia"/>
          <w:color w:val="333333"/>
          <w:sz w:val="21"/>
          <w:szCs w:val="21"/>
          <w:highlight w:val="none"/>
          <w:lang w:eastAsia="zh-CN" w:bidi="ar"/>
        </w:rPr>
        <w:t xml:space="preserve">  关于视同中小企业的其他主体的政府采购扶持政策，由财政部会同有关部门另行规定。</w:t>
      </w:r>
    </w:p>
    <w:p w14:paraId="0FE26CC0">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第二十四条</w:t>
      </w:r>
      <w:r>
        <w:rPr>
          <w:rFonts w:hint="eastAsia" w:asciiTheme="majorEastAsia" w:hAnsiTheme="majorEastAsia" w:eastAsiaTheme="majorEastAsia"/>
          <w:color w:val="333333"/>
          <w:sz w:val="21"/>
          <w:szCs w:val="21"/>
          <w:highlight w:val="none"/>
          <w:lang w:eastAsia="zh-CN" w:bidi="ar"/>
        </w:rPr>
        <w:t xml:space="preserve">  省级财政部门可以会同中小企业主管部门根据本办法的规定制定具体实施办法。</w:t>
      </w:r>
    </w:p>
    <w:p w14:paraId="0C34FA35">
      <w:pPr>
        <w:spacing w:beforeAutospacing="1" w:afterAutospacing="1" w:line="288" w:lineRule="auto"/>
        <w:ind w:firstLine="422" w:firstLineChars="200"/>
        <w:rPr>
          <w:rFonts w:asciiTheme="majorEastAsia" w:hAnsiTheme="majorEastAsia" w:eastAsiaTheme="majorEastAsia"/>
          <w:sz w:val="21"/>
          <w:szCs w:val="21"/>
          <w:highlight w:val="none"/>
          <w:lang w:eastAsia="zh-CN"/>
        </w:rPr>
      </w:pPr>
      <w:r>
        <w:rPr>
          <w:rStyle w:val="30"/>
          <w:rFonts w:hint="eastAsia" w:asciiTheme="majorEastAsia" w:hAnsiTheme="majorEastAsia" w:eastAsiaTheme="majorEastAsia"/>
          <w:color w:val="333333"/>
          <w:sz w:val="21"/>
          <w:szCs w:val="21"/>
          <w:highlight w:val="none"/>
          <w:lang w:eastAsia="zh-CN" w:bidi="ar"/>
        </w:rPr>
        <w:t>第二十五条</w:t>
      </w:r>
      <w:r>
        <w:rPr>
          <w:rFonts w:hint="eastAsia" w:asciiTheme="majorEastAsia" w:hAnsiTheme="majorEastAsia" w:eastAsiaTheme="majorEastAsia"/>
          <w:color w:val="333333"/>
          <w:sz w:val="21"/>
          <w:szCs w:val="21"/>
          <w:highlight w:val="none"/>
          <w:lang w:eastAsia="zh-CN" w:bidi="ar"/>
        </w:rPr>
        <w:t xml:space="preserve">  本办法自2021年1月1日起施行。 财政部工业和信息化部关于印发〈政府采购促进中小企业发展暂行办法〉的通知》（财库﹝2011﹞181 号）同时废止。</w:t>
      </w:r>
    </w:p>
    <w:p w14:paraId="326AE33E">
      <w:pPr>
        <w:spacing w:beforeAutospacing="1" w:afterAutospacing="1" w:line="288" w:lineRule="auto"/>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 附：</w:t>
      </w:r>
    </w:p>
    <w:p w14:paraId="6AD0951D">
      <w:pPr>
        <w:spacing w:beforeAutospacing="1" w:afterAutospacing="1"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color w:val="333333"/>
          <w:sz w:val="21"/>
          <w:szCs w:val="21"/>
          <w:highlight w:val="none"/>
          <w:lang w:eastAsia="zh-CN" w:bidi="ar"/>
        </w:rPr>
        <w:t>1.中小企业声明函</w:t>
      </w:r>
    </w:p>
    <w:p w14:paraId="55919ADF">
      <w:pPr>
        <w:pageBreakBefore/>
        <w:spacing w:beforeAutospacing="1" w:afterAutospacing="1" w:line="435" w:lineRule="exact"/>
        <w:rPr>
          <w:highlight w:val="none"/>
          <w:lang w:eastAsia="zh-CN"/>
        </w:rPr>
      </w:pPr>
      <w:r>
        <w:rPr>
          <w:rFonts w:hint="eastAsia"/>
          <w:color w:val="333333"/>
          <w:sz w:val="24"/>
          <w:szCs w:val="24"/>
          <w:highlight w:val="none"/>
          <w:lang w:eastAsia="zh-CN" w:bidi="ar"/>
        </w:rPr>
        <w:t>附1</w:t>
      </w:r>
    </w:p>
    <w:p w14:paraId="159ECA78">
      <w:pPr>
        <w:spacing w:beforeAutospacing="1" w:afterAutospacing="1" w:line="435" w:lineRule="exact"/>
        <w:jc w:val="center"/>
        <w:rPr>
          <w:b/>
          <w:sz w:val="28"/>
          <w:szCs w:val="28"/>
          <w:highlight w:val="none"/>
          <w:lang w:eastAsia="zh-CN"/>
        </w:rPr>
      </w:pPr>
      <w:r>
        <w:rPr>
          <w:rFonts w:hint="eastAsia"/>
          <w:b/>
          <w:sz w:val="28"/>
          <w:szCs w:val="28"/>
          <w:highlight w:val="none"/>
          <w:lang w:eastAsia="zh-CN"/>
        </w:rPr>
        <w:t>中小企业声明函（货物）</w:t>
      </w:r>
    </w:p>
    <w:p w14:paraId="4940CE3B">
      <w:pPr>
        <w:spacing w:beforeAutospacing="1" w:afterAutospacing="1" w:line="288" w:lineRule="auto"/>
        <w:ind w:firstLine="420" w:firstLineChars="200"/>
        <w:rPr>
          <w:sz w:val="21"/>
          <w:szCs w:val="21"/>
          <w:highlight w:val="none"/>
          <w:lang w:eastAsia="zh-CN"/>
        </w:rPr>
      </w:pPr>
      <w:r>
        <w:rPr>
          <w:rFonts w:hint="eastAsia"/>
          <w:color w:val="333333"/>
          <w:sz w:val="21"/>
          <w:szCs w:val="21"/>
          <w:highlight w:val="none"/>
          <w:lang w:eastAsia="zh-CN" w:bidi="ar"/>
        </w:rPr>
        <w:t>本公司（联合体）郑重声明，根据《政府采购促进中小企业发展管理办法》（财库﹝2020﹞46 号）的规定，本公司（联合体）参加</w:t>
      </w:r>
      <w:r>
        <w:rPr>
          <w:rFonts w:hint="eastAsia"/>
          <w:color w:val="333333"/>
          <w:sz w:val="21"/>
          <w:szCs w:val="21"/>
          <w:highlight w:val="none"/>
          <w:u w:val="single"/>
          <w:lang w:eastAsia="zh-CN" w:bidi="ar"/>
        </w:rPr>
        <w:t xml:space="preserve">     （单位名称）</w:t>
      </w:r>
      <w:r>
        <w:rPr>
          <w:rFonts w:hint="eastAsia"/>
          <w:color w:val="333333"/>
          <w:sz w:val="21"/>
          <w:szCs w:val="21"/>
          <w:highlight w:val="none"/>
          <w:lang w:eastAsia="zh-CN" w:bidi="ar"/>
        </w:rPr>
        <w:t>的</w:t>
      </w:r>
      <w:r>
        <w:rPr>
          <w:rFonts w:hint="eastAsia"/>
          <w:color w:val="333333"/>
          <w:sz w:val="21"/>
          <w:szCs w:val="21"/>
          <w:highlight w:val="none"/>
          <w:u w:val="single"/>
          <w:lang w:eastAsia="zh-CN" w:bidi="ar"/>
        </w:rPr>
        <w:t xml:space="preserve">    （项目名称）</w:t>
      </w:r>
      <w:r>
        <w:rPr>
          <w:rFonts w:hint="eastAsia"/>
          <w:color w:val="333333"/>
          <w:sz w:val="21"/>
          <w:szCs w:val="21"/>
          <w:highlight w:val="none"/>
          <w:lang w:eastAsia="zh-CN" w:bidi="ar"/>
        </w:rPr>
        <w:t>采购活动，提供的货物全部由符合政策要求的中小企业制造。相关企业（含联合体中的中小企业、签订分包意向协议的中小企业）的具体情况如下：</w:t>
      </w:r>
    </w:p>
    <w:p w14:paraId="1D298F4D">
      <w:pPr>
        <w:spacing w:beforeAutospacing="1" w:afterAutospacing="1" w:line="288" w:lineRule="auto"/>
        <w:ind w:firstLine="420" w:firstLineChars="200"/>
        <w:rPr>
          <w:sz w:val="21"/>
          <w:szCs w:val="21"/>
          <w:highlight w:val="none"/>
          <w:lang w:eastAsia="zh-CN"/>
        </w:rPr>
      </w:pPr>
      <w:r>
        <w:rPr>
          <w:rFonts w:hint="eastAsia"/>
          <w:color w:val="333333"/>
          <w:sz w:val="21"/>
          <w:szCs w:val="21"/>
          <w:highlight w:val="none"/>
          <w:lang w:eastAsia="zh-CN" w:bidi="ar"/>
        </w:rPr>
        <w:t>1.</w:t>
      </w:r>
      <w:r>
        <w:rPr>
          <w:rFonts w:hint="eastAsia"/>
          <w:color w:val="333333"/>
          <w:sz w:val="21"/>
          <w:szCs w:val="21"/>
          <w:highlight w:val="none"/>
          <w:u w:val="single"/>
          <w:lang w:eastAsia="zh-CN" w:bidi="ar"/>
        </w:rPr>
        <w:t xml:space="preserve">     （标的名称）</w:t>
      </w:r>
      <w:r>
        <w:rPr>
          <w:rFonts w:hint="eastAsia"/>
          <w:color w:val="333333"/>
          <w:sz w:val="21"/>
          <w:szCs w:val="21"/>
          <w:highlight w:val="none"/>
          <w:lang w:eastAsia="zh-CN" w:bidi="ar"/>
        </w:rPr>
        <w:t>，属于</w:t>
      </w:r>
      <w:r>
        <w:rPr>
          <w:rFonts w:hint="eastAsia"/>
          <w:color w:val="333333"/>
          <w:sz w:val="21"/>
          <w:szCs w:val="21"/>
          <w:highlight w:val="none"/>
          <w:u w:val="single"/>
          <w:lang w:eastAsia="zh-CN" w:bidi="ar"/>
        </w:rPr>
        <w:t xml:space="preserve">     （采购文件中明确的所属行业）</w:t>
      </w:r>
      <w:r>
        <w:rPr>
          <w:rFonts w:hint="eastAsia"/>
          <w:color w:val="333333"/>
          <w:sz w:val="21"/>
          <w:szCs w:val="21"/>
          <w:highlight w:val="none"/>
          <w:lang w:eastAsia="zh-CN" w:bidi="ar"/>
        </w:rPr>
        <w:t>行业；制造商为</w:t>
      </w:r>
      <w:r>
        <w:rPr>
          <w:rFonts w:hint="eastAsia"/>
          <w:color w:val="333333"/>
          <w:sz w:val="21"/>
          <w:szCs w:val="21"/>
          <w:highlight w:val="none"/>
          <w:u w:val="single"/>
          <w:lang w:eastAsia="zh-CN" w:bidi="ar"/>
        </w:rPr>
        <w:t xml:space="preserve">       （企业名称）</w:t>
      </w:r>
      <w:r>
        <w:rPr>
          <w:rFonts w:hint="eastAsia"/>
          <w:color w:val="333333"/>
          <w:sz w:val="21"/>
          <w:szCs w:val="21"/>
          <w:highlight w:val="none"/>
          <w:lang w:eastAsia="zh-CN" w:bidi="ar"/>
        </w:rPr>
        <w:t>，从业人员</w:t>
      </w:r>
      <w:r>
        <w:rPr>
          <w:rFonts w:hint="eastAsia"/>
          <w:color w:val="333333"/>
          <w:sz w:val="21"/>
          <w:szCs w:val="21"/>
          <w:highlight w:val="none"/>
          <w:u w:val="single"/>
          <w:lang w:eastAsia="zh-CN" w:bidi="ar"/>
        </w:rPr>
        <w:t xml:space="preserve">    </w:t>
      </w:r>
      <w:r>
        <w:rPr>
          <w:rFonts w:hint="eastAsia"/>
          <w:color w:val="333333"/>
          <w:sz w:val="21"/>
          <w:szCs w:val="21"/>
          <w:highlight w:val="none"/>
          <w:lang w:eastAsia="zh-CN" w:bidi="ar"/>
        </w:rPr>
        <w:t>人，营业收入为</w:t>
      </w:r>
      <w:r>
        <w:rPr>
          <w:rFonts w:hint="eastAsia"/>
          <w:color w:val="333333"/>
          <w:sz w:val="21"/>
          <w:szCs w:val="21"/>
          <w:highlight w:val="none"/>
          <w:u w:val="single"/>
          <w:lang w:eastAsia="zh-CN" w:bidi="ar"/>
        </w:rPr>
        <w:t xml:space="preserve">    </w:t>
      </w:r>
      <w:r>
        <w:rPr>
          <w:rFonts w:hint="eastAsia"/>
          <w:color w:val="333333"/>
          <w:sz w:val="21"/>
          <w:szCs w:val="21"/>
          <w:highlight w:val="none"/>
          <w:lang w:eastAsia="zh-CN" w:bidi="ar"/>
        </w:rPr>
        <w:t>万元，资产总额为</w:t>
      </w:r>
      <w:r>
        <w:rPr>
          <w:rFonts w:hint="eastAsia"/>
          <w:color w:val="333333"/>
          <w:sz w:val="21"/>
          <w:szCs w:val="21"/>
          <w:highlight w:val="none"/>
          <w:u w:val="single"/>
          <w:lang w:eastAsia="zh-CN" w:bidi="ar"/>
        </w:rPr>
        <w:t xml:space="preserve">   </w:t>
      </w:r>
      <w:r>
        <w:rPr>
          <w:rFonts w:hint="eastAsia"/>
          <w:color w:val="333333"/>
          <w:sz w:val="21"/>
          <w:szCs w:val="21"/>
          <w:highlight w:val="none"/>
          <w:lang w:eastAsia="zh-CN" w:bidi="ar"/>
        </w:rPr>
        <w:t>万元</w:t>
      </w:r>
      <w:r>
        <w:rPr>
          <w:rFonts w:hint="eastAsia"/>
          <w:color w:val="333333"/>
          <w:sz w:val="21"/>
          <w:szCs w:val="21"/>
          <w:highlight w:val="none"/>
          <w:vertAlign w:val="superscript"/>
          <w:lang w:eastAsia="zh-CN" w:bidi="ar"/>
        </w:rPr>
        <w:t>1</w:t>
      </w:r>
      <w:r>
        <w:rPr>
          <w:rFonts w:hint="eastAsia"/>
          <w:color w:val="333333"/>
          <w:sz w:val="21"/>
          <w:szCs w:val="21"/>
          <w:highlight w:val="none"/>
          <w:lang w:eastAsia="zh-CN" w:bidi="ar"/>
        </w:rPr>
        <w:t>，属于</w:t>
      </w:r>
      <w:r>
        <w:rPr>
          <w:rFonts w:hint="eastAsia"/>
          <w:color w:val="333333"/>
          <w:sz w:val="21"/>
          <w:szCs w:val="21"/>
          <w:highlight w:val="none"/>
          <w:u w:val="single"/>
          <w:lang w:eastAsia="zh-CN" w:bidi="ar"/>
        </w:rPr>
        <w:t xml:space="preserve">     （中型企业、小型企业、微型企业）</w:t>
      </w:r>
      <w:r>
        <w:rPr>
          <w:rFonts w:hint="eastAsia"/>
          <w:color w:val="333333"/>
          <w:sz w:val="21"/>
          <w:szCs w:val="21"/>
          <w:highlight w:val="none"/>
          <w:lang w:eastAsia="zh-CN" w:bidi="ar"/>
        </w:rPr>
        <w:t>；</w:t>
      </w:r>
    </w:p>
    <w:p w14:paraId="16E35CC2">
      <w:pPr>
        <w:spacing w:beforeAutospacing="1" w:afterAutospacing="1" w:line="288" w:lineRule="auto"/>
        <w:ind w:firstLine="420" w:firstLineChars="200"/>
        <w:rPr>
          <w:sz w:val="21"/>
          <w:szCs w:val="21"/>
          <w:highlight w:val="none"/>
          <w:lang w:eastAsia="zh-CN"/>
        </w:rPr>
      </w:pPr>
      <w:r>
        <w:rPr>
          <w:rFonts w:hint="eastAsia"/>
          <w:color w:val="333333"/>
          <w:sz w:val="21"/>
          <w:szCs w:val="21"/>
          <w:highlight w:val="none"/>
          <w:lang w:eastAsia="zh-CN" w:bidi="ar"/>
        </w:rPr>
        <w:t>2.</w:t>
      </w:r>
      <w:r>
        <w:rPr>
          <w:rFonts w:hint="eastAsia"/>
          <w:color w:val="333333"/>
          <w:sz w:val="21"/>
          <w:szCs w:val="21"/>
          <w:highlight w:val="none"/>
          <w:u w:val="single"/>
          <w:lang w:eastAsia="zh-CN" w:bidi="ar"/>
        </w:rPr>
        <w:t xml:space="preserve">     （标的名称）</w:t>
      </w:r>
      <w:r>
        <w:rPr>
          <w:rFonts w:hint="eastAsia"/>
          <w:color w:val="333333"/>
          <w:sz w:val="21"/>
          <w:szCs w:val="21"/>
          <w:highlight w:val="none"/>
          <w:lang w:eastAsia="zh-CN" w:bidi="ar"/>
        </w:rPr>
        <w:t>，属于</w:t>
      </w:r>
      <w:r>
        <w:rPr>
          <w:rFonts w:hint="eastAsia"/>
          <w:color w:val="333333"/>
          <w:sz w:val="21"/>
          <w:szCs w:val="21"/>
          <w:highlight w:val="none"/>
          <w:u w:val="single"/>
          <w:lang w:eastAsia="zh-CN" w:bidi="ar"/>
        </w:rPr>
        <w:t xml:space="preserve">     （采购文件中明确的所属行业）</w:t>
      </w:r>
      <w:r>
        <w:rPr>
          <w:rFonts w:hint="eastAsia"/>
          <w:color w:val="333333"/>
          <w:sz w:val="21"/>
          <w:szCs w:val="21"/>
          <w:highlight w:val="none"/>
          <w:lang w:eastAsia="zh-CN" w:bidi="ar"/>
        </w:rPr>
        <w:t>行业；制造商为</w:t>
      </w:r>
      <w:r>
        <w:rPr>
          <w:rFonts w:hint="eastAsia"/>
          <w:color w:val="333333"/>
          <w:sz w:val="21"/>
          <w:szCs w:val="21"/>
          <w:highlight w:val="none"/>
          <w:u w:val="single"/>
          <w:lang w:eastAsia="zh-CN" w:bidi="ar"/>
        </w:rPr>
        <w:t xml:space="preserve">       （企业名称）</w:t>
      </w:r>
      <w:r>
        <w:rPr>
          <w:rFonts w:hint="eastAsia"/>
          <w:color w:val="333333"/>
          <w:sz w:val="21"/>
          <w:szCs w:val="21"/>
          <w:highlight w:val="none"/>
          <w:lang w:eastAsia="zh-CN" w:bidi="ar"/>
        </w:rPr>
        <w:t>，从业人员</w:t>
      </w:r>
      <w:r>
        <w:rPr>
          <w:rFonts w:hint="eastAsia"/>
          <w:color w:val="333333"/>
          <w:sz w:val="21"/>
          <w:szCs w:val="21"/>
          <w:highlight w:val="none"/>
          <w:u w:val="single"/>
          <w:lang w:eastAsia="zh-CN" w:bidi="ar"/>
        </w:rPr>
        <w:t xml:space="preserve">    </w:t>
      </w:r>
      <w:r>
        <w:rPr>
          <w:rFonts w:hint="eastAsia"/>
          <w:color w:val="333333"/>
          <w:sz w:val="21"/>
          <w:szCs w:val="21"/>
          <w:highlight w:val="none"/>
          <w:lang w:eastAsia="zh-CN" w:bidi="ar"/>
        </w:rPr>
        <w:t>人，营业收入为</w:t>
      </w:r>
      <w:r>
        <w:rPr>
          <w:rFonts w:hint="eastAsia"/>
          <w:color w:val="333333"/>
          <w:sz w:val="21"/>
          <w:szCs w:val="21"/>
          <w:highlight w:val="none"/>
          <w:u w:val="single"/>
          <w:lang w:eastAsia="zh-CN" w:bidi="ar"/>
        </w:rPr>
        <w:t xml:space="preserve">    </w:t>
      </w:r>
      <w:r>
        <w:rPr>
          <w:rFonts w:hint="eastAsia"/>
          <w:color w:val="333333"/>
          <w:sz w:val="21"/>
          <w:szCs w:val="21"/>
          <w:highlight w:val="none"/>
          <w:lang w:eastAsia="zh-CN" w:bidi="ar"/>
        </w:rPr>
        <w:t>万元，资产总额为</w:t>
      </w:r>
      <w:r>
        <w:rPr>
          <w:rFonts w:hint="eastAsia"/>
          <w:color w:val="333333"/>
          <w:sz w:val="21"/>
          <w:szCs w:val="21"/>
          <w:highlight w:val="none"/>
          <w:u w:val="single"/>
          <w:lang w:eastAsia="zh-CN" w:bidi="ar"/>
        </w:rPr>
        <w:t xml:space="preserve">   </w:t>
      </w:r>
      <w:r>
        <w:rPr>
          <w:rFonts w:hint="eastAsia"/>
          <w:color w:val="333333"/>
          <w:sz w:val="21"/>
          <w:szCs w:val="21"/>
          <w:highlight w:val="none"/>
          <w:lang w:eastAsia="zh-CN" w:bidi="ar"/>
        </w:rPr>
        <w:t>万元</w:t>
      </w:r>
      <w:r>
        <w:rPr>
          <w:rFonts w:hint="eastAsia"/>
          <w:color w:val="333333"/>
          <w:sz w:val="21"/>
          <w:szCs w:val="21"/>
          <w:highlight w:val="none"/>
          <w:vertAlign w:val="superscript"/>
          <w:lang w:eastAsia="zh-CN" w:bidi="ar"/>
        </w:rPr>
        <w:t>1</w:t>
      </w:r>
      <w:r>
        <w:rPr>
          <w:rFonts w:hint="eastAsia"/>
          <w:color w:val="333333"/>
          <w:sz w:val="21"/>
          <w:szCs w:val="21"/>
          <w:highlight w:val="none"/>
          <w:lang w:eastAsia="zh-CN" w:bidi="ar"/>
        </w:rPr>
        <w:t>，属于</w:t>
      </w:r>
      <w:r>
        <w:rPr>
          <w:rFonts w:hint="eastAsia"/>
          <w:color w:val="333333"/>
          <w:sz w:val="21"/>
          <w:szCs w:val="21"/>
          <w:highlight w:val="none"/>
          <w:u w:val="single"/>
          <w:lang w:eastAsia="zh-CN" w:bidi="ar"/>
        </w:rPr>
        <w:t xml:space="preserve">     （中型企业、小型企业、微型企业）</w:t>
      </w:r>
      <w:r>
        <w:rPr>
          <w:rFonts w:hint="eastAsia"/>
          <w:color w:val="333333"/>
          <w:sz w:val="21"/>
          <w:szCs w:val="21"/>
          <w:highlight w:val="none"/>
          <w:lang w:eastAsia="zh-CN" w:bidi="ar"/>
        </w:rPr>
        <w:t>；</w:t>
      </w:r>
    </w:p>
    <w:p w14:paraId="07690569">
      <w:pPr>
        <w:spacing w:beforeAutospacing="1" w:afterAutospacing="1" w:line="288" w:lineRule="auto"/>
        <w:ind w:firstLine="420" w:firstLineChars="200"/>
        <w:rPr>
          <w:sz w:val="21"/>
          <w:szCs w:val="21"/>
          <w:highlight w:val="none"/>
          <w:lang w:eastAsia="zh-CN"/>
        </w:rPr>
      </w:pPr>
      <w:r>
        <w:rPr>
          <w:rFonts w:hint="eastAsia"/>
          <w:color w:val="333333"/>
          <w:sz w:val="21"/>
          <w:szCs w:val="21"/>
          <w:highlight w:val="none"/>
          <w:lang w:eastAsia="zh-CN" w:bidi="ar"/>
        </w:rPr>
        <w:t>……</w:t>
      </w:r>
    </w:p>
    <w:p w14:paraId="7D481B49">
      <w:pPr>
        <w:spacing w:beforeAutospacing="1" w:afterAutospacing="1" w:line="288" w:lineRule="auto"/>
        <w:ind w:firstLine="420" w:firstLineChars="200"/>
        <w:rPr>
          <w:sz w:val="21"/>
          <w:szCs w:val="21"/>
          <w:highlight w:val="none"/>
          <w:lang w:eastAsia="zh-CN"/>
        </w:rPr>
      </w:pPr>
      <w:r>
        <w:rPr>
          <w:rFonts w:hint="eastAsia"/>
          <w:color w:val="333333"/>
          <w:sz w:val="21"/>
          <w:szCs w:val="21"/>
          <w:highlight w:val="none"/>
          <w:lang w:eastAsia="zh-CN" w:bidi="ar"/>
        </w:rPr>
        <w:t>以上企业，不属于大企业的分支机构，不存在控股股东为大企业的情形，也不存在与大企业的负责人为同一人的情形。</w:t>
      </w:r>
    </w:p>
    <w:p w14:paraId="31197098">
      <w:pPr>
        <w:spacing w:beforeAutospacing="1" w:afterAutospacing="1" w:line="288" w:lineRule="auto"/>
        <w:ind w:firstLine="420" w:firstLineChars="200"/>
        <w:rPr>
          <w:sz w:val="21"/>
          <w:szCs w:val="21"/>
          <w:highlight w:val="none"/>
          <w:lang w:eastAsia="zh-CN"/>
        </w:rPr>
      </w:pPr>
      <w:r>
        <w:rPr>
          <w:rFonts w:hint="eastAsia"/>
          <w:color w:val="333333"/>
          <w:sz w:val="21"/>
          <w:szCs w:val="21"/>
          <w:highlight w:val="none"/>
          <w:lang w:eastAsia="zh-CN" w:bidi="ar"/>
        </w:rPr>
        <w:t>本企业对上述声明内容的真实性负责。如有虚假，将依法承担相应责任。</w:t>
      </w:r>
    </w:p>
    <w:p w14:paraId="240D9671">
      <w:pPr>
        <w:spacing w:beforeAutospacing="1" w:afterAutospacing="1" w:line="288" w:lineRule="auto"/>
        <w:ind w:firstLine="420" w:firstLineChars="200"/>
        <w:rPr>
          <w:sz w:val="21"/>
          <w:szCs w:val="21"/>
          <w:highlight w:val="none"/>
          <w:lang w:eastAsia="zh-CN"/>
        </w:rPr>
      </w:pPr>
      <w:r>
        <w:rPr>
          <w:rFonts w:hint="eastAsia"/>
          <w:color w:val="333333"/>
          <w:sz w:val="21"/>
          <w:szCs w:val="21"/>
          <w:highlight w:val="none"/>
          <w:lang w:eastAsia="zh-CN" w:bidi="ar"/>
        </w:rPr>
        <w:t> </w:t>
      </w:r>
    </w:p>
    <w:p w14:paraId="1B82ED60">
      <w:pPr>
        <w:spacing w:beforeAutospacing="1" w:afterAutospacing="1" w:line="288" w:lineRule="auto"/>
        <w:ind w:firstLine="4620" w:firstLineChars="2200"/>
        <w:rPr>
          <w:sz w:val="21"/>
          <w:szCs w:val="21"/>
          <w:highlight w:val="none"/>
          <w:lang w:eastAsia="zh-CN"/>
        </w:rPr>
      </w:pPr>
      <w:r>
        <w:rPr>
          <w:rFonts w:hint="eastAsia"/>
          <w:color w:val="333333"/>
          <w:sz w:val="21"/>
          <w:szCs w:val="21"/>
          <w:highlight w:val="none"/>
          <w:lang w:eastAsia="zh-CN" w:bidi="ar"/>
        </w:rPr>
        <w:t>企业名称（盖章）：</w:t>
      </w:r>
    </w:p>
    <w:p w14:paraId="3A6C0BA1">
      <w:pPr>
        <w:spacing w:beforeAutospacing="1" w:afterAutospacing="1" w:line="288" w:lineRule="auto"/>
        <w:rPr>
          <w:sz w:val="21"/>
          <w:szCs w:val="21"/>
          <w:highlight w:val="none"/>
          <w:lang w:eastAsia="zh-CN"/>
        </w:rPr>
      </w:pPr>
      <w:r>
        <w:rPr>
          <w:rFonts w:hint="eastAsia"/>
          <w:color w:val="333333"/>
          <w:sz w:val="21"/>
          <w:szCs w:val="21"/>
          <w:highlight w:val="none"/>
          <w:lang w:eastAsia="zh-CN" w:bidi="ar"/>
        </w:rPr>
        <w:t> </w:t>
      </w:r>
    </w:p>
    <w:p w14:paraId="56489CA6">
      <w:pPr>
        <w:spacing w:beforeAutospacing="1" w:afterAutospacing="1" w:line="288" w:lineRule="auto"/>
        <w:ind w:firstLine="4620" w:firstLineChars="2200"/>
        <w:rPr>
          <w:sz w:val="21"/>
          <w:szCs w:val="21"/>
          <w:highlight w:val="none"/>
          <w:lang w:eastAsia="zh-CN"/>
        </w:rPr>
      </w:pPr>
      <w:r>
        <w:rPr>
          <w:rFonts w:hint="eastAsia"/>
          <w:color w:val="333333"/>
          <w:sz w:val="21"/>
          <w:szCs w:val="21"/>
          <w:highlight w:val="none"/>
          <w:lang w:eastAsia="zh-CN" w:bidi="ar"/>
        </w:rPr>
        <w:t>日 期：</w:t>
      </w:r>
    </w:p>
    <w:p w14:paraId="651EA0C3">
      <w:pPr>
        <w:spacing w:beforeAutospacing="1" w:afterAutospacing="1" w:line="288" w:lineRule="auto"/>
        <w:rPr>
          <w:sz w:val="21"/>
          <w:szCs w:val="21"/>
          <w:highlight w:val="none"/>
          <w:lang w:eastAsia="zh-CN"/>
        </w:rPr>
      </w:pPr>
      <w:r>
        <w:rPr>
          <w:rFonts w:hint="eastAsia"/>
          <w:color w:val="333333"/>
          <w:sz w:val="21"/>
          <w:szCs w:val="21"/>
          <w:highlight w:val="none"/>
          <w:lang w:eastAsia="zh-CN" w:bidi="ar"/>
        </w:rPr>
        <w:t>注：从业人员、营业收入、资产总额填报上一年度数据，无上一年度数据的新成立企业可不填报。</w:t>
      </w:r>
    </w:p>
    <w:p w14:paraId="4C023D36">
      <w:pPr>
        <w:shd w:val="clear" w:color="auto" w:fill="FFFFFF"/>
        <w:spacing w:before="120" w:beforeLines="50" w:after="120" w:afterLines="50" w:line="400" w:lineRule="exact"/>
        <w:jc w:val="center"/>
        <w:rPr>
          <w:b/>
          <w:bCs/>
          <w:sz w:val="32"/>
          <w:szCs w:val="32"/>
          <w:highlight w:val="none"/>
          <w:lang w:eastAsia="zh-CN"/>
        </w:rPr>
      </w:pPr>
      <w:r>
        <w:rPr>
          <w:rFonts w:hint="eastAsia"/>
          <w:b/>
          <w:bCs/>
          <w:sz w:val="21"/>
          <w:szCs w:val="21"/>
          <w:highlight w:val="none"/>
          <w:lang w:eastAsia="zh-CN"/>
        </w:rPr>
        <w:br w:type="page"/>
      </w:r>
      <w:r>
        <w:rPr>
          <w:rFonts w:hint="eastAsia"/>
          <w:b/>
          <w:bCs/>
          <w:sz w:val="28"/>
          <w:szCs w:val="28"/>
          <w:highlight w:val="none"/>
          <w:shd w:val="clear" w:color="auto" w:fill="FFFFFF"/>
          <w:lang w:eastAsia="zh-CN"/>
        </w:rPr>
        <w:t>财政部关于进一步加大政府采购支持中小企业力度的通知</w:t>
      </w:r>
    </w:p>
    <w:p w14:paraId="47DA5AF0">
      <w:pPr>
        <w:shd w:val="clear" w:color="auto" w:fill="FFFFFF"/>
        <w:spacing w:line="400" w:lineRule="exact"/>
        <w:jc w:val="center"/>
        <w:rPr>
          <w:sz w:val="24"/>
          <w:szCs w:val="24"/>
          <w:highlight w:val="none"/>
          <w:lang w:eastAsia="zh-CN"/>
        </w:rPr>
      </w:pPr>
      <w:r>
        <w:rPr>
          <w:rFonts w:hint="eastAsia"/>
          <w:sz w:val="24"/>
          <w:szCs w:val="24"/>
          <w:highlight w:val="none"/>
          <w:shd w:val="clear" w:color="auto" w:fill="FFFFFF"/>
          <w:lang w:eastAsia="zh-CN"/>
        </w:rPr>
        <w:t>（财库〔2022〕19号）</w:t>
      </w:r>
    </w:p>
    <w:p w14:paraId="610C124D">
      <w:pPr>
        <w:pStyle w:val="8"/>
        <w:spacing w:line="340" w:lineRule="exact"/>
        <w:ind w:firstLine="480" w:firstLineChars="200"/>
        <w:rPr>
          <w:bCs/>
          <w:highlight w:val="none"/>
          <w:lang w:eastAsia="zh-CN"/>
        </w:rPr>
      </w:pPr>
      <w:r>
        <w:rPr>
          <w:rFonts w:hint="eastAsia"/>
          <w:sz w:val="24"/>
          <w:szCs w:val="24"/>
          <w:highlight w:val="none"/>
          <w:shd w:val="clear" w:color="auto" w:fill="FFFFFF"/>
          <w:lang w:eastAsia="zh-CN"/>
        </w:rPr>
        <w:t> </w:t>
      </w:r>
      <w:r>
        <w:rPr>
          <w:rFonts w:hint="eastAsia"/>
          <w:bCs/>
          <w:highlight w:val="none"/>
          <w:lang w:eastAsia="zh-CN"/>
        </w:rPr>
        <w:t>各中央预算单位，各省、自治区、直辖市、计划单列市财政厅（局），新疆生产建设兵团财政局：</w:t>
      </w:r>
    </w:p>
    <w:p w14:paraId="5FFEBAB4">
      <w:pPr>
        <w:pStyle w:val="8"/>
        <w:spacing w:line="340" w:lineRule="exact"/>
        <w:ind w:firstLine="420" w:firstLineChars="200"/>
        <w:rPr>
          <w:bCs/>
          <w:highlight w:val="none"/>
          <w:lang w:eastAsia="zh-CN"/>
        </w:rPr>
      </w:pPr>
      <w:r>
        <w:rPr>
          <w:rFonts w:hint="eastAsia"/>
          <w:bCs/>
          <w:highlight w:val="none"/>
          <w:lang w:eastAsia="zh-CN"/>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33D5B2D8">
      <w:pPr>
        <w:pStyle w:val="8"/>
        <w:spacing w:line="340" w:lineRule="exact"/>
        <w:ind w:firstLine="420" w:firstLineChars="200"/>
        <w:rPr>
          <w:bCs/>
          <w:highlight w:val="none"/>
          <w:lang w:eastAsia="zh-CN"/>
        </w:rPr>
      </w:pPr>
      <w:r>
        <w:rPr>
          <w:rFonts w:hint="eastAsia"/>
          <w:bCs/>
          <w:highlight w:val="none"/>
          <w:lang w:eastAsia="zh-CN"/>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56B01949">
      <w:pPr>
        <w:pStyle w:val="8"/>
        <w:spacing w:line="340" w:lineRule="exact"/>
        <w:ind w:firstLine="420" w:firstLineChars="200"/>
        <w:rPr>
          <w:bCs/>
          <w:highlight w:val="none"/>
          <w:lang w:eastAsia="zh-CN"/>
        </w:rPr>
      </w:pPr>
      <w:r>
        <w:rPr>
          <w:rFonts w:hint="eastAsia"/>
          <w:bCs/>
          <w:highlight w:val="none"/>
          <w:lang w:eastAsia="zh-CN"/>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7FA38841">
      <w:pPr>
        <w:pStyle w:val="8"/>
        <w:spacing w:line="340" w:lineRule="exact"/>
        <w:ind w:firstLine="420" w:firstLineChars="200"/>
        <w:rPr>
          <w:bCs/>
          <w:highlight w:val="none"/>
          <w:lang w:eastAsia="zh-CN"/>
        </w:rPr>
      </w:pPr>
      <w:r>
        <w:rPr>
          <w:rFonts w:hint="eastAsia"/>
          <w:bCs/>
          <w:highlight w:val="none"/>
          <w:lang w:eastAsia="zh-CN"/>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审制度等规定和做法，并于2022年6月30日前将落实情况汇总报财政部。</w:t>
      </w:r>
    </w:p>
    <w:p w14:paraId="33CABF85">
      <w:pPr>
        <w:pStyle w:val="8"/>
        <w:spacing w:line="340" w:lineRule="exact"/>
        <w:ind w:firstLine="420" w:firstLineChars="200"/>
        <w:rPr>
          <w:bCs/>
          <w:highlight w:val="none"/>
          <w:lang w:eastAsia="zh-CN"/>
        </w:rPr>
      </w:pPr>
      <w:r>
        <w:rPr>
          <w:rFonts w:hint="eastAsia"/>
          <w:bCs/>
          <w:highlight w:val="none"/>
          <w:lang w:eastAsia="zh-CN"/>
        </w:rPr>
        <w:t>四、认真做好组织实施。各地区、各部门应当加强组织领导，明确工作责任，细化执行要求，强化监督检查，确保国务院部署落实到位，对通知执行中出现的问题要及时向财政部报告。</w:t>
      </w:r>
    </w:p>
    <w:p w14:paraId="47118047">
      <w:pPr>
        <w:pStyle w:val="8"/>
        <w:spacing w:line="340" w:lineRule="exact"/>
        <w:ind w:firstLine="420" w:firstLineChars="200"/>
        <w:rPr>
          <w:bCs/>
          <w:highlight w:val="none"/>
          <w:lang w:eastAsia="zh-CN"/>
        </w:rPr>
      </w:pPr>
      <w:r>
        <w:rPr>
          <w:rFonts w:hint="eastAsia"/>
          <w:bCs/>
          <w:highlight w:val="none"/>
          <w:lang w:eastAsia="zh-CN"/>
        </w:rPr>
        <w:t>本通知自2022年7月1日起执行。</w:t>
      </w:r>
    </w:p>
    <w:p w14:paraId="43331639">
      <w:pPr>
        <w:pStyle w:val="8"/>
        <w:spacing w:line="340" w:lineRule="exact"/>
        <w:ind w:firstLine="420" w:firstLineChars="200"/>
        <w:rPr>
          <w:bCs/>
          <w:highlight w:val="none"/>
          <w:lang w:eastAsia="zh-CN"/>
        </w:rPr>
      </w:pPr>
      <w:r>
        <w:rPr>
          <w:rFonts w:hint="eastAsia"/>
          <w:bCs/>
          <w:highlight w:val="none"/>
          <w:lang w:eastAsia="zh-CN"/>
        </w:rPr>
        <w:t xml:space="preserve">                                                                        财政部</w:t>
      </w:r>
    </w:p>
    <w:p w14:paraId="6352102F">
      <w:pPr>
        <w:spacing w:line="400" w:lineRule="exact"/>
        <w:jc w:val="center"/>
        <w:rPr>
          <w:rFonts w:ascii="黑体" w:hAnsi="黑体" w:eastAsia="黑体"/>
          <w:bCs/>
          <w:sz w:val="28"/>
          <w:szCs w:val="28"/>
          <w:highlight w:val="none"/>
          <w:shd w:val="clear" w:color="auto" w:fill="FFFFFF"/>
          <w:lang w:eastAsia="zh-CN"/>
        </w:rPr>
      </w:pPr>
      <w:r>
        <w:rPr>
          <w:rFonts w:hint="eastAsia"/>
          <w:bCs/>
          <w:sz w:val="21"/>
          <w:szCs w:val="21"/>
          <w:highlight w:val="none"/>
          <w:lang w:eastAsia="zh-CN"/>
        </w:rPr>
        <w:t>2022年5月30日</w:t>
      </w:r>
      <w:r>
        <w:rPr>
          <w:rFonts w:hint="eastAsia"/>
          <w:b/>
          <w:bCs/>
          <w:sz w:val="21"/>
          <w:szCs w:val="21"/>
          <w:highlight w:val="none"/>
          <w:lang w:eastAsia="zh-CN"/>
        </w:rPr>
        <w:br w:type="page"/>
      </w:r>
      <w:r>
        <w:rPr>
          <w:rFonts w:hint="eastAsia" w:ascii="黑体" w:hAnsi="黑体" w:eastAsia="黑体"/>
          <w:bCs/>
          <w:sz w:val="28"/>
          <w:szCs w:val="28"/>
          <w:highlight w:val="none"/>
          <w:shd w:val="clear" w:color="auto" w:fill="FFFFFF"/>
          <w:lang w:eastAsia="zh-CN"/>
        </w:rPr>
        <w:t>关于印发《吉林省强化政府采购政策支持中小企业发展落实举措》的通知</w:t>
      </w:r>
    </w:p>
    <w:p w14:paraId="3B4939DE">
      <w:pPr>
        <w:pStyle w:val="23"/>
        <w:spacing w:before="120" w:beforeLines="50" w:after="120" w:afterLines="50" w:line="400" w:lineRule="exact"/>
        <w:jc w:val="center"/>
        <w:rPr>
          <w:highlight w:val="none"/>
        </w:rPr>
      </w:pPr>
      <w:r>
        <w:rPr>
          <w:rFonts w:cs="宋体"/>
          <w:highlight w:val="none"/>
        </w:rPr>
        <w:t>吉财采购〔2022〕478号</w:t>
      </w:r>
      <w:r>
        <w:rPr>
          <w:highlight w:val="none"/>
        </w:rPr>
        <w:t xml:space="preserve"> </w:t>
      </w:r>
    </w:p>
    <w:p w14:paraId="171B8B08">
      <w:pPr>
        <w:pStyle w:val="23"/>
        <w:spacing w:line="400" w:lineRule="exact"/>
        <w:rPr>
          <w:highlight w:val="none"/>
        </w:rPr>
      </w:pPr>
      <w:r>
        <w:rPr>
          <w:rFonts w:hint="eastAsia" w:cs="宋体"/>
          <w:highlight w:val="none"/>
        </w:rPr>
        <w:t>各省级主管预算单位，各市（州）、县（市、区）财政局，长白山管委会、长春新区、中韩（长春）国际合作示范区管委会财政局，各政府采购代理机构：</w:t>
      </w:r>
      <w:r>
        <w:rPr>
          <w:highlight w:val="none"/>
        </w:rPr>
        <w:t xml:space="preserve"> </w:t>
      </w:r>
    </w:p>
    <w:p w14:paraId="3A910EBC">
      <w:pPr>
        <w:pStyle w:val="23"/>
        <w:spacing w:line="400" w:lineRule="exact"/>
        <w:ind w:firstLine="480" w:firstLineChars="200"/>
        <w:rPr>
          <w:highlight w:val="none"/>
        </w:rPr>
      </w:pPr>
      <w:r>
        <w:rPr>
          <w:rFonts w:hint="eastAsia" w:cs="宋体"/>
          <w:highlight w:val="none"/>
        </w:rPr>
        <w:t>现将《吉林省强化政府采购政策支持中小企业发展落实举措》印发给你们，请遵照执行。</w:t>
      </w:r>
      <w:r>
        <w:rPr>
          <w:highlight w:val="none"/>
        </w:rPr>
        <w:t xml:space="preserve"> </w:t>
      </w:r>
    </w:p>
    <w:p w14:paraId="4889BC34">
      <w:pPr>
        <w:pStyle w:val="23"/>
        <w:spacing w:line="400" w:lineRule="exact"/>
        <w:ind w:firstLine="480" w:firstLineChars="200"/>
        <w:rPr>
          <w:highlight w:val="none"/>
        </w:rPr>
      </w:pPr>
      <w:r>
        <w:rPr>
          <w:rFonts w:hint="eastAsia" w:cs="宋体"/>
          <w:highlight w:val="none"/>
        </w:rPr>
        <w:t>附件：吉林省强化政府采购政策支持中小企业发展落实举措</w:t>
      </w:r>
      <w:r>
        <w:rPr>
          <w:highlight w:val="none"/>
        </w:rPr>
        <w:t xml:space="preserve"> </w:t>
      </w:r>
    </w:p>
    <w:p w14:paraId="463FEE40">
      <w:pPr>
        <w:pStyle w:val="23"/>
        <w:spacing w:line="400" w:lineRule="exact"/>
        <w:ind w:firstLine="645"/>
        <w:jc w:val="right"/>
        <w:rPr>
          <w:highlight w:val="none"/>
        </w:rPr>
      </w:pPr>
      <w:r>
        <w:rPr>
          <w:rFonts w:hint="eastAsia" w:cs="宋体"/>
          <w:highlight w:val="none"/>
        </w:rPr>
        <w:t>吉林省财政厅</w:t>
      </w:r>
      <w:r>
        <w:rPr>
          <w:highlight w:val="none"/>
        </w:rPr>
        <w:t xml:space="preserve"> </w:t>
      </w:r>
    </w:p>
    <w:p w14:paraId="3649F3BA">
      <w:pPr>
        <w:pStyle w:val="23"/>
        <w:spacing w:line="400" w:lineRule="exact"/>
        <w:ind w:firstLine="645"/>
        <w:jc w:val="right"/>
        <w:rPr>
          <w:highlight w:val="none"/>
        </w:rPr>
      </w:pPr>
      <w:r>
        <w:rPr>
          <w:rFonts w:cs="宋体"/>
          <w:highlight w:val="none"/>
        </w:rPr>
        <w:t>2022年6月6日</w:t>
      </w:r>
      <w:r>
        <w:rPr>
          <w:highlight w:val="none"/>
        </w:rPr>
        <w:t xml:space="preserve"> </w:t>
      </w:r>
    </w:p>
    <w:p w14:paraId="0EA408D7">
      <w:pPr>
        <w:pStyle w:val="23"/>
        <w:spacing w:line="400" w:lineRule="exact"/>
        <w:rPr>
          <w:highlight w:val="none"/>
        </w:rPr>
      </w:pPr>
      <w:r>
        <w:rPr>
          <w:rFonts w:hint="eastAsia" w:cs="宋体"/>
          <w:highlight w:val="none"/>
        </w:rPr>
        <w:t>附件：</w:t>
      </w:r>
      <w:r>
        <w:rPr>
          <w:highlight w:val="none"/>
        </w:rPr>
        <w:t xml:space="preserve"> </w:t>
      </w:r>
    </w:p>
    <w:p w14:paraId="313781FE">
      <w:pPr>
        <w:pStyle w:val="23"/>
        <w:spacing w:line="400" w:lineRule="exact"/>
        <w:ind w:firstLine="645"/>
        <w:rPr>
          <w:highlight w:val="none"/>
        </w:rPr>
      </w:pPr>
      <w:r>
        <w:rPr>
          <w:rFonts w:hint="eastAsia" w:cs="宋体"/>
          <w:highlight w:val="none"/>
        </w:rPr>
        <w:t> </w:t>
      </w:r>
      <w:r>
        <w:rPr>
          <w:highlight w:val="none"/>
        </w:rPr>
        <w:t xml:space="preserve"> </w:t>
      </w:r>
    </w:p>
    <w:p w14:paraId="5D09340F">
      <w:pPr>
        <w:pStyle w:val="23"/>
        <w:spacing w:line="400" w:lineRule="exact"/>
        <w:jc w:val="center"/>
        <w:rPr>
          <w:sz w:val="28"/>
          <w:szCs w:val="28"/>
          <w:highlight w:val="none"/>
        </w:rPr>
      </w:pPr>
      <w:r>
        <w:rPr>
          <w:rFonts w:hint="eastAsia" w:cs="宋体"/>
          <w:sz w:val="28"/>
          <w:szCs w:val="28"/>
          <w:highlight w:val="none"/>
        </w:rPr>
        <w:t>吉林省强化政府采购政策支持中小企业发展落实举措</w:t>
      </w:r>
      <w:r>
        <w:rPr>
          <w:sz w:val="28"/>
          <w:szCs w:val="28"/>
          <w:highlight w:val="none"/>
        </w:rPr>
        <w:t xml:space="preserve"> </w:t>
      </w:r>
    </w:p>
    <w:p w14:paraId="6D8C7B95">
      <w:pPr>
        <w:pStyle w:val="23"/>
        <w:spacing w:line="400" w:lineRule="exact"/>
        <w:ind w:firstLine="645"/>
        <w:rPr>
          <w:highlight w:val="none"/>
        </w:rPr>
      </w:pPr>
      <w:r>
        <w:rPr>
          <w:rFonts w:hint="eastAsia" w:cs="宋体"/>
          <w:highlight w:val="none"/>
        </w:rPr>
        <w:t> </w:t>
      </w:r>
      <w:r>
        <w:rPr>
          <w:highlight w:val="none"/>
        </w:rPr>
        <w:t xml:space="preserve"> </w:t>
      </w:r>
    </w:p>
    <w:p w14:paraId="4D189F1C">
      <w:pPr>
        <w:pStyle w:val="23"/>
        <w:spacing w:line="400" w:lineRule="exact"/>
        <w:ind w:firstLine="645"/>
        <w:rPr>
          <w:sz w:val="21"/>
          <w:szCs w:val="21"/>
          <w:highlight w:val="none"/>
        </w:rPr>
      </w:pPr>
      <w:r>
        <w:rPr>
          <w:rFonts w:cs="宋体"/>
          <w:sz w:val="21"/>
          <w:szCs w:val="21"/>
          <w:highlight w:val="none"/>
        </w:rPr>
        <w:t>为贯彻落实《国务院关于印发扎实稳住经济一揽子政策措施的通知》（国发〔2022〕12号）和省政府《稳定全省经济若干措施》要求，积极应对突发疫情对我省经济社会影响，做好财政政策支持中小企业纾困解难工作，助力全省经济平稳健康发展，按照财政部《关于进一步加大政府采购支持中小企业力度的通知》（财库〔2022〕19号）规定，提出如下落实措施：</w:t>
      </w:r>
      <w:r>
        <w:rPr>
          <w:sz w:val="21"/>
          <w:szCs w:val="21"/>
          <w:highlight w:val="none"/>
        </w:rPr>
        <w:t xml:space="preserve"> </w:t>
      </w:r>
    </w:p>
    <w:p w14:paraId="3659FF7C">
      <w:pPr>
        <w:pStyle w:val="23"/>
        <w:spacing w:line="400" w:lineRule="exact"/>
        <w:ind w:firstLine="645"/>
        <w:rPr>
          <w:b/>
          <w:bCs/>
          <w:sz w:val="21"/>
          <w:szCs w:val="21"/>
          <w:highlight w:val="none"/>
        </w:rPr>
      </w:pPr>
      <w:r>
        <w:rPr>
          <w:rFonts w:hint="eastAsia" w:cs="宋体"/>
          <w:b/>
          <w:bCs/>
          <w:sz w:val="21"/>
          <w:szCs w:val="21"/>
          <w:highlight w:val="none"/>
        </w:rPr>
        <w:t>一、强化政策落实支持中小企业发展</w:t>
      </w:r>
      <w:r>
        <w:rPr>
          <w:b/>
          <w:bCs/>
          <w:sz w:val="21"/>
          <w:szCs w:val="21"/>
          <w:highlight w:val="none"/>
        </w:rPr>
        <w:t xml:space="preserve"> </w:t>
      </w:r>
    </w:p>
    <w:p w14:paraId="162BF56A">
      <w:pPr>
        <w:pStyle w:val="23"/>
        <w:spacing w:line="400" w:lineRule="exact"/>
        <w:ind w:firstLine="645"/>
        <w:rPr>
          <w:sz w:val="21"/>
          <w:szCs w:val="21"/>
          <w:highlight w:val="none"/>
        </w:rPr>
      </w:pPr>
      <w:r>
        <w:rPr>
          <w:rFonts w:cs="宋体"/>
          <w:sz w:val="21"/>
          <w:szCs w:val="21"/>
          <w:highlight w:val="none"/>
        </w:rPr>
        <w:t>各级预算单位要认真落实《政府采购促进中小企业发展管理办法》（财库〔2020〕46号，以下简称《办法》）的规定，加强采购需求管理，规范资格条件设置，降低中小企业参加政府采购活动门槛 。科学编制政府采购预算，提高中小企业预留份额。结合采购项目的实际情况，灵活采取项目整体预留、合理预留采购包、要求大企业与中小企业组成联合体或向中小企业分包等形式，确保中小企业合同份额。适用招标投标法的政府采购工程项目应严格落实政府采购支持中小企业政策。</w:t>
      </w:r>
      <w:r>
        <w:rPr>
          <w:sz w:val="21"/>
          <w:szCs w:val="21"/>
          <w:highlight w:val="none"/>
        </w:rPr>
        <w:t xml:space="preserve"> </w:t>
      </w:r>
    </w:p>
    <w:p w14:paraId="0068CC63">
      <w:pPr>
        <w:pStyle w:val="23"/>
        <w:spacing w:line="400" w:lineRule="exact"/>
        <w:ind w:firstLine="645"/>
        <w:rPr>
          <w:b/>
          <w:bCs/>
          <w:sz w:val="21"/>
          <w:szCs w:val="21"/>
          <w:highlight w:val="none"/>
        </w:rPr>
      </w:pPr>
      <w:r>
        <w:rPr>
          <w:rFonts w:hint="eastAsia" w:cs="宋体"/>
          <w:b/>
          <w:bCs/>
          <w:sz w:val="21"/>
          <w:szCs w:val="21"/>
          <w:highlight w:val="none"/>
        </w:rPr>
        <w:t>二、提高政府采购项目价格评审优惠幅度</w:t>
      </w:r>
      <w:r>
        <w:rPr>
          <w:b/>
          <w:bCs/>
          <w:sz w:val="21"/>
          <w:szCs w:val="21"/>
          <w:highlight w:val="none"/>
        </w:rPr>
        <w:t xml:space="preserve"> </w:t>
      </w:r>
    </w:p>
    <w:p w14:paraId="0C743E57">
      <w:pPr>
        <w:pStyle w:val="23"/>
        <w:spacing w:line="400" w:lineRule="exact"/>
        <w:ind w:firstLine="645"/>
        <w:rPr>
          <w:sz w:val="21"/>
          <w:szCs w:val="21"/>
          <w:highlight w:val="none"/>
        </w:rPr>
      </w:pPr>
      <w:r>
        <w:rPr>
          <w:rFonts w:cs="宋体"/>
          <w:sz w:val="21"/>
          <w:szCs w:val="21"/>
          <w:highlight w:val="none"/>
        </w:rPr>
        <w:t>自2022年7月1日起发布采购公告或者发出采购邀请，未预留份额专门面向中小企业采购的货物、服务项目，给予小微企业的价格扣除优惠由《办法》规定的6%-10%提高至10%-20%；大中型企业与小微企业组成联合体或者大中型企业向小微企业分包的，评审优惠幅度由2%—3%提高至4%—6%。政府采购工程的价格评审优惠按照《办法》的规定执行。</w:t>
      </w:r>
      <w:r>
        <w:rPr>
          <w:sz w:val="21"/>
          <w:szCs w:val="21"/>
          <w:highlight w:val="none"/>
        </w:rPr>
        <w:t xml:space="preserve"> </w:t>
      </w:r>
    </w:p>
    <w:p w14:paraId="3F9B6E5E">
      <w:pPr>
        <w:pStyle w:val="23"/>
        <w:spacing w:line="400" w:lineRule="exact"/>
        <w:ind w:firstLine="645"/>
        <w:rPr>
          <w:b/>
          <w:bCs/>
          <w:sz w:val="21"/>
          <w:szCs w:val="21"/>
          <w:highlight w:val="none"/>
        </w:rPr>
      </w:pPr>
      <w:r>
        <w:rPr>
          <w:rFonts w:hint="eastAsia" w:cs="宋体"/>
          <w:b/>
          <w:bCs/>
          <w:sz w:val="21"/>
          <w:szCs w:val="21"/>
          <w:highlight w:val="none"/>
        </w:rPr>
        <w:t>三、提高政府采购工程项目预留份额比例</w:t>
      </w:r>
      <w:r>
        <w:rPr>
          <w:b/>
          <w:bCs/>
          <w:sz w:val="21"/>
          <w:szCs w:val="21"/>
          <w:highlight w:val="none"/>
        </w:rPr>
        <w:t xml:space="preserve"> </w:t>
      </w:r>
    </w:p>
    <w:p w14:paraId="59FFA163">
      <w:pPr>
        <w:pStyle w:val="23"/>
        <w:spacing w:line="400" w:lineRule="exact"/>
        <w:ind w:firstLine="645"/>
        <w:rPr>
          <w:sz w:val="21"/>
          <w:szCs w:val="21"/>
          <w:highlight w:val="none"/>
        </w:rPr>
      </w:pPr>
      <w:r>
        <w:rPr>
          <w:rFonts w:cs="宋体"/>
          <w:sz w:val="21"/>
          <w:szCs w:val="21"/>
          <w:highlight w:val="none"/>
        </w:rPr>
        <w:t>400万元以下的工程采购项目适宜由中小企业提供的，采购人应当专门面向中小企业采购。达到或超过400万元的工程采购项目中适宜由中小企业提供的，在坚持公开、公正、公平竞争和统一质量标准的前提下，2022年下半年面向中小企业的预留份额由30%以上提高至40%以上。省财政厅将协调发改、工信、住建、交通、水利、商务等部门，按照国家相关工程招投标行政监督部门对工程招投标领域落实政府采购支持中小企业的政策要求，及时调整完善工程招投标领域有关标准文本、评审制度等，支持督促各预算单位严格落实政府采购政策。</w:t>
      </w:r>
      <w:r>
        <w:rPr>
          <w:sz w:val="21"/>
          <w:szCs w:val="21"/>
          <w:highlight w:val="none"/>
        </w:rPr>
        <w:t xml:space="preserve"> </w:t>
      </w:r>
    </w:p>
    <w:p w14:paraId="6A999966">
      <w:pPr>
        <w:pStyle w:val="23"/>
        <w:spacing w:line="400" w:lineRule="exact"/>
        <w:ind w:firstLine="645"/>
        <w:rPr>
          <w:b/>
          <w:bCs/>
          <w:sz w:val="21"/>
          <w:szCs w:val="21"/>
          <w:highlight w:val="none"/>
        </w:rPr>
      </w:pPr>
      <w:r>
        <w:rPr>
          <w:rFonts w:hint="eastAsia" w:cs="宋体"/>
          <w:b/>
          <w:bCs/>
          <w:sz w:val="21"/>
          <w:szCs w:val="21"/>
          <w:highlight w:val="none"/>
        </w:rPr>
        <w:t>四、降低经营成本提高履约能力</w:t>
      </w:r>
      <w:r>
        <w:rPr>
          <w:b/>
          <w:bCs/>
          <w:sz w:val="21"/>
          <w:szCs w:val="21"/>
          <w:highlight w:val="none"/>
        </w:rPr>
        <w:t xml:space="preserve"> </w:t>
      </w:r>
    </w:p>
    <w:p w14:paraId="75307992">
      <w:pPr>
        <w:pStyle w:val="23"/>
        <w:spacing w:line="400" w:lineRule="exact"/>
        <w:ind w:firstLine="645"/>
        <w:rPr>
          <w:sz w:val="21"/>
          <w:szCs w:val="21"/>
          <w:highlight w:val="none"/>
        </w:rPr>
      </w:pPr>
      <w:r>
        <w:rPr>
          <w:rFonts w:cs="宋体"/>
          <w:sz w:val="21"/>
          <w:szCs w:val="21"/>
          <w:highlight w:val="none"/>
        </w:rPr>
        <w:t>鼓励采购人、采购代理机构在政府采购活动中免收中小企业保证金或降低收取比例。对确需依法收取保证金的，应明确收取标准、缴纳方式和退还时限等要求，允许中小企业自主选择以支票、汇票、本票、保函等非现金形式缴纳或提交，降低经营成本。采购人、采购代理机构应对2022年5月前实施完成的政府采购项目投标（响应）或履约保证金进行核查清理，对符合法定或合同约定退还条件的应及时退还，切实减轻中小企业资金压力。采购人在编制采购文件时可结合项目实际，明确中小企业获得合同后可采取分期付款的方式，最大限度的确定首期预付款比例，并尽量缩短资金支付期限。</w:t>
      </w:r>
      <w:r>
        <w:rPr>
          <w:sz w:val="21"/>
          <w:szCs w:val="21"/>
          <w:highlight w:val="none"/>
        </w:rPr>
        <w:t xml:space="preserve"> </w:t>
      </w:r>
    </w:p>
    <w:p w14:paraId="66C0C525">
      <w:pPr>
        <w:pStyle w:val="23"/>
        <w:spacing w:line="400" w:lineRule="exact"/>
        <w:ind w:firstLine="645"/>
        <w:rPr>
          <w:b/>
          <w:bCs/>
          <w:sz w:val="21"/>
          <w:szCs w:val="21"/>
          <w:highlight w:val="none"/>
        </w:rPr>
      </w:pPr>
      <w:r>
        <w:rPr>
          <w:rFonts w:hint="eastAsia" w:cs="宋体"/>
          <w:b/>
          <w:bCs/>
          <w:sz w:val="21"/>
          <w:szCs w:val="21"/>
          <w:highlight w:val="none"/>
        </w:rPr>
        <w:t>五、优化政府采购程序推进全流程电子化</w:t>
      </w:r>
      <w:r>
        <w:rPr>
          <w:b/>
          <w:bCs/>
          <w:sz w:val="21"/>
          <w:szCs w:val="21"/>
          <w:highlight w:val="none"/>
        </w:rPr>
        <w:t xml:space="preserve"> </w:t>
      </w:r>
    </w:p>
    <w:p w14:paraId="052B5494">
      <w:pPr>
        <w:pStyle w:val="23"/>
        <w:spacing w:line="400" w:lineRule="exact"/>
        <w:ind w:firstLine="645"/>
        <w:rPr>
          <w:sz w:val="21"/>
          <w:szCs w:val="21"/>
          <w:highlight w:val="none"/>
        </w:rPr>
      </w:pPr>
      <w:r>
        <w:rPr>
          <w:rFonts w:hint="eastAsia" w:cs="宋体"/>
          <w:sz w:val="21"/>
          <w:szCs w:val="21"/>
          <w:highlight w:val="none"/>
        </w:rPr>
        <w:t>中小企业参加政府采购活动，对于出具《中小企业声明函》的，任何单位和个人不得另行要求提供《中小企业声明函》之外的中小企业身份证明文件。对于法人代表已经出具委托书的，不得要求法人代表亲自领购采购文件或者到场参加开标、谈判等。加快推进全省政府采购全流程电子化建设，实现在线发布采购公告、提供采购文件、提交投标（响应）文件，实行电子开标、电子评审，提升中小企业参与政府采购活动的便利度。</w:t>
      </w:r>
      <w:r>
        <w:rPr>
          <w:sz w:val="21"/>
          <w:szCs w:val="21"/>
          <w:highlight w:val="none"/>
        </w:rPr>
        <w:t xml:space="preserve"> </w:t>
      </w:r>
    </w:p>
    <w:p w14:paraId="211EEC2E">
      <w:pPr>
        <w:pStyle w:val="23"/>
        <w:spacing w:line="400" w:lineRule="exact"/>
        <w:ind w:firstLine="645"/>
        <w:rPr>
          <w:b/>
          <w:bCs/>
          <w:sz w:val="21"/>
          <w:szCs w:val="21"/>
          <w:highlight w:val="none"/>
        </w:rPr>
      </w:pPr>
      <w:r>
        <w:rPr>
          <w:rFonts w:hint="eastAsia" w:cs="宋体"/>
          <w:b/>
          <w:bCs/>
          <w:sz w:val="21"/>
          <w:szCs w:val="21"/>
          <w:highlight w:val="none"/>
        </w:rPr>
        <w:t>六、加强项目执行管理提升政府采购透明度</w:t>
      </w:r>
      <w:r>
        <w:rPr>
          <w:b/>
          <w:bCs/>
          <w:sz w:val="21"/>
          <w:szCs w:val="21"/>
          <w:highlight w:val="none"/>
        </w:rPr>
        <w:t xml:space="preserve"> </w:t>
      </w:r>
    </w:p>
    <w:p w14:paraId="6638270D">
      <w:pPr>
        <w:pStyle w:val="23"/>
        <w:spacing w:line="400" w:lineRule="exact"/>
        <w:ind w:firstLine="645"/>
        <w:rPr>
          <w:sz w:val="21"/>
          <w:szCs w:val="21"/>
          <w:highlight w:val="none"/>
        </w:rPr>
      </w:pPr>
      <w:r>
        <w:rPr>
          <w:rFonts w:hint="eastAsia" w:cs="宋体"/>
          <w:sz w:val="21"/>
          <w:szCs w:val="21"/>
          <w:highlight w:val="none"/>
        </w:rPr>
        <w:t>采购人、采购代理机构对投标（响应）文件的格式、形式要求应当简化明确，不得因非实质性的格式、形式问题限制和影响中小企业投标（响应）。实现电子化采购的，采购人、采购代理机构应当免费提供电子采购文件；暂未实现电子化采购的，鼓励采购人、采购代理机构向中小企业免费提供纸质采购文件。各级预算单位在公开政府采购意向时，必须标明是否专门面向中小企业采购，便于中小企业提前做好参与政府采购活动的各项准备工作。未按照规定进行政府采购意向公开的采购项目，原则上不得开展采购活动。</w:t>
      </w:r>
      <w:r>
        <w:rPr>
          <w:sz w:val="21"/>
          <w:szCs w:val="21"/>
          <w:highlight w:val="none"/>
        </w:rPr>
        <w:t xml:space="preserve"> </w:t>
      </w:r>
    </w:p>
    <w:p w14:paraId="3350FB8F">
      <w:pPr>
        <w:pStyle w:val="23"/>
        <w:spacing w:line="400" w:lineRule="exact"/>
        <w:ind w:firstLine="645"/>
        <w:rPr>
          <w:sz w:val="21"/>
          <w:szCs w:val="21"/>
          <w:highlight w:val="none"/>
        </w:rPr>
      </w:pPr>
      <w:r>
        <w:rPr>
          <w:rFonts w:hint="eastAsia" w:cs="宋体"/>
          <w:sz w:val="21"/>
          <w:szCs w:val="21"/>
          <w:highlight w:val="none"/>
        </w:rPr>
        <w:t>各级主管预算单位要加强对本部门、本系统政府采购项目的统筹把握，明确工作责任，周密安排部署，严格落实预留采购份额和价格评审优惠措施支持中小企业发展。同时，按照六条措施要求，要制定具体工作方案，确保政策执行不走样、显成效。各级财政部门应加强组织领导，结合本地区实际情况明确政策执行要求，加强对采购单位政策执行情况的监督检查，在政策执行中好的经验办法和遇到的问题及时向省财政厅报告。</w:t>
      </w:r>
    </w:p>
    <w:p w14:paraId="6FD665EF">
      <w:pPr>
        <w:rPr>
          <w:b/>
          <w:bCs/>
          <w:sz w:val="21"/>
          <w:szCs w:val="21"/>
          <w:highlight w:val="none"/>
          <w:lang w:eastAsia="zh-CN"/>
        </w:rPr>
      </w:pPr>
      <w:r>
        <w:rPr>
          <w:b/>
          <w:bCs/>
          <w:sz w:val="21"/>
          <w:szCs w:val="21"/>
          <w:highlight w:val="none"/>
          <w:lang w:eastAsia="zh-CN"/>
        </w:rPr>
        <w:br w:type="page"/>
      </w:r>
    </w:p>
    <w:p w14:paraId="2530BB0E">
      <w:pPr>
        <w:jc w:val="center"/>
        <w:rPr>
          <w:b/>
          <w:sz w:val="32"/>
          <w:szCs w:val="32"/>
          <w:highlight w:val="none"/>
          <w:lang w:eastAsia="zh-CN"/>
        </w:rPr>
      </w:pPr>
      <w:r>
        <w:rPr>
          <w:rFonts w:hint="eastAsia"/>
          <w:b/>
          <w:sz w:val="28"/>
          <w:szCs w:val="28"/>
          <w:highlight w:val="none"/>
          <w:lang w:eastAsia="zh-CN"/>
        </w:rPr>
        <w:t>财政部 司法部关于政府采购支持监狱企业发展有关问题的通知</w:t>
      </w:r>
    </w:p>
    <w:p w14:paraId="40497C85">
      <w:pPr>
        <w:pStyle w:val="3"/>
        <w:spacing w:before="120" w:beforeLines="50" w:after="120" w:afterLines="50" w:line="288" w:lineRule="auto"/>
        <w:jc w:val="center"/>
        <w:textAlignment w:val="baseline"/>
        <w:rPr>
          <w:rFonts w:ascii="宋体" w:hAnsi="宋体" w:eastAsia="宋体" w:cs="宋体"/>
          <w:b w:val="0"/>
          <w:bCs w:val="0"/>
          <w:sz w:val="24"/>
          <w:szCs w:val="24"/>
          <w:highlight w:val="none"/>
          <w:lang w:eastAsia="zh-CN"/>
        </w:rPr>
      </w:pPr>
      <w:bookmarkStart w:id="158" w:name="_Toc21391"/>
      <w:r>
        <w:rPr>
          <w:rFonts w:hint="eastAsia" w:ascii="宋体" w:hAnsi="宋体" w:eastAsia="宋体" w:cs="宋体"/>
          <w:b w:val="0"/>
          <w:sz w:val="24"/>
          <w:szCs w:val="24"/>
          <w:highlight w:val="none"/>
          <w:shd w:val="clear" w:color="auto" w:fill="FFFFFF"/>
          <w:lang w:eastAsia="zh-CN"/>
        </w:rPr>
        <w:t>财库〔2014〕68号</w:t>
      </w:r>
      <w:bookmarkEnd w:id="158"/>
    </w:p>
    <w:p w14:paraId="1270E013">
      <w:pPr>
        <w:pStyle w:val="23"/>
        <w:keepNext w:val="0"/>
        <w:keepLines w:val="0"/>
        <w:pageBreakBefore w:val="0"/>
        <w:widowControl w:val="0"/>
        <w:kinsoku/>
        <w:wordWrap/>
        <w:overflowPunct/>
        <w:topLinePunct w:val="0"/>
        <w:autoSpaceDE/>
        <w:autoSpaceDN/>
        <w:bidi w:val="0"/>
        <w:adjustRightInd/>
        <w:snapToGrid/>
        <w:spacing w:line="300" w:lineRule="exact"/>
        <w:textAlignment w:val="baseline"/>
        <w:rPr>
          <w:rFonts w:cs="宋体"/>
          <w:sz w:val="21"/>
          <w:szCs w:val="21"/>
          <w:highlight w:val="none"/>
          <w:shd w:val="clear" w:color="auto" w:fill="FFFFFF"/>
        </w:rPr>
      </w:pPr>
      <w:r>
        <w:rPr>
          <w:rFonts w:hint="eastAsia" w:cs="宋体"/>
          <w:sz w:val="21"/>
          <w:szCs w:val="21"/>
          <w:highlight w:val="none"/>
          <w:shd w:val="clear" w:color="auto" w:fill="FFFFFF"/>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4661D6FF">
      <w:pPr>
        <w:pStyle w:val="23"/>
        <w:keepNext w:val="0"/>
        <w:keepLines w:val="0"/>
        <w:pageBreakBefore w:val="0"/>
        <w:widowControl w:val="0"/>
        <w:kinsoku/>
        <w:wordWrap/>
        <w:overflowPunct/>
        <w:topLinePunct w:val="0"/>
        <w:autoSpaceDE/>
        <w:autoSpaceDN/>
        <w:bidi w:val="0"/>
        <w:adjustRightInd/>
        <w:snapToGrid/>
        <w:spacing w:line="300" w:lineRule="exact"/>
        <w:textAlignment w:val="baseline"/>
        <w:rPr>
          <w:rFonts w:cs="宋体"/>
          <w:sz w:val="21"/>
          <w:szCs w:val="21"/>
          <w:highlight w:val="none"/>
          <w:shd w:val="clear" w:color="auto" w:fill="FFFFFF"/>
        </w:rPr>
      </w:pPr>
      <w:r>
        <w:rPr>
          <w:rFonts w:hint="eastAsia" w:cs="宋体"/>
          <w:sz w:val="21"/>
          <w:szCs w:val="21"/>
          <w:highlight w:val="none"/>
          <w:shd w:val="clear" w:color="auto" w:fill="FFFFFF"/>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6BC4F12A">
      <w:pPr>
        <w:pStyle w:val="23"/>
        <w:keepNext w:val="0"/>
        <w:keepLines w:val="0"/>
        <w:pageBreakBefore w:val="0"/>
        <w:widowControl w:val="0"/>
        <w:kinsoku/>
        <w:wordWrap/>
        <w:overflowPunct/>
        <w:topLinePunct w:val="0"/>
        <w:autoSpaceDE/>
        <w:autoSpaceDN/>
        <w:bidi w:val="0"/>
        <w:adjustRightInd/>
        <w:snapToGrid/>
        <w:spacing w:line="300" w:lineRule="exact"/>
        <w:textAlignment w:val="baseline"/>
        <w:rPr>
          <w:rFonts w:cs="宋体"/>
          <w:sz w:val="21"/>
          <w:szCs w:val="21"/>
          <w:highlight w:val="none"/>
          <w:shd w:val="clear" w:color="auto" w:fill="FFFFFF"/>
        </w:rPr>
      </w:pPr>
      <w:r>
        <w:rPr>
          <w:rFonts w:hint="eastAsia" w:cs="宋体"/>
          <w:sz w:val="21"/>
          <w:szCs w:val="21"/>
          <w:highlight w:val="none"/>
          <w:shd w:val="clear" w:color="auto" w:fill="FFFFFF"/>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0F79BC0">
      <w:pPr>
        <w:pStyle w:val="23"/>
        <w:keepNext w:val="0"/>
        <w:keepLines w:val="0"/>
        <w:pageBreakBefore w:val="0"/>
        <w:widowControl w:val="0"/>
        <w:kinsoku/>
        <w:wordWrap/>
        <w:overflowPunct/>
        <w:topLinePunct w:val="0"/>
        <w:autoSpaceDE/>
        <w:autoSpaceDN/>
        <w:bidi w:val="0"/>
        <w:adjustRightInd/>
        <w:snapToGrid/>
        <w:spacing w:line="300" w:lineRule="exact"/>
        <w:textAlignment w:val="baseline"/>
        <w:rPr>
          <w:rFonts w:cs="宋体"/>
          <w:sz w:val="21"/>
          <w:szCs w:val="21"/>
          <w:highlight w:val="none"/>
          <w:shd w:val="clear" w:color="auto" w:fill="FFFFFF"/>
        </w:rPr>
      </w:pPr>
      <w:r>
        <w:rPr>
          <w:rFonts w:hint="eastAsia" w:cs="宋体"/>
          <w:sz w:val="21"/>
          <w:szCs w:val="21"/>
          <w:highlight w:val="none"/>
          <w:shd w:val="clear" w:color="auto" w:fill="FFFFFF"/>
        </w:rPr>
        <w:t>　　二、在政府采购活动中，监狱企业视同小型、微型企业，享受预留份额、评审中价格扣除等政府采购促进中小企业发展的政府采购政策。向监狱企业采购的金额，计入面向中小企业采购的统计数据。</w:t>
      </w:r>
    </w:p>
    <w:p w14:paraId="33BDFB67">
      <w:pPr>
        <w:pStyle w:val="23"/>
        <w:keepNext w:val="0"/>
        <w:keepLines w:val="0"/>
        <w:pageBreakBefore w:val="0"/>
        <w:widowControl w:val="0"/>
        <w:kinsoku/>
        <w:wordWrap/>
        <w:overflowPunct/>
        <w:topLinePunct w:val="0"/>
        <w:autoSpaceDE/>
        <w:autoSpaceDN/>
        <w:bidi w:val="0"/>
        <w:adjustRightInd/>
        <w:snapToGrid/>
        <w:spacing w:line="300" w:lineRule="exact"/>
        <w:textAlignment w:val="baseline"/>
        <w:rPr>
          <w:rFonts w:cs="宋体"/>
          <w:sz w:val="21"/>
          <w:szCs w:val="21"/>
          <w:highlight w:val="none"/>
          <w:shd w:val="clear" w:color="auto" w:fill="FFFFFF"/>
        </w:rPr>
      </w:pPr>
      <w:r>
        <w:rPr>
          <w:rFonts w:hint="eastAsia" w:cs="宋体"/>
          <w:sz w:val="21"/>
          <w:szCs w:val="21"/>
          <w:highlight w:val="none"/>
          <w:shd w:val="clear" w:color="auto" w:fill="FFFFFF"/>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33A60390">
      <w:pPr>
        <w:pStyle w:val="23"/>
        <w:keepNext w:val="0"/>
        <w:keepLines w:val="0"/>
        <w:pageBreakBefore w:val="0"/>
        <w:widowControl w:val="0"/>
        <w:kinsoku/>
        <w:wordWrap/>
        <w:overflowPunct/>
        <w:topLinePunct w:val="0"/>
        <w:autoSpaceDE/>
        <w:autoSpaceDN/>
        <w:bidi w:val="0"/>
        <w:adjustRightInd/>
        <w:snapToGrid/>
        <w:spacing w:line="300" w:lineRule="exact"/>
        <w:textAlignment w:val="baseline"/>
        <w:rPr>
          <w:rFonts w:cs="宋体"/>
          <w:sz w:val="21"/>
          <w:szCs w:val="21"/>
          <w:highlight w:val="none"/>
          <w:shd w:val="clear" w:color="auto" w:fill="FFFFFF"/>
        </w:rPr>
      </w:pPr>
      <w:r>
        <w:rPr>
          <w:rFonts w:hint="eastAsia" w:cs="宋体"/>
          <w:sz w:val="21"/>
          <w:szCs w:val="21"/>
          <w:highlight w:val="none"/>
          <w:shd w:val="clear" w:color="auto" w:fill="FFFFFF"/>
        </w:rPr>
        <w:t>　　四、各地区可以结合本地区实际，对监狱企业生产的办公用品、家具用具、车辆维修和提供的保养服务、消防设备等，提出预留份额等政府采购支持措施，加大对监狱企业产品的采购力度。</w:t>
      </w:r>
    </w:p>
    <w:p w14:paraId="272CB603">
      <w:pPr>
        <w:pStyle w:val="23"/>
        <w:keepNext w:val="0"/>
        <w:keepLines w:val="0"/>
        <w:pageBreakBefore w:val="0"/>
        <w:widowControl w:val="0"/>
        <w:kinsoku/>
        <w:wordWrap/>
        <w:overflowPunct/>
        <w:topLinePunct w:val="0"/>
        <w:autoSpaceDE/>
        <w:autoSpaceDN/>
        <w:bidi w:val="0"/>
        <w:adjustRightInd/>
        <w:snapToGrid/>
        <w:spacing w:line="300" w:lineRule="exact"/>
        <w:textAlignment w:val="baseline"/>
        <w:rPr>
          <w:rFonts w:cs="宋体"/>
          <w:sz w:val="21"/>
          <w:szCs w:val="21"/>
          <w:highlight w:val="none"/>
        </w:rPr>
      </w:pPr>
      <w:r>
        <w:rPr>
          <w:rFonts w:hint="eastAsia" w:cs="宋体"/>
          <w:sz w:val="21"/>
          <w:szCs w:val="21"/>
          <w:highlight w:val="none"/>
          <w:shd w:val="clear" w:color="auto" w:fill="FFFFFF"/>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D1EA0F6">
      <w:pPr>
        <w:pStyle w:val="23"/>
        <w:keepNext w:val="0"/>
        <w:keepLines w:val="0"/>
        <w:pageBreakBefore w:val="0"/>
        <w:widowControl w:val="0"/>
        <w:kinsoku/>
        <w:wordWrap/>
        <w:overflowPunct/>
        <w:topLinePunct w:val="0"/>
        <w:autoSpaceDE/>
        <w:autoSpaceDN/>
        <w:bidi w:val="0"/>
        <w:adjustRightInd/>
        <w:snapToGrid/>
        <w:spacing w:line="300" w:lineRule="exact"/>
        <w:jc w:val="right"/>
        <w:textAlignment w:val="baseline"/>
        <w:rPr>
          <w:rFonts w:cs="宋体"/>
          <w:sz w:val="21"/>
          <w:szCs w:val="21"/>
          <w:highlight w:val="none"/>
          <w:shd w:val="clear" w:color="auto" w:fill="FFFFFF"/>
        </w:rPr>
      </w:pPr>
      <w:r>
        <w:rPr>
          <w:rFonts w:hint="eastAsia" w:cs="宋体"/>
          <w:sz w:val="21"/>
          <w:szCs w:val="21"/>
          <w:highlight w:val="none"/>
          <w:shd w:val="clear" w:color="auto" w:fill="FFFFFF"/>
        </w:rPr>
        <w:t>中华人民共和国财政部</w:t>
      </w:r>
    </w:p>
    <w:p w14:paraId="49D05205">
      <w:pPr>
        <w:pStyle w:val="23"/>
        <w:keepNext w:val="0"/>
        <w:keepLines w:val="0"/>
        <w:pageBreakBefore w:val="0"/>
        <w:widowControl w:val="0"/>
        <w:kinsoku/>
        <w:wordWrap/>
        <w:overflowPunct/>
        <w:topLinePunct w:val="0"/>
        <w:autoSpaceDE/>
        <w:autoSpaceDN/>
        <w:bidi w:val="0"/>
        <w:adjustRightInd/>
        <w:snapToGrid/>
        <w:spacing w:line="300" w:lineRule="exact"/>
        <w:jc w:val="right"/>
        <w:textAlignment w:val="baseline"/>
        <w:rPr>
          <w:rFonts w:cs="宋体"/>
          <w:sz w:val="21"/>
          <w:szCs w:val="21"/>
          <w:highlight w:val="none"/>
          <w:shd w:val="clear" w:color="auto" w:fill="FFFFFF"/>
        </w:rPr>
      </w:pPr>
      <w:r>
        <w:rPr>
          <w:rFonts w:hint="eastAsia" w:cs="宋体"/>
          <w:sz w:val="21"/>
          <w:szCs w:val="21"/>
          <w:highlight w:val="none"/>
          <w:shd w:val="clear" w:color="auto" w:fill="FFFFFF"/>
        </w:rPr>
        <w:t>中华人民共和国司法部</w:t>
      </w:r>
    </w:p>
    <w:p w14:paraId="1E908B6C">
      <w:pPr>
        <w:pStyle w:val="23"/>
        <w:spacing w:line="288" w:lineRule="auto"/>
        <w:jc w:val="right"/>
        <w:textAlignment w:val="baseline"/>
        <w:rPr>
          <w:rFonts w:cs="宋体"/>
          <w:sz w:val="21"/>
          <w:szCs w:val="21"/>
          <w:highlight w:val="none"/>
          <w:shd w:val="clear" w:color="auto" w:fill="FFFFFF"/>
        </w:rPr>
      </w:pPr>
      <w:r>
        <w:rPr>
          <w:rFonts w:hint="eastAsia" w:cs="宋体"/>
          <w:sz w:val="21"/>
          <w:szCs w:val="21"/>
          <w:highlight w:val="none"/>
          <w:shd w:val="clear" w:color="auto" w:fill="FFFFFF"/>
        </w:rPr>
        <w:t>2014年6月10日</w:t>
      </w:r>
    </w:p>
    <w:p w14:paraId="1D7E08B5">
      <w:pPr>
        <w:spacing w:before="120" w:beforeLines="50" w:after="120" w:afterLines="50"/>
        <w:jc w:val="center"/>
        <w:textAlignment w:val="baseline"/>
        <w:rPr>
          <w:b/>
          <w:sz w:val="32"/>
          <w:szCs w:val="32"/>
          <w:highlight w:val="none"/>
          <w:lang w:eastAsia="zh-CN"/>
        </w:rPr>
      </w:pPr>
      <w:r>
        <w:rPr>
          <w:rFonts w:hint="eastAsia"/>
          <w:szCs w:val="21"/>
          <w:highlight w:val="none"/>
          <w:shd w:val="clear" w:color="auto" w:fill="FFFFFF"/>
          <w:lang w:eastAsia="zh-CN"/>
        </w:rPr>
        <w:br w:type="page"/>
      </w:r>
      <w:r>
        <w:rPr>
          <w:rFonts w:hint="eastAsia"/>
          <w:b/>
          <w:sz w:val="28"/>
          <w:szCs w:val="28"/>
          <w:highlight w:val="none"/>
          <w:lang w:eastAsia="zh-CN"/>
        </w:rPr>
        <w:t>关于促进残疾人就业政府采购政策的通知</w:t>
      </w:r>
    </w:p>
    <w:p w14:paraId="1237376C">
      <w:pPr>
        <w:pStyle w:val="23"/>
        <w:spacing w:before="48" w:beforeLines="20" w:after="48" w:afterLines="20" w:line="288" w:lineRule="auto"/>
        <w:jc w:val="center"/>
        <w:textAlignment w:val="baseline"/>
        <w:rPr>
          <w:rFonts w:cs="宋体"/>
          <w:bCs/>
          <w:highlight w:val="none"/>
        </w:rPr>
      </w:pPr>
      <w:r>
        <w:rPr>
          <w:rStyle w:val="30"/>
          <w:rFonts w:hint="eastAsia" w:cs="宋体"/>
          <w:highlight w:val="none"/>
          <w:shd w:val="clear" w:color="auto" w:fill="FFFFFF"/>
        </w:rPr>
        <w:t>财库〔2017〕141号</w:t>
      </w:r>
    </w:p>
    <w:p w14:paraId="4875CF22">
      <w:pPr>
        <w:pStyle w:val="23"/>
        <w:spacing w:line="288" w:lineRule="auto"/>
        <w:jc w:val="both"/>
        <w:textAlignment w:val="baseline"/>
        <w:rPr>
          <w:rFonts w:cs="宋体"/>
          <w:sz w:val="21"/>
          <w:szCs w:val="21"/>
          <w:highlight w:val="none"/>
        </w:rPr>
      </w:pPr>
      <w:bookmarkStart w:id="159" w:name="toDeptId"/>
      <w:r>
        <w:rPr>
          <w:rFonts w:hint="eastAsia" w:cs="宋体"/>
          <w:sz w:val="21"/>
          <w:szCs w:val="21"/>
          <w:highlight w:val="none"/>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159"/>
      <w:r>
        <w:rPr>
          <w:rFonts w:hint="eastAsia" w:cs="宋体"/>
          <w:sz w:val="21"/>
          <w:szCs w:val="21"/>
          <w:highlight w:val="none"/>
          <w:shd w:val="clear" w:color="auto" w:fill="FFFFFF"/>
        </w:rPr>
        <w:t>：</w:t>
      </w:r>
    </w:p>
    <w:p w14:paraId="7F2B5745">
      <w:pPr>
        <w:pStyle w:val="23"/>
        <w:spacing w:line="288" w:lineRule="auto"/>
        <w:jc w:val="both"/>
        <w:textAlignment w:val="baseline"/>
        <w:rPr>
          <w:rFonts w:cs="宋体"/>
          <w:sz w:val="21"/>
          <w:szCs w:val="21"/>
          <w:highlight w:val="none"/>
        </w:rPr>
      </w:pPr>
      <w:r>
        <w:rPr>
          <w:rFonts w:hint="eastAsia" w:cs="宋体"/>
          <w:sz w:val="21"/>
          <w:szCs w:val="21"/>
          <w:highlight w:val="none"/>
          <w:shd w:val="clear" w:color="auto" w:fill="FFFFFF"/>
        </w:rPr>
        <w:t>　　为了发挥政府采购促进残疾人就业的作用，进一步保障残疾人权益，依照《政府采购法》、《残疾人保障法》等法律法规及相关规定，现就促进残疾人就业政府采购政策通知如下：</w:t>
      </w:r>
    </w:p>
    <w:p w14:paraId="3B31751F">
      <w:pPr>
        <w:pStyle w:val="23"/>
        <w:spacing w:line="288" w:lineRule="auto"/>
        <w:jc w:val="both"/>
        <w:textAlignment w:val="baseline"/>
        <w:rPr>
          <w:rFonts w:cs="宋体"/>
          <w:sz w:val="21"/>
          <w:szCs w:val="21"/>
          <w:highlight w:val="none"/>
        </w:rPr>
      </w:pPr>
      <w:r>
        <w:rPr>
          <w:rFonts w:hint="eastAsia" w:cs="宋体"/>
          <w:sz w:val="21"/>
          <w:szCs w:val="21"/>
          <w:highlight w:val="none"/>
          <w:shd w:val="clear" w:color="auto" w:fill="FFFFFF"/>
        </w:rPr>
        <w:t>　　一、享受政府采购支持政策的残疾人福利性单位应当同时满足以下条件：</w:t>
      </w:r>
    </w:p>
    <w:p w14:paraId="779B15D0">
      <w:pPr>
        <w:pStyle w:val="23"/>
        <w:spacing w:line="288" w:lineRule="auto"/>
        <w:jc w:val="both"/>
        <w:textAlignment w:val="baseline"/>
        <w:rPr>
          <w:rFonts w:cs="宋体"/>
          <w:sz w:val="21"/>
          <w:szCs w:val="21"/>
          <w:highlight w:val="none"/>
        </w:rPr>
      </w:pPr>
      <w:r>
        <w:rPr>
          <w:rFonts w:hint="eastAsia" w:cs="宋体"/>
          <w:sz w:val="21"/>
          <w:szCs w:val="21"/>
          <w:highlight w:val="none"/>
          <w:shd w:val="clear" w:color="auto" w:fill="FFFFFF"/>
        </w:rPr>
        <w:t>　　（一）安置的残疾人占本单位在职职工人数的比例不低于25%（含25%），并且安置的残疾人人数不少于10人（含10人）；</w:t>
      </w:r>
    </w:p>
    <w:p w14:paraId="2875BC8A">
      <w:pPr>
        <w:pStyle w:val="23"/>
        <w:spacing w:line="288" w:lineRule="auto"/>
        <w:jc w:val="both"/>
        <w:textAlignment w:val="baseline"/>
        <w:rPr>
          <w:rFonts w:cs="宋体"/>
          <w:sz w:val="21"/>
          <w:szCs w:val="21"/>
          <w:highlight w:val="none"/>
        </w:rPr>
      </w:pPr>
      <w:r>
        <w:rPr>
          <w:rFonts w:hint="eastAsia" w:cs="宋体"/>
          <w:sz w:val="21"/>
          <w:szCs w:val="21"/>
          <w:highlight w:val="none"/>
          <w:shd w:val="clear" w:color="auto" w:fill="FFFFFF"/>
        </w:rPr>
        <w:t>　　（二）依法与安置的每位残疾人签订了一年以上（含一年）的劳动合同或服务协议；</w:t>
      </w:r>
    </w:p>
    <w:p w14:paraId="4B4C2D39">
      <w:pPr>
        <w:pStyle w:val="23"/>
        <w:spacing w:line="288" w:lineRule="auto"/>
        <w:jc w:val="both"/>
        <w:textAlignment w:val="baseline"/>
        <w:rPr>
          <w:rFonts w:cs="宋体"/>
          <w:sz w:val="21"/>
          <w:szCs w:val="21"/>
          <w:highlight w:val="none"/>
        </w:rPr>
      </w:pPr>
      <w:r>
        <w:rPr>
          <w:rFonts w:hint="eastAsia" w:cs="宋体"/>
          <w:sz w:val="21"/>
          <w:szCs w:val="21"/>
          <w:highlight w:val="none"/>
          <w:shd w:val="clear" w:color="auto" w:fill="FFFFFF"/>
        </w:rPr>
        <w:t>　　（三）为安置的每位残疾人按月足额缴纳了基本养老保险、基本医疗保险、失业保险、工伤保险和生育保险等社会保险费；</w:t>
      </w:r>
    </w:p>
    <w:p w14:paraId="35D70393">
      <w:pPr>
        <w:pStyle w:val="23"/>
        <w:spacing w:line="288" w:lineRule="auto"/>
        <w:jc w:val="both"/>
        <w:textAlignment w:val="baseline"/>
        <w:rPr>
          <w:rFonts w:cs="宋体"/>
          <w:sz w:val="21"/>
          <w:szCs w:val="21"/>
          <w:highlight w:val="none"/>
        </w:rPr>
      </w:pPr>
      <w:r>
        <w:rPr>
          <w:rFonts w:hint="eastAsia" w:cs="宋体"/>
          <w:sz w:val="21"/>
          <w:szCs w:val="21"/>
          <w:highlight w:val="none"/>
          <w:shd w:val="clear" w:color="auto" w:fill="FFFFFF"/>
        </w:rPr>
        <w:t>　　（四）通过银行等金融机构向安置的每位残疾人，按月支付了不低于单位所在区县适用的经省级人民政府批准的月最低工资标准的工资；</w:t>
      </w:r>
    </w:p>
    <w:p w14:paraId="307E94A5">
      <w:pPr>
        <w:pStyle w:val="23"/>
        <w:spacing w:line="288" w:lineRule="auto"/>
        <w:jc w:val="both"/>
        <w:textAlignment w:val="baseline"/>
        <w:rPr>
          <w:rFonts w:cs="宋体"/>
          <w:sz w:val="21"/>
          <w:szCs w:val="21"/>
          <w:highlight w:val="none"/>
        </w:rPr>
      </w:pPr>
      <w:r>
        <w:rPr>
          <w:rFonts w:hint="eastAsia" w:cs="宋体"/>
          <w:sz w:val="21"/>
          <w:szCs w:val="21"/>
          <w:highlight w:val="none"/>
          <w:shd w:val="clear" w:color="auto" w:fill="FFFFFF"/>
        </w:rPr>
        <w:t>　　（五）提供本单位制造的货物、承担的工程或者服务（以下简称产品），或者提供其他残疾人福利性单位制造的货物（不包括使用非残疾人福利性单位注册商标的货物）。</w:t>
      </w:r>
    </w:p>
    <w:p w14:paraId="6CD81FAF">
      <w:pPr>
        <w:pStyle w:val="23"/>
        <w:spacing w:line="288" w:lineRule="auto"/>
        <w:jc w:val="both"/>
        <w:textAlignment w:val="baseline"/>
        <w:rPr>
          <w:rFonts w:cs="宋体"/>
          <w:sz w:val="21"/>
          <w:szCs w:val="21"/>
          <w:highlight w:val="none"/>
        </w:rPr>
      </w:pPr>
      <w:r>
        <w:rPr>
          <w:rFonts w:hint="eastAsia" w:cs="宋体"/>
          <w:sz w:val="21"/>
          <w:szCs w:val="21"/>
          <w:highlight w:val="none"/>
          <w:shd w:val="clear" w:color="auto" w:fill="FFFFFF"/>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112CB3F">
      <w:pPr>
        <w:pStyle w:val="23"/>
        <w:spacing w:line="288" w:lineRule="auto"/>
        <w:jc w:val="both"/>
        <w:textAlignment w:val="baseline"/>
        <w:rPr>
          <w:rFonts w:cs="宋体"/>
          <w:sz w:val="21"/>
          <w:szCs w:val="21"/>
          <w:highlight w:val="none"/>
        </w:rPr>
      </w:pPr>
      <w:r>
        <w:rPr>
          <w:rFonts w:hint="eastAsia" w:cs="宋体"/>
          <w:sz w:val="21"/>
          <w:szCs w:val="21"/>
          <w:highlight w:val="none"/>
          <w:shd w:val="clear" w:color="auto" w:fill="FFFFFF"/>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13B3EB57">
      <w:pPr>
        <w:pStyle w:val="23"/>
        <w:spacing w:line="288" w:lineRule="auto"/>
        <w:jc w:val="both"/>
        <w:textAlignment w:val="baseline"/>
        <w:rPr>
          <w:rFonts w:cs="宋体"/>
          <w:sz w:val="21"/>
          <w:szCs w:val="21"/>
          <w:highlight w:val="none"/>
        </w:rPr>
      </w:pPr>
      <w:r>
        <w:rPr>
          <w:rFonts w:hint="eastAsia" w:cs="宋体"/>
          <w:sz w:val="21"/>
          <w:szCs w:val="21"/>
          <w:highlight w:val="none"/>
          <w:shd w:val="clear" w:color="auto" w:fill="FFFFFF"/>
        </w:rPr>
        <w:t>　　中标、成交供应商为残疾人福利性单位的，采购人或者其委托的采购代理机构应当随中标、成交结果同时公告其《残疾人福利性单位声明函》，接受社会监督。</w:t>
      </w:r>
    </w:p>
    <w:p w14:paraId="2E9BCA6A">
      <w:pPr>
        <w:pStyle w:val="23"/>
        <w:spacing w:line="288" w:lineRule="auto"/>
        <w:jc w:val="both"/>
        <w:textAlignment w:val="baseline"/>
        <w:rPr>
          <w:rFonts w:cs="宋体"/>
          <w:sz w:val="21"/>
          <w:szCs w:val="21"/>
          <w:highlight w:val="none"/>
        </w:rPr>
      </w:pPr>
      <w:r>
        <w:rPr>
          <w:rFonts w:hint="eastAsia" w:cs="宋体"/>
          <w:sz w:val="21"/>
          <w:szCs w:val="21"/>
          <w:highlight w:val="none"/>
          <w:shd w:val="clear" w:color="auto" w:fill="FFFFFF"/>
        </w:rPr>
        <w:t>　　供应商提供的《残疾人福利性单位声明函》与事实不符的，依照《政府采购法》第七十七条第一款的规定追究法律责任。</w:t>
      </w:r>
    </w:p>
    <w:p w14:paraId="4EC0B875">
      <w:pPr>
        <w:pStyle w:val="23"/>
        <w:spacing w:line="288" w:lineRule="auto"/>
        <w:jc w:val="both"/>
        <w:textAlignment w:val="baseline"/>
        <w:rPr>
          <w:rFonts w:cs="宋体"/>
          <w:sz w:val="21"/>
          <w:szCs w:val="21"/>
          <w:highlight w:val="none"/>
        </w:rPr>
      </w:pPr>
      <w:r>
        <w:rPr>
          <w:rFonts w:hint="eastAsia" w:cs="宋体"/>
          <w:sz w:val="21"/>
          <w:szCs w:val="21"/>
          <w:highlight w:val="none"/>
          <w:shd w:val="clear" w:color="auto" w:fill="FFFFFF"/>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F9AFDF7">
      <w:pPr>
        <w:pStyle w:val="23"/>
        <w:spacing w:line="288" w:lineRule="auto"/>
        <w:jc w:val="both"/>
        <w:textAlignment w:val="baseline"/>
        <w:rPr>
          <w:rFonts w:cs="宋体"/>
          <w:sz w:val="21"/>
          <w:szCs w:val="21"/>
          <w:highlight w:val="none"/>
        </w:rPr>
      </w:pPr>
      <w:r>
        <w:rPr>
          <w:rFonts w:hint="eastAsia" w:cs="宋体"/>
          <w:sz w:val="21"/>
          <w:szCs w:val="21"/>
          <w:highlight w:val="none"/>
          <w:shd w:val="clear" w:color="auto" w:fill="FFFFFF"/>
        </w:rPr>
        <w:t>　　四、采购人采购公开招标数额标准以上的货物或者服务，因落实促进残疾人就业政策的需要，依法履行有关报批程序后，可采用公开招标以外的采购方式。</w:t>
      </w:r>
    </w:p>
    <w:p w14:paraId="6D7469DD">
      <w:pPr>
        <w:pStyle w:val="23"/>
        <w:spacing w:line="288" w:lineRule="auto"/>
        <w:jc w:val="both"/>
        <w:textAlignment w:val="baseline"/>
        <w:rPr>
          <w:rFonts w:cs="宋体"/>
          <w:sz w:val="21"/>
          <w:szCs w:val="21"/>
          <w:highlight w:val="none"/>
        </w:rPr>
      </w:pPr>
      <w:r>
        <w:rPr>
          <w:rFonts w:hint="eastAsia" w:cs="宋体"/>
          <w:sz w:val="21"/>
          <w:szCs w:val="21"/>
          <w:highlight w:val="none"/>
          <w:shd w:val="clear" w:color="auto" w:fill="FFFFFF"/>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2C374B81">
      <w:pPr>
        <w:pStyle w:val="23"/>
        <w:spacing w:line="288" w:lineRule="auto"/>
        <w:jc w:val="both"/>
        <w:textAlignment w:val="baseline"/>
        <w:rPr>
          <w:rFonts w:cs="宋体"/>
          <w:sz w:val="21"/>
          <w:szCs w:val="21"/>
          <w:highlight w:val="none"/>
        </w:rPr>
      </w:pPr>
      <w:r>
        <w:rPr>
          <w:rFonts w:hint="eastAsia" w:cs="宋体"/>
          <w:sz w:val="21"/>
          <w:szCs w:val="21"/>
          <w:highlight w:val="none"/>
          <w:shd w:val="clear" w:color="auto" w:fill="FFFFFF"/>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6A15F1F2">
      <w:pPr>
        <w:pStyle w:val="23"/>
        <w:spacing w:line="288" w:lineRule="auto"/>
        <w:jc w:val="both"/>
        <w:textAlignment w:val="baseline"/>
        <w:rPr>
          <w:rFonts w:cs="宋体"/>
          <w:sz w:val="21"/>
          <w:szCs w:val="21"/>
          <w:highlight w:val="none"/>
        </w:rPr>
      </w:pPr>
      <w:r>
        <w:rPr>
          <w:rFonts w:hint="eastAsia" w:cs="宋体"/>
          <w:sz w:val="21"/>
          <w:szCs w:val="21"/>
          <w:highlight w:val="none"/>
          <w:shd w:val="clear" w:color="auto" w:fill="FFFFFF"/>
        </w:rPr>
        <w:t>　　七、本通知自2017年10月1日起执行。</w:t>
      </w:r>
    </w:p>
    <w:p w14:paraId="3D41E86D">
      <w:pPr>
        <w:pStyle w:val="23"/>
        <w:spacing w:line="288" w:lineRule="auto"/>
        <w:jc w:val="right"/>
        <w:textAlignment w:val="baseline"/>
        <w:rPr>
          <w:rFonts w:cs="宋体"/>
          <w:sz w:val="21"/>
          <w:szCs w:val="21"/>
          <w:highlight w:val="none"/>
        </w:rPr>
      </w:pPr>
      <w:r>
        <w:rPr>
          <w:rFonts w:hint="eastAsia" w:cs="宋体"/>
          <w:sz w:val="21"/>
          <w:szCs w:val="21"/>
          <w:highlight w:val="none"/>
          <w:shd w:val="clear" w:color="auto" w:fill="FFFFFF"/>
        </w:rPr>
        <w:t>　　财政部 民政部 中国残疾人联合会</w:t>
      </w:r>
    </w:p>
    <w:p w14:paraId="04E78A2D">
      <w:pPr>
        <w:pStyle w:val="23"/>
        <w:spacing w:line="288" w:lineRule="auto"/>
        <w:jc w:val="right"/>
        <w:textAlignment w:val="baseline"/>
        <w:rPr>
          <w:rFonts w:cs="宋体"/>
          <w:sz w:val="21"/>
          <w:szCs w:val="21"/>
          <w:highlight w:val="none"/>
          <w:shd w:val="clear" w:color="auto" w:fill="FFFFFF"/>
        </w:rPr>
      </w:pPr>
      <w:r>
        <w:rPr>
          <w:rFonts w:hint="eastAsia" w:cs="宋体"/>
          <w:sz w:val="21"/>
          <w:szCs w:val="21"/>
          <w:highlight w:val="none"/>
          <w:shd w:val="clear" w:color="auto" w:fill="FFFFFF"/>
        </w:rPr>
        <w:t>　　2017年8月22日</w:t>
      </w:r>
      <w:r>
        <w:rPr>
          <w:rFonts w:hint="eastAsia" w:cs="宋体"/>
          <w:sz w:val="21"/>
          <w:szCs w:val="21"/>
          <w:highlight w:val="none"/>
          <w:shd w:val="clear" w:color="auto" w:fill="FFFFFF"/>
        </w:rPr>
        <w:br w:type="page"/>
      </w:r>
    </w:p>
    <w:p w14:paraId="2DF539C1">
      <w:pPr>
        <w:pStyle w:val="23"/>
        <w:spacing w:line="340" w:lineRule="exact"/>
        <w:jc w:val="center"/>
        <w:textAlignment w:val="baseline"/>
        <w:rPr>
          <w:rFonts w:cs="宋体"/>
          <w:sz w:val="21"/>
          <w:szCs w:val="21"/>
          <w:highlight w:val="none"/>
          <w:shd w:val="clear" w:color="auto" w:fill="FFFFFF"/>
        </w:rPr>
      </w:pPr>
    </w:p>
    <w:p w14:paraId="4598BC0A">
      <w:pPr>
        <w:spacing w:before="120" w:beforeLines="50" w:after="120" w:afterLines="50"/>
        <w:jc w:val="center"/>
        <w:textAlignment w:val="baseline"/>
        <w:rPr>
          <w:b/>
          <w:sz w:val="28"/>
          <w:szCs w:val="28"/>
          <w:highlight w:val="none"/>
          <w:lang w:eastAsia="zh-CN"/>
        </w:rPr>
      </w:pPr>
      <w:r>
        <w:rPr>
          <w:rFonts w:hint="eastAsia"/>
          <w:b/>
          <w:sz w:val="28"/>
          <w:szCs w:val="28"/>
          <w:highlight w:val="none"/>
          <w:lang w:eastAsia="zh-CN"/>
        </w:rPr>
        <w:t>《统计上大中小微型企业划分办法（2017）》修订说明</w:t>
      </w:r>
    </w:p>
    <w:p w14:paraId="76C21EBE">
      <w:pPr>
        <w:spacing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sz w:val="21"/>
          <w:szCs w:val="21"/>
          <w:highlight w:val="none"/>
          <w:lang w:eastAsia="zh-CN"/>
        </w:rPr>
        <w:t>一、修订背景</w:t>
      </w:r>
    </w:p>
    <w:p w14:paraId="1E84C8E7">
      <w:pPr>
        <w:spacing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sz w:val="21"/>
          <w:szCs w:val="21"/>
          <w:highlight w:val="none"/>
          <w:lang w:eastAsia="zh-CN"/>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2D789FF5">
      <w:pPr>
        <w:spacing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sz w:val="21"/>
          <w:szCs w:val="21"/>
          <w:highlight w:val="none"/>
          <w:lang w:eastAsia="zh-CN"/>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73B16CCE">
      <w:pPr>
        <w:spacing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sz w:val="21"/>
          <w:szCs w:val="21"/>
          <w:highlight w:val="none"/>
          <w:lang w:eastAsia="zh-CN"/>
        </w:rPr>
        <w:t>二、修订主要内容</w:t>
      </w:r>
    </w:p>
    <w:p w14:paraId="0BBE5C72">
      <w:pPr>
        <w:spacing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sz w:val="21"/>
          <w:szCs w:val="21"/>
          <w:highlight w:val="none"/>
          <w:lang w:eastAsia="zh-CN"/>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439854E3">
      <w:pPr>
        <w:spacing w:line="288" w:lineRule="auto"/>
        <w:ind w:firstLine="420" w:firstLineChars="200"/>
        <w:rPr>
          <w:rFonts w:asciiTheme="majorEastAsia" w:hAnsiTheme="majorEastAsia" w:eastAsiaTheme="majorEastAsia"/>
          <w:sz w:val="21"/>
          <w:szCs w:val="21"/>
          <w:highlight w:val="none"/>
          <w:lang w:eastAsia="zh-CN"/>
        </w:rPr>
      </w:pPr>
      <w:r>
        <w:rPr>
          <w:rFonts w:hint="eastAsia" w:asciiTheme="majorEastAsia" w:hAnsiTheme="majorEastAsia" w:eastAsiaTheme="majorEastAsia"/>
          <w:sz w:val="21"/>
          <w:szCs w:val="21"/>
          <w:highlight w:val="none"/>
          <w:lang w:eastAsia="zh-CN"/>
        </w:rPr>
        <w:t>将交通运输业中包括的“装卸搬运和运输代理业”修改为“多式联运和运输代理业、装卸搬运”。</w:t>
      </w:r>
    </w:p>
    <w:p w14:paraId="191A56E3">
      <w:pPr>
        <w:spacing w:line="288" w:lineRule="auto"/>
        <w:ind w:firstLine="452" w:firstLineChars="200"/>
        <w:rPr>
          <w:rFonts w:asciiTheme="majorEastAsia" w:hAnsiTheme="majorEastAsia" w:eastAsiaTheme="majorEastAsia"/>
          <w:spacing w:val="8"/>
          <w:sz w:val="21"/>
          <w:szCs w:val="21"/>
          <w:highlight w:val="none"/>
          <w:lang w:eastAsia="zh-CN"/>
        </w:rPr>
      </w:pPr>
      <w:r>
        <w:rPr>
          <w:rFonts w:hint="eastAsia" w:asciiTheme="majorEastAsia" w:hAnsiTheme="majorEastAsia" w:eastAsiaTheme="majorEastAsia"/>
          <w:spacing w:val="8"/>
          <w:sz w:val="21"/>
          <w:szCs w:val="21"/>
          <w:highlight w:val="none"/>
          <w:lang w:eastAsia="zh-CN"/>
        </w:rPr>
        <w:t>仓储业所包括的行业中类，根据《国民经济行业分类》</w:t>
      </w:r>
      <w:r>
        <w:rPr>
          <w:rFonts w:hint="eastAsia" w:asciiTheme="majorEastAsia" w:hAnsiTheme="majorEastAsia" w:eastAsiaTheme="majorEastAsia"/>
          <w:sz w:val="21"/>
          <w:szCs w:val="21"/>
          <w:highlight w:val="none"/>
          <w:lang w:eastAsia="zh-CN"/>
        </w:rPr>
        <w:t>（GB/T 4754—2017）</w:t>
      </w:r>
      <w:r>
        <w:rPr>
          <w:rFonts w:hint="eastAsia" w:asciiTheme="majorEastAsia" w:hAnsiTheme="majorEastAsia" w:eastAsiaTheme="majorEastAsia"/>
          <w:spacing w:val="8"/>
          <w:sz w:val="21"/>
          <w:szCs w:val="21"/>
          <w:highlight w:val="none"/>
          <w:lang w:eastAsia="zh-CN"/>
        </w:rPr>
        <w:t>调整为“通用仓储，低温仓储，危险品仓储，谷物、棉花等农产品仓储，中药材仓储和其他仓储业”。</w:t>
      </w:r>
    </w:p>
    <w:p w14:paraId="48531D23">
      <w:pPr>
        <w:spacing w:line="288" w:lineRule="auto"/>
        <w:rPr>
          <w:rFonts w:asciiTheme="majorEastAsia" w:hAnsiTheme="majorEastAsia" w:eastAsiaTheme="majorEastAsia"/>
          <w:sz w:val="21"/>
          <w:szCs w:val="21"/>
          <w:highlight w:val="none"/>
          <w:lang w:eastAsia="zh-CN"/>
        </w:rPr>
      </w:pPr>
      <w:r>
        <w:rPr>
          <w:rFonts w:hint="eastAsia" w:asciiTheme="majorEastAsia" w:hAnsiTheme="majorEastAsia" w:eastAsiaTheme="majorEastAsia"/>
          <w:sz w:val="21"/>
          <w:szCs w:val="21"/>
          <w:highlight w:val="none"/>
          <w:lang w:eastAsia="zh-CN"/>
        </w:rPr>
        <w:t>附表</w:t>
      </w:r>
    </w:p>
    <w:p w14:paraId="5E996D1E">
      <w:pPr>
        <w:spacing w:line="288" w:lineRule="auto"/>
        <w:jc w:val="center"/>
        <w:rPr>
          <w:b/>
          <w:bCs/>
          <w:szCs w:val="21"/>
          <w:highlight w:val="none"/>
          <w:lang w:eastAsia="zh-CN"/>
        </w:rPr>
      </w:pPr>
      <w:r>
        <w:rPr>
          <w:rFonts w:hint="eastAsia" w:asciiTheme="majorEastAsia" w:hAnsiTheme="majorEastAsia" w:eastAsiaTheme="majorEastAsia"/>
          <w:sz w:val="21"/>
          <w:szCs w:val="21"/>
          <w:highlight w:val="none"/>
          <w:lang w:eastAsia="zh-CN"/>
        </w:rPr>
        <w:t>统计上大中小微型企业划分标准</w:t>
      </w:r>
    </w:p>
    <w:tbl>
      <w:tblPr>
        <w:tblStyle w:val="2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530"/>
        <w:gridCol w:w="780"/>
        <w:gridCol w:w="1170"/>
        <w:gridCol w:w="1875"/>
        <w:gridCol w:w="1414"/>
        <w:gridCol w:w="984"/>
      </w:tblGrid>
      <w:tr w14:paraId="1C5D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exact"/>
          <w:jc w:val="center"/>
        </w:trPr>
        <w:tc>
          <w:tcPr>
            <w:tcW w:w="1604" w:type="dxa"/>
            <w:vAlign w:val="center"/>
          </w:tcPr>
          <w:p w14:paraId="1399321A">
            <w:pPr>
              <w:spacing w:line="240" w:lineRule="exact"/>
              <w:jc w:val="center"/>
              <w:rPr>
                <w:b/>
                <w:bCs/>
                <w:szCs w:val="21"/>
                <w:highlight w:val="none"/>
              </w:rPr>
            </w:pPr>
            <w:r>
              <w:rPr>
                <w:rFonts w:hint="eastAsia"/>
                <w:b/>
                <w:bCs/>
                <w:szCs w:val="21"/>
                <w:highlight w:val="none"/>
              </w:rPr>
              <w:t>行业名称</w:t>
            </w:r>
          </w:p>
        </w:tc>
        <w:tc>
          <w:tcPr>
            <w:tcW w:w="1530" w:type="dxa"/>
            <w:vAlign w:val="center"/>
          </w:tcPr>
          <w:p w14:paraId="6FD0BFF0">
            <w:pPr>
              <w:spacing w:line="240" w:lineRule="exact"/>
              <w:jc w:val="center"/>
              <w:rPr>
                <w:b/>
                <w:bCs/>
                <w:szCs w:val="21"/>
                <w:highlight w:val="none"/>
              </w:rPr>
            </w:pPr>
            <w:r>
              <w:rPr>
                <w:rFonts w:hint="eastAsia"/>
                <w:b/>
                <w:bCs/>
                <w:szCs w:val="21"/>
                <w:highlight w:val="none"/>
              </w:rPr>
              <w:t>指标名称</w:t>
            </w:r>
          </w:p>
        </w:tc>
        <w:tc>
          <w:tcPr>
            <w:tcW w:w="780" w:type="dxa"/>
            <w:vAlign w:val="center"/>
          </w:tcPr>
          <w:p w14:paraId="58E5BE6E">
            <w:pPr>
              <w:spacing w:line="240" w:lineRule="exact"/>
              <w:jc w:val="center"/>
              <w:rPr>
                <w:b/>
                <w:bCs/>
                <w:szCs w:val="21"/>
                <w:highlight w:val="none"/>
              </w:rPr>
            </w:pPr>
            <w:r>
              <w:rPr>
                <w:rFonts w:hint="eastAsia"/>
                <w:b/>
                <w:bCs/>
                <w:szCs w:val="21"/>
                <w:highlight w:val="none"/>
              </w:rPr>
              <w:t>计量</w:t>
            </w:r>
          </w:p>
          <w:p w14:paraId="62EB3198">
            <w:pPr>
              <w:spacing w:line="240" w:lineRule="exact"/>
              <w:jc w:val="center"/>
              <w:rPr>
                <w:b/>
                <w:bCs/>
                <w:szCs w:val="21"/>
                <w:highlight w:val="none"/>
              </w:rPr>
            </w:pPr>
            <w:r>
              <w:rPr>
                <w:rFonts w:hint="eastAsia"/>
                <w:b/>
                <w:bCs/>
                <w:szCs w:val="21"/>
                <w:highlight w:val="none"/>
              </w:rPr>
              <w:t>单位</w:t>
            </w:r>
          </w:p>
        </w:tc>
        <w:tc>
          <w:tcPr>
            <w:tcW w:w="1170" w:type="dxa"/>
            <w:vAlign w:val="center"/>
          </w:tcPr>
          <w:p w14:paraId="50409D9C">
            <w:pPr>
              <w:spacing w:line="240" w:lineRule="exact"/>
              <w:jc w:val="center"/>
              <w:rPr>
                <w:b/>
                <w:bCs/>
                <w:szCs w:val="21"/>
                <w:highlight w:val="none"/>
              </w:rPr>
            </w:pPr>
            <w:r>
              <w:rPr>
                <w:rFonts w:hint="eastAsia"/>
                <w:b/>
                <w:bCs/>
                <w:szCs w:val="21"/>
                <w:highlight w:val="none"/>
              </w:rPr>
              <w:t>大型</w:t>
            </w:r>
          </w:p>
        </w:tc>
        <w:tc>
          <w:tcPr>
            <w:tcW w:w="1875" w:type="dxa"/>
            <w:vAlign w:val="center"/>
          </w:tcPr>
          <w:p w14:paraId="188D00FB">
            <w:pPr>
              <w:spacing w:line="240" w:lineRule="exact"/>
              <w:jc w:val="center"/>
              <w:rPr>
                <w:b/>
                <w:bCs/>
                <w:szCs w:val="21"/>
                <w:highlight w:val="none"/>
              </w:rPr>
            </w:pPr>
            <w:r>
              <w:rPr>
                <w:rFonts w:hint="eastAsia"/>
                <w:b/>
                <w:bCs/>
                <w:szCs w:val="21"/>
                <w:highlight w:val="none"/>
              </w:rPr>
              <w:t>中型</w:t>
            </w:r>
          </w:p>
        </w:tc>
        <w:tc>
          <w:tcPr>
            <w:tcW w:w="1414" w:type="dxa"/>
            <w:vAlign w:val="center"/>
          </w:tcPr>
          <w:p w14:paraId="627B931B">
            <w:pPr>
              <w:spacing w:line="240" w:lineRule="exact"/>
              <w:jc w:val="center"/>
              <w:rPr>
                <w:b/>
                <w:bCs/>
                <w:szCs w:val="21"/>
                <w:highlight w:val="none"/>
              </w:rPr>
            </w:pPr>
            <w:r>
              <w:rPr>
                <w:rFonts w:hint="eastAsia"/>
                <w:b/>
                <w:bCs/>
                <w:szCs w:val="21"/>
                <w:highlight w:val="none"/>
              </w:rPr>
              <w:t>小型</w:t>
            </w:r>
          </w:p>
        </w:tc>
        <w:tc>
          <w:tcPr>
            <w:tcW w:w="984" w:type="dxa"/>
            <w:vAlign w:val="center"/>
          </w:tcPr>
          <w:p w14:paraId="156B2659">
            <w:pPr>
              <w:spacing w:line="240" w:lineRule="exact"/>
              <w:jc w:val="center"/>
              <w:rPr>
                <w:b/>
                <w:bCs/>
                <w:szCs w:val="21"/>
                <w:highlight w:val="none"/>
              </w:rPr>
            </w:pPr>
            <w:r>
              <w:rPr>
                <w:rFonts w:hint="eastAsia"/>
                <w:b/>
                <w:bCs/>
                <w:szCs w:val="21"/>
                <w:highlight w:val="none"/>
              </w:rPr>
              <w:t>微型</w:t>
            </w:r>
          </w:p>
        </w:tc>
      </w:tr>
      <w:tr w14:paraId="336D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604" w:type="dxa"/>
            <w:vAlign w:val="center"/>
          </w:tcPr>
          <w:p w14:paraId="4AEE7748">
            <w:pPr>
              <w:spacing w:line="240" w:lineRule="exact"/>
              <w:jc w:val="center"/>
              <w:rPr>
                <w:b/>
                <w:szCs w:val="21"/>
                <w:highlight w:val="none"/>
              </w:rPr>
            </w:pPr>
            <w:r>
              <w:rPr>
                <w:rFonts w:hint="eastAsia"/>
                <w:b/>
                <w:szCs w:val="21"/>
                <w:highlight w:val="none"/>
              </w:rPr>
              <w:t>农、林、牧、渔业</w:t>
            </w:r>
          </w:p>
        </w:tc>
        <w:tc>
          <w:tcPr>
            <w:tcW w:w="1530" w:type="dxa"/>
            <w:vAlign w:val="center"/>
          </w:tcPr>
          <w:p w14:paraId="4D8F3236">
            <w:pPr>
              <w:spacing w:line="240" w:lineRule="exact"/>
              <w:jc w:val="center"/>
              <w:rPr>
                <w:b/>
                <w:szCs w:val="21"/>
                <w:highlight w:val="none"/>
              </w:rPr>
            </w:pPr>
            <w:r>
              <w:rPr>
                <w:rFonts w:hint="eastAsia"/>
                <w:b/>
                <w:szCs w:val="21"/>
                <w:highlight w:val="none"/>
              </w:rPr>
              <w:t>营业收入(Y)</w:t>
            </w:r>
          </w:p>
        </w:tc>
        <w:tc>
          <w:tcPr>
            <w:tcW w:w="780" w:type="dxa"/>
            <w:vAlign w:val="center"/>
          </w:tcPr>
          <w:p w14:paraId="07FB2571">
            <w:pPr>
              <w:spacing w:line="240" w:lineRule="exact"/>
              <w:jc w:val="center"/>
              <w:rPr>
                <w:b/>
                <w:szCs w:val="21"/>
                <w:highlight w:val="none"/>
              </w:rPr>
            </w:pPr>
            <w:r>
              <w:rPr>
                <w:rFonts w:hint="eastAsia"/>
                <w:b/>
                <w:szCs w:val="21"/>
                <w:highlight w:val="none"/>
              </w:rPr>
              <w:t>万元</w:t>
            </w:r>
          </w:p>
        </w:tc>
        <w:tc>
          <w:tcPr>
            <w:tcW w:w="1170" w:type="dxa"/>
            <w:vAlign w:val="center"/>
          </w:tcPr>
          <w:p w14:paraId="489B14F2">
            <w:pPr>
              <w:spacing w:line="240" w:lineRule="exact"/>
              <w:jc w:val="center"/>
              <w:rPr>
                <w:b/>
                <w:szCs w:val="21"/>
                <w:highlight w:val="none"/>
              </w:rPr>
            </w:pPr>
            <w:r>
              <w:rPr>
                <w:rFonts w:hint="eastAsia"/>
                <w:b/>
                <w:szCs w:val="21"/>
                <w:highlight w:val="none"/>
              </w:rPr>
              <w:t>Y≥20000</w:t>
            </w:r>
          </w:p>
        </w:tc>
        <w:tc>
          <w:tcPr>
            <w:tcW w:w="1875" w:type="dxa"/>
            <w:vAlign w:val="center"/>
          </w:tcPr>
          <w:p w14:paraId="18BE3605">
            <w:pPr>
              <w:spacing w:line="240" w:lineRule="exact"/>
              <w:jc w:val="center"/>
              <w:rPr>
                <w:b/>
                <w:szCs w:val="21"/>
                <w:highlight w:val="none"/>
              </w:rPr>
            </w:pPr>
            <w:r>
              <w:rPr>
                <w:rFonts w:hint="eastAsia"/>
                <w:b/>
                <w:szCs w:val="21"/>
                <w:highlight w:val="none"/>
              </w:rPr>
              <w:t>500≤Y＜20000</w:t>
            </w:r>
          </w:p>
        </w:tc>
        <w:tc>
          <w:tcPr>
            <w:tcW w:w="1414" w:type="dxa"/>
            <w:vAlign w:val="center"/>
          </w:tcPr>
          <w:p w14:paraId="37C61A97">
            <w:pPr>
              <w:spacing w:line="240" w:lineRule="exact"/>
              <w:jc w:val="center"/>
              <w:rPr>
                <w:b/>
                <w:szCs w:val="21"/>
                <w:highlight w:val="none"/>
              </w:rPr>
            </w:pPr>
            <w:r>
              <w:rPr>
                <w:rFonts w:hint="eastAsia"/>
                <w:b/>
                <w:szCs w:val="21"/>
                <w:highlight w:val="none"/>
              </w:rPr>
              <w:t>50≤Y＜500</w:t>
            </w:r>
          </w:p>
        </w:tc>
        <w:tc>
          <w:tcPr>
            <w:tcW w:w="984" w:type="dxa"/>
            <w:vAlign w:val="center"/>
          </w:tcPr>
          <w:p w14:paraId="4634AC41">
            <w:pPr>
              <w:spacing w:line="240" w:lineRule="exact"/>
              <w:jc w:val="center"/>
              <w:rPr>
                <w:b/>
                <w:szCs w:val="21"/>
                <w:highlight w:val="none"/>
              </w:rPr>
            </w:pPr>
            <w:r>
              <w:rPr>
                <w:rFonts w:hint="eastAsia"/>
                <w:b/>
                <w:szCs w:val="21"/>
                <w:highlight w:val="none"/>
              </w:rPr>
              <w:t>Y＜50</w:t>
            </w:r>
          </w:p>
        </w:tc>
      </w:tr>
      <w:tr w14:paraId="3A37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1604" w:type="dxa"/>
            <w:vMerge w:val="restart"/>
            <w:vAlign w:val="center"/>
          </w:tcPr>
          <w:p w14:paraId="02304FA5">
            <w:pPr>
              <w:spacing w:line="240" w:lineRule="exact"/>
              <w:jc w:val="center"/>
              <w:rPr>
                <w:b/>
                <w:szCs w:val="21"/>
                <w:highlight w:val="none"/>
              </w:rPr>
            </w:pPr>
            <w:r>
              <w:rPr>
                <w:rFonts w:hint="eastAsia"/>
                <w:b/>
                <w:szCs w:val="21"/>
                <w:highlight w:val="none"/>
              </w:rPr>
              <w:t>工业 *</w:t>
            </w:r>
          </w:p>
        </w:tc>
        <w:tc>
          <w:tcPr>
            <w:tcW w:w="1530" w:type="dxa"/>
            <w:vAlign w:val="center"/>
          </w:tcPr>
          <w:p w14:paraId="2F8BD074">
            <w:pPr>
              <w:spacing w:line="240" w:lineRule="exact"/>
              <w:jc w:val="center"/>
              <w:rPr>
                <w:b/>
                <w:szCs w:val="21"/>
                <w:highlight w:val="none"/>
              </w:rPr>
            </w:pPr>
            <w:r>
              <w:rPr>
                <w:rFonts w:hint="eastAsia"/>
                <w:b/>
                <w:szCs w:val="21"/>
                <w:highlight w:val="none"/>
              </w:rPr>
              <w:t>从业人员(X)</w:t>
            </w:r>
          </w:p>
        </w:tc>
        <w:tc>
          <w:tcPr>
            <w:tcW w:w="780" w:type="dxa"/>
            <w:vAlign w:val="center"/>
          </w:tcPr>
          <w:p w14:paraId="5659641F">
            <w:pPr>
              <w:spacing w:line="240" w:lineRule="exact"/>
              <w:jc w:val="center"/>
              <w:rPr>
                <w:b/>
                <w:szCs w:val="21"/>
                <w:highlight w:val="none"/>
              </w:rPr>
            </w:pPr>
            <w:r>
              <w:rPr>
                <w:rFonts w:hint="eastAsia"/>
                <w:b/>
                <w:szCs w:val="21"/>
                <w:highlight w:val="none"/>
              </w:rPr>
              <w:t>人</w:t>
            </w:r>
          </w:p>
        </w:tc>
        <w:tc>
          <w:tcPr>
            <w:tcW w:w="1170" w:type="dxa"/>
            <w:vAlign w:val="center"/>
          </w:tcPr>
          <w:p w14:paraId="1820F3E3">
            <w:pPr>
              <w:spacing w:line="240" w:lineRule="exact"/>
              <w:jc w:val="center"/>
              <w:rPr>
                <w:b/>
                <w:szCs w:val="21"/>
                <w:highlight w:val="none"/>
              </w:rPr>
            </w:pPr>
            <w:r>
              <w:rPr>
                <w:rFonts w:hint="eastAsia"/>
                <w:b/>
                <w:szCs w:val="21"/>
                <w:highlight w:val="none"/>
              </w:rPr>
              <w:t>X≥1000</w:t>
            </w:r>
          </w:p>
        </w:tc>
        <w:tc>
          <w:tcPr>
            <w:tcW w:w="1875" w:type="dxa"/>
            <w:vAlign w:val="center"/>
          </w:tcPr>
          <w:p w14:paraId="4B028AA4">
            <w:pPr>
              <w:spacing w:line="240" w:lineRule="exact"/>
              <w:jc w:val="center"/>
              <w:rPr>
                <w:b/>
                <w:szCs w:val="21"/>
                <w:highlight w:val="none"/>
              </w:rPr>
            </w:pPr>
            <w:r>
              <w:rPr>
                <w:rFonts w:hint="eastAsia"/>
                <w:b/>
                <w:szCs w:val="21"/>
                <w:highlight w:val="none"/>
              </w:rPr>
              <w:t>300≤X＜1000</w:t>
            </w:r>
          </w:p>
        </w:tc>
        <w:tc>
          <w:tcPr>
            <w:tcW w:w="1414" w:type="dxa"/>
            <w:vAlign w:val="center"/>
          </w:tcPr>
          <w:p w14:paraId="3329A4A1">
            <w:pPr>
              <w:spacing w:line="240" w:lineRule="exact"/>
              <w:jc w:val="center"/>
              <w:rPr>
                <w:b/>
                <w:szCs w:val="21"/>
                <w:highlight w:val="none"/>
              </w:rPr>
            </w:pPr>
            <w:r>
              <w:rPr>
                <w:rFonts w:hint="eastAsia"/>
                <w:b/>
                <w:szCs w:val="21"/>
                <w:highlight w:val="none"/>
              </w:rPr>
              <w:t>20≤X＜300</w:t>
            </w:r>
          </w:p>
        </w:tc>
        <w:tc>
          <w:tcPr>
            <w:tcW w:w="984" w:type="dxa"/>
            <w:vAlign w:val="center"/>
          </w:tcPr>
          <w:p w14:paraId="6E2A602E">
            <w:pPr>
              <w:spacing w:line="240" w:lineRule="exact"/>
              <w:jc w:val="center"/>
              <w:rPr>
                <w:b/>
                <w:szCs w:val="21"/>
                <w:highlight w:val="none"/>
              </w:rPr>
            </w:pPr>
            <w:r>
              <w:rPr>
                <w:rFonts w:hint="eastAsia"/>
                <w:b/>
                <w:szCs w:val="21"/>
                <w:highlight w:val="none"/>
              </w:rPr>
              <w:t>X＜20</w:t>
            </w:r>
          </w:p>
        </w:tc>
      </w:tr>
      <w:tr w14:paraId="100D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604" w:type="dxa"/>
            <w:vMerge w:val="continue"/>
            <w:vAlign w:val="center"/>
          </w:tcPr>
          <w:p w14:paraId="7B26E73E">
            <w:pPr>
              <w:spacing w:line="240" w:lineRule="exact"/>
              <w:jc w:val="center"/>
              <w:rPr>
                <w:b/>
                <w:szCs w:val="21"/>
                <w:highlight w:val="none"/>
              </w:rPr>
            </w:pPr>
          </w:p>
        </w:tc>
        <w:tc>
          <w:tcPr>
            <w:tcW w:w="1530" w:type="dxa"/>
            <w:vAlign w:val="center"/>
          </w:tcPr>
          <w:p w14:paraId="76747145">
            <w:pPr>
              <w:spacing w:line="240" w:lineRule="exact"/>
              <w:jc w:val="center"/>
              <w:rPr>
                <w:b/>
                <w:szCs w:val="21"/>
                <w:highlight w:val="none"/>
              </w:rPr>
            </w:pPr>
            <w:r>
              <w:rPr>
                <w:rFonts w:hint="eastAsia"/>
                <w:b/>
                <w:szCs w:val="21"/>
                <w:highlight w:val="none"/>
              </w:rPr>
              <w:t>营业收入(Y)</w:t>
            </w:r>
          </w:p>
        </w:tc>
        <w:tc>
          <w:tcPr>
            <w:tcW w:w="780" w:type="dxa"/>
            <w:vAlign w:val="center"/>
          </w:tcPr>
          <w:p w14:paraId="175B8A61">
            <w:pPr>
              <w:spacing w:line="240" w:lineRule="exact"/>
              <w:jc w:val="center"/>
              <w:rPr>
                <w:b/>
                <w:szCs w:val="21"/>
                <w:highlight w:val="none"/>
              </w:rPr>
            </w:pPr>
            <w:r>
              <w:rPr>
                <w:rFonts w:hint="eastAsia"/>
                <w:b/>
                <w:szCs w:val="21"/>
                <w:highlight w:val="none"/>
              </w:rPr>
              <w:t>万元</w:t>
            </w:r>
          </w:p>
        </w:tc>
        <w:tc>
          <w:tcPr>
            <w:tcW w:w="1170" w:type="dxa"/>
            <w:vAlign w:val="center"/>
          </w:tcPr>
          <w:p w14:paraId="19E48D18">
            <w:pPr>
              <w:spacing w:line="240" w:lineRule="exact"/>
              <w:jc w:val="center"/>
              <w:rPr>
                <w:b/>
                <w:szCs w:val="21"/>
                <w:highlight w:val="none"/>
              </w:rPr>
            </w:pPr>
            <w:r>
              <w:rPr>
                <w:rFonts w:hint="eastAsia"/>
                <w:b/>
                <w:szCs w:val="21"/>
                <w:highlight w:val="none"/>
              </w:rPr>
              <w:t>Y≥40000</w:t>
            </w:r>
          </w:p>
        </w:tc>
        <w:tc>
          <w:tcPr>
            <w:tcW w:w="1875" w:type="dxa"/>
            <w:vAlign w:val="center"/>
          </w:tcPr>
          <w:p w14:paraId="1FAFD50D">
            <w:pPr>
              <w:spacing w:line="240" w:lineRule="exact"/>
              <w:jc w:val="center"/>
              <w:rPr>
                <w:b/>
                <w:szCs w:val="21"/>
                <w:highlight w:val="none"/>
              </w:rPr>
            </w:pPr>
            <w:r>
              <w:rPr>
                <w:rFonts w:hint="eastAsia"/>
                <w:b/>
                <w:szCs w:val="21"/>
                <w:highlight w:val="none"/>
              </w:rPr>
              <w:t>2000≤Y＜40000</w:t>
            </w:r>
          </w:p>
        </w:tc>
        <w:tc>
          <w:tcPr>
            <w:tcW w:w="1414" w:type="dxa"/>
            <w:vAlign w:val="center"/>
          </w:tcPr>
          <w:p w14:paraId="60B6868D">
            <w:pPr>
              <w:spacing w:line="240" w:lineRule="exact"/>
              <w:jc w:val="center"/>
              <w:rPr>
                <w:b/>
                <w:szCs w:val="21"/>
                <w:highlight w:val="none"/>
              </w:rPr>
            </w:pPr>
            <w:r>
              <w:rPr>
                <w:rFonts w:hint="eastAsia"/>
                <w:b/>
                <w:szCs w:val="21"/>
                <w:highlight w:val="none"/>
              </w:rPr>
              <w:t>300≤Y＜2000</w:t>
            </w:r>
          </w:p>
        </w:tc>
        <w:tc>
          <w:tcPr>
            <w:tcW w:w="984" w:type="dxa"/>
            <w:vAlign w:val="center"/>
          </w:tcPr>
          <w:p w14:paraId="6A3721FE">
            <w:pPr>
              <w:spacing w:line="240" w:lineRule="exact"/>
              <w:jc w:val="center"/>
              <w:rPr>
                <w:b/>
                <w:szCs w:val="21"/>
                <w:highlight w:val="none"/>
              </w:rPr>
            </w:pPr>
            <w:r>
              <w:rPr>
                <w:rFonts w:hint="eastAsia"/>
                <w:b/>
                <w:szCs w:val="21"/>
                <w:highlight w:val="none"/>
              </w:rPr>
              <w:t>Y＜300</w:t>
            </w:r>
          </w:p>
        </w:tc>
      </w:tr>
      <w:tr w14:paraId="3381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604" w:type="dxa"/>
            <w:vMerge w:val="restart"/>
            <w:vAlign w:val="center"/>
          </w:tcPr>
          <w:p w14:paraId="58648F8C">
            <w:pPr>
              <w:spacing w:line="240" w:lineRule="exact"/>
              <w:jc w:val="center"/>
              <w:rPr>
                <w:b/>
                <w:szCs w:val="21"/>
                <w:highlight w:val="none"/>
              </w:rPr>
            </w:pPr>
            <w:r>
              <w:rPr>
                <w:rFonts w:hint="eastAsia"/>
                <w:b/>
                <w:szCs w:val="21"/>
                <w:highlight w:val="none"/>
              </w:rPr>
              <w:t>建筑业</w:t>
            </w:r>
          </w:p>
        </w:tc>
        <w:tc>
          <w:tcPr>
            <w:tcW w:w="1530" w:type="dxa"/>
            <w:vAlign w:val="center"/>
          </w:tcPr>
          <w:p w14:paraId="13189A89">
            <w:pPr>
              <w:spacing w:line="240" w:lineRule="exact"/>
              <w:jc w:val="center"/>
              <w:rPr>
                <w:b/>
                <w:szCs w:val="21"/>
                <w:highlight w:val="none"/>
              </w:rPr>
            </w:pPr>
            <w:r>
              <w:rPr>
                <w:rFonts w:hint="eastAsia"/>
                <w:b/>
                <w:szCs w:val="21"/>
                <w:highlight w:val="none"/>
              </w:rPr>
              <w:t>营业收入(Y)</w:t>
            </w:r>
          </w:p>
        </w:tc>
        <w:tc>
          <w:tcPr>
            <w:tcW w:w="780" w:type="dxa"/>
            <w:vAlign w:val="center"/>
          </w:tcPr>
          <w:p w14:paraId="400F89D6">
            <w:pPr>
              <w:spacing w:line="240" w:lineRule="exact"/>
              <w:jc w:val="center"/>
              <w:rPr>
                <w:b/>
                <w:szCs w:val="21"/>
                <w:highlight w:val="none"/>
              </w:rPr>
            </w:pPr>
            <w:r>
              <w:rPr>
                <w:rFonts w:hint="eastAsia"/>
                <w:b/>
                <w:szCs w:val="21"/>
                <w:highlight w:val="none"/>
              </w:rPr>
              <w:t>万元</w:t>
            </w:r>
          </w:p>
        </w:tc>
        <w:tc>
          <w:tcPr>
            <w:tcW w:w="1170" w:type="dxa"/>
            <w:vAlign w:val="center"/>
          </w:tcPr>
          <w:p w14:paraId="251BBA9D">
            <w:pPr>
              <w:spacing w:line="240" w:lineRule="exact"/>
              <w:jc w:val="center"/>
              <w:rPr>
                <w:b/>
                <w:szCs w:val="21"/>
                <w:highlight w:val="none"/>
              </w:rPr>
            </w:pPr>
            <w:r>
              <w:rPr>
                <w:rFonts w:hint="eastAsia"/>
                <w:b/>
                <w:szCs w:val="21"/>
                <w:highlight w:val="none"/>
              </w:rPr>
              <w:t>Y≥80000</w:t>
            </w:r>
          </w:p>
        </w:tc>
        <w:tc>
          <w:tcPr>
            <w:tcW w:w="1875" w:type="dxa"/>
            <w:vAlign w:val="center"/>
          </w:tcPr>
          <w:p w14:paraId="59371905">
            <w:pPr>
              <w:spacing w:line="240" w:lineRule="exact"/>
              <w:jc w:val="center"/>
              <w:rPr>
                <w:b/>
                <w:szCs w:val="21"/>
                <w:highlight w:val="none"/>
              </w:rPr>
            </w:pPr>
            <w:r>
              <w:rPr>
                <w:rFonts w:hint="eastAsia"/>
                <w:b/>
                <w:szCs w:val="21"/>
                <w:highlight w:val="none"/>
              </w:rPr>
              <w:t>6000≤Y＜80000</w:t>
            </w:r>
          </w:p>
        </w:tc>
        <w:tc>
          <w:tcPr>
            <w:tcW w:w="1414" w:type="dxa"/>
            <w:vAlign w:val="center"/>
          </w:tcPr>
          <w:p w14:paraId="7DCCEB0F">
            <w:pPr>
              <w:spacing w:line="240" w:lineRule="exact"/>
              <w:jc w:val="center"/>
              <w:rPr>
                <w:b/>
                <w:szCs w:val="21"/>
                <w:highlight w:val="none"/>
              </w:rPr>
            </w:pPr>
            <w:r>
              <w:rPr>
                <w:rFonts w:hint="eastAsia"/>
                <w:b/>
                <w:szCs w:val="21"/>
                <w:highlight w:val="none"/>
              </w:rPr>
              <w:t>300≤Y＜6000</w:t>
            </w:r>
          </w:p>
        </w:tc>
        <w:tc>
          <w:tcPr>
            <w:tcW w:w="984" w:type="dxa"/>
            <w:vAlign w:val="center"/>
          </w:tcPr>
          <w:p w14:paraId="33160F2A">
            <w:pPr>
              <w:spacing w:line="240" w:lineRule="exact"/>
              <w:jc w:val="center"/>
              <w:rPr>
                <w:b/>
                <w:szCs w:val="21"/>
                <w:highlight w:val="none"/>
              </w:rPr>
            </w:pPr>
            <w:r>
              <w:rPr>
                <w:rFonts w:hint="eastAsia"/>
                <w:b/>
                <w:szCs w:val="21"/>
                <w:highlight w:val="none"/>
              </w:rPr>
              <w:t>Y＜300</w:t>
            </w:r>
          </w:p>
        </w:tc>
      </w:tr>
      <w:tr w14:paraId="2819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604" w:type="dxa"/>
            <w:vMerge w:val="continue"/>
            <w:vAlign w:val="center"/>
          </w:tcPr>
          <w:p w14:paraId="4E850F99">
            <w:pPr>
              <w:spacing w:line="240" w:lineRule="exact"/>
              <w:jc w:val="center"/>
              <w:rPr>
                <w:b/>
                <w:szCs w:val="21"/>
                <w:highlight w:val="none"/>
              </w:rPr>
            </w:pPr>
          </w:p>
        </w:tc>
        <w:tc>
          <w:tcPr>
            <w:tcW w:w="1530" w:type="dxa"/>
            <w:vAlign w:val="center"/>
          </w:tcPr>
          <w:p w14:paraId="67381A1C">
            <w:pPr>
              <w:spacing w:line="240" w:lineRule="exact"/>
              <w:jc w:val="center"/>
              <w:rPr>
                <w:b/>
                <w:szCs w:val="21"/>
                <w:highlight w:val="none"/>
              </w:rPr>
            </w:pPr>
            <w:r>
              <w:rPr>
                <w:rFonts w:hint="eastAsia"/>
                <w:b/>
                <w:szCs w:val="21"/>
                <w:highlight w:val="none"/>
              </w:rPr>
              <w:t>资产总额(Z)</w:t>
            </w:r>
          </w:p>
        </w:tc>
        <w:tc>
          <w:tcPr>
            <w:tcW w:w="780" w:type="dxa"/>
            <w:vAlign w:val="center"/>
          </w:tcPr>
          <w:p w14:paraId="398303C4">
            <w:pPr>
              <w:spacing w:line="240" w:lineRule="exact"/>
              <w:jc w:val="center"/>
              <w:rPr>
                <w:b/>
                <w:szCs w:val="21"/>
                <w:highlight w:val="none"/>
              </w:rPr>
            </w:pPr>
            <w:r>
              <w:rPr>
                <w:rFonts w:hint="eastAsia"/>
                <w:b/>
                <w:szCs w:val="21"/>
                <w:highlight w:val="none"/>
              </w:rPr>
              <w:t>万元</w:t>
            </w:r>
          </w:p>
        </w:tc>
        <w:tc>
          <w:tcPr>
            <w:tcW w:w="1170" w:type="dxa"/>
            <w:vAlign w:val="center"/>
          </w:tcPr>
          <w:p w14:paraId="3C7BF148">
            <w:pPr>
              <w:spacing w:line="240" w:lineRule="exact"/>
              <w:jc w:val="center"/>
              <w:rPr>
                <w:b/>
                <w:szCs w:val="21"/>
                <w:highlight w:val="none"/>
              </w:rPr>
            </w:pPr>
            <w:r>
              <w:rPr>
                <w:rFonts w:hint="eastAsia"/>
                <w:b/>
                <w:szCs w:val="21"/>
                <w:highlight w:val="none"/>
              </w:rPr>
              <w:t>Z≥80000</w:t>
            </w:r>
          </w:p>
        </w:tc>
        <w:tc>
          <w:tcPr>
            <w:tcW w:w="1875" w:type="dxa"/>
            <w:vAlign w:val="center"/>
          </w:tcPr>
          <w:p w14:paraId="3D6741EF">
            <w:pPr>
              <w:spacing w:line="240" w:lineRule="exact"/>
              <w:jc w:val="center"/>
              <w:rPr>
                <w:b/>
                <w:szCs w:val="21"/>
                <w:highlight w:val="none"/>
              </w:rPr>
            </w:pPr>
            <w:r>
              <w:rPr>
                <w:rFonts w:hint="eastAsia"/>
                <w:b/>
                <w:szCs w:val="21"/>
                <w:highlight w:val="none"/>
              </w:rPr>
              <w:t>5000≤Z＜80000</w:t>
            </w:r>
          </w:p>
        </w:tc>
        <w:tc>
          <w:tcPr>
            <w:tcW w:w="1414" w:type="dxa"/>
            <w:vAlign w:val="center"/>
          </w:tcPr>
          <w:p w14:paraId="57263966">
            <w:pPr>
              <w:spacing w:line="240" w:lineRule="exact"/>
              <w:jc w:val="center"/>
              <w:rPr>
                <w:b/>
                <w:szCs w:val="21"/>
                <w:highlight w:val="none"/>
              </w:rPr>
            </w:pPr>
            <w:r>
              <w:rPr>
                <w:rFonts w:hint="eastAsia"/>
                <w:b/>
                <w:szCs w:val="21"/>
                <w:highlight w:val="none"/>
              </w:rPr>
              <w:t>300≤Z＜5000</w:t>
            </w:r>
          </w:p>
        </w:tc>
        <w:tc>
          <w:tcPr>
            <w:tcW w:w="984" w:type="dxa"/>
            <w:vAlign w:val="center"/>
          </w:tcPr>
          <w:p w14:paraId="53373039">
            <w:pPr>
              <w:spacing w:line="240" w:lineRule="exact"/>
              <w:jc w:val="center"/>
              <w:rPr>
                <w:b/>
                <w:szCs w:val="21"/>
                <w:highlight w:val="none"/>
              </w:rPr>
            </w:pPr>
            <w:r>
              <w:rPr>
                <w:rFonts w:hint="eastAsia"/>
                <w:b/>
                <w:szCs w:val="21"/>
                <w:highlight w:val="none"/>
              </w:rPr>
              <w:t>Z＜300</w:t>
            </w:r>
          </w:p>
        </w:tc>
      </w:tr>
      <w:tr w14:paraId="5B44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604" w:type="dxa"/>
            <w:vMerge w:val="restart"/>
            <w:vAlign w:val="center"/>
          </w:tcPr>
          <w:p w14:paraId="2E748697">
            <w:pPr>
              <w:spacing w:line="240" w:lineRule="exact"/>
              <w:jc w:val="center"/>
              <w:rPr>
                <w:b/>
                <w:szCs w:val="21"/>
                <w:highlight w:val="none"/>
              </w:rPr>
            </w:pPr>
            <w:r>
              <w:rPr>
                <w:rFonts w:hint="eastAsia"/>
                <w:b/>
                <w:szCs w:val="21"/>
                <w:highlight w:val="none"/>
              </w:rPr>
              <w:t>批发业</w:t>
            </w:r>
          </w:p>
        </w:tc>
        <w:tc>
          <w:tcPr>
            <w:tcW w:w="1530" w:type="dxa"/>
            <w:vAlign w:val="center"/>
          </w:tcPr>
          <w:p w14:paraId="7817219C">
            <w:pPr>
              <w:spacing w:line="240" w:lineRule="exact"/>
              <w:jc w:val="center"/>
              <w:rPr>
                <w:b/>
                <w:szCs w:val="21"/>
                <w:highlight w:val="none"/>
              </w:rPr>
            </w:pPr>
            <w:r>
              <w:rPr>
                <w:rFonts w:hint="eastAsia"/>
                <w:b/>
                <w:szCs w:val="21"/>
                <w:highlight w:val="none"/>
              </w:rPr>
              <w:t>从业人员(X)</w:t>
            </w:r>
          </w:p>
        </w:tc>
        <w:tc>
          <w:tcPr>
            <w:tcW w:w="780" w:type="dxa"/>
            <w:vAlign w:val="center"/>
          </w:tcPr>
          <w:p w14:paraId="65FB147E">
            <w:pPr>
              <w:spacing w:line="240" w:lineRule="exact"/>
              <w:jc w:val="center"/>
              <w:rPr>
                <w:b/>
                <w:szCs w:val="21"/>
                <w:highlight w:val="none"/>
              </w:rPr>
            </w:pPr>
            <w:r>
              <w:rPr>
                <w:rFonts w:hint="eastAsia"/>
                <w:b/>
                <w:szCs w:val="21"/>
                <w:highlight w:val="none"/>
              </w:rPr>
              <w:t>人</w:t>
            </w:r>
          </w:p>
        </w:tc>
        <w:tc>
          <w:tcPr>
            <w:tcW w:w="1170" w:type="dxa"/>
            <w:vAlign w:val="center"/>
          </w:tcPr>
          <w:p w14:paraId="4A821434">
            <w:pPr>
              <w:spacing w:line="240" w:lineRule="exact"/>
              <w:jc w:val="center"/>
              <w:rPr>
                <w:b/>
                <w:szCs w:val="21"/>
                <w:highlight w:val="none"/>
              </w:rPr>
            </w:pPr>
            <w:r>
              <w:rPr>
                <w:rFonts w:hint="eastAsia"/>
                <w:b/>
                <w:szCs w:val="21"/>
                <w:highlight w:val="none"/>
              </w:rPr>
              <w:t>X≥200</w:t>
            </w:r>
          </w:p>
        </w:tc>
        <w:tc>
          <w:tcPr>
            <w:tcW w:w="1875" w:type="dxa"/>
            <w:vAlign w:val="center"/>
          </w:tcPr>
          <w:p w14:paraId="46C77FCF">
            <w:pPr>
              <w:spacing w:line="240" w:lineRule="exact"/>
              <w:jc w:val="center"/>
              <w:rPr>
                <w:b/>
                <w:szCs w:val="21"/>
                <w:highlight w:val="none"/>
              </w:rPr>
            </w:pPr>
            <w:r>
              <w:rPr>
                <w:rFonts w:hint="eastAsia"/>
                <w:b/>
                <w:szCs w:val="21"/>
                <w:highlight w:val="none"/>
              </w:rPr>
              <w:t>20≤X＜200</w:t>
            </w:r>
          </w:p>
        </w:tc>
        <w:tc>
          <w:tcPr>
            <w:tcW w:w="1414" w:type="dxa"/>
            <w:vAlign w:val="center"/>
          </w:tcPr>
          <w:p w14:paraId="25BF3D3E">
            <w:pPr>
              <w:spacing w:line="240" w:lineRule="exact"/>
              <w:jc w:val="center"/>
              <w:rPr>
                <w:b/>
                <w:szCs w:val="21"/>
                <w:highlight w:val="none"/>
              </w:rPr>
            </w:pPr>
            <w:r>
              <w:rPr>
                <w:rFonts w:hint="eastAsia"/>
                <w:b/>
                <w:szCs w:val="21"/>
                <w:highlight w:val="none"/>
              </w:rPr>
              <w:t>5≤X＜20</w:t>
            </w:r>
          </w:p>
        </w:tc>
        <w:tc>
          <w:tcPr>
            <w:tcW w:w="984" w:type="dxa"/>
            <w:vAlign w:val="center"/>
          </w:tcPr>
          <w:p w14:paraId="116460DC">
            <w:pPr>
              <w:spacing w:line="240" w:lineRule="exact"/>
              <w:jc w:val="center"/>
              <w:rPr>
                <w:b/>
                <w:szCs w:val="21"/>
                <w:highlight w:val="none"/>
              </w:rPr>
            </w:pPr>
            <w:r>
              <w:rPr>
                <w:rFonts w:hint="eastAsia"/>
                <w:b/>
                <w:szCs w:val="21"/>
                <w:highlight w:val="none"/>
              </w:rPr>
              <w:t>X＜5</w:t>
            </w:r>
          </w:p>
        </w:tc>
      </w:tr>
      <w:tr w14:paraId="7125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1604" w:type="dxa"/>
            <w:vMerge w:val="continue"/>
            <w:vAlign w:val="center"/>
          </w:tcPr>
          <w:p w14:paraId="4D79ACDA">
            <w:pPr>
              <w:spacing w:line="240" w:lineRule="exact"/>
              <w:jc w:val="center"/>
              <w:rPr>
                <w:b/>
                <w:szCs w:val="21"/>
                <w:highlight w:val="none"/>
              </w:rPr>
            </w:pPr>
          </w:p>
        </w:tc>
        <w:tc>
          <w:tcPr>
            <w:tcW w:w="1530" w:type="dxa"/>
            <w:vAlign w:val="center"/>
          </w:tcPr>
          <w:p w14:paraId="522175CE">
            <w:pPr>
              <w:spacing w:line="240" w:lineRule="exact"/>
              <w:jc w:val="center"/>
              <w:rPr>
                <w:b/>
                <w:szCs w:val="21"/>
                <w:highlight w:val="none"/>
              </w:rPr>
            </w:pPr>
            <w:r>
              <w:rPr>
                <w:rFonts w:hint="eastAsia"/>
                <w:b/>
                <w:szCs w:val="21"/>
                <w:highlight w:val="none"/>
              </w:rPr>
              <w:t>营业收入(Y)</w:t>
            </w:r>
          </w:p>
        </w:tc>
        <w:tc>
          <w:tcPr>
            <w:tcW w:w="780" w:type="dxa"/>
            <w:vAlign w:val="center"/>
          </w:tcPr>
          <w:p w14:paraId="63467B55">
            <w:pPr>
              <w:spacing w:line="240" w:lineRule="exact"/>
              <w:jc w:val="center"/>
              <w:rPr>
                <w:b/>
                <w:szCs w:val="21"/>
                <w:highlight w:val="none"/>
              </w:rPr>
            </w:pPr>
            <w:r>
              <w:rPr>
                <w:rFonts w:hint="eastAsia"/>
                <w:b/>
                <w:szCs w:val="21"/>
                <w:highlight w:val="none"/>
              </w:rPr>
              <w:t>万元</w:t>
            </w:r>
          </w:p>
        </w:tc>
        <w:tc>
          <w:tcPr>
            <w:tcW w:w="1170" w:type="dxa"/>
            <w:vAlign w:val="center"/>
          </w:tcPr>
          <w:p w14:paraId="2C5E3D3B">
            <w:pPr>
              <w:spacing w:line="240" w:lineRule="exact"/>
              <w:jc w:val="center"/>
              <w:rPr>
                <w:b/>
                <w:szCs w:val="21"/>
                <w:highlight w:val="none"/>
              </w:rPr>
            </w:pPr>
            <w:r>
              <w:rPr>
                <w:rFonts w:hint="eastAsia"/>
                <w:b/>
                <w:szCs w:val="21"/>
                <w:highlight w:val="none"/>
              </w:rPr>
              <w:t>Y≥40000</w:t>
            </w:r>
          </w:p>
        </w:tc>
        <w:tc>
          <w:tcPr>
            <w:tcW w:w="1875" w:type="dxa"/>
            <w:vAlign w:val="center"/>
          </w:tcPr>
          <w:p w14:paraId="68D364C4">
            <w:pPr>
              <w:spacing w:line="240" w:lineRule="exact"/>
              <w:jc w:val="center"/>
              <w:rPr>
                <w:b/>
                <w:szCs w:val="21"/>
                <w:highlight w:val="none"/>
              </w:rPr>
            </w:pPr>
            <w:r>
              <w:rPr>
                <w:rFonts w:hint="eastAsia"/>
                <w:b/>
                <w:szCs w:val="21"/>
                <w:highlight w:val="none"/>
              </w:rPr>
              <w:t>5000≤Y＜40000</w:t>
            </w:r>
          </w:p>
        </w:tc>
        <w:tc>
          <w:tcPr>
            <w:tcW w:w="1414" w:type="dxa"/>
            <w:vAlign w:val="center"/>
          </w:tcPr>
          <w:p w14:paraId="6F7838F2">
            <w:pPr>
              <w:spacing w:line="240" w:lineRule="exact"/>
              <w:ind w:left="-1" w:leftChars="-1" w:hanging="1"/>
              <w:jc w:val="center"/>
              <w:rPr>
                <w:b/>
                <w:szCs w:val="21"/>
                <w:highlight w:val="none"/>
              </w:rPr>
            </w:pPr>
            <w:r>
              <w:rPr>
                <w:rFonts w:hint="eastAsia"/>
                <w:b/>
                <w:szCs w:val="21"/>
                <w:highlight w:val="none"/>
              </w:rPr>
              <w:t>1000≤Y＜5000</w:t>
            </w:r>
          </w:p>
        </w:tc>
        <w:tc>
          <w:tcPr>
            <w:tcW w:w="984" w:type="dxa"/>
            <w:vAlign w:val="center"/>
          </w:tcPr>
          <w:p w14:paraId="7425380D">
            <w:pPr>
              <w:spacing w:line="240" w:lineRule="exact"/>
              <w:jc w:val="center"/>
              <w:rPr>
                <w:b/>
                <w:szCs w:val="21"/>
                <w:highlight w:val="none"/>
              </w:rPr>
            </w:pPr>
            <w:r>
              <w:rPr>
                <w:rFonts w:hint="eastAsia"/>
                <w:b/>
                <w:szCs w:val="21"/>
                <w:highlight w:val="none"/>
              </w:rPr>
              <w:t>Y＜1000</w:t>
            </w:r>
          </w:p>
        </w:tc>
      </w:tr>
      <w:tr w14:paraId="2CBE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604" w:type="dxa"/>
            <w:vMerge w:val="restart"/>
            <w:vAlign w:val="center"/>
          </w:tcPr>
          <w:p w14:paraId="39BC2EA4">
            <w:pPr>
              <w:spacing w:line="240" w:lineRule="exact"/>
              <w:jc w:val="center"/>
              <w:rPr>
                <w:b/>
                <w:szCs w:val="21"/>
                <w:highlight w:val="none"/>
              </w:rPr>
            </w:pPr>
            <w:r>
              <w:rPr>
                <w:rFonts w:hint="eastAsia"/>
                <w:b/>
                <w:szCs w:val="21"/>
                <w:highlight w:val="none"/>
              </w:rPr>
              <w:t>零售业</w:t>
            </w:r>
          </w:p>
        </w:tc>
        <w:tc>
          <w:tcPr>
            <w:tcW w:w="1530" w:type="dxa"/>
            <w:vAlign w:val="center"/>
          </w:tcPr>
          <w:p w14:paraId="0F853CB4">
            <w:pPr>
              <w:spacing w:line="240" w:lineRule="exact"/>
              <w:jc w:val="center"/>
              <w:rPr>
                <w:b/>
                <w:szCs w:val="21"/>
                <w:highlight w:val="none"/>
              </w:rPr>
            </w:pPr>
            <w:r>
              <w:rPr>
                <w:rFonts w:hint="eastAsia"/>
                <w:b/>
                <w:szCs w:val="21"/>
                <w:highlight w:val="none"/>
              </w:rPr>
              <w:t>从业人员(X)</w:t>
            </w:r>
          </w:p>
        </w:tc>
        <w:tc>
          <w:tcPr>
            <w:tcW w:w="780" w:type="dxa"/>
            <w:vAlign w:val="center"/>
          </w:tcPr>
          <w:p w14:paraId="07467057">
            <w:pPr>
              <w:spacing w:line="240" w:lineRule="exact"/>
              <w:jc w:val="center"/>
              <w:rPr>
                <w:b/>
                <w:szCs w:val="21"/>
                <w:highlight w:val="none"/>
              </w:rPr>
            </w:pPr>
            <w:r>
              <w:rPr>
                <w:rFonts w:hint="eastAsia"/>
                <w:b/>
                <w:szCs w:val="21"/>
                <w:highlight w:val="none"/>
              </w:rPr>
              <w:t>人</w:t>
            </w:r>
          </w:p>
        </w:tc>
        <w:tc>
          <w:tcPr>
            <w:tcW w:w="1170" w:type="dxa"/>
            <w:vAlign w:val="center"/>
          </w:tcPr>
          <w:p w14:paraId="6DEED3DD">
            <w:pPr>
              <w:spacing w:line="240" w:lineRule="exact"/>
              <w:jc w:val="center"/>
              <w:rPr>
                <w:b/>
                <w:szCs w:val="21"/>
                <w:highlight w:val="none"/>
              </w:rPr>
            </w:pPr>
            <w:r>
              <w:rPr>
                <w:rFonts w:hint="eastAsia"/>
                <w:b/>
                <w:szCs w:val="21"/>
                <w:highlight w:val="none"/>
              </w:rPr>
              <w:t>X≥300</w:t>
            </w:r>
          </w:p>
        </w:tc>
        <w:tc>
          <w:tcPr>
            <w:tcW w:w="1875" w:type="dxa"/>
            <w:vAlign w:val="center"/>
          </w:tcPr>
          <w:p w14:paraId="4D1B7322">
            <w:pPr>
              <w:spacing w:line="240" w:lineRule="exact"/>
              <w:jc w:val="center"/>
              <w:rPr>
                <w:b/>
                <w:szCs w:val="21"/>
                <w:highlight w:val="none"/>
              </w:rPr>
            </w:pPr>
            <w:r>
              <w:rPr>
                <w:rFonts w:hint="eastAsia"/>
                <w:b/>
                <w:szCs w:val="21"/>
                <w:highlight w:val="none"/>
              </w:rPr>
              <w:t>50≤X＜300</w:t>
            </w:r>
          </w:p>
        </w:tc>
        <w:tc>
          <w:tcPr>
            <w:tcW w:w="1414" w:type="dxa"/>
            <w:vAlign w:val="center"/>
          </w:tcPr>
          <w:p w14:paraId="153A70BF">
            <w:pPr>
              <w:spacing w:line="240" w:lineRule="exact"/>
              <w:ind w:left="-1" w:leftChars="-1" w:hanging="1"/>
              <w:jc w:val="center"/>
              <w:rPr>
                <w:b/>
                <w:szCs w:val="21"/>
                <w:highlight w:val="none"/>
              </w:rPr>
            </w:pPr>
            <w:r>
              <w:rPr>
                <w:rFonts w:hint="eastAsia"/>
                <w:b/>
                <w:szCs w:val="21"/>
                <w:highlight w:val="none"/>
              </w:rPr>
              <w:t>10≤X＜50</w:t>
            </w:r>
          </w:p>
        </w:tc>
        <w:tc>
          <w:tcPr>
            <w:tcW w:w="984" w:type="dxa"/>
            <w:vAlign w:val="center"/>
          </w:tcPr>
          <w:p w14:paraId="25463657">
            <w:pPr>
              <w:spacing w:line="240" w:lineRule="exact"/>
              <w:jc w:val="center"/>
              <w:rPr>
                <w:b/>
                <w:szCs w:val="21"/>
                <w:highlight w:val="none"/>
              </w:rPr>
            </w:pPr>
            <w:r>
              <w:rPr>
                <w:rFonts w:hint="eastAsia"/>
                <w:b/>
                <w:szCs w:val="21"/>
                <w:highlight w:val="none"/>
              </w:rPr>
              <w:t>X＜10</w:t>
            </w:r>
          </w:p>
        </w:tc>
      </w:tr>
      <w:tr w14:paraId="0EFA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604" w:type="dxa"/>
            <w:vMerge w:val="continue"/>
            <w:vAlign w:val="center"/>
          </w:tcPr>
          <w:p w14:paraId="00A35AAB">
            <w:pPr>
              <w:spacing w:line="240" w:lineRule="exact"/>
              <w:jc w:val="center"/>
              <w:rPr>
                <w:b/>
                <w:szCs w:val="21"/>
                <w:highlight w:val="none"/>
              </w:rPr>
            </w:pPr>
          </w:p>
        </w:tc>
        <w:tc>
          <w:tcPr>
            <w:tcW w:w="1530" w:type="dxa"/>
            <w:vAlign w:val="center"/>
          </w:tcPr>
          <w:p w14:paraId="3AFF11E1">
            <w:pPr>
              <w:spacing w:line="240" w:lineRule="exact"/>
              <w:jc w:val="center"/>
              <w:rPr>
                <w:b/>
                <w:szCs w:val="21"/>
                <w:highlight w:val="none"/>
              </w:rPr>
            </w:pPr>
            <w:r>
              <w:rPr>
                <w:rFonts w:hint="eastAsia"/>
                <w:b/>
                <w:szCs w:val="21"/>
                <w:highlight w:val="none"/>
              </w:rPr>
              <w:t>营业收入(Y)</w:t>
            </w:r>
          </w:p>
        </w:tc>
        <w:tc>
          <w:tcPr>
            <w:tcW w:w="780" w:type="dxa"/>
            <w:vAlign w:val="center"/>
          </w:tcPr>
          <w:p w14:paraId="2E6DF02B">
            <w:pPr>
              <w:spacing w:line="240" w:lineRule="exact"/>
              <w:jc w:val="center"/>
              <w:rPr>
                <w:b/>
                <w:szCs w:val="21"/>
                <w:highlight w:val="none"/>
              </w:rPr>
            </w:pPr>
            <w:r>
              <w:rPr>
                <w:rFonts w:hint="eastAsia"/>
                <w:b/>
                <w:szCs w:val="21"/>
                <w:highlight w:val="none"/>
              </w:rPr>
              <w:t>万元</w:t>
            </w:r>
          </w:p>
        </w:tc>
        <w:tc>
          <w:tcPr>
            <w:tcW w:w="1170" w:type="dxa"/>
            <w:vAlign w:val="center"/>
          </w:tcPr>
          <w:p w14:paraId="53649297">
            <w:pPr>
              <w:spacing w:line="240" w:lineRule="exact"/>
              <w:jc w:val="center"/>
              <w:rPr>
                <w:b/>
                <w:szCs w:val="21"/>
                <w:highlight w:val="none"/>
              </w:rPr>
            </w:pPr>
            <w:r>
              <w:rPr>
                <w:rFonts w:hint="eastAsia"/>
                <w:b/>
                <w:szCs w:val="21"/>
                <w:highlight w:val="none"/>
              </w:rPr>
              <w:t>Y≥20000</w:t>
            </w:r>
          </w:p>
        </w:tc>
        <w:tc>
          <w:tcPr>
            <w:tcW w:w="1875" w:type="dxa"/>
            <w:vAlign w:val="center"/>
          </w:tcPr>
          <w:p w14:paraId="4D437788">
            <w:pPr>
              <w:spacing w:line="240" w:lineRule="exact"/>
              <w:jc w:val="center"/>
              <w:rPr>
                <w:b/>
                <w:szCs w:val="21"/>
                <w:highlight w:val="none"/>
              </w:rPr>
            </w:pPr>
            <w:r>
              <w:rPr>
                <w:rFonts w:hint="eastAsia"/>
                <w:b/>
                <w:szCs w:val="21"/>
                <w:highlight w:val="none"/>
              </w:rPr>
              <w:t>500≤Y＜20000</w:t>
            </w:r>
          </w:p>
        </w:tc>
        <w:tc>
          <w:tcPr>
            <w:tcW w:w="1414" w:type="dxa"/>
            <w:vAlign w:val="center"/>
          </w:tcPr>
          <w:p w14:paraId="59AB2EE3">
            <w:pPr>
              <w:spacing w:line="240" w:lineRule="exact"/>
              <w:ind w:left="-1" w:leftChars="-1" w:hanging="1"/>
              <w:jc w:val="center"/>
              <w:rPr>
                <w:b/>
                <w:szCs w:val="21"/>
                <w:highlight w:val="none"/>
              </w:rPr>
            </w:pPr>
            <w:r>
              <w:rPr>
                <w:rFonts w:hint="eastAsia"/>
                <w:b/>
                <w:szCs w:val="21"/>
                <w:highlight w:val="none"/>
              </w:rPr>
              <w:t>100≤Y＜500</w:t>
            </w:r>
          </w:p>
        </w:tc>
        <w:tc>
          <w:tcPr>
            <w:tcW w:w="984" w:type="dxa"/>
            <w:vAlign w:val="center"/>
          </w:tcPr>
          <w:p w14:paraId="1E94AFFD">
            <w:pPr>
              <w:spacing w:line="240" w:lineRule="exact"/>
              <w:jc w:val="center"/>
              <w:rPr>
                <w:b/>
                <w:szCs w:val="21"/>
                <w:highlight w:val="none"/>
              </w:rPr>
            </w:pPr>
            <w:r>
              <w:rPr>
                <w:rFonts w:hint="eastAsia"/>
                <w:b/>
                <w:szCs w:val="21"/>
                <w:highlight w:val="none"/>
              </w:rPr>
              <w:t>Y＜100</w:t>
            </w:r>
          </w:p>
        </w:tc>
      </w:tr>
      <w:tr w14:paraId="6433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604" w:type="dxa"/>
            <w:vMerge w:val="restart"/>
            <w:vAlign w:val="center"/>
          </w:tcPr>
          <w:p w14:paraId="36339B11">
            <w:pPr>
              <w:spacing w:line="240" w:lineRule="exact"/>
              <w:jc w:val="center"/>
              <w:rPr>
                <w:b/>
                <w:szCs w:val="21"/>
                <w:highlight w:val="none"/>
              </w:rPr>
            </w:pPr>
            <w:r>
              <w:rPr>
                <w:rFonts w:hint="eastAsia"/>
                <w:b/>
                <w:szCs w:val="21"/>
                <w:highlight w:val="none"/>
              </w:rPr>
              <w:t>交通运输业 *</w:t>
            </w:r>
          </w:p>
        </w:tc>
        <w:tc>
          <w:tcPr>
            <w:tcW w:w="1530" w:type="dxa"/>
            <w:vAlign w:val="center"/>
          </w:tcPr>
          <w:p w14:paraId="1BE4746C">
            <w:pPr>
              <w:spacing w:line="240" w:lineRule="exact"/>
              <w:jc w:val="center"/>
              <w:rPr>
                <w:b/>
                <w:szCs w:val="21"/>
                <w:highlight w:val="none"/>
              </w:rPr>
            </w:pPr>
            <w:r>
              <w:rPr>
                <w:rFonts w:hint="eastAsia"/>
                <w:b/>
                <w:szCs w:val="21"/>
                <w:highlight w:val="none"/>
              </w:rPr>
              <w:t>从业人员(X)</w:t>
            </w:r>
          </w:p>
        </w:tc>
        <w:tc>
          <w:tcPr>
            <w:tcW w:w="780" w:type="dxa"/>
            <w:vAlign w:val="center"/>
          </w:tcPr>
          <w:p w14:paraId="34F4778A">
            <w:pPr>
              <w:spacing w:line="240" w:lineRule="exact"/>
              <w:jc w:val="center"/>
              <w:rPr>
                <w:b/>
                <w:szCs w:val="21"/>
                <w:highlight w:val="none"/>
              </w:rPr>
            </w:pPr>
            <w:r>
              <w:rPr>
                <w:rFonts w:hint="eastAsia"/>
                <w:b/>
                <w:szCs w:val="21"/>
                <w:highlight w:val="none"/>
              </w:rPr>
              <w:t>人</w:t>
            </w:r>
          </w:p>
        </w:tc>
        <w:tc>
          <w:tcPr>
            <w:tcW w:w="1170" w:type="dxa"/>
            <w:vAlign w:val="center"/>
          </w:tcPr>
          <w:p w14:paraId="61C04F33">
            <w:pPr>
              <w:spacing w:line="240" w:lineRule="exact"/>
              <w:jc w:val="center"/>
              <w:rPr>
                <w:b/>
                <w:szCs w:val="21"/>
                <w:highlight w:val="none"/>
              </w:rPr>
            </w:pPr>
            <w:r>
              <w:rPr>
                <w:rFonts w:hint="eastAsia"/>
                <w:b/>
                <w:szCs w:val="21"/>
                <w:highlight w:val="none"/>
              </w:rPr>
              <w:t>X≥1000</w:t>
            </w:r>
          </w:p>
        </w:tc>
        <w:tc>
          <w:tcPr>
            <w:tcW w:w="1875" w:type="dxa"/>
            <w:vAlign w:val="center"/>
          </w:tcPr>
          <w:p w14:paraId="11286DDF">
            <w:pPr>
              <w:spacing w:line="240" w:lineRule="exact"/>
              <w:jc w:val="center"/>
              <w:rPr>
                <w:b/>
                <w:szCs w:val="21"/>
                <w:highlight w:val="none"/>
              </w:rPr>
            </w:pPr>
            <w:r>
              <w:rPr>
                <w:rFonts w:hint="eastAsia"/>
                <w:b/>
                <w:szCs w:val="21"/>
                <w:highlight w:val="none"/>
              </w:rPr>
              <w:t>300≤X＜1000</w:t>
            </w:r>
          </w:p>
        </w:tc>
        <w:tc>
          <w:tcPr>
            <w:tcW w:w="1414" w:type="dxa"/>
            <w:vAlign w:val="center"/>
          </w:tcPr>
          <w:p w14:paraId="2EE08B70">
            <w:pPr>
              <w:spacing w:line="240" w:lineRule="exact"/>
              <w:jc w:val="center"/>
              <w:rPr>
                <w:b/>
                <w:szCs w:val="21"/>
                <w:highlight w:val="none"/>
              </w:rPr>
            </w:pPr>
            <w:r>
              <w:rPr>
                <w:rFonts w:hint="eastAsia"/>
                <w:b/>
                <w:szCs w:val="21"/>
                <w:highlight w:val="none"/>
              </w:rPr>
              <w:t>20≤X＜300</w:t>
            </w:r>
          </w:p>
        </w:tc>
        <w:tc>
          <w:tcPr>
            <w:tcW w:w="984" w:type="dxa"/>
            <w:vAlign w:val="center"/>
          </w:tcPr>
          <w:p w14:paraId="34F4C1A9">
            <w:pPr>
              <w:spacing w:line="240" w:lineRule="exact"/>
              <w:jc w:val="center"/>
              <w:rPr>
                <w:b/>
                <w:szCs w:val="21"/>
                <w:highlight w:val="none"/>
              </w:rPr>
            </w:pPr>
            <w:r>
              <w:rPr>
                <w:rFonts w:hint="eastAsia"/>
                <w:b/>
                <w:szCs w:val="21"/>
                <w:highlight w:val="none"/>
              </w:rPr>
              <w:t>X＜20</w:t>
            </w:r>
          </w:p>
        </w:tc>
      </w:tr>
      <w:tr w14:paraId="14E7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604" w:type="dxa"/>
            <w:vMerge w:val="continue"/>
            <w:vAlign w:val="center"/>
          </w:tcPr>
          <w:p w14:paraId="4C3A2140">
            <w:pPr>
              <w:spacing w:line="240" w:lineRule="exact"/>
              <w:jc w:val="center"/>
              <w:rPr>
                <w:b/>
                <w:szCs w:val="21"/>
                <w:highlight w:val="none"/>
              </w:rPr>
            </w:pPr>
          </w:p>
        </w:tc>
        <w:tc>
          <w:tcPr>
            <w:tcW w:w="1530" w:type="dxa"/>
            <w:vAlign w:val="center"/>
          </w:tcPr>
          <w:p w14:paraId="436E3BE2">
            <w:pPr>
              <w:spacing w:line="240" w:lineRule="exact"/>
              <w:jc w:val="center"/>
              <w:rPr>
                <w:b/>
                <w:szCs w:val="21"/>
                <w:highlight w:val="none"/>
              </w:rPr>
            </w:pPr>
            <w:r>
              <w:rPr>
                <w:rFonts w:hint="eastAsia"/>
                <w:b/>
                <w:szCs w:val="21"/>
                <w:highlight w:val="none"/>
              </w:rPr>
              <w:t>营业收入(Y)</w:t>
            </w:r>
          </w:p>
        </w:tc>
        <w:tc>
          <w:tcPr>
            <w:tcW w:w="780" w:type="dxa"/>
            <w:vAlign w:val="center"/>
          </w:tcPr>
          <w:p w14:paraId="2F456730">
            <w:pPr>
              <w:spacing w:line="240" w:lineRule="exact"/>
              <w:jc w:val="center"/>
              <w:rPr>
                <w:b/>
                <w:szCs w:val="21"/>
                <w:highlight w:val="none"/>
              </w:rPr>
            </w:pPr>
            <w:r>
              <w:rPr>
                <w:rFonts w:hint="eastAsia"/>
                <w:b/>
                <w:szCs w:val="21"/>
                <w:highlight w:val="none"/>
              </w:rPr>
              <w:t>万元</w:t>
            </w:r>
          </w:p>
        </w:tc>
        <w:tc>
          <w:tcPr>
            <w:tcW w:w="1170" w:type="dxa"/>
            <w:vAlign w:val="center"/>
          </w:tcPr>
          <w:p w14:paraId="421DE6BD">
            <w:pPr>
              <w:spacing w:line="240" w:lineRule="exact"/>
              <w:jc w:val="center"/>
              <w:rPr>
                <w:b/>
                <w:szCs w:val="21"/>
                <w:highlight w:val="none"/>
              </w:rPr>
            </w:pPr>
            <w:r>
              <w:rPr>
                <w:rFonts w:hint="eastAsia"/>
                <w:b/>
                <w:szCs w:val="21"/>
                <w:highlight w:val="none"/>
              </w:rPr>
              <w:t>Y≥30000</w:t>
            </w:r>
          </w:p>
        </w:tc>
        <w:tc>
          <w:tcPr>
            <w:tcW w:w="1875" w:type="dxa"/>
            <w:vAlign w:val="center"/>
          </w:tcPr>
          <w:p w14:paraId="021EA19C">
            <w:pPr>
              <w:spacing w:line="240" w:lineRule="exact"/>
              <w:jc w:val="center"/>
              <w:rPr>
                <w:b/>
                <w:szCs w:val="21"/>
                <w:highlight w:val="none"/>
              </w:rPr>
            </w:pPr>
            <w:r>
              <w:rPr>
                <w:rFonts w:hint="eastAsia"/>
                <w:b/>
                <w:szCs w:val="21"/>
                <w:highlight w:val="none"/>
              </w:rPr>
              <w:t>3000≤Y＜30000</w:t>
            </w:r>
          </w:p>
        </w:tc>
        <w:tc>
          <w:tcPr>
            <w:tcW w:w="1414" w:type="dxa"/>
            <w:vAlign w:val="center"/>
          </w:tcPr>
          <w:p w14:paraId="50DC6805">
            <w:pPr>
              <w:spacing w:line="240" w:lineRule="exact"/>
              <w:jc w:val="center"/>
              <w:rPr>
                <w:b/>
                <w:szCs w:val="21"/>
                <w:highlight w:val="none"/>
              </w:rPr>
            </w:pPr>
            <w:r>
              <w:rPr>
                <w:rFonts w:hint="eastAsia"/>
                <w:b/>
                <w:szCs w:val="21"/>
                <w:highlight w:val="none"/>
              </w:rPr>
              <w:t>200≤Y＜3000</w:t>
            </w:r>
          </w:p>
        </w:tc>
        <w:tc>
          <w:tcPr>
            <w:tcW w:w="984" w:type="dxa"/>
            <w:vAlign w:val="center"/>
          </w:tcPr>
          <w:p w14:paraId="389DE0AB">
            <w:pPr>
              <w:spacing w:line="240" w:lineRule="exact"/>
              <w:jc w:val="center"/>
              <w:rPr>
                <w:b/>
                <w:szCs w:val="21"/>
                <w:highlight w:val="none"/>
              </w:rPr>
            </w:pPr>
            <w:r>
              <w:rPr>
                <w:rFonts w:hint="eastAsia"/>
                <w:b/>
                <w:szCs w:val="21"/>
                <w:highlight w:val="none"/>
              </w:rPr>
              <w:t>Y＜200</w:t>
            </w:r>
          </w:p>
        </w:tc>
      </w:tr>
      <w:tr w14:paraId="42BE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604" w:type="dxa"/>
            <w:vMerge w:val="restart"/>
            <w:vAlign w:val="center"/>
          </w:tcPr>
          <w:p w14:paraId="5CE410CE">
            <w:pPr>
              <w:spacing w:line="240" w:lineRule="exact"/>
              <w:jc w:val="center"/>
              <w:rPr>
                <w:b/>
                <w:szCs w:val="21"/>
                <w:highlight w:val="none"/>
              </w:rPr>
            </w:pPr>
            <w:r>
              <w:rPr>
                <w:rFonts w:hint="eastAsia"/>
                <w:b/>
                <w:szCs w:val="21"/>
                <w:highlight w:val="none"/>
              </w:rPr>
              <w:t>仓储业*</w:t>
            </w:r>
          </w:p>
        </w:tc>
        <w:tc>
          <w:tcPr>
            <w:tcW w:w="1530" w:type="dxa"/>
            <w:vAlign w:val="center"/>
          </w:tcPr>
          <w:p w14:paraId="518BC8B3">
            <w:pPr>
              <w:spacing w:line="240" w:lineRule="exact"/>
              <w:jc w:val="center"/>
              <w:rPr>
                <w:b/>
                <w:szCs w:val="21"/>
                <w:highlight w:val="none"/>
              </w:rPr>
            </w:pPr>
            <w:r>
              <w:rPr>
                <w:rFonts w:hint="eastAsia"/>
                <w:b/>
                <w:szCs w:val="21"/>
                <w:highlight w:val="none"/>
              </w:rPr>
              <w:t>从业人员(X)</w:t>
            </w:r>
          </w:p>
        </w:tc>
        <w:tc>
          <w:tcPr>
            <w:tcW w:w="780" w:type="dxa"/>
            <w:vAlign w:val="center"/>
          </w:tcPr>
          <w:p w14:paraId="49203195">
            <w:pPr>
              <w:spacing w:line="240" w:lineRule="exact"/>
              <w:jc w:val="center"/>
              <w:rPr>
                <w:b/>
                <w:szCs w:val="21"/>
                <w:highlight w:val="none"/>
              </w:rPr>
            </w:pPr>
            <w:r>
              <w:rPr>
                <w:rFonts w:hint="eastAsia"/>
                <w:b/>
                <w:szCs w:val="21"/>
                <w:highlight w:val="none"/>
              </w:rPr>
              <w:t>人</w:t>
            </w:r>
          </w:p>
        </w:tc>
        <w:tc>
          <w:tcPr>
            <w:tcW w:w="1170" w:type="dxa"/>
            <w:vAlign w:val="center"/>
          </w:tcPr>
          <w:p w14:paraId="268E8229">
            <w:pPr>
              <w:spacing w:line="240" w:lineRule="exact"/>
              <w:jc w:val="center"/>
              <w:rPr>
                <w:b/>
                <w:szCs w:val="21"/>
                <w:highlight w:val="none"/>
              </w:rPr>
            </w:pPr>
            <w:r>
              <w:rPr>
                <w:rFonts w:hint="eastAsia"/>
                <w:b/>
                <w:szCs w:val="21"/>
                <w:highlight w:val="none"/>
              </w:rPr>
              <w:t>X≥200</w:t>
            </w:r>
          </w:p>
        </w:tc>
        <w:tc>
          <w:tcPr>
            <w:tcW w:w="1875" w:type="dxa"/>
            <w:vAlign w:val="center"/>
          </w:tcPr>
          <w:p w14:paraId="5604491A">
            <w:pPr>
              <w:spacing w:line="240" w:lineRule="exact"/>
              <w:ind w:left="21" w:leftChars="-51" w:hanging="133" w:hangingChars="60"/>
              <w:jc w:val="center"/>
              <w:rPr>
                <w:b/>
                <w:szCs w:val="21"/>
                <w:highlight w:val="none"/>
              </w:rPr>
            </w:pPr>
            <w:r>
              <w:rPr>
                <w:rFonts w:hint="eastAsia"/>
                <w:b/>
                <w:szCs w:val="21"/>
                <w:highlight w:val="none"/>
              </w:rPr>
              <w:t>100≤X＜200</w:t>
            </w:r>
          </w:p>
        </w:tc>
        <w:tc>
          <w:tcPr>
            <w:tcW w:w="1414" w:type="dxa"/>
            <w:vAlign w:val="center"/>
          </w:tcPr>
          <w:p w14:paraId="2D0B90F6">
            <w:pPr>
              <w:spacing w:line="240" w:lineRule="exact"/>
              <w:jc w:val="center"/>
              <w:rPr>
                <w:b/>
                <w:szCs w:val="21"/>
                <w:highlight w:val="none"/>
              </w:rPr>
            </w:pPr>
            <w:r>
              <w:rPr>
                <w:rFonts w:hint="eastAsia"/>
                <w:b/>
                <w:szCs w:val="21"/>
                <w:highlight w:val="none"/>
              </w:rPr>
              <w:t>20≤X＜100</w:t>
            </w:r>
          </w:p>
        </w:tc>
        <w:tc>
          <w:tcPr>
            <w:tcW w:w="984" w:type="dxa"/>
            <w:vAlign w:val="center"/>
          </w:tcPr>
          <w:p w14:paraId="2A13DA3D">
            <w:pPr>
              <w:spacing w:line="240" w:lineRule="exact"/>
              <w:jc w:val="center"/>
              <w:rPr>
                <w:b/>
                <w:szCs w:val="21"/>
                <w:highlight w:val="none"/>
              </w:rPr>
            </w:pPr>
            <w:r>
              <w:rPr>
                <w:rFonts w:hint="eastAsia"/>
                <w:b/>
                <w:szCs w:val="21"/>
                <w:highlight w:val="none"/>
              </w:rPr>
              <w:t>X＜20</w:t>
            </w:r>
          </w:p>
        </w:tc>
      </w:tr>
      <w:tr w14:paraId="7CAE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1604" w:type="dxa"/>
            <w:vMerge w:val="continue"/>
            <w:vAlign w:val="center"/>
          </w:tcPr>
          <w:p w14:paraId="4EC24A5F">
            <w:pPr>
              <w:spacing w:line="240" w:lineRule="exact"/>
              <w:jc w:val="center"/>
              <w:rPr>
                <w:b/>
                <w:szCs w:val="21"/>
                <w:highlight w:val="none"/>
              </w:rPr>
            </w:pPr>
          </w:p>
        </w:tc>
        <w:tc>
          <w:tcPr>
            <w:tcW w:w="1530" w:type="dxa"/>
            <w:vAlign w:val="center"/>
          </w:tcPr>
          <w:p w14:paraId="2FF10560">
            <w:pPr>
              <w:spacing w:line="240" w:lineRule="exact"/>
              <w:jc w:val="center"/>
              <w:rPr>
                <w:b/>
                <w:szCs w:val="21"/>
                <w:highlight w:val="none"/>
              </w:rPr>
            </w:pPr>
            <w:r>
              <w:rPr>
                <w:rFonts w:hint="eastAsia"/>
                <w:b/>
                <w:szCs w:val="21"/>
                <w:highlight w:val="none"/>
              </w:rPr>
              <w:t>营业收入(Y)</w:t>
            </w:r>
          </w:p>
        </w:tc>
        <w:tc>
          <w:tcPr>
            <w:tcW w:w="780" w:type="dxa"/>
            <w:vAlign w:val="center"/>
          </w:tcPr>
          <w:p w14:paraId="2B9AC282">
            <w:pPr>
              <w:spacing w:line="240" w:lineRule="exact"/>
              <w:jc w:val="center"/>
              <w:rPr>
                <w:b/>
                <w:szCs w:val="21"/>
                <w:highlight w:val="none"/>
              </w:rPr>
            </w:pPr>
            <w:r>
              <w:rPr>
                <w:rFonts w:hint="eastAsia"/>
                <w:b/>
                <w:szCs w:val="21"/>
                <w:highlight w:val="none"/>
              </w:rPr>
              <w:t>万元</w:t>
            </w:r>
          </w:p>
        </w:tc>
        <w:tc>
          <w:tcPr>
            <w:tcW w:w="1170" w:type="dxa"/>
            <w:vAlign w:val="center"/>
          </w:tcPr>
          <w:p w14:paraId="1BB82208">
            <w:pPr>
              <w:spacing w:line="240" w:lineRule="exact"/>
              <w:jc w:val="center"/>
              <w:rPr>
                <w:b/>
                <w:szCs w:val="21"/>
                <w:highlight w:val="none"/>
              </w:rPr>
            </w:pPr>
            <w:r>
              <w:rPr>
                <w:rFonts w:hint="eastAsia"/>
                <w:b/>
                <w:szCs w:val="21"/>
                <w:highlight w:val="none"/>
              </w:rPr>
              <w:t>Y≥30000</w:t>
            </w:r>
          </w:p>
        </w:tc>
        <w:tc>
          <w:tcPr>
            <w:tcW w:w="1875" w:type="dxa"/>
            <w:vAlign w:val="center"/>
          </w:tcPr>
          <w:p w14:paraId="7489B677">
            <w:pPr>
              <w:spacing w:line="240" w:lineRule="exact"/>
              <w:jc w:val="center"/>
              <w:rPr>
                <w:b/>
                <w:szCs w:val="21"/>
                <w:highlight w:val="none"/>
              </w:rPr>
            </w:pPr>
            <w:r>
              <w:rPr>
                <w:rFonts w:hint="eastAsia"/>
                <w:b/>
                <w:szCs w:val="21"/>
                <w:highlight w:val="none"/>
              </w:rPr>
              <w:t>1000≤Y＜30000</w:t>
            </w:r>
          </w:p>
        </w:tc>
        <w:tc>
          <w:tcPr>
            <w:tcW w:w="1414" w:type="dxa"/>
            <w:vAlign w:val="center"/>
          </w:tcPr>
          <w:p w14:paraId="2CC067EF">
            <w:pPr>
              <w:spacing w:line="240" w:lineRule="exact"/>
              <w:jc w:val="center"/>
              <w:rPr>
                <w:b/>
                <w:szCs w:val="21"/>
                <w:highlight w:val="none"/>
              </w:rPr>
            </w:pPr>
            <w:r>
              <w:rPr>
                <w:rFonts w:hint="eastAsia"/>
                <w:b/>
                <w:szCs w:val="21"/>
                <w:highlight w:val="none"/>
              </w:rPr>
              <w:t>100≤Y＜1000</w:t>
            </w:r>
          </w:p>
        </w:tc>
        <w:tc>
          <w:tcPr>
            <w:tcW w:w="984" w:type="dxa"/>
            <w:vAlign w:val="center"/>
          </w:tcPr>
          <w:p w14:paraId="747DB8C1">
            <w:pPr>
              <w:spacing w:line="240" w:lineRule="exact"/>
              <w:jc w:val="center"/>
              <w:rPr>
                <w:b/>
                <w:szCs w:val="21"/>
                <w:highlight w:val="none"/>
              </w:rPr>
            </w:pPr>
            <w:r>
              <w:rPr>
                <w:rFonts w:hint="eastAsia"/>
                <w:b/>
                <w:szCs w:val="21"/>
                <w:highlight w:val="none"/>
              </w:rPr>
              <w:t>Y＜100</w:t>
            </w:r>
          </w:p>
        </w:tc>
      </w:tr>
      <w:tr w14:paraId="79FC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604" w:type="dxa"/>
            <w:vMerge w:val="restart"/>
            <w:vAlign w:val="center"/>
          </w:tcPr>
          <w:p w14:paraId="08254447">
            <w:pPr>
              <w:spacing w:line="240" w:lineRule="exact"/>
              <w:jc w:val="center"/>
              <w:rPr>
                <w:b/>
                <w:szCs w:val="21"/>
                <w:highlight w:val="none"/>
              </w:rPr>
            </w:pPr>
            <w:r>
              <w:rPr>
                <w:rFonts w:hint="eastAsia"/>
                <w:b/>
                <w:szCs w:val="21"/>
                <w:highlight w:val="none"/>
              </w:rPr>
              <w:t>邮政业</w:t>
            </w:r>
          </w:p>
        </w:tc>
        <w:tc>
          <w:tcPr>
            <w:tcW w:w="1530" w:type="dxa"/>
            <w:vAlign w:val="center"/>
          </w:tcPr>
          <w:p w14:paraId="73E919ED">
            <w:pPr>
              <w:spacing w:line="240" w:lineRule="exact"/>
              <w:jc w:val="center"/>
              <w:rPr>
                <w:b/>
                <w:szCs w:val="21"/>
                <w:highlight w:val="none"/>
              </w:rPr>
            </w:pPr>
            <w:r>
              <w:rPr>
                <w:rFonts w:hint="eastAsia"/>
                <w:b/>
                <w:szCs w:val="21"/>
                <w:highlight w:val="none"/>
              </w:rPr>
              <w:t>从业人员(X)</w:t>
            </w:r>
          </w:p>
        </w:tc>
        <w:tc>
          <w:tcPr>
            <w:tcW w:w="780" w:type="dxa"/>
            <w:vAlign w:val="center"/>
          </w:tcPr>
          <w:p w14:paraId="4FEE5C23">
            <w:pPr>
              <w:spacing w:line="240" w:lineRule="exact"/>
              <w:jc w:val="center"/>
              <w:rPr>
                <w:b/>
                <w:szCs w:val="21"/>
                <w:highlight w:val="none"/>
              </w:rPr>
            </w:pPr>
            <w:r>
              <w:rPr>
                <w:rFonts w:hint="eastAsia"/>
                <w:b/>
                <w:szCs w:val="21"/>
                <w:highlight w:val="none"/>
              </w:rPr>
              <w:t>人</w:t>
            </w:r>
          </w:p>
        </w:tc>
        <w:tc>
          <w:tcPr>
            <w:tcW w:w="1170" w:type="dxa"/>
            <w:vAlign w:val="center"/>
          </w:tcPr>
          <w:p w14:paraId="5C1F8314">
            <w:pPr>
              <w:spacing w:line="240" w:lineRule="exact"/>
              <w:jc w:val="center"/>
              <w:rPr>
                <w:b/>
                <w:szCs w:val="21"/>
                <w:highlight w:val="none"/>
              </w:rPr>
            </w:pPr>
            <w:r>
              <w:rPr>
                <w:rFonts w:hint="eastAsia"/>
                <w:b/>
                <w:szCs w:val="21"/>
                <w:highlight w:val="none"/>
              </w:rPr>
              <w:t>X≥1000</w:t>
            </w:r>
          </w:p>
        </w:tc>
        <w:tc>
          <w:tcPr>
            <w:tcW w:w="1875" w:type="dxa"/>
            <w:vAlign w:val="center"/>
          </w:tcPr>
          <w:p w14:paraId="6601D1B2">
            <w:pPr>
              <w:spacing w:line="240" w:lineRule="exact"/>
              <w:jc w:val="center"/>
              <w:rPr>
                <w:b/>
                <w:szCs w:val="21"/>
                <w:highlight w:val="none"/>
              </w:rPr>
            </w:pPr>
            <w:r>
              <w:rPr>
                <w:rFonts w:hint="eastAsia"/>
                <w:b/>
                <w:szCs w:val="21"/>
                <w:highlight w:val="none"/>
              </w:rPr>
              <w:t>300≤X＜1000</w:t>
            </w:r>
          </w:p>
        </w:tc>
        <w:tc>
          <w:tcPr>
            <w:tcW w:w="1414" w:type="dxa"/>
            <w:vAlign w:val="center"/>
          </w:tcPr>
          <w:p w14:paraId="494A9223">
            <w:pPr>
              <w:spacing w:line="240" w:lineRule="exact"/>
              <w:jc w:val="center"/>
              <w:rPr>
                <w:b/>
                <w:szCs w:val="21"/>
                <w:highlight w:val="none"/>
              </w:rPr>
            </w:pPr>
            <w:r>
              <w:rPr>
                <w:rFonts w:hint="eastAsia"/>
                <w:b/>
                <w:szCs w:val="21"/>
                <w:highlight w:val="none"/>
              </w:rPr>
              <w:t>20≤X＜300</w:t>
            </w:r>
          </w:p>
        </w:tc>
        <w:tc>
          <w:tcPr>
            <w:tcW w:w="984" w:type="dxa"/>
            <w:vAlign w:val="center"/>
          </w:tcPr>
          <w:p w14:paraId="5A8C9323">
            <w:pPr>
              <w:spacing w:line="240" w:lineRule="exact"/>
              <w:jc w:val="center"/>
              <w:rPr>
                <w:b/>
                <w:szCs w:val="21"/>
                <w:highlight w:val="none"/>
              </w:rPr>
            </w:pPr>
            <w:r>
              <w:rPr>
                <w:rFonts w:hint="eastAsia"/>
                <w:b/>
                <w:szCs w:val="21"/>
                <w:highlight w:val="none"/>
              </w:rPr>
              <w:t>X＜20</w:t>
            </w:r>
          </w:p>
        </w:tc>
      </w:tr>
      <w:tr w14:paraId="6C2F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604" w:type="dxa"/>
            <w:vMerge w:val="continue"/>
            <w:vAlign w:val="center"/>
          </w:tcPr>
          <w:p w14:paraId="7385F5E2">
            <w:pPr>
              <w:spacing w:line="240" w:lineRule="exact"/>
              <w:jc w:val="center"/>
              <w:rPr>
                <w:b/>
                <w:szCs w:val="21"/>
                <w:highlight w:val="none"/>
              </w:rPr>
            </w:pPr>
          </w:p>
        </w:tc>
        <w:tc>
          <w:tcPr>
            <w:tcW w:w="1530" w:type="dxa"/>
            <w:vAlign w:val="center"/>
          </w:tcPr>
          <w:p w14:paraId="4258B5E8">
            <w:pPr>
              <w:spacing w:line="240" w:lineRule="exact"/>
              <w:jc w:val="center"/>
              <w:rPr>
                <w:b/>
                <w:szCs w:val="21"/>
                <w:highlight w:val="none"/>
              </w:rPr>
            </w:pPr>
            <w:r>
              <w:rPr>
                <w:rFonts w:hint="eastAsia"/>
                <w:b/>
                <w:szCs w:val="21"/>
                <w:highlight w:val="none"/>
              </w:rPr>
              <w:t>营业收入(Y)</w:t>
            </w:r>
          </w:p>
        </w:tc>
        <w:tc>
          <w:tcPr>
            <w:tcW w:w="780" w:type="dxa"/>
            <w:vAlign w:val="center"/>
          </w:tcPr>
          <w:p w14:paraId="4D0AF0DB">
            <w:pPr>
              <w:spacing w:line="240" w:lineRule="exact"/>
              <w:jc w:val="center"/>
              <w:rPr>
                <w:b/>
                <w:szCs w:val="21"/>
                <w:highlight w:val="none"/>
              </w:rPr>
            </w:pPr>
            <w:r>
              <w:rPr>
                <w:rFonts w:hint="eastAsia"/>
                <w:b/>
                <w:szCs w:val="21"/>
                <w:highlight w:val="none"/>
              </w:rPr>
              <w:t>万元</w:t>
            </w:r>
          </w:p>
        </w:tc>
        <w:tc>
          <w:tcPr>
            <w:tcW w:w="1170" w:type="dxa"/>
            <w:vAlign w:val="center"/>
          </w:tcPr>
          <w:p w14:paraId="420DCB96">
            <w:pPr>
              <w:spacing w:line="240" w:lineRule="exact"/>
              <w:jc w:val="center"/>
              <w:rPr>
                <w:b/>
                <w:szCs w:val="21"/>
                <w:highlight w:val="none"/>
              </w:rPr>
            </w:pPr>
            <w:r>
              <w:rPr>
                <w:rFonts w:hint="eastAsia"/>
                <w:b/>
                <w:szCs w:val="21"/>
                <w:highlight w:val="none"/>
              </w:rPr>
              <w:t>Y≥30000</w:t>
            </w:r>
          </w:p>
        </w:tc>
        <w:tc>
          <w:tcPr>
            <w:tcW w:w="1875" w:type="dxa"/>
            <w:vAlign w:val="center"/>
          </w:tcPr>
          <w:p w14:paraId="5AAFAC81">
            <w:pPr>
              <w:spacing w:line="240" w:lineRule="exact"/>
              <w:jc w:val="center"/>
              <w:rPr>
                <w:b/>
                <w:szCs w:val="21"/>
                <w:highlight w:val="none"/>
              </w:rPr>
            </w:pPr>
            <w:r>
              <w:rPr>
                <w:rFonts w:hint="eastAsia"/>
                <w:b/>
                <w:szCs w:val="21"/>
                <w:highlight w:val="none"/>
              </w:rPr>
              <w:t>2000≤Y＜30000</w:t>
            </w:r>
          </w:p>
        </w:tc>
        <w:tc>
          <w:tcPr>
            <w:tcW w:w="1414" w:type="dxa"/>
            <w:vAlign w:val="center"/>
          </w:tcPr>
          <w:p w14:paraId="72B81F67">
            <w:pPr>
              <w:spacing w:line="240" w:lineRule="exact"/>
              <w:jc w:val="center"/>
              <w:rPr>
                <w:b/>
                <w:szCs w:val="21"/>
                <w:highlight w:val="none"/>
              </w:rPr>
            </w:pPr>
            <w:r>
              <w:rPr>
                <w:rFonts w:hint="eastAsia"/>
                <w:b/>
                <w:szCs w:val="21"/>
                <w:highlight w:val="none"/>
              </w:rPr>
              <w:t>100≤Y＜2000</w:t>
            </w:r>
          </w:p>
        </w:tc>
        <w:tc>
          <w:tcPr>
            <w:tcW w:w="984" w:type="dxa"/>
            <w:vAlign w:val="center"/>
          </w:tcPr>
          <w:p w14:paraId="4BCF6517">
            <w:pPr>
              <w:spacing w:line="240" w:lineRule="exact"/>
              <w:jc w:val="center"/>
              <w:rPr>
                <w:b/>
                <w:szCs w:val="21"/>
                <w:highlight w:val="none"/>
              </w:rPr>
            </w:pPr>
            <w:r>
              <w:rPr>
                <w:rFonts w:hint="eastAsia"/>
                <w:b/>
                <w:szCs w:val="21"/>
                <w:highlight w:val="none"/>
              </w:rPr>
              <w:t>Y＜100</w:t>
            </w:r>
          </w:p>
        </w:tc>
      </w:tr>
      <w:tr w14:paraId="007E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1604" w:type="dxa"/>
            <w:vMerge w:val="restart"/>
            <w:vAlign w:val="center"/>
          </w:tcPr>
          <w:p w14:paraId="6CFE55CC">
            <w:pPr>
              <w:spacing w:line="240" w:lineRule="exact"/>
              <w:jc w:val="center"/>
              <w:rPr>
                <w:b/>
                <w:szCs w:val="21"/>
                <w:highlight w:val="none"/>
              </w:rPr>
            </w:pPr>
            <w:r>
              <w:rPr>
                <w:rFonts w:hint="eastAsia"/>
                <w:b/>
                <w:szCs w:val="21"/>
                <w:highlight w:val="none"/>
              </w:rPr>
              <w:t>住宿业</w:t>
            </w:r>
          </w:p>
        </w:tc>
        <w:tc>
          <w:tcPr>
            <w:tcW w:w="1530" w:type="dxa"/>
            <w:vAlign w:val="center"/>
          </w:tcPr>
          <w:p w14:paraId="10DD8871">
            <w:pPr>
              <w:spacing w:line="240" w:lineRule="exact"/>
              <w:jc w:val="center"/>
              <w:rPr>
                <w:b/>
                <w:szCs w:val="21"/>
                <w:highlight w:val="none"/>
              </w:rPr>
            </w:pPr>
            <w:r>
              <w:rPr>
                <w:rFonts w:hint="eastAsia"/>
                <w:b/>
                <w:szCs w:val="21"/>
                <w:highlight w:val="none"/>
              </w:rPr>
              <w:t>从业人员(X)</w:t>
            </w:r>
          </w:p>
        </w:tc>
        <w:tc>
          <w:tcPr>
            <w:tcW w:w="780" w:type="dxa"/>
            <w:vAlign w:val="center"/>
          </w:tcPr>
          <w:p w14:paraId="09738875">
            <w:pPr>
              <w:spacing w:line="240" w:lineRule="exact"/>
              <w:jc w:val="center"/>
              <w:rPr>
                <w:b/>
                <w:szCs w:val="21"/>
                <w:highlight w:val="none"/>
              </w:rPr>
            </w:pPr>
            <w:r>
              <w:rPr>
                <w:rFonts w:hint="eastAsia"/>
                <w:b/>
                <w:szCs w:val="21"/>
                <w:highlight w:val="none"/>
              </w:rPr>
              <w:t>人</w:t>
            </w:r>
          </w:p>
        </w:tc>
        <w:tc>
          <w:tcPr>
            <w:tcW w:w="1170" w:type="dxa"/>
            <w:vAlign w:val="center"/>
          </w:tcPr>
          <w:p w14:paraId="62C3CE59">
            <w:pPr>
              <w:spacing w:line="240" w:lineRule="exact"/>
              <w:jc w:val="center"/>
              <w:rPr>
                <w:b/>
                <w:szCs w:val="21"/>
                <w:highlight w:val="none"/>
              </w:rPr>
            </w:pPr>
            <w:r>
              <w:rPr>
                <w:rFonts w:hint="eastAsia"/>
                <w:b/>
                <w:szCs w:val="21"/>
                <w:highlight w:val="none"/>
              </w:rPr>
              <w:t>X≥300</w:t>
            </w:r>
          </w:p>
        </w:tc>
        <w:tc>
          <w:tcPr>
            <w:tcW w:w="1875" w:type="dxa"/>
            <w:vAlign w:val="center"/>
          </w:tcPr>
          <w:p w14:paraId="1C605601">
            <w:pPr>
              <w:spacing w:line="240" w:lineRule="exact"/>
              <w:ind w:left="21" w:leftChars="-51" w:hanging="133" w:hangingChars="60"/>
              <w:jc w:val="center"/>
              <w:rPr>
                <w:b/>
                <w:szCs w:val="21"/>
                <w:highlight w:val="none"/>
              </w:rPr>
            </w:pPr>
            <w:r>
              <w:rPr>
                <w:rFonts w:hint="eastAsia"/>
                <w:b/>
                <w:szCs w:val="21"/>
                <w:highlight w:val="none"/>
              </w:rPr>
              <w:t>100≤X＜300</w:t>
            </w:r>
          </w:p>
        </w:tc>
        <w:tc>
          <w:tcPr>
            <w:tcW w:w="1414" w:type="dxa"/>
            <w:vAlign w:val="center"/>
          </w:tcPr>
          <w:p w14:paraId="4D0A9071">
            <w:pPr>
              <w:spacing w:line="240" w:lineRule="exact"/>
              <w:jc w:val="center"/>
              <w:rPr>
                <w:b/>
                <w:szCs w:val="21"/>
                <w:highlight w:val="none"/>
              </w:rPr>
            </w:pPr>
            <w:r>
              <w:rPr>
                <w:rFonts w:hint="eastAsia"/>
                <w:b/>
                <w:szCs w:val="21"/>
                <w:highlight w:val="none"/>
              </w:rPr>
              <w:t>10≤X＜100</w:t>
            </w:r>
          </w:p>
        </w:tc>
        <w:tc>
          <w:tcPr>
            <w:tcW w:w="984" w:type="dxa"/>
            <w:vAlign w:val="center"/>
          </w:tcPr>
          <w:p w14:paraId="13AE0E7F">
            <w:pPr>
              <w:spacing w:line="240" w:lineRule="exact"/>
              <w:jc w:val="center"/>
              <w:rPr>
                <w:b/>
                <w:szCs w:val="21"/>
                <w:highlight w:val="none"/>
              </w:rPr>
            </w:pPr>
            <w:r>
              <w:rPr>
                <w:rFonts w:hint="eastAsia"/>
                <w:b/>
                <w:szCs w:val="21"/>
                <w:highlight w:val="none"/>
              </w:rPr>
              <w:t>X＜10</w:t>
            </w:r>
          </w:p>
        </w:tc>
      </w:tr>
      <w:tr w14:paraId="092D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604" w:type="dxa"/>
            <w:vMerge w:val="continue"/>
            <w:vAlign w:val="center"/>
          </w:tcPr>
          <w:p w14:paraId="04727D36">
            <w:pPr>
              <w:spacing w:line="240" w:lineRule="exact"/>
              <w:jc w:val="center"/>
              <w:rPr>
                <w:b/>
                <w:szCs w:val="21"/>
                <w:highlight w:val="none"/>
              </w:rPr>
            </w:pPr>
          </w:p>
        </w:tc>
        <w:tc>
          <w:tcPr>
            <w:tcW w:w="1530" w:type="dxa"/>
            <w:vAlign w:val="center"/>
          </w:tcPr>
          <w:p w14:paraId="76DECA13">
            <w:pPr>
              <w:spacing w:line="240" w:lineRule="exact"/>
              <w:jc w:val="center"/>
              <w:rPr>
                <w:b/>
                <w:szCs w:val="21"/>
                <w:highlight w:val="none"/>
              </w:rPr>
            </w:pPr>
            <w:r>
              <w:rPr>
                <w:rFonts w:hint="eastAsia"/>
                <w:b/>
                <w:szCs w:val="21"/>
                <w:highlight w:val="none"/>
              </w:rPr>
              <w:t>营业收入(Y)</w:t>
            </w:r>
          </w:p>
        </w:tc>
        <w:tc>
          <w:tcPr>
            <w:tcW w:w="780" w:type="dxa"/>
            <w:vAlign w:val="center"/>
          </w:tcPr>
          <w:p w14:paraId="1F2F13E7">
            <w:pPr>
              <w:spacing w:line="240" w:lineRule="exact"/>
              <w:jc w:val="center"/>
              <w:rPr>
                <w:b/>
                <w:szCs w:val="21"/>
                <w:highlight w:val="none"/>
              </w:rPr>
            </w:pPr>
            <w:r>
              <w:rPr>
                <w:rFonts w:hint="eastAsia"/>
                <w:b/>
                <w:szCs w:val="21"/>
                <w:highlight w:val="none"/>
              </w:rPr>
              <w:t>万元</w:t>
            </w:r>
          </w:p>
        </w:tc>
        <w:tc>
          <w:tcPr>
            <w:tcW w:w="1170" w:type="dxa"/>
            <w:vAlign w:val="center"/>
          </w:tcPr>
          <w:p w14:paraId="2DF4DFED">
            <w:pPr>
              <w:spacing w:line="240" w:lineRule="exact"/>
              <w:jc w:val="center"/>
              <w:rPr>
                <w:b/>
                <w:szCs w:val="21"/>
                <w:highlight w:val="none"/>
              </w:rPr>
            </w:pPr>
            <w:r>
              <w:rPr>
                <w:rFonts w:hint="eastAsia"/>
                <w:b/>
                <w:szCs w:val="21"/>
                <w:highlight w:val="none"/>
              </w:rPr>
              <w:t>Y≥10000</w:t>
            </w:r>
          </w:p>
        </w:tc>
        <w:tc>
          <w:tcPr>
            <w:tcW w:w="1875" w:type="dxa"/>
            <w:vAlign w:val="center"/>
          </w:tcPr>
          <w:p w14:paraId="76778E36">
            <w:pPr>
              <w:spacing w:line="240" w:lineRule="exact"/>
              <w:jc w:val="center"/>
              <w:rPr>
                <w:b/>
                <w:szCs w:val="21"/>
                <w:highlight w:val="none"/>
              </w:rPr>
            </w:pPr>
            <w:r>
              <w:rPr>
                <w:rFonts w:hint="eastAsia"/>
                <w:b/>
                <w:szCs w:val="21"/>
                <w:highlight w:val="none"/>
              </w:rPr>
              <w:t>2000≤Y＜10000</w:t>
            </w:r>
          </w:p>
        </w:tc>
        <w:tc>
          <w:tcPr>
            <w:tcW w:w="1414" w:type="dxa"/>
            <w:vAlign w:val="center"/>
          </w:tcPr>
          <w:p w14:paraId="11481BE5">
            <w:pPr>
              <w:spacing w:line="240" w:lineRule="exact"/>
              <w:jc w:val="center"/>
              <w:rPr>
                <w:b/>
                <w:szCs w:val="21"/>
                <w:highlight w:val="none"/>
              </w:rPr>
            </w:pPr>
            <w:r>
              <w:rPr>
                <w:rFonts w:hint="eastAsia"/>
                <w:b/>
                <w:szCs w:val="21"/>
                <w:highlight w:val="none"/>
              </w:rPr>
              <w:t>100≤Y＜2000</w:t>
            </w:r>
          </w:p>
        </w:tc>
        <w:tc>
          <w:tcPr>
            <w:tcW w:w="984" w:type="dxa"/>
            <w:vAlign w:val="center"/>
          </w:tcPr>
          <w:p w14:paraId="75E38F75">
            <w:pPr>
              <w:spacing w:line="240" w:lineRule="exact"/>
              <w:jc w:val="center"/>
              <w:rPr>
                <w:b/>
                <w:szCs w:val="21"/>
                <w:highlight w:val="none"/>
              </w:rPr>
            </w:pPr>
            <w:r>
              <w:rPr>
                <w:rFonts w:hint="eastAsia"/>
                <w:b/>
                <w:szCs w:val="21"/>
                <w:highlight w:val="none"/>
              </w:rPr>
              <w:t>Y＜100</w:t>
            </w:r>
          </w:p>
        </w:tc>
      </w:tr>
      <w:tr w14:paraId="7E8E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604" w:type="dxa"/>
            <w:vMerge w:val="restart"/>
            <w:vAlign w:val="center"/>
          </w:tcPr>
          <w:p w14:paraId="4ED36829">
            <w:pPr>
              <w:spacing w:line="240" w:lineRule="exact"/>
              <w:jc w:val="center"/>
              <w:rPr>
                <w:b/>
                <w:szCs w:val="21"/>
                <w:highlight w:val="none"/>
              </w:rPr>
            </w:pPr>
            <w:r>
              <w:rPr>
                <w:rFonts w:hint="eastAsia"/>
                <w:b/>
                <w:szCs w:val="21"/>
                <w:highlight w:val="none"/>
              </w:rPr>
              <w:t>餐饮业</w:t>
            </w:r>
          </w:p>
        </w:tc>
        <w:tc>
          <w:tcPr>
            <w:tcW w:w="1530" w:type="dxa"/>
            <w:vAlign w:val="center"/>
          </w:tcPr>
          <w:p w14:paraId="4E5558A3">
            <w:pPr>
              <w:spacing w:line="240" w:lineRule="exact"/>
              <w:jc w:val="center"/>
              <w:rPr>
                <w:b/>
                <w:szCs w:val="21"/>
                <w:highlight w:val="none"/>
              </w:rPr>
            </w:pPr>
            <w:r>
              <w:rPr>
                <w:rFonts w:hint="eastAsia"/>
                <w:b/>
                <w:szCs w:val="21"/>
                <w:highlight w:val="none"/>
              </w:rPr>
              <w:t>从业人员(X)</w:t>
            </w:r>
          </w:p>
        </w:tc>
        <w:tc>
          <w:tcPr>
            <w:tcW w:w="780" w:type="dxa"/>
            <w:vAlign w:val="center"/>
          </w:tcPr>
          <w:p w14:paraId="152349BD">
            <w:pPr>
              <w:spacing w:line="240" w:lineRule="exact"/>
              <w:jc w:val="center"/>
              <w:rPr>
                <w:b/>
                <w:szCs w:val="21"/>
                <w:highlight w:val="none"/>
              </w:rPr>
            </w:pPr>
            <w:r>
              <w:rPr>
                <w:rFonts w:hint="eastAsia"/>
                <w:b/>
                <w:szCs w:val="21"/>
                <w:highlight w:val="none"/>
              </w:rPr>
              <w:t>人</w:t>
            </w:r>
          </w:p>
        </w:tc>
        <w:tc>
          <w:tcPr>
            <w:tcW w:w="1170" w:type="dxa"/>
            <w:vAlign w:val="center"/>
          </w:tcPr>
          <w:p w14:paraId="15904800">
            <w:pPr>
              <w:spacing w:line="240" w:lineRule="exact"/>
              <w:jc w:val="center"/>
              <w:rPr>
                <w:b/>
                <w:szCs w:val="21"/>
                <w:highlight w:val="none"/>
              </w:rPr>
            </w:pPr>
            <w:r>
              <w:rPr>
                <w:rFonts w:hint="eastAsia"/>
                <w:b/>
                <w:szCs w:val="21"/>
                <w:highlight w:val="none"/>
              </w:rPr>
              <w:t>X≥300</w:t>
            </w:r>
          </w:p>
        </w:tc>
        <w:tc>
          <w:tcPr>
            <w:tcW w:w="1875" w:type="dxa"/>
            <w:vAlign w:val="center"/>
          </w:tcPr>
          <w:p w14:paraId="538D324F">
            <w:pPr>
              <w:spacing w:line="240" w:lineRule="exact"/>
              <w:ind w:left="21" w:leftChars="-51" w:hanging="133" w:hangingChars="60"/>
              <w:jc w:val="center"/>
              <w:rPr>
                <w:b/>
                <w:szCs w:val="21"/>
                <w:highlight w:val="none"/>
              </w:rPr>
            </w:pPr>
            <w:r>
              <w:rPr>
                <w:rFonts w:hint="eastAsia"/>
                <w:b/>
                <w:szCs w:val="21"/>
                <w:highlight w:val="none"/>
              </w:rPr>
              <w:t>100≤X＜300</w:t>
            </w:r>
          </w:p>
        </w:tc>
        <w:tc>
          <w:tcPr>
            <w:tcW w:w="1414" w:type="dxa"/>
            <w:vAlign w:val="center"/>
          </w:tcPr>
          <w:p w14:paraId="7B99D813">
            <w:pPr>
              <w:spacing w:line="240" w:lineRule="exact"/>
              <w:jc w:val="center"/>
              <w:rPr>
                <w:b/>
                <w:szCs w:val="21"/>
                <w:highlight w:val="none"/>
              </w:rPr>
            </w:pPr>
            <w:r>
              <w:rPr>
                <w:rFonts w:hint="eastAsia"/>
                <w:b/>
                <w:szCs w:val="21"/>
                <w:highlight w:val="none"/>
              </w:rPr>
              <w:t>10≤X＜100</w:t>
            </w:r>
          </w:p>
        </w:tc>
        <w:tc>
          <w:tcPr>
            <w:tcW w:w="984" w:type="dxa"/>
            <w:vAlign w:val="center"/>
          </w:tcPr>
          <w:p w14:paraId="2BEBE5E9">
            <w:pPr>
              <w:spacing w:line="240" w:lineRule="exact"/>
              <w:jc w:val="center"/>
              <w:rPr>
                <w:b/>
                <w:szCs w:val="21"/>
                <w:highlight w:val="none"/>
              </w:rPr>
            </w:pPr>
            <w:r>
              <w:rPr>
                <w:rFonts w:hint="eastAsia"/>
                <w:b/>
                <w:szCs w:val="21"/>
                <w:highlight w:val="none"/>
              </w:rPr>
              <w:t>X＜10</w:t>
            </w:r>
          </w:p>
        </w:tc>
      </w:tr>
      <w:tr w14:paraId="5754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604" w:type="dxa"/>
            <w:vMerge w:val="continue"/>
            <w:vAlign w:val="center"/>
          </w:tcPr>
          <w:p w14:paraId="50A29DC2">
            <w:pPr>
              <w:spacing w:line="240" w:lineRule="exact"/>
              <w:jc w:val="center"/>
              <w:rPr>
                <w:b/>
                <w:szCs w:val="21"/>
                <w:highlight w:val="none"/>
              </w:rPr>
            </w:pPr>
          </w:p>
        </w:tc>
        <w:tc>
          <w:tcPr>
            <w:tcW w:w="1530" w:type="dxa"/>
            <w:vAlign w:val="center"/>
          </w:tcPr>
          <w:p w14:paraId="2AAFAF7C">
            <w:pPr>
              <w:spacing w:line="240" w:lineRule="exact"/>
              <w:jc w:val="center"/>
              <w:rPr>
                <w:b/>
                <w:szCs w:val="21"/>
                <w:highlight w:val="none"/>
              </w:rPr>
            </w:pPr>
            <w:r>
              <w:rPr>
                <w:rFonts w:hint="eastAsia"/>
                <w:b/>
                <w:szCs w:val="21"/>
                <w:highlight w:val="none"/>
              </w:rPr>
              <w:t>营业收入(Y)</w:t>
            </w:r>
          </w:p>
        </w:tc>
        <w:tc>
          <w:tcPr>
            <w:tcW w:w="780" w:type="dxa"/>
            <w:vAlign w:val="center"/>
          </w:tcPr>
          <w:p w14:paraId="44869795">
            <w:pPr>
              <w:spacing w:line="240" w:lineRule="exact"/>
              <w:jc w:val="center"/>
              <w:rPr>
                <w:b/>
                <w:szCs w:val="21"/>
                <w:highlight w:val="none"/>
              </w:rPr>
            </w:pPr>
            <w:r>
              <w:rPr>
                <w:rFonts w:hint="eastAsia"/>
                <w:b/>
                <w:szCs w:val="21"/>
                <w:highlight w:val="none"/>
              </w:rPr>
              <w:t>万元</w:t>
            </w:r>
          </w:p>
        </w:tc>
        <w:tc>
          <w:tcPr>
            <w:tcW w:w="1170" w:type="dxa"/>
            <w:vAlign w:val="center"/>
          </w:tcPr>
          <w:p w14:paraId="5C0E1890">
            <w:pPr>
              <w:spacing w:line="240" w:lineRule="exact"/>
              <w:jc w:val="center"/>
              <w:rPr>
                <w:b/>
                <w:szCs w:val="21"/>
                <w:highlight w:val="none"/>
              </w:rPr>
            </w:pPr>
            <w:r>
              <w:rPr>
                <w:rFonts w:hint="eastAsia"/>
                <w:b/>
                <w:szCs w:val="21"/>
                <w:highlight w:val="none"/>
              </w:rPr>
              <w:t>Y≥10000</w:t>
            </w:r>
          </w:p>
        </w:tc>
        <w:tc>
          <w:tcPr>
            <w:tcW w:w="1875" w:type="dxa"/>
            <w:vAlign w:val="center"/>
          </w:tcPr>
          <w:p w14:paraId="69BF6D52">
            <w:pPr>
              <w:spacing w:line="240" w:lineRule="exact"/>
              <w:jc w:val="center"/>
              <w:rPr>
                <w:b/>
                <w:szCs w:val="21"/>
                <w:highlight w:val="none"/>
              </w:rPr>
            </w:pPr>
            <w:r>
              <w:rPr>
                <w:rFonts w:hint="eastAsia"/>
                <w:b/>
                <w:szCs w:val="21"/>
                <w:highlight w:val="none"/>
              </w:rPr>
              <w:t>2000≤Y＜10000</w:t>
            </w:r>
          </w:p>
        </w:tc>
        <w:tc>
          <w:tcPr>
            <w:tcW w:w="1414" w:type="dxa"/>
            <w:vAlign w:val="center"/>
          </w:tcPr>
          <w:p w14:paraId="6661770F">
            <w:pPr>
              <w:spacing w:line="240" w:lineRule="exact"/>
              <w:jc w:val="center"/>
              <w:rPr>
                <w:b/>
                <w:szCs w:val="21"/>
                <w:highlight w:val="none"/>
              </w:rPr>
            </w:pPr>
            <w:r>
              <w:rPr>
                <w:rFonts w:hint="eastAsia"/>
                <w:b/>
                <w:szCs w:val="21"/>
                <w:highlight w:val="none"/>
              </w:rPr>
              <w:t>100≤Y＜2000</w:t>
            </w:r>
          </w:p>
        </w:tc>
        <w:tc>
          <w:tcPr>
            <w:tcW w:w="984" w:type="dxa"/>
            <w:vAlign w:val="center"/>
          </w:tcPr>
          <w:p w14:paraId="56F421F3">
            <w:pPr>
              <w:spacing w:line="240" w:lineRule="exact"/>
              <w:jc w:val="center"/>
              <w:rPr>
                <w:b/>
                <w:szCs w:val="21"/>
                <w:highlight w:val="none"/>
              </w:rPr>
            </w:pPr>
            <w:r>
              <w:rPr>
                <w:rFonts w:hint="eastAsia"/>
                <w:b/>
                <w:szCs w:val="21"/>
                <w:highlight w:val="none"/>
              </w:rPr>
              <w:t>Y＜100</w:t>
            </w:r>
          </w:p>
        </w:tc>
      </w:tr>
      <w:tr w14:paraId="5A2C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604" w:type="dxa"/>
            <w:vMerge w:val="restart"/>
            <w:vAlign w:val="center"/>
          </w:tcPr>
          <w:p w14:paraId="17C1BAC0">
            <w:pPr>
              <w:spacing w:line="240" w:lineRule="exact"/>
              <w:jc w:val="center"/>
              <w:rPr>
                <w:b/>
                <w:szCs w:val="21"/>
                <w:highlight w:val="none"/>
              </w:rPr>
            </w:pPr>
            <w:r>
              <w:rPr>
                <w:rFonts w:hint="eastAsia"/>
                <w:b/>
                <w:szCs w:val="21"/>
                <w:highlight w:val="none"/>
              </w:rPr>
              <w:t>信息传输业*</w:t>
            </w:r>
          </w:p>
        </w:tc>
        <w:tc>
          <w:tcPr>
            <w:tcW w:w="1530" w:type="dxa"/>
            <w:vAlign w:val="center"/>
          </w:tcPr>
          <w:p w14:paraId="1D08EC92">
            <w:pPr>
              <w:spacing w:line="240" w:lineRule="exact"/>
              <w:jc w:val="center"/>
              <w:rPr>
                <w:b/>
                <w:szCs w:val="21"/>
                <w:highlight w:val="none"/>
              </w:rPr>
            </w:pPr>
            <w:r>
              <w:rPr>
                <w:rFonts w:hint="eastAsia"/>
                <w:b/>
                <w:szCs w:val="21"/>
                <w:highlight w:val="none"/>
              </w:rPr>
              <w:t>从业人员(X)</w:t>
            </w:r>
          </w:p>
        </w:tc>
        <w:tc>
          <w:tcPr>
            <w:tcW w:w="780" w:type="dxa"/>
            <w:vAlign w:val="center"/>
          </w:tcPr>
          <w:p w14:paraId="04925D15">
            <w:pPr>
              <w:spacing w:line="240" w:lineRule="exact"/>
              <w:jc w:val="center"/>
              <w:rPr>
                <w:b/>
                <w:szCs w:val="21"/>
                <w:highlight w:val="none"/>
              </w:rPr>
            </w:pPr>
            <w:r>
              <w:rPr>
                <w:rFonts w:hint="eastAsia"/>
                <w:b/>
                <w:szCs w:val="21"/>
                <w:highlight w:val="none"/>
              </w:rPr>
              <w:t>人</w:t>
            </w:r>
          </w:p>
        </w:tc>
        <w:tc>
          <w:tcPr>
            <w:tcW w:w="1170" w:type="dxa"/>
            <w:vAlign w:val="center"/>
          </w:tcPr>
          <w:p w14:paraId="6998CF45">
            <w:pPr>
              <w:spacing w:line="240" w:lineRule="exact"/>
              <w:jc w:val="center"/>
              <w:rPr>
                <w:b/>
                <w:szCs w:val="21"/>
                <w:highlight w:val="none"/>
              </w:rPr>
            </w:pPr>
            <w:r>
              <w:rPr>
                <w:rFonts w:hint="eastAsia"/>
                <w:b/>
                <w:szCs w:val="21"/>
                <w:highlight w:val="none"/>
              </w:rPr>
              <w:t>X≥2000</w:t>
            </w:r>
          </w:p>
        </w:tc>
        <w:tc>
          <w:tcPr>
            <w:tcW w:w="1875" w:type="dxa"/>
            <w:vAlign w:val="center"/>
          </w:tcPr>
          <w:p w14:paraId="6AC3AB30">
            <w:pPr>
              <w:spacing w:line="240" w:lineRule="exact"/>
              <w:jc w:val="center"/>
              <w:rPr>
                <w:b/>
                <w:szCs w:val="21"/>
                <w:highlight w:val="none"/>
              </w:rPr>
            </w:pPr>
            <w:r>
              <w:rPr>
                <w:rFonts w:hint="eastAsia"/>
                <w:b/>
                <w:szCs w:val="21"/>
                <w:highlight w:val="none"/>
              </w:rPr>
              <w:t>100≤X＜2000</w:t>
            </w:r>
          </w:p>
        </w:tc>
        <w:tc>
          <w:tcPr>
            <w:tcW w:w="1414" w:type="dxa"/>
            <w:vAlign w:val="center"/>
          </w:tcPr>
          <w:p w14:paraId="704518C1">
            <w:pPr>
              <w:spacing w:line="240" w:lineRule="exact"/>
              <w:jc w:val="center"/>
              <w:rPr>
                <w:b/>
                <w:szCs w:val="21"/>
                <w:highlight w:val="none"/>
              </w:rPr>
            </w:pPr>
            <w:r>
              <w:rPr>
                <w:rFonts w:hint="eastAsia"/>
                <w:b/>
                <w:szCs w:val="21"/>
                <w:highlight w:val="none"/>
              </w:rPr>
              <w:t>10≤X＜100</w:t>
            </w:r>
          </w:p>
        </w:tc>
        <w:tc>
          <w:tcPr>
            <w:tcW w:w="984" w:type="dxa"/>
            <w:vAlign w:val="center"/>
          </w:tcPr>
          <w:p w14:paraId="63BBE14A">
            <w:pPr>
              <w:spacing w:line="240" w:lineRule="exact"/>
              <w:jc w:val="center"/>
              <w:rPr>
                <w:b/>
                <w:szCs w:val="21"/>
                <w:highlight w:val="none"/>
              </w:rPr>
            </w:pPr>
            <w:r>
              <w:rPr>
                <w:rFonts w:hint="eastAsia"/>
                <w:b/>
                <w:szCs w:val="21"/>
                <w:highlight w:val="none"/>
              </w:rPr>
              <w:t>X＜10</w:t>
            </w:r>
          </w:p>
        </w:tc>
      </w:tr>
      <w:tr w14:paraId="17A2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1604" w:type="dxa"/>
            <w:vMerge w:val="continue"/>
            <w:vAlign w:val="center"/>
          </w:tcPr>
          <w:p w14:paraId="34AEA749">
            <w:pPr>
              <w:spacing w:line="240" w:lineRule="exact"/>
              <w:jc w:val="center"/>
              <w:rPr>
                <w:b/>
                <w:szCs w:val="21"/>
                <w:highlight w:val="none"/>
              </w:rPr>
            </w:pPr>
          </w:p>
        </w:tc>
        <w:tc>
          <w:tcPr>
            <w:tcW w:w="1530" w:type="dxa"/>
            <w:vAlign w:val="center"/>
          </w:tcPr>
          <w:p w14:paraId="4EF46E95">
            <w:pPr>
              <w:spacing w:line="240" w:lineRule="exact"/>
              <w:jc w:val="center"/>
              <w:rPr>
                <w:b/>
                <w:szCs w:val="21"/>
                <w:highlight w:val="none"/>
              </w:rPr>
            </w:pPr>
            <w:r>
              <w:rPr>
                <w:rFonts w:hint="eastAsia"/>
                <w:b/>
                <w:szCs w:val="21"/>
                <w:highlight w:val="none"/>
              </w:rPr>
              <w:t>营业收入(Y)</w:t>
            </w:r>
          </w:p>
        </w:tc>
        <w:tc>
          <w:tcPr>
            <w:tcW w:w="780" w:type="dxa"/>
            <w:vAlign w:val="center"/>
          </w:tcPr>
          <w:p w14:paraId="744CDF6F">
            <w:pPr>
              <w:spacing w:line="240" w:lineRule="exact"/>
              <w:jc w:val="center"/>
              <w:rPr>
                <w:b/>
                <w:szCs w:val="21"/>
                <w:highlight w:val="none"/>
              </w:rPr>
            </w:pPr>
            <w:r>
              <w:rPr>
                <w:rFonts w:hint="eastAsia"/>
                <w:b/>
                <w:szCs w:val="21"/>
                <w:highlight w:val="none"/>
              </w:rPr>
              <w:t>万元</w:t>
            </w:r>
          </w:p>
        </w:tc>
        <w:tc>
          <w:tcPr>
            <w:tcW w:w="1170" w:type="dxa"/>
            <w:vAlign w:val="center"/>
          </w:tcPr>
          <w:p w14:paraId="04A9F6A1">
            <w:pPr>
              <w:spacing w:line="240" w:lineRule="exact"/>
              <w:jc w:val="center"/>
              <w:rPr>
                <w:b/>
                <w:szCs w:val="21"/>
                <w:highlight w:val="none"/>
              </w:rPr>
            </w:pPr>
            <w:r>
              <w:rPr>
                <w:rFonts w:hint="eastAsia"/>
                <w:b/>
                <w:szCs w:val="21"/>
                <w:highlight w:val="none"/>
              </w:rPr>
              <w:t>Y≥100000</w:t>
            </w:r>
          </w:p>
        </w:tc>
        <w:tc>
          <w:tcPr>
            <w:tcW w:w="1875" w:type="dxa"/>
            <w:vAlign w:val="center"/>
          </w:tcPr>
          <w:p w14:paraId="2D6DD36F">
            <w:pPr>
              <w:spacing w:line="240" w:lineRule="exact"/>
              <w:jc w:val="center"/>
              <w:rPr>
                <w:b/>
                <w:szCs w:val="21"/>
                <w:highlight w:val="none"/>
              </w:rPr>
            </w:pPr>
            <w:r>
              <w:rPr>
                <w:rFonts w:hint="eastAsia"/>
                <w:b/>
                <w:szCs w:val="21"/>
                <w:highlight w:val="none"/>
              </w:rPr>
              <w:t>1000≤Y＜100000</w:t>
            </w:r>
          </w:p>
        </w:tc>
        <w:tc>
          <w:tcPr>
            <w:tcW w:w="1414" w:type="dxa"/>
            <w:vAlign w:val="center"/>
          </w:tcPr>
          <w:p w14:paraId="08294221">
            <w:pPr>
              <w:spacing w:line="240" w:lineRule="exact"/>
              <w:jc w:val="center"/>
              <w:rPr>
                <w:b/>
                <w:szCs w:val="21"/>
                <w:highlight w:val="none"/>
              </w:rPr>
            </w:pPr>
            <w:r>
              <w:rPr>
                <w:rFonts w:hint="eastAsia"/>
                <w:b/>
                <w:szCs w:val="21"/>
                <w:highlight w:val="none"/>
              </w:rPr>
              <w:t>100≤Y＜1000</w:t>
            </w:r>
          </w:p>
        </w:tc>
        <w:tc>
          <w:tcPr>
            <w:tcW w:w="984" w:type="dxa"/>
            <w:vAlign w:val="center"/>
          </w:tcPr>
          <w:p w14:paraId="7AA77850">
            <w:pPr>
              <w:spacing w:line="240" w:lineRule="exact"/>
              <w:jc w:val="center"/>
              <w:rPr>
                <w:b/>
                <w:szCs w:val="21"/>
                <w:highlight w:val="none"/>
              </w:rPr>
            </w:pPr>
            <w:r>
              <w:rPr>
                <w:rFonts w:hint="eastAsia"/>
                <w:b/>
                <w:szCs w:val="21"/>
                <w:highlight w:val="none"/>
              </w:rPr>
              <w:t>Y＜100</w:t>
            </w:r>
          </w:p>
        </w:tc>
      </w:tr>
      <w:tr w14:paraId="7988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1604" w:type="dxa"/>
            <w:vMerge w:val="restart"/>
            <w:vAlign w:val="center"/>
          </w:tcPr>
          <w:p w14:paraId="25CD43E6">
            <w:pPr>
              <w:spacing w:line="240" w:lineRule="exact"/>
              <w:jc w:val="center"/>
              <w:rPr>
                <w:b/>
                <w:spacing w:val="-12"/>
                <w:szCs w:val="21"/>
                <w:highlight w:val="none"/>
                <w:lang w:eastAsia="zh-CN"/>
              </w:rPr>
            </w:pPr>
            <w:r>
              <w:rPr>
                <w:rFonts w:hint="eastAsia"/>
                <w:b/>
                <w:spacing w:val="-12"/>
                <w:szCs w:val="21"/>
                <w:highlight w:val="none"/>
                <w:lang w:eastAsia="zh-CN"/>
              </w:rPr>
              <w:t>软件和信息技术服</w:t>
            </w:r>
            <w:r>
              <w:rPr>
                <w:rFonts w:hint="eastAsia"/>
                <w:b/>
                <w:szCs w:val="21"/>
                <w:highlight w:val="none"/>
                <w:lang w:eastAsia="zh-CN"/>
              </w:rPr>
              <w:t>务业</w:t>
            </w:r>
          </w:p>
        </w:tc>
        <w:tc>
          <w:tcPr>
            <w:tcW w:w="1530" w:type="dxa"/>
            <w:vAlign w:val="center"/>
          </w:tcPr>
          <w:p w14:paraId="3D83AB68">
            <w:pPr>
              <w:spacing w:line="240" w:lineRule="exact"/>
              <w:jc w:val="center"/>
              <w:rPr>
                <w:b/>
                <w:szCs w:val="21"/>
                <w:highlight w:val="none"/>
              </w:rPr>
            </w:pPr>
            <w:r>
              <w:rPr>
                <w:rFonts w:hint="eastAsia"/>
                <w:b/>
                <w:szCs w:val="21"/>
                <w:highlight w:val="none"/>
              </w:rPr>
              <w:t>从业人员(X)</w:t>
            </w:r>
          </w:p>
        </w:tc>
        <w:tc>
          <w:tcPr>
            <w:tcW w:w="780" w:type="dxa"/>
            <w:vAlign w:val="center"/>
          </w:tcPr>
          <w:p w14:paraId="02AE2FE1">
            <w:pPr>
              <w:spacing w:line="240" w:lineRule="exact"/>
              <w:jc w:val="center"/>
              <w:rPr>
                <w:b/>
                <w:szCs w:val="21"/>
                <w:highlight w:val="none"/>
              </w:rPr>
            </w:pPr>
            <w:r>
              <w:rPr>
                <w:rFonts w:hint="eastAsia"/>
                <w:b/>
                <w:szCs w:val="21"/>
                <w:highlight w:val="none"/>
              </w:rPr>
              <w:t>人</w:t>
            </w:r>
          </w:p>
        </w:tc>
        <w:tc>
          <w:tcPr>
            <w:tcW w:w="1170" w:type="dxa"/>
            <w:vAlign w:val="center"/>
          </w:tcPr>
          <w:p w14:paraId="0C074486">
            <w:pPr>
              <w:spacing w:line="240" w:lineRule="exact"/>
              <w:jc w:val="center"/>
              <w:rPr>
                <w:b/>
                <w:szCs w:val="21"/>
                <w:highlight w:val="none"/>
              </w:rPr>
            </w:pPr>
            <w:r>
              <w:rPr>
                <w:rFonts w:hint="eastAsia"/>
                <w:b/>
                <w:szCs w:val="21"/>
                <w:highlight w:val="none"/>
              </w:rPr>
              <w:t>X≥300</w:t>
            </w:r>
          </w:p>
        </w:tc>
        <w:tc>
          <w:tcPr>
            <w:tcW w:w="1875" w:type="dxa"/>
            <w:vAlign w:val="center"/>
          </w:tcPr>
          <w:p w14:paraId="73197F5A">
            <w:pPr>
              <w:spacing w:line="240" w:lineRule="exact"/>
              <w:ind w:left="21" w:leftChars="-51" w:hanging="133" w:hangingChars="60"/>
              <w:jc w:val="center"/>
              <w:rPr>
                <w:b/>
                <w:szCs w:val="21"/>
                <w:highlight w:val="none"/>
              </w:rPr>
            </w:pPr>
            <w:r>
              <w:rPr>
                <w:rFonts w:hint="eastAsia"/>
                <w:b/>
                <w:szCs w:val="21"/>
                <w:highlight w:val="none"/>
              </w:rPr>
              <w:t>100≤X＜300</w:t>
            </w:r>
          </w:p>
        </w:tc>
        <w:tc>
          <w:tcPr>
            <w:tcW w:w="1414" w:type="dxa"/>
            <w:vAlign w:val="center"/>
          </w:tcPr>
          <w:p w14:paraId="446041A6">
            <w:pPr>
              <w:spacing w:line="240" w:lineRule="exact"/>
              <w:jc w:val="center"/>
              <w:rPr>
                <w:b/>
                <w:szCs w:val="21"/>
                <w:highlight w:val="none"/>
              </w:rPr>
            </w:pPr>
            <w:r>
              <w:rPr>
                <w:rFonts w:hint="eastAsia"/>
                <w:b/>
                <w:szCs w:val="21"/>
                <w:highlight w:val="none"/>
              </w:rPr>
              <w:t>10≤X＜100</w:t>
            </w:r>
          </w:p>
        </w:tc>
        <w:tc>
          <w:tcPr>
            <w:tcW w:w="984" w:type="dxa"/>
            <w:vAlign w:val="center"/>
          </w:tcPr>
          <w:p w14:paraId="353A6554">
            <w:pPr>
              <w:spacing w:line="240" w:lineRule="exact"/>
              <w:jc w:val="center"/>
              <w:rPr>
                <w:b/>
                <w:szCs w:val="21"/>
                <w:highlight w:val="none"/>
              </w:rPr>
            </w:pPr>
            <w:r>
              <w:rPr>
                <w:rFonts w:hint="eastAsia"/>
                <w:b/>
                <w:szCs w:val="21"/>
                <w:highlight w:val="none"/>
              </w:rPr>
              <w:t>X＜10</w:t>
            </w:r>
          </w:p>
        </w:tc>
      </w:tr>
      <w:tr w14:paraId="03A7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1604" w:type="dxa"/>
            <w:vMerge w:val="continue"/>
            <w:vAlign w:val="center"/>
          </w:tcPr>
          <w:p w14:paraId="51DCE3BC">
            <w:pPr>
              <w:spacing w:line="240" w:lineRule="exact"/>
              <w:jc w:val="center"/>
              <w:rPr>
                <w:b/>
                <w:spacing w:val="-12"/>
                <w:szCs w:val="21"/>
                <w:highlight w:val="none"/>
              </w:rPr>
            </w:pPr>
          </w:p>
        </w:tc>
        <w:tc>
          <w:tcPr>
            <w:tcW w:w="1530" w:type="dxa"/>
            <w:vAlign w:val="center"/>
          </w:tcPr>
          <w:p w14:paraId="763E15DD">
            <w:pPr>
              <w:spacing w:line="240" w:lineRule="exact"/>
              <w:jc w:val="center"/>
              <w:rPr>
                <w:b/>
                <w:szCs w:val="21"/>
                <w:highlight w:val="none"/>
              </w:rPr>
            </w:pPr>
            <w:r>
              <w:rPr>
                <w:rFonts w:hint="eastAsia"/>
                <w:b/>
                <w:szCs w:val="21"/>
                <w:highlight w:val="none"/>
              </w:rPr>
              <w:t>营业收入(Y)</w:t>
            </w:r>
          </w:p>
        </w:tc>
        <w:tc>
          <w:tcPr>
            <w:tcW w:w="780" w:type="dxa"/>
            <w:vAlign w:val="center"/>
          </w:tcPr>
          <w:p w14:paraId="79A9FEC9">
            <w:pPr>
              <w:spacing w:line="240" w:lineRule="exact"/>
              <w:jc w:val="center"/>
              <w:rPr>
                <w:b/>
                <w:szCs w:val="21"/>
                <w:highlight w:val="none"/>
              </w:rPr>
            </w:pPr>
            <w:r>
              <w:rPr>
                <w:rFonts w:hint="eastAsia"/>
                <w:b/>
                <w:szCs w:val="21"/>
                <w:highlight w:val="none"/>
              </w:rPr>
              <w:t>万元</w:t>
            </w:r>
          </w:p>
        </w:tc>
        <w:tc>
          <w:tcPr>
            <w:tcW w:w="1170" w:type="dxa"/>
            <w:vAlign w:val="center"/>
          </w:tcPr>
          <w:p w14:paraId="70938F65">
            <w:pPr>
              <w:spacing w:line="240" w:lineRule="exact"/>
              <w:jc w:val="center"/>
              <w:rPr>
                <w:b/>
                <w:szCs w:val="21"/>
                <w:highlight w:val="none"/>
              </w:rPr>
            </w:pPr>
            <w:r>
              <w:rPr>
                <w:rFonts w:hint="eastAsia"/>
                <w:b/>
                <w:szCs w:val="21"/>
                <w:highlight w:val="none"/>
              </w:rPr>
              <w:t>Y≥10000</w:t>
            </w:r>
          </w:p>
        </w:tc>
        <w:tc>
          <w:tcPr>
            <w:tcW w:w="1875" w:type="dxa"/>
            <w:vAlign w:val="center"/>
          </w:tcPr>
          <w:p w14:paraId="5139E4B4">
            <w:pPr>
              <w:spacing w:line="240" w:lineRule="exact"/>
              <w:jc w:val="center"/>
              <w:rPr>
                <w:b/>
                <w:szCs w:val="21"/>
                <w:highlight w:val="none"/>
              </w:rPr>
            </w:pPr>
            <w:r>
              <w:rPr>
                <w:rFonts w:hint="eastAsia"/>
                <w:b/>
                <w:szCs w:val="21"/>
                <w:highlight w:val="none"/>
              </w:rPr>
              <w:t>1000≤Y＜10000</w:t>
            </w:r>
          </w:p>
        </w:tc>
        <w:tc>
          <w:tcPr>
            <w:tcW w:w="1414" w:type="dxa"/>
            <w:vAlign w:val="center"/>
          </w:tcPr>
          <w:p w14:paraId="3FD86F43">
            <w:pPr>
              <w:spacing w:line="240" w:lineRule="exact"/>
              <w:jc w:val="center"/>
              <w:rPr>
                <w:b/>
                <w:szCs w:val="21"/>
                <w:highlight w:val="none"/>
              </w:rPr>
            </w:pPr>
            <w:r>
              <w:rPr>
                <w:rFonts w:hint="eastAsia"/>
                <w:b/>
                <w:szCs w:val="21"/>
                <w:highlight w:val="none"/>
              </w:rPr>
              <w:t>50≤Y＜1000</w:t>
            </w:r>
          </w:p>
        </w:tc>
        <w:tc>
          <w:tcPr>
            <w:tcW w:w="984" w:type="dxa"/>
            <w:vAlign w:val="center"/>
          </w:tcPr>
          <w:p w14:paraId="562A186A">
            <w:pPr>
              <w:spacing w:line="240" w:lineRule="exact"/>
              <w:jc w:val="center"/>
              <w:rPr>
                <w:b/>
                <w:szCs w:val="21"/>
                <w:highlight w:val="none"/>
              </w:rPr>
            </w:pPr>
            <w:r>
              <w:rPr>
                <w:rFonts w:hint="eastAsia"/>
                <w:b/>
                <w:szCs w:val="21"/>
                <w:highlight w:val="none"/>
              </w:rPr>
              <w:t>Y＜50</w:t>
            </w:r>
          </w:p>
        </w:tc>
      </w:tr>
      <w:tr w14:paraId="3A07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1604" w:type="dxa"/>
            <w:vMerge w:val="restart"/>
            <w:vAlign w:val="center"/>
          </w:tcPr>
          <w:p w14:paraId="46D81D3C">
            <w:pPr>
              <w:spacing w:line="240" w:lineRule="exact"/>
              <w:jc w:val="center"/>
              <w:rPr>
                <w:b/>
                <w:szCs w:val="21"/>
                <w:highlight w:val="none"/>
              </w:rPr>
            </w:pPr>
            <w:r>
              <w:rPr>
                <w:rFonts w:hint="eastAsia"/>
                <w:b/>
                <w:szCs w:val="21"/>
                <w:highlight w:val="none"/>
              </w:rPr>
              <w:t>房地产开发经营</w:t>
            </w:r>
          </w:p>
        </w:tc>
        <w:tc>
          <w:tcPr>
            <w:tcW w:w="1530" w:type="dxa"/>
            <w:vAlign w:val="center"/>
          </w:tcPr>
          <w:p w14:paraId="5A8696E4">
            <w:pPr>
              <w:spacing w:line="240" w:lineRule="exact"/>
              <w:jc w:val="center"/>
              <w:rPr>
                <w:b/>
                <w:szCs w:val="21"/>
                <w:highlight w:val="none"/>
              </w:rPr>
            </w:pPr>
            <w:r>
              <w:rPr>
                <w:rFonts w:hint="eastAsia"/>
                <w:b/>
                <w:szCs w:val="21"/>
                <w:highlight w:val="none"/>
              </w:rPr>
              <w:t>营业收入(Y)</w:t>
            </w:r>
          </w:p>
        </w:tc>
        <w:tc>
          <w:tcPr>
            <w:tcW w:w="780" w:type="dxa"/>
            <w:vAlign w:val="center"/>
          </w:tcPr>
          <w:p w14:paraId="7E24DF01">
            <w:pPr>
              <w:spacing w:line="240" w:lineRule="exact"/>
              <w:jc w:val="center"/>
              <w:rPr>
                <w:b/>
                <w:szCs w:val="21"/>
                <w:highlight w:val="none"/>
              </w:rPr>
            </w:pPr>
            <w:r>
              <w:rPr>
                <w:rFonts w:hint="eastAsia"/>
                <w:b/>
                <w:szCs w:val="21"/>
                <w:highlight w:val="none"/>
              </w:rPr>
              <w:t>万元</w:t>
            </w:r>
          </w:p>
        </w:tc>
        <w:tc>
          <w:tcPr>
            <w:tcW w:w="1170" w:type="dxa"/>
            <w:vAlign w:val="center"/>
          </w:tcPr>
          <w:p w14:paraId="5B007D1A">
            <w:pPr>
              <w:spacing w:line="240" w:lineRule="exact"/>
              <w:jc w:val="center"/>
              <w:rPr>
                <w:b/>
                <w:szCs w:val="21"/>
                <w:highlight w:val="none"/>
              </w:rPr>
            </w:pPr>
            <w:r>
              <w:rPr>
                <w:rFonts w:hint="eastAsia"/>
                <w:b/>
                <w:szCs w:val="21"/>
                <w:highlight w:val="none"/>
              </w:rPr>
              <w:t>Y≥200000</w:t>
            </w:r>
          </w:p>
        </w:tc>
        <w:tc>
          <w:tcPr>
            <w:tcW w:w="1875" w:type="dxa"/>
            <w:vAlign w:val="center"/>
          </w:tcPr>
          <w:p w14:paraId="25CD82A3">
            <w:pPr>
              <w:spacing w:line="240" w:lineRule="exact"/>
              <w:jc w:val="center"/>
              <w:rPr>
                <w:b/>
                <w:szCs w:val="21"/>
                <w:highlight w:val="none"/>
              </w:rPr>
            </w:pPr>
            <w:r>
              <w:rPr>
                <w:rFonts w:hint="eastAsia"/>
                <w:b/>
                <w:szCs w:val="21"/>
                <w:highlight w:val="none"/>
              </w:rPr>
              <w:t>1000≤Y＜200000</w:t>
            </w:r>
          </w:p>
        </w:tc>
        <w:tc>
          <w:tcPr>
            <w:tcW w:w="1414" w:type="dxa"/>
            <w:vAlign w:val="center"/>
          </w:tcPr>
          <w:p w14:paraId="0CAEB7AE">
            <w:pPr>
              <w:spacing w:line="240" w:lineRule="exact"/>
              <w:jc w:val="center"/>
              <w:rPr>
                <w:b/>
                <w:szCs w:val="21"/>
                <w:highlight w:val="none"/>
              </w:rPr>
            </w:pPr>
            <w:r>
              <w:rPr>
                <w:rFonts w:hint="eastAsia"/>
                <w:b/>
                <w:szCs w:val="21"/>
                <w:highlight w:val="none"/>
              </w:rPr>
              <w:t>100≤Y＜1000</w:t>
            </w:r>
          </w:p>
        </w:tc>
        <w:tc>
          <w:tcPr>
            <w:tcW w:w="984" w:type="dxa"/>
            <w:vAlign w:val="center"/>
          </w:tcPr>
          <w:p w14:paraId="5FBF6825">
            <w:pPr>
              <w:spacing w:line="240" w:lineRule="exact"/>
              <w:jc w:val="center"/>
              <w:rPr>
                <w:b/>
                <w:szCs w:val="21"/>
                <w:highlight w:val="none"/>
              </w:rPr>
            </w:pPr>
            <w:r>
              <w:rPr>
                <w:rFonts w:hint="eastAsia"/>
                <w:b/>
                <w:szCs w:val="21"/>
                <w:highlight w:val="none"/>
              </w:rPr>
              <w:t>Y＜100</w:t>
            </w:r>
          </w:p>
        </w:tc>
      </w:tr>
      <w:tr w14:paraId="3318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604" w:type="dxa"/>
            <w:vMerge w:val="continue"/>
            <w:vAlign w:val="center"/>
          </w:tcPr>
          <w:p w14:paraId="7D4373F2">
            <w:pPr>
              <w:spacing w:line="240" w:lineRule="exact"/>
              <w:jc w:val="center"/>
              <w:rPr>
                <w:b/>
                <w:szCs w:val="21"/>
                <w:highlight w:val="none"/>
              </w:rPr>
            </w:pPr>
          </w:p>
        </w:tc>
        <w:tc>
          <w:tcPr>
            <w:tcW w:w="1530" w:type="dxa"/>
            <w:vAlign w:val="center"/>
          </w:tcPr>
          <w:p w14:paraId="23D85135">
            <w:pPr>
              <w:spacing w:line="240" w:lineRule="exact"/>
              <w:jc w:val="center"/>
              <w:rPr>
                <w:b/>
                <w:szCs w:val="21"/>
                <w:highlight w:val="none"/>
              </w:rPr>
            </w:pPr>
            <w:r>
              <w:rPr>
                <w:rFonts w:hint="eastAsia"/>
                <w:b/>
                <w:szCs w:val="21"/>
                <w:highlight w:val="none"/>
              </w:rPr>
              <w:t>资产总额(Z)</w:t>
            </w:r>
          </w:p>
        </w:tc>
        <w:tc>
          <w:tcPr>
            <w:tcW w:w="780" w:type="dxa"/>
            <w:vAlign w:val="center"/>
          </w:tcPr>
          <w:p w14:paraId="2FA3C33E">
            <w:pPr>
              <w:spacing w:line="240" w:lineRule="exact"/>
              <w:jc w:val="center"/>
              <w:rPr>
                <w:b/>
                <w:szCs w:val="21"/>
                <w:highlight w:val="none"/>
              </w:rPr>
            </w:pPr>
            <w:r>
              <w:rPr>
                <w:rFonts w:hint="eastAsia"/>
                <w:b/>
                <w:szCs w:val="21"/>
                <w:highlight w:val="none"/>
              </w:rPr>
              <w:t>万元</w:t>
            </w:r>
          </w:p>
        </w:tc>
        <w:tc>
          <w:tcPr>
            <w:tcW w:w="1170" w:type="dxa"/>
            <w:vAlign w:val="center"/>
          </w:tcPr>
          <w:p w14:paraId="5EEE800A">
            <w:pPr>
              <w:spacing w:line="240" w:lineRule="exact"/>
              <w:jc w:val="center"/>
              <w:rPr>
                <w:b/>
                <w:szCs w:val="21"/>
                <w:highlight w:val="none"/>
              </w:rPr>
            </w:pPr>
            <w:r>
              <w:rPr>
                <w:rFonts w:hint="eastAsia"/>
                <w:b/>
                <w:szCs w:val="21"/>
                <w:highlight w:val="none"/>
              </w:rPr>
              <w:t>Z≥10000</w:t>
            </w:r>
          </w:p>
        </w:tc>
        <w:tc>
          <w:tcPr>
            <w:tcW w:w="1875" w:type="dxa"/>
            <w:vAlign w:val="center"/>
          </w:tcPr>
          <w:p w14:paraId="2FBB9447">
            <w:pPr>
              <w:spacing w:line="240" w:lineRule="exact"/>
              <w:jc w:val="center"/>
              <w:rPr>
                <w:b/>
                <w:szCs w:val="21"/>
                <w:highlight w:val="none"/>
              </w:rPr>
            </w:pPr>
            <w:r>
              <w:rPr>
                <w:rFonts w:hint="eastAsia"/>
                <w:b/>
                <w:szCs w:val="21"/>
                <w:highlight w:val="none"/>
              </w:rPr>
              <w:t>5000≤Z＜10000</w:t>
            </w:r>
          </w:p>
        </w:tc>
        <w:tc>
          <w:tcPr>
            <w:tcW w:w="1414" w:type="dxa"/>
            <w:vAlign w:val="center"/>
          </w:tcPr>
          <w:p w14:paraId="69E5F971">
            <w:pPr>
              <w:spacing w:line="240" w:lineRule="exact"/>
              <w:jc w:val="center"/>
              <w:rPr>
                <w:b/>
                <w:szCs w:val="21"/>
                <w:highlight w:val="none"/>
              </w:rPr>
            </w:pPr>
            <w:r>
              <w:rPr>
                <w:rFonts w:hint="eastAsia"/>
                <w:b/>
                <w:szCs w:val="21"/>
                <w:highlight w:val="none"/>
              </w:rPr>
              <w:t>2000≤Z＜5000</w:t>
            </w:r>
          </w:p>
        </w:tc>
        <w:tc>
          <w:tcPr>
            <w:tcW w:w="984" w:type="dxa"/>
            <w:vAlign w:val="center"/>
          </w:tcPr>
          <w:p w14:paraId="2F8555D2">
            <w:pPr>
              <w:spacing w:line="240" w:lineRule="exact"/>
              <w:jc w:val="center"/>
              <w:rPr>
                <w:b/>
                <w:szCs w:val="21"/>
                <w:highlight w:val="none"/>
              </w:rPr>
            </w:pPr>
            <w:r>
              <w:rPr>
                <w:rFonts w:hint="eastAsia"/>
                <w:b/>
                <w:szCs w:val="21"/>
                <w:highlight w:val="none"/>
              </w:rPr>
              <w:t>Z＜2000</w:t>
            </w:r>
          </w:p>
        </w:tc>
      </w:tr>
      <w:tr w14:paraId="288D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604" w:type="dxa"/>
            <w:vMerge w:val="restart"/>
            <w:vAlign w:val="center"/>
          </w:tcPr>
          <w:p w14:paraId="62645E43">
            <w:pPr>
              <w:spacing w:line="240" w:lineRule="exact"/>
              <w:jc w:val="center"/>
              <w:rPr>
                <w:b/>
                <w:szCs w:val="21"/>
                <w:highlight w:val="none"/>
              </w:rPr>
            </w:pPr>
            <w:r>
              <w:rPr>
                <w:rFonts w:hint="eastAsia"/>
                <w:b/>
                <w:szCs w:val="21"/>
                <w:highlight w:val="none"/>
              </w:rPr>
              <w:t>物业管理</w:t>
            </w:r>
          </w:p>
        </w:tc>
        <w:tc>
          <w:tcPr>
            <w:tcW w:w="1530" w:type="dxa"/>
            <w:vAlign w:val="center"/>
          </w:tcPr>
          <w:p w14:paraId="6F932661">
            <w:pPr>
              <w:spacing w:line="240" w:lineRule="exact"/>
              <w:jc w:val="center"/>
              <w:rPr>
                <w:b/>
                <w:szCs w:val="21"/>
                <w:highlight w:val="none"/>
              </w:rPr>
            </w:pPr>
            <w:r>
              <w:rPr>
                <w:rFonts w:hint="eastAsia"/>
                <w:b/>
                <w:szCs w:val="21"/>
                <w:highlight w:val="none"/>
              </w:rPr>
              <w:t>从业人员(X)</w:t>
            </w:r>
          </w:p>
        </w:tc>
        <w:tc>
          <w:tcPr>
            <w:tcW w:w="780" w:type="dxa"/>
            <w:vAlign w:val="center"/>
          </w:tcPr>
          <w:p w14:paraId="1EB2E1BA">
            <w:pPr>
              <w:spacing w:line="240" w:lineRule="exact"/>
              <w:jc w:val="center"/>
              <w:rPr>
                <w:b/>
                <w:szCs w:val="21"/>
                <w:highlight w:val="none"/>
              </w:rPr>
            </w:pPr>
            <w:r>
              <w:rPr>
                <w:rFonts w:hint="eastAsia"/>
                <w:b/>
                <w:szCs w:val="21"/>
                <w:highlight w:val="none"/>
              </w:rPr>
              <w:t>人</w:t>
            </w:r>
          </w:p>
        </w:tc>
        <w:tc>
          <w:tcPr>
            <w:tcW w:w="1170" w:type="dxa"/>
            <w:vAlign w:val="center"/>
          </w:tcPr>
          <w:p w14:paraId="1F0AD64D">
            <w:pPr>
              <w:spacing w:line="240" w:lineRule="exact"/>
              <w:jc w:val="center"/>
              <w:rPr>
                <w:b/>
                <w:szCs w:val="21"/>
                <w:highlight w:val="none"/>
              </w:rPr>
            </w:pPr>
            <w:r>
              <w:rPr>
                <w:rFonts w:hint="eastAsia"/>
                <w:b/>
                <w:szCs w:val="21"/>
                <w:highlight w:val="none"/>
              </w:rPr>
              <w:t>X≥1000</w:t>
            </w:r>
          </w:p>
        </w:tc>
        <w:tc>
          <w:tcPr>
            <w:tcW w:w="1875" w:type="dxa"/>
            <w:vAlign w:val="center"/>
          </w:tcPr>
          <w:p w14:paraId="4EBFC782">
            <w:pPr>
              <w:spacing w:line="240" w:lineRule="exact"/>
              <w:jc w:val="center"/>
              <w:rPr>
                <w:b/>
                <w:szCs w:val="21"/>
                <w:highlight w:val="none"/>
              </w:rPr>
            </w:pPr>
            <w:r>
              <w:rPr>
                <w:rFonts w:hint="eastAsia"/>
                <w:b/>
                <w:szCs w:val="21"/>
                <w:highlight w:val="none"/>
              </w:rPr>
              <w:t>300≤X＜1000</w:t>
            </w:r>
          </w:p>
        </w:tc>
        <w:tc>
          <w:tcPr>
            <w:tcW w:w="1414" w:type="dxa"/>
            <w:vAlign w:val="center"/>
          </w:tcPr>
          <w:p w14:paraId="0933C1AD">
            <w:pPr>
              <w:spacing w:line="240" w:lineRule="exact"/>
              <w:jc w:val="center"/>
              <w:rPr>
                <w:b/>
                <w:szCs w:val="21"/>
                <w:highlight w:val="none"/>
              </w:rPr>
            </w:pPr>
            <w:r>
              <w:rPr>
                <w:rFonts w:hint="eastAsia"/>
                <w:b/>
                <w:szCs w:val="21"/>
                <w:highlight w:val="none"/>
              </w:rPr>
              <w:t>100≤X＜300</w:t>
            </w:r>
          </w:p>
        </w:tc>
        <w:tc>
          <w:tcPr>
            <w:tcW w:w="984" w:type="dxa"/>
            <w:vAlign w:val="center"/>
          </w:tcPr>
          <w:p w14:paraId="35023078">
            <w:pPr>
              <w:spacing w:line="240" w:lineRule="exact"/>
              <w:jc w:val="center"/>
              <w:rPr>
                <w:b/>
                <w:szCs w:val="21"/>
                <w:highlight w:val="none"/>
              </w:rPr>
            </w:pPr>
            <w:r>
              <w:rPr>
                <w:rFonts w:hint="eastAsia"/>
                <w:b/>
                <w:szCs w:val="21"/>
                <w:highlight w:val="none"/>
              </w:rPr>
              <w:t>X＜100</w:t>
            </w:r>
          </w:p>
        </w:tc>
      </w:tr>
      <w:tr w14:paraId="40B1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604" w:type="dxa"/>
            <w:vMerge w:val="continue"/>
            <w:vAlign w:val="center"/>
          </w:tcPr>
          <w:p w14:paraId="3ACE6EAA">
            <w:pPr>
              <w:spacing w:line="240" w:lineRule="exact"/>
              <w:jc w:val="center"/>
              <w:rPr>
                <w:b/>
                <w:szCs w:val="21"/>
                <w:highlight w:val="none"/>
              </w:rPr>
            </w:pPr>
          </w:p>
        </w:tc>
        <w:tc>
          <w:tcPr>
            <w:tcW w:w="1530" w:type="dxa"/>
            <w:vAlign w:val="center"/>
          </w:tcPr>
          <w:p w14:paraId="32720EC1">
            <w:pPr>
              <w:spacing w:line="240" w:lineRule="exact"/>
              <w:jc w:val="center"/>
              <w:rPr>
                <w:b/>
                <w:szCs w:val="21"/>
                <w:highlight w:val="none"/>
              </w:rPr>
            </w:pPr>
            <w:r>
              <w:rPr>
                <w:rFonts w:hint="eastAsia"/>
                <w:b/>
                <w:szCs w:val="21"/>
                <w:highlight w:val="none"/>
              </w:rPr>
              <w:t>营业收入(Y)</w:t>
            </w:r>
          </w:p>
        </w:tc>
        <w:tc>
          <w:tcPr>
            <w:tcW w:w="780" w:type="dxa"/>
            <w:vAlign w:val="center"/>
          </w:tcPr>
          <w:p w14:paraId="2140F855">
            <w:pPr>
              <w:spacing w:line="240" w:lineRule="exact"/>
              <w:jc w:val="center"/>
              <w:rPr>
                <w:b/>
                <w:szCs w:val="21"/>
                <w:highlight w:val="none"/>
              </w:rPr>
            </w:pPr>
            <w:r>
              <w:rPr>
                <w:rFonts w:hint="eastAsia"/>
                <w:b/>
                <w:szCs w:val="21"/>
                <w:highlight w:val="none"/>
              </w:rPr>
              <w:t>万元</w:t>
            </w:r>
          </w:p>
        </w:tc>
        <w:tc>
          <w:tcPr>
            <w:tcW w:w="1170" w:type="dxa"/>
            <w:vAlign w:val="center"/>
          </w:tcPr>
          <w:p w14:paraId="258437A2">
            <w:pPr>
              <w:spacing w:line="240" w:lineRule="exact"/>
              <w:jc w:val="center"/>
              <w:rPr>
                <w:b/>
                <w:szCs w:val="21"/>
                <w:highlight w:val="none"/>
              </w:rPr>
            </w:pPr>
            <w:r>
              <w:rPr>
                <w:rFonts w:hint="eastAsia"/>
                <w:b/>
                <w:szCs w:val="21"/>
                <w:highlight w:val="none"/>
              </w:rPr>
              <w:t>Y≥5000</w:t>
            </w:r>
          </w:p>
        </w:tc>
        <w:tc>
          <w:tcPr>
            <w:tcW w:w="1875" w:type="dxa"/>
            <w:vAlign w:val="center"/>
          </w:tcPr>
          <w:p w14:paraId="2597C47B">
            <w:pPr>
              <w:spacing w:line="240" w:lineRule="exact"/>
              <w:ind w:left="21" w:leftChars="-51" w:hanging="133" w:hangingChars="60"/>
              <w:jc w:val="center"/>
              <w:rPr>
                <w:b/>
                <w:szCs w:val="21"/>
                <w:highlight w:val="none"/>
              </w:rPr>
            </w:pPr>
            <w:r>
              <w:rPr>
                <w:rFonts w:hint="eastAsia"/>
                <w:b/>
                <w:szCs w:val="21"/>
                <w:highlight w:val="none"/>
              </w:rPr>
              <w:t>1000≤Y＜5000</w:t>
            </w:r>
          </w:p>
        </w:tc>
        <w:tc>
          <w:tcPr>
            <w:tcW w:w="1414" w:type="dxa"/>
            <w:vAlign w:val="center"/>
          </w:tcPr>
          <w:p w14:paraId="5B725822">
            <w:pPr>
              <w:spacing w:line="240" w:lineRule="exact"/>
              <w:jc w:val="center"/>
              <w:rPr>
                <w:b/>
                <w:szCs w:val="21"/>
                <w:highlight w:val="none"/>
              </w:rPr>
            </w:pPr>
            <w:r>
              <w:rPr>
                <w:rFonts w:hint="eastAsia"/>
                <w:b/>
                <w:szCs w:val="21"/>
                <w:highlight w:val="none"/>
              </w:rPr>
              <w:t>500≤Y＜1000</w:t>
            </w:r>
          </w:p>
        </w:tc>
        <w:tc>
          <w:tcPr>
            <w:tcW w:w="984" w:type="dxa"/>
            <w:vAlign w:val="center"/>
          </w:tcPr>
          <w:p w14:paraId="172A8F07">
            <w:pPr>
              <w:spacing w:line="240" w:lineRule="exact"/>
              <w:jc w:val="center"/>
              <w:rPr>
                <w:b/>
                <w:szCs w:val="21"/>
                <w:highlight w:val="none"/>
              </w:rPr>
            </w:pPr>
            <w:r>
              <w:rPr>
                <w:rFonts w:hint="eastAsia"/>
                <w:b/>
                <w:szCs w:val="21"/>
                <w:highlight w:val="none"/>
              </w:rPr>
              <w:t>Y＜500</w:t>
            </w:r>
          </w:p>
        </w:tc>
      </w:tr>
      <w:tr w14:paraId="01B1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1604" w:type="dxa"/>
            <w:vMerge w:val="restart"/>
            <w:vAlign w:val="center"/>
          </w:tcPr>
          <w:p w14:paraId="120CC65B">
            <w:pPr>
              <w:spacing w:line="240" w:lineRule="exact"/>
              <w:jc w:val="center"/>
              <w:rPr>
                <w:b/>
                <w:szCs w:val="21"/>
                <w:highlight w:val="none"/>
              </w:rPr>
            </w:pPr>
            <w:r>
              <w:rPr>
                <w:rFonts w:hint="eastAsia"/>
                <w:b/>
                <w:szCs w:val="21"/>
                <w:highlight w:val="none"/>
              </w:rPr>
              <w:t>租赁和商务服务业</w:t>
            </w:r>
          </w:p>
        </w:tc>
        <w:tc>
          <w:tcPr>
            <w:tcW w:w="1530" w:type="dxa"/>
            <w:vAlign w:val="center"/>
          </w:tcPr>
          <w:p w14:paraId="2FB7BCD4">
            <w:pPr>
              <w:spacing w:line="240" w:lineRule="exact"/>
              <w:jc w:val="center"/>
              <w:rPr>
                <w:b/>
                <w:szCs w:val="21"/>
                <w:highlight w:val="none"/>
              </w:rPr>
            </w:pPr>
            <w:r>
              <w:rPr>
                <w:rFonts w:hint="eastAsia"/>
                <w:b/>
                <w:szCs w:val="21"/>
                <w:highlight w:val="none"/>
              </w:rPr>
              <w:t>从业人员(X)</w:t>
            </w:r>
          </w:p>
        </w:tc>
        <w:tc>
          <w:tcPr>
            <w:tcW w:w="780" w:type="dxa"/>
            <w:vAlign w:val="center"/>
          </w:tcPr>
          <w:p w14:paraId="5C81F802">
            <w:pPr>
              <w:spacing w:line="240" w:lineRule="exact"/>
              <w:jc w:val="center"/>
              <w:rPr>
                <w:b/>
                <w:szCs w:val="21"/>
                <w:highlight w:val="none"/>
              </w:rPr>
            </w:pPr>
            <w:r>
              <w:rPr>
                <w:rFonts w:hint="eastAsia"/>
                <w:b/>
                <w:szCs w:val="21"/>
                <w:highlight w:val="none"/>
              </w:rPr>
              <w:t>人</w:t>
            </w:r>
          </w:p>
        </w:tc>
        <w:tc>
          <w:tcPr>
            <w:tcW w:w="1170" w:type="dxa"/>
            <w:vAlign w:val="center"/>
          </w:tcPr>
          <w:p w14:paraId="118793F1">
            <w:pPr>
              <w:spacing w:line="240" w:lineRule="exact"/>
              <w:jc w:val="center"/>
              <w:rPr>
                <w:b/>
                <w:szCs w:val="21"/>
                <w:highlight w:val="none"/>
              </w:rPr>
            </w:pPr>
            <w:r>
              <w:rPr>
                <w:rFonts w:hint="eastAsia"/>
                <w:b/>
                <w:szCs w:val="21"/>
                <w:highlight w:val="none"/>
              </w:rPr>
              <w:t>X≥300</w:t>
            </w:r>
          </w:p>
        </w:tc>
        <w:tc>
          <w:tcPr>
            <w:tcW w:w="1875" w:type="dxa"/>
            <w:vAlign w:val="center"/>
          </w:tcPr>
          <w:p w14:paraId="3F3C2A57">
            <w:pPr>
              <w:spacing w:line="240" w:lineRule="exact"/>
              <w:ind w:left="21" w:leftChars="-51" w:hanging="133" w:hangingChars="60"/>
              <w:jc w:val="center"/>
              <w:rPr>
                <w:b/>
                <w:szCs w:val="21"/>
                <w:highlight w:val="none"/>
              </w:rPr>
            </w:pPr>
            <w:r>
              <w:rPr>
                <w:rFonts w:hint="eastAsia"/>
                <w:b/>
                <w:szCs w:val="21"/>
                <w:highlight w:val="none"/>
              </w:rPr>
              <w:t>100≤X＜300</w:t>
            </w:r>
          </w:p>
        </w:tc>
        <w:tc>
          <w:tcPr>
            <w:tcW w:w="1414" w:type="dxa"/>
            <w:vAlign w:val="center"/>
          </w:tcPr>
          <w:p w14:paraId="2B07C07E">
            <w:pPr>
              <w:spacing w:line="240" w:lineRule="exact"/>
              <w:jc w:val="center"/>
              <w:rPr>
                <w:b/>
                <w:szCs w:val="21"/>
                <w:highlight w:val="none"/>
              </w:rPr>
            </w:pPr>
            <w:r>
              <w:rPr>
                <w:rFonts w:hint="eastAsia"/>
                <w:b/>
                <w:szCs w:val="21"/>
                <w:highlight w:val="none"/>
              </w:rPr>
              <w:t>10≤X＜100</w:t>
            </w:r>
          </w:p>
        </w:tc>
        <w:tc>
          <w:tcPr>
            <w:tcW w:w="984" w:type="dxa"/>
            <w:vAlign w:val="center"/>
          </w:tcPr>
          <w:p w14:paraId="1AE7C627">
            <w:pPr>
              <w:spacing w:line="240" w:lineRule="exact"/>
              <w:jc w:val="center"/>
              <w:rPr>
                <w:b/>
                <w:szCs w:val="21"/>
                <w:highlight w:val="none"/>
              </w:rPr>
            </w:pPr>
            <w:r>
              <w:rPr>
                <w:rFonts w:hint="eastAsia"/>
                <w:b/>
                <w:szCs w:val="21"/>
                <w:highlight w:val="none"/>
              </w:rPr>
              <w:t>X＜10</w:t>
            </w:r>
          </w:p>
        </w:tc>
      </w:tr>
      <w:tr w14:paraId="24FF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604" w:type="dxa"/>
            <w:vMerge w:val="continue"/>
            <w:vAlign w:val="center"/>
          </w:tcPr>
          <w:p w14:paraId="51C5E7B0">
            <w:pPr>
              <w:spacing w:line="240" w:lineRule="exact"/>
              <w:jc w:val="center"/>
              <w:rPr>
                <w:b/>
                <w:szCs w:val="21"/>
                <w:highlight w:val="none"/>
              </w:rPr>
            </w:pPr>
          </w:p>
        </w:tc>
        <w:tc>
          <w:tcPr>
            <w:tcW w:w="1530" w:type="dxa"/>
            <w:vAlign w:val="center"/>
          </w:tcPr>
          <w:p w14:paraId="71D8BDE0">
            <w:pPr>
              <w:spacing w:line="240" w:lineRule="exact"/>
              <w:jc w:val="center"/>
              <w:rPr>
                <w:b/>
                <w:szCs w:val="21"/>
                <w:highlight w:val="none"/>
              </w:rPr>
            </w:pPr>
            <w:r>
              <w:rPr>
                <w:rFonts w:hint="eastAsia"/>
                <w:b/>
                <w:szCs w:val="21"/>
                <w:highlight w:val="none"/>
              </w:rPr>
              <w:t>资产总额(Z)</w:t>
            </w:r>
          </w:p>
        </w:tc>
        <w:tc>
          <w:tcPr>
            <w:tcW w:w="780" w:type="dxa"/>
            <w:vAlign w:val="center"/>
          </w:tcPr>
          <w:p w14:paraId="535A3568">
            <w:pPr>
              <w:spacing w:line="240" w:lineRule="exact"/>
              <w:jc w:val="center"/>
              <w:rPr>
                <w:b/>
                <w:szCs w:val="21"/>
                <w:highlight w:val="none"/>
              </w:rPr>
            </w:pPr>
            <w:r>
              <w:rPr>
                <w:rFonts w:hint="eastAsia"/>
                <w:b/>
                <w:szCs w:val="21"/>
                <w:highlight w:val="none"/>
              </w:rPr>
              <w:t>万元</w:t>
            </w:r>
          </w:p>
        </w:tc>
        <w:tc>
          <w:tcPr>
            <w:tcW w:w="1170" w:type="dxa"/>
            <w:vAlign w:val="center"/>
          </w:tcPr>
          <w:p w14:paraId="2B7507CA">
            <w:pPr>
              <w:spacing w:line="240" w:lineRule="exact"/>
              <w:jc w:val="center"/>
              <w:rPr>
                <w:b/>
                <w:szCs w:val="21"/>
                <w:highlight w:val="none"/>
              </w:rPr>
            </w:pPr>
            <w:r>
              <w:rPr>
                <w:rFonts w:hint="eastAsia"/>
                <w:b/>
                <w:szCs w:val="21"/>
                <w:highlight w:val="none"/>
              </w:rPr>
              <w:t>Z≥120000</w:t>
            </w:r>
          </w:p>
        </w:tc>
        <w:tc>
          <w:tcPr>
            <w:tcW w:w="1875" w:type="dxa"/>
            <w:vAlign w:val="center"/>
          </w:tcPr>
          <w:p w14:paraId="3C868978">
            <w:pPr>
              <w:spacing w:line="240" w:lineRule="exact"/>
              <w:jc w:val="center"/>
              <w:rPr>
                <w:b/>
                <w:szCs w:val="21"/>
                <w:highlight w:val="none"/>
              </w:rPr>
            </w:pPr>
            <w:r>
              <w:rPr>
                <w:rFonts w:hint="eastAsia"/>
                <w:b/>
                <w:szCs w:val="21"/>
                <w:highlight w:val="none"/>
              </w:rPr>
              <w:t>8000≤Z＜120000</w:t>
            </w:r>
          </w:p>
        </w:tc>
        <w:tc>
          <w:tcPr>
            <w:tcW w:w="1414" w:type="dxa"/>
            <w:vAlign w:val="center"/>
          </w:tcPr>
          <w:p w14:paraId="4206E0B4">
            <w:pPr>
              <w:spacing w:line="240" w:lineRule="exact"/>
              <w:jc w:val="center"/>
              <w:rPr>
                <w:b/>
                <w:szCs w:val="21"/>
                <w:highlight w:val="none"/>
              </w:rPr>
            </w:pPr>
            <w:r>
              <w:rPr>
                <w:rFonts w:hint="eastAsia"/>
                <w:b/>
                <w:szCs w:val="21"/>
                <w:highlight w:val="none"/>
              </w:rPr>
              <w:t>100≤Z＜8000</w:t>
            </w:r>
          </w:p>
        </w:tc>
        <w:tc>
          <w:tcPr>
            <w:tcW w:w="984" w:type="dxa"/>
            <w:vAlign w:val="center"/>
          </w:tcPr>
          <w:p w14:paraId="68A6D99E">
            <w:pPr>
              <w:spacing w:line="240" w:lineRule="exact"/>
              <w:jc w:val="center"/>
              <w:rPr>
                <w:b/>
                <w:szCs w:val="21"/>
                <w:highlight w:val="none"/>
              </w:rPr>
            </w:pPr>
            <w:r>
              <w:rPr>
                <w:rFonts w:hint="eastAsia"/>
                <w:b/>
                <w:szCs w:val="21"/>
                <w:highlight w:val="none"/>
              </w:rPr>
              <w:t>Z＜100</w:t>
            </w:r>
          </w:p>
        </w:tc>
      </w:tr>
      <w:tr w14:paraId="13C0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604" w:type="dxa"/>
            <w:vAlign w:val="center"/>
          </w:tcPr>
          <w:p w14:paraId="3BB67137">
            <w:pPr>
              <w:spacing w:line="240" w:lineRule="exact"/>
              <w:jc w:val="center"/>
              <w:rPr>
                <w:b/>
                <w:szCs w:val="21"/>
                <w:highlight w:val="none"/>
              </w:rPr>
            </w:pPr>
            <w:r>
              <w:rPr>
                <w:rFonts w:hint="eastAsia"/>
                <w:b/>
                <w:szCs w:val="21"/>
                <w:highlight w:val="none"/>
              </w:rPr>
              <w:t>其他未列明行业*</w:t>
            </w:r>
          </w:p>
        </w:tc>
        <w:tc>
          <w:tcPr>
            <w:tcW w:w="1530" w:type="dxa"/>
            <w:vAlign w:val="center"/>
          </w:tcPr>
          <w:p w14:paraId="371C0DFA">
            <w:pPr>
              <w:spacing w:line="240" w:lineRule="exact"/>
              <w:jc w:val="center"/>
              <w:rPr>
                <w:b/>
                <w:szCs w:val="21"/>
                <w:highlight w:val="none"/>
              </w:rPr>
            </w:pPr>
            <w:r>
              <w:rPr>
                <w:rFonts w:hint="eastAsia"/>
                <w:b/>
                <w:szCs w:val="21"/>
                <w:highlight w:val="none"/>
              </w:rPr>
              <w:t>从业人员(X)</w:t>
            </w:r>
          </w:p>
        </w:tc>
        <w:tc>
          <w:tcPr>
            <w:tcW w:w="780" w:type="dxa"/>
            <w:vAlign w:val="center"/>
          </w:tcPr>
          <w:p w14:paraId="61BF2651">
            <w:pPr>
              <w:spacing w:line="240" w:lineRule="exact"/>
              <w:jc w:val="center"/>
              <w:rPr>
                <w:b/>
                <w:szCs w:val="21"/>
                <w:highlight w:val="none"/>
              </w:rPr>
            </w:pPr>
            <w:r>
              <w:rPr>
                <w:rFonts w:hint="eastAsia"/>
                <w:b/>
                <w:szCs w:val="21"/>
                <w:highlight w:val="none"/>
              </w:rPr>
              <w:t>人</w:t>
            </w:r>
          </w:p>
        </w:tc>
        <w:tc>
          <w:tcPr>
            <w:tcW w:w="1170" w:type="dxa"/>
            <w:vAlign w:val="center"/>
          </w:tcPr>
          <w:p w14:paraId="69E3104A">
            <w:pPr>
              <w:spacing w:line="240" w:lineRule="exact"/>
              <w:jc w:val="center"/>
              <w:rPr>
                <w:b/>
                <w:szCs w:val="21"/>
                <w:highlight w:val="none"/>
              </w:rPr>
            </w:pPr>
            <w:r>
              <w:rPr>
                <w:rFonts w:hint="eastAsia"/>
                <w:b/>
                <w:szCs w:val="21"/>
                <w:highlight w:val="none"/>
              </w:rPr>
              <w:t>X≥300</w:t>
            </w:r>
          </w:p>
        </w:tc>
        <w:tc>
          <w:tcPr>
            <w:tcW w:w="1875" w:type="dxa"/>
            <w:vAlign w:val="center"/>
          </w:tcPr>
          <w:p w14:paraId="79CDB615">
            <w:pPr>
              <w:spacing w:line="240" w:lineRule="exact"/>
              <w:ind w:left="21" w:leftChars="-51" w:hanging="133" w:hangingChars="60"/>
              <w:jc w:val="center"/>
              <w:rPr>
                <w:b/>
                <w:szCs w:val="21"/>
                <w:highlight w:val="none"/>
              </w:rPr>
            </w:pPr>
            <w:r>
              <w:rPr>
                <w:rFonts w:hint="eastAsia"/>
                <w:b/>
                <w:szCs w:val="21"/>
                <w:highlight w:val="none"/>
              </w:rPr>
              <w:t>100≤X＜300</w:t>
            </w:r>
          </w:p>
        </w:tc>
        <w:tc>
          <w:tcPr>
            <w:tcW w:w="1414" w:type="dxa"/>
            <w:vAlign w:val="center"/>
          </w:tcPr>
          <w:p w14:paraId="402FB356">
            <w:pPr>
              <w:spacing w:line="240" w:lineRule="exact"/>
              <w:jc w:val="center"/>
              <w:rPr>
                <w:b/>
                <w:szCs w:val="21"/>
                <w:highlight w:val="none"/>
              </w:rPr>
            </w:pPr>
            <w:r>
              <w:rPr>
                <w:rFonts w:hint="eastAsia"/>
                <w:b/>
                <w:szCs w:val="21"/>
                <w:highlight w:val="none"/>
              </w:rPr>
              <w:t>10≤X＜100</w:t>
            </w:r>
          </w:p>
        </w:tc>
        <w:tc>
          <w:tcPr>
            <w:tcW w:w="984" w:type="dxa"/>
            <w:vAlign w:val="center"/>
          </w:tcPr>
          <w:p w14:paraId="7EAC14F1">
            <w:pPr>
              <w:spacing w:line="240" w:lineRule="exact"/>
              <w:jc w:val="center"/>
              <w:rPr>
                <w:b/>
                <w:szCs w:val="21"/>
                <w:highlight w:val="none"/>
              </w:rPr>
            </w:pPr>
            <w:r>
              <w:rPr>
                <w:rFonts w:hint="eastAsia"/>
                <w:b/>
                <w:szCs w:val="21"/>
                <w:highlight w:val="none"/>
              </w:rPr>
              <w:t>X＜10</w:t>
            </w:r>
          </w:p>
        </w:tc>
      </w:tr>
    </w:tbl>
    <w:p w14:paraId="1F925695">
      <w:pPr>
        <w:spacing w:line="288" w:lineRule="auto"/>
        <w:rPr>
          <w:rFonts w:asciiTheme="majorEastAsia" w:hAnsiTheme="majorEastAsia" w:eastAsiaTheme="majorEastAsia"/>
          <w:spacing w:val="8"/>
          <w:sz w:val="21"/>
          <w:szCs w:val="21"/>
          <w:highlight w:val="none"/>
        </w:rPr>
      </w:pPr>
      <w:r>
        <w:rPr>
          <w:rFonts w:hint="eastAsia" w:asciiTheme="majorEastAsia" w:hAnsiTheme="majorEastAsia" w:eastAsiaTheme="majorEastAsia"/>
          <w:spacing w:val="8"/>
          <w:sz w:val="21"/>
          <w:szCs w:val="21"/>
          <w:highlight w:val="none"/>
        </w:rPr>
        <w:t>说明：</w:t>
      </w:r>
    </w:p>
    <w:p w14:paraId="65984E6A">
      <w:pPr>
        <w:spacing w:line="288" w:lineRule="auto"/>
        <w:rPr>
          <w:rFonts w:asciiTheme="majorEastAsia" w:hAnsiTheme="majorEastAsia" w:eastAsiaTheme="majorEastAsia"/>
          <w:spacing w:val="8"/>
          <w:sz w:val="21"/>
          <w:szCs w:val="21"/>
          <w:highlight w:val="none"/>
          <w:lang w:eastAsia="zh-CN"/>
        </w:rPr>
      </w:pPr>
      <w:r>
        <w:rPr>
          <w:rFonts w:hint="eastAsia" w:asciiTheme="majorEastAsia" w:hAnsiTheme="majorEastAsia" w:eastAsiaTheme="majorEastAsia"/>
          <w:spacing w:val="8"/>
          <w:sz w:val="21"/>
          <w:szCs w:val="21"/>
          <w:highlight w:val="none"/>
          <w:lang w:eastAsia="zh-CN"/>
        </w:rPr>
        <w:t>　　1.大型、中型和小型企业须同时满足所列指标的下限，否则下划一档；微型企业只须满足所列指标中的一项即可。</w:t>
      </w:r>
    </w:p>
    <w:p w14:paraId="6D784467">
      <w:pPr>
        <w:spacing w:line="288" w:lineRule="auto"/>
        <w:ind w:firstLine="452"/>
        <w:rPr>
          <w:rFonts w:asciiTheme="majorEastAsia" w:hAnsiTheme="majorEastAsia" w:eastAsiaTheme="majorEastAsia"/>
          <w:spacing w:val="8"/>
          <w:sz w:val="21"/>
          <w:szCs w:val="21"/>
          <w:highlight w:val="none"/>
          <w:lang w:eastAsia="zh-CN"/>
        </w:rPr>
      </w:pPr>
      <w:r>
        <w:rPr>
          <w:rFonts w:hint="eastAsia" w:asciiTheme="majorEastAsia" w:hAnsiTheme="majorEastAsia" w:eastAsiaTheme="majorEastAsia"/>
          <w:spacing w:val="8"/>
          <w:sz w:val="21"/>
          <w:szCs w:val="21"/>
          <w:highlight w:val="none"/>
          <w:lang w:eastAsia="zh-CN"/>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C340B3B">
      <w:pPr>
        <w:spacing w:line="288" w:lineRule="auto"/>
        <w:ind w:firstLine="452"/>
        <w:rPr>
          <w:rFonts w:asciiTheme="majorEastAsia" w:hAnsiTheme="majorEastAsia" w:eastAsiaTheme="majorEastAsia"/>
          <w:spacing w:val="8"/>
          <w:sz w:val="21"/>
          <w:szCs w:val="21"/>
          <w:highlight w:val="none"/>
        </w:rPr>
      </w:pPr>
      <w:r>
        <w:rPr>
          <w:rFonts w:hint="eastAsia" w:asciiTheme="majorEastAsia" w:hAnsiTheme="majorEastAsia" w:eastAsiaTheme="majorEastAsia"/>
          <w:spacing w:val="8"/>
          <w:sz w:val="21"/>
          <w:szCs w:val="21"/>
          <w:highlight w:val="none"/>
          <w:lang w:eastAsia="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Theme="majorEastAsia" w:hAnsiTheme="majorEastAsia" w:eastAsiaTheme="majorEastAsia"/>
          <w:spacing w:val="8"/>
          <w:sz w:val="21"/>
          <w:szCs w:val="21"/>
          <w:highlight w:val="none"/>
        </w:rPr>
        <w:t>（3）资产总额，采用资产总计代替。</w:t>
      </w:r>
    </w:p>
    <w:p w14:paraId="2FEC7FF5">
      <w:pPr>
        <w:spacing w:line="288" w:lineRule="auto"/>
        <w:rPr>
          <w:b/>
          <w:spacing w:val="20"/>
          <w:sz w:val="24"/>
          <w:szCs w:val="24"/>
          <w:highlight w:val="none"/>
        </w:rPr>
      </w:pPr>
    </w:p>
    <w:p w14:paraId="760ACD66">
      <w:pPr>
        <w:spacing w:line="288" w:lineRule="auto"/>
        <w:rPr>
          <w:sz w:val="24"/>
          <w:szCs w:val="24"/>
          <w:highlight w:val="none"/>
        </w:rPr>
      </w:pPr>
    </w:p>
    <w:p w14:paraId="41968BDB">
      <w:pPr>
        <w:widowControl/>
        <w:spacing w:before="120" w:beforeLines="50" w:after="120" w:afterLines="50"/>
        <w:jc w:val="center"/>
        <w:rPr>
          <w:color w:val="000000" w:themeColor="text1"/>
          <w:highlight w:val="none"/>
          <w14:textFill>
            <w14:solidFill>
              <w14:schemeClr w14:val="tx1"/>
            </w14:solidFill>
          </w14:textFill>
        </w:rPr>
      </w:pPr>
    </w:p>
    <w:p w14:paraId="3911DC75">
      <w:pPr>
        <w:widowControl/>
        <w:spacing w:before="120" w:beforeLines="50" w:after="120" w:afterLines="50"/>
        <w:jc w:val="center"/>
        <w:rPr>
          <w:color w:val="000000" w:themeColor="text1"/>
          <w:highlight w:val="none"/>
          <w14:textFill>
            <w14:solidFill>
              <w14:schemeClr w14:val="tx1"/>
            </w14:solidFill>
          </w14:textFill>
        </w:rPr>
      </w:pPr>
    </w:p>
    <w:p w14:paraId="2E629BFE">
      <w:pPr>
        <w:widowControl/>
        <w:spacing w:before="120" w:beforeLines="50" w:after="120" w:afterLines="50"/>
        <w:jc w:val="center"/>
        <w:rPr>
          <w:color w:val="000000" w:themeColor="text1"/>
          <w:highlight w:val="none"/>
          <w14:textFill>
            <w14:solidFill>
              <w14:schemeClr w14:val="tx1"/>
            </w14:solidFill>
          </w14:textFill>
        </w:rPr>
      </w:pPr>
    </w:p>
    <w:p w14:paraId="5E9D1224">
      <w:pPr>
        <w:widowControl/>
        <w:spacing w:before="120" w:beforeLines="50" w:after="120" w:afterLines="50"/>
        <w:jc w:val="center"/>
        <w:rPr>
          <w:color w:val="000000" w:themeColor="text1"/>
          <w:highlight w:val="none"/>
          <w14:textFill>
            <w14:solidFill>
              <w14:schemeClr w14:val="tx1"/>
            </w14:solidFill>
          </w14:textFill>
        </w:rPr>
      </w:pPr>
    </w:p>
    <w:p w14:paraId="6360EAEE">
      <w:pPr>
        <w:widowControl/>
        <w:spacing w:before="120" w:beforeLines="50" w:after="120" w:afterLines="50"/>
        <w:jc w:val="center"/>
        <w:rPr>
          <w:color w:val="000000" w:themeColor="text1"/>
          <w:highlight w:val="none"/>
          <w14:textFill>
            <w14:solidFill>
              <w14:schemeClr w14:val="tx1"/>
            </w14:solidFill>
          </w14:textFill>
        </w:rPr>
      </w:pPr>
    </w:p>
    <w:p w14:paraId="6A219712">
      <w:pPr>
        <w:widowControl/>
        <w:spacing w:before="120" w:beforeLines="50" w:after="120" w:afterLines="50"/>
        <w:jc w:val="center"/>
        <w:rPr>
          <w:color w:val="000000" w:themeColor="text1"/>
          <w:highlight w:val="none"/>
          <w14:textFill>
            <w14:solidFill>
              <w14:schemeClr w14:val="tx1"/>
            </w14:solidFill>
          </w14:textFill>
        </w:rPr>
      </w:pPr>
    </w:p>
    <w:p w14:paraId="71779BED">
      <w:pPr>
        <w:widowControl/>
        <w:spacing w:before="120" w:beforeLines="50" w:after="120" w:afterLines="50"/>
        <w:jc w:val="center"/>
        <w:rPr>
          <w:color w:val="000000" w:themeColor="text1"/>
          <w:highlight w:val="none"/>
          <w14:textFill>
            <w14:solidFill>
              <w14:schemeClr w14:val="tx1"/>
            </w14:solidFill>
          </w14:textFill>
        </w:rPr>
      </w:pPr>
    </w:p>
    <w:p w14:paraId="65DAA126">
      <w:pPr>
        <w:widowControl/>
        <w:spacing w:before="120" w:beforeLines="50" w:after="120" w:afterLines="50"/>
        <w:jc w:val="center"/>
        <w:rPr>
          <w:color w:val="000000" w:themeColor="text1"/>
          <w:highlight w:val="none"/>
          <w14:textFill>
            <w14:solidFill>
              <w14:schemeClr w14:val="tx1"/>
            </w14:solidFill>
          </w14:textFill>
        </w:rPr>
      </w:pPr>
    </w:p>
    <w:p w14:paraId="15B6C865">
      <w:pPr>
        <w:widowControl/>
        <w:spacing w:before="120" w:beforeLines="50" w:after="120" w:afterLines="50"/>
        <w:jc w:val="center"/>
        <w:rPr>
          <w:color w:val="000000" w:themeColor="text1"/>
          <w:highlight w:val="none"/>
          <w14:textFill>
            <w14:solidFill>
              <w14:schemeClr w14:val="tx1"/>
            </w14:solidFill>
          </w14:textFill>
        </w:rPr>
      </w:pPr>
    </w:p>
    <w:p w14:paraId="458AD07B">
      <w:pPr>
        <w:widowControl/>
        <w:spacing w:before="120" w:beforeLines="50" w:after="120" w:afterLines="50"/>
        <w:jc w:val="center"/>
        <w:rPr>
          <w:color w:val="000000" w:themeColor="text1"/>
          <w:highlight w:val="none"/>
          <w14:textFill>
            <w14:solidFill>
              <w14:schemeClr w14:val="tx1"/>
            </w14:solidFill>
          </w14:textFill>
        </w:rPr>
      </w:pPr>
    </w:p>
    <w:p w14:paraId="0C471BCF">
      <w:pPr>
        <w:spacing w:before="120" w:beforeLines="50" w:after="120" w:afterLines="50"/>
        <w:jc w:val="center"/>
        <w:textAlignment w:val="baseline"/>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国务院办公厅关于在政府采购中实施本国产品标准及相关政策的通知</w:t>
      </w:r>
    </w:p>
    <w:p w14:paraId="250329E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jc w:val="center"/>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国办发〔2025〕34号</w:t>
      </w:r>
    </w:p>
    <w:p w14:paraId="0D3CD27D">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各省、自治区、直辖市人民政府，国务院各部委、各直属机构：</w:t>
      </w:r>
    </w:p>
    <w:p w14:paraId="45D21E65">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2CE71622">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vertAlign w:val="baseline"/>
        </w:rPr>
        <w:t>一、本国产品标准</w:t>
      </w:r>
    </w:p>
    <w:p w14:paraId="6FF7A5AC">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本国产品应当符合以下条件：</w:t>
      </w:r>
    </w:p>
    <w:p w14:paraId="5EF2679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（一）在中国境内生产</w:t>
      </w:r>
    </w:p>
    <w:p w14:paraId="4DBB61C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产品应当在中国境内生产，即在中华人民共和国关境内实现从原材料、组件到产品的属性改变。</w:t>
      </w:r>
    </w:p>
    <w:p w14:paraId="5EB0BC7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属性改变是指经过制造、加工或者组装等工序，产生完全不同于原材料、组件的新产品，并具有新的名称和特征（用途）。属性改变不包括以下细微操作：</w:t>
      </w:r>
    </w:p>
    <w:p w14:paraId="53A2553A">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1.为确保产品在运输或者储存期间保持某种状态而进行的操作；</w:t>
      </w:r>
    </w:p>
    <w:p w14:paraId="0DDC2ED2">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2.为产品运输或者销售进行的包装或者展示；</w:t>
      </w:r>
    </w:p>
    <w:p w14:paraId="117ED1A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3.在产品或者其包装上粘贴或者印刷品牌、标志、标识以及其他用于区别的标记；</w:t>
      </w:r>
    </w:p>
    <w:p w14:paraId="7FDBE49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4.简单的上漆、磨光和分装；</w:t>
      </w:r>
    </w:p>
    <w:p w14:paraId="0206E1EE">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5.其他不属于属性改变的情形。</w:t>
      </w:r>
    </w:p>
    <w:p w14:paraId="4935826A">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（二）在中国境内生产的组件成本占比达到规定比例</w:t>
      </w:r>
    </w:p>
    <w:p w14:paraId="21726CC0">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产品在中国境内生产的组件成本占比应当达到规定比例，计算公式为：</w:t>
      </w:r>
    </w:p>
    <w:p w14:paraId="3F1A3481">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drawing>
          <wp:inline distT="0" distB="0" distL="114300" distR="114300">
            <wp:extent cx="4829175" cy="762000"/>
            <wp:effectExtent l="0" t="0" r="9525" b="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9"/>
                    <a:stretch>
                      <a:fillRect/>
                    </a:stretch>
                  </pic:blipFill>
                  <pic:spPr>
                    <a:xfrm>
                      <a:off x="0" y="0"/>
                      <a:ext cx="4829175" cy="762000"/>
                    </a:xfrm>
                    <a:prstGeom prst="rect">
                      <a:avLst/>
                    </a:prstGeom>
                    <a:noFill/>
                    <a:ln w="9525">
                      <a:noFill/>
                    </a:ln>
                  </pic:spPr>
                </pic:pic>
              </a:graphicData>
            </a:graphic>
          </wp:inline>
        </w:drawing>
      </w:r>
    </w:p>
    <w:p w14:paraId="55E9B83C">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DC7F08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（三）特定产品的关键组件、关键工序符合相关要求</w:t>
      </w:r>
    </w:p>
    <w:p w14:paraId="2B050763">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5701A165">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516FBF7">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vertAlign w:val="baseline"/>
        </w:rPr>
        <w:t>二、本国产品标准的适用范围</w:t>
      </w:r>
    </w:p>
    <w:p w14:paraId="3D9AB5E4">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72AFB14">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vertAlign w:val="baseline"/>
        </w:rPr>
        <w:t>三、对本国产品的支持政策</w:t>
      </w:r>
    </w:p>
    <w:p w14:paraId="1E85EBF0">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5202606A">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0F7C10F">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vertAlign w:val="baseline"/>
        </w:rPr>
        <w:t>四、政策执行要求</w:t>
      </w:r>
    </w:p>
    <w:p w14:paraId="404B97ED">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（一）产品在中国境内生产的组件成本核算规则。产品在中国境内生产的组件成本，按照《中国境内生产的组件成本核算基本规则》（见附件1）计算。</w:t>
      </w:r>
    </w:p>
    <w:p w14:paraId="57DE921E">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6AEFE94">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采购人、采购代理机构应当随中标、成交结果同时公告中标、成交供应商提供的《声明函》或有关证明文件。</w:t>
      </w:r>
    </w:p>
    <w:p w14:paraId="32533B17">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3614F6B5">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（四）中华人民共和国缔结或者共同参加的国际条约、协定对政府采购中本国产品政策另有规定的，按照有关条约、协定执行。</w:t>
      </w:r>
    </w:p>
    <w:p w14:paraId="35DA3C54">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vertAlign w:val="baseline"/>
        </w:rPr>
        <w:t>五、争议处理</w:t>
      </w:r>
    </w:p>
    <w:p w14:paraId="5817EF3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842A947">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（一）政府采购投诉处理、监督检查中，对产品或组件是否在中国境内生产存在争议的，按照以下原则处理：</w:t>
      </w:r>
    </w:p>
    <w:p w14:paraId="6B398811">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09CEF863">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47853F3F">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D7F9C1A">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D72272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E4B7DB7">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本通知自2026年1月1日起施行。</w:t>
      </w:r>
    </w:p>
    <w:p w14:paraId="1F42214C">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 </w:t>
      </w:r>
    </w:p>
    <w:p w14:paraId="07652351">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附件：1.中国境内生产的组件成本核算基本规则</w:t>
      </w:r>
    </w:p>
    <w:p w14:paraId="6F29E8AB">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　　　2.关于符合本国产品标准的声明函</w:t>
      </w:r>
    </w:p>
    <w:p w14:paraId="275200F5">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jc w:val="right"/>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国务院办公厅　        </w:t>
      </w:r>
    </w:p>
    <w:p w14:paraId="6383066B">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jc w:val="right"/>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2025年9月28日         </w:t>
      </w:r>
    </w:p>
    <w:p w14:paraId="7172B7CD">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（此件公开发布）</w:t>
      </w:r>
    </w:p>
    <w:p w14:paraId="66B008E5">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 </w:t>
      </w:r>
    </w:p>
    <w:p w14:paraId="15A1E250">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 </w:t>
      </w:r>
    </w:p>
    <w:p w14:paraId="6D9F99EB">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宋体" w:hAnsi="宋体" w:eastAsia="宋体" w:cs="宋体"/>
          <w:b/>
          <w:bCs/>
          <w:i w:val="0"/>
          <w:iCs w:val="0"/>
          <w:caps w:val="0"/>
          <w:color w:val="auto"/>
          <w:spacing w:val="0"/>
          <w:sz w:val="24"/>
          <w:szCs w:val="24"/>
          <w:highlight w:val="none"/>
          <w:shd w:val="clear" w:fill="FFFFFF"/>
          <w:vertAlign w:val="baseline"/>
        </w:rPr>
      </w:pPr>
    </w:p>
    <w:p w14:paraId="578BE39B">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宋体" w:hAnsi="宋体" w:eastAsia="宋体" w:cs="宋体"/>
          <w:b/>
          <w:bCs/>
          <w:i w:val="0"/>
          <w:iCs w:val="0"/>
          <w:caps w:val="0"/>
          <w:color w:val="auto"/>
          <w:spacing w:val="0"/>
          <w:sz w:val="24"/>
          <w:szCs w:val="24"/>
          <w:highlight w:val="none"/>
          <w:shd w:val="clear" w:fill="FFFFFF"/>
          <w:vertAlign w:val="baseline"/>
        </w:rPr>
      </w:pPr>
    </w:p>
    <w:p w14:paraId="6B16263C">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宋体" w:hAnsi="宋体" w:eastAsia="宋体" w:cs="宋体"/>
          <w:b/>
          <w:bCs/>
          <w:i w:val="0"/>
          <w:iCs w:val="0"/>
          <w:caps w:val="0"/>
          <w:color w:val="auto"/>
          <w:spacing w:val="0"/>
          <w:sz w:val="24"/>
          <w:szCs w:val="24"/>
          <w:highlight w:val="none"/>
          <w:shd w:val="clear" w:fill="FFFFFF"/>
          <w:vertAlign w:val="baseline"/>
        </w:rPr>
      </w:pPr>
    </w:p>
    <w:p w14:paraId="10F4BAB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宋体" w:hAnsi="宋体" w:eastAsia="宋体" w:cs="宋体"/>
          <w:b/>
          <w:bCs/>
          <w:i w:val="0"/>
          <w:iCs w:val="0"/>
          <w:caps w:val="0"/>
          <w:color w:val="auto"/>
          <w:spacing w:val="0"/>
          <w:sz w:val="24"/>
          <w:szCs w:val="24"/>
          <w:highlight w:val="none"/>
          <w:shd w:val="clear" w:fill="FFFFFF"/>
          <w:vertAlign w:val="baseline"/>
        </w:rPr>
      </w:pPr>
    </w:p>
    <w:p w14:paraId="284A83F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宋体" w:hAnsi="宋体" w:eastAsia="宋体" w:cs="宋体"/>
          <w:b/>
          <w:bCs/>
          <w:i w:val="0"/>
          <w:iCs w:val="0"/>
          <w:caps w:val="0"/>
          <w:color w:val="auto"/>
          <w:spacing w:val="0"/>
          <w:sz w:val="24"/>
          <w:szCs w:val="24"/>
          <w:highlight w:val="none"/>
          <w:shd w:val="clear" w:fill="FFFFFF"/>
          <w:vertAlign w:val="baseline"/>
        </w:rPr>
      </w:pPr>
    </w:p>
    <w:p w14:paraId="23E1325C">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宋体" w:hAnsi="宋体" w:eastAsia="宋体" w:cs="宋体"/>
          <w:b/>
          <w:bCs/>
          <w:i w:val="0"/>
          <w:iCs w:val="0"/>
          <w:caps w:val="0"/>
          <w:color w:val="auto"/>
          <w:spacing w:val="0"/>
          <w:sz w:val="24"/>
          <w:szCs w:val="24"/>
          <w:highlight w:val="none"/>
          <w:shd w:val="clear" w:fill="FFFFFF"/>
          <w:vertAlign w:val="baseline"/>
        </w:rPr>
      </w:pPr>
    </w:p>
    <w:p w14:paraId="47648B0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宋体" w:hAnsi="宋体" w:eastAsia="宋体" w:cs="宋体"/>
          <w:b/>
          <w:bCs/>
          <w:i w:val="0"/>
          <w:iCs w:val="0"/>
          <w:caps w:val="0"/>
          <w:color w:val="auto"/>
          <w:spacing w:val="0"/>
          <w:sz w:val="24"/>
          <w:szCs w:val="24"/>
          <w:highlight w:val="none"/>
          <w:shd w:val="clear" w:fill="FFFFFF"/>
          <w:vertAlign w:val="baseline"/>
        </w:rPr>
      </w:pPr>
    </w:p>
    <w:p w14:paraId="19A68863">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宋体" w:hAnsi="宋体" w:eastAsia="宋体" w:cs="宋体"/>
          <w:b/>
          <w:bCs/>
          <w:i w:val="0"/>
          <w:iCs w:val="0"/>
          <w:caps w:val="0"/>
          <w:color w:val="auto"/>
          <w:spacing w:val="0"/>
          <w:sz w:val="24"/>
          <w:szCs w:val="24"/>
          <w:highlight w:val="none"/>
          <w:shd w:val="clear" w:fill="FFFFFF"/>
          <w:vertAlign w:val="baseline"/>
        </w:rPr>
      </w:pPr>
    </w:p>
    <w:p w14:paraId="44F26AB3">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宋体" w:hAnsi="宋体" w:eastAsia="宋体" w:cs="宋体"/>
          <w:b/>
          <w:bCs/>
          <w:i w:val="0"/>
          <w:iCs w:val="0"/>
          <w:caps w:val="0"/>
          <w:color w:val="auto"/>
          <w:spacing w:val="0"/>
          <w:sz w:val="24"/>
          <w:szCs w:val="24"/>
          <w:highlight w:val="none"/>
          <w:shd w:val="clear" w:fill="FFFFFF"/>
          <w:vertAlign w:val="baseline"/>
        </w:rPr>
      </w:pPr>
    </w:p>
    <w:p w14:paraId="2EE9E32F">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宋体" w:hAnsi="宋体" w:eastAsia="宋体" w:cs="宋体"/>
          <w:b/>
          <w:bCs/>
          <w:i w:val="0"/>
          <w:iCs w:val="0"/>
          <w:caps w:val="0"/>
          <w:color w:val="auto"/>
          <w:spacing w:val="0"/>
          <w:sz w:val="24"/>
          <w:szCs w:val="24"/>
          <w:highlight w:val="none"/>
          <w:shd w:val="clear" w:fill="FFFFFF"/>
          <w:vertAlign w:val="baseline"/>
        </w:rPr>
      </w:pPr>
    </w:p>
    <w:p w14:paraId="79B8713D">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宋体" w:hAnsi="宋体" w:eastAsia="宋体" w:cs="宋体"/>
          <w:b/>
          <w:bCs/>
          <w:i w:val="0"/>
          <w:iCs w:val="0"/>
          <w:caps w:val="0"/>
          <w:color w:val="auto"/>
          <w:spacing w:val="0"/>
          <w:sz w:val="24"/>
          <w:szCs w:val="24"/>
          <w:highlight w:val="none"/>
          <w:shd w:val="clear" w:fill="FFFFFF"/>
          <w:vertAlign w:val="baseline"/>
        </w:rPr>
      </w:pPr>
    </w:p>
    <w:p w14:paraId="3437148B">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宋体" w:hAnsi="宋体" w:eastAsia="宋体" w:cs="宋体"/>
          <w:b/>
          <w:bCs/>
          <w:i w:val="0"/>
          <w:iCs w:val="0"/>
          <w:caps w:val="0"/>
          <w:color w:val="auto"/>
          <w:spacing w:val="0"/>
          <w:sz w:val="24"/>
          <w:szCs w:val="24"/>
          <w:highlight w:val="none"/>
          <w:shd w:val="clear" w:fill="FFFFFF"/>
          <w:vertAlign w:val="baseline"/>
        </w:rPr>
      </w:pPr>
    </w:p>
    <w:p w14:paraId="042CA7D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宋体" w:hAnsi="宋体" w:eastAsia="宋体" w:cs="宋体"/>
          <w:b/>
          <w:bCs/>
          <w:i w:val="0"/>
          <w:iCs w:val="0"/>
          <w:caps w:val="0"/>
          <w:color w:val="auto"/>
          <w:spacing w:val="0"/>
          <w:sz w:val="24"/>
          <w:szCs w:val="24"/>
          <w:highlight w:val="none"/>
          <w:shd w:val="clear" w:fill="FFFFFF"/>
          <w:vertAlign w:val="baseline"/>
        </w:rPr>
      </w:pPr>
    </w:p>
    <w:p w14:paraId="3644D0A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宋体" w:hAnsi="宋体" w:eastAsia="宋体" w:cs="宋体"/>
          <w:b/>
          <w:bCs/>
          <w:i w:val="0"/>
          <w:iCs w:val="0"/>
          <w:caps w:val="0"/>
          <w:color w:val="auto"/>
          <w:spacing w:val="0"/>
          <w:sz w:val="24"/>
          <w:szCs w:val="24"/>
          <w:highlight w:val="none"/>
          <w:shd w:val="clear" w:fill="FFFFFF"/>
          <w:vertAlign w:val="baseline"/>
        </w:rPr>
      </w:pPr>
    </w:p>
    <w:p w14:paraId="250D1747">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宋体" w:hAnsi="宋体" w:eastAsia="宋体" w:cs="宋体"/>
          <w:b/>
          <w:bCs/>
          <w:i w:val="0"/>
          <w:iCs w:val="0"/>
          <w:caps w:val="0"/>
          <w:color w:val="auto"/>
          <w:spacing w:val="0"/>
          <w:sz w:val="24"/>
          <w:szCs w:val="24"/>
          <w:highlight w:val="none"/>
          <w:shd w:val="clear" w:fill="FFFFFF"/>
          <w:vertAlign w:val="baseline"/>
        </w:rPr>
      </w:pPr>
    </w:p>
    <w:p w14:paraId="6759DEBE">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宋体" w:hAnsi="宋体" w:eastAsia="宋体" w:cs="宋体"/>
          <w:b/>
          <w:bCs/>
          <w:i w:val="0"/>
          <w:iCs w:val="0"/>
          <w:caps w:val="0"/>
          <w:color w:val="auto"/>
          <w:spacing w:val="0"/>
          <w:sz w:val="24"/>
          <w:szCs w:val="24"/>
          <w:highlight w:val="none"/>
          <w:shd w:val="clear" w:fill="FFFFFF"/>
          <w:vertAlign w:val="baseline"/>
        </w:rPr>
      </w:pPr>
    </w:p>
    <w:p w14:paraId="65E79B8E">
      <w:pPr>
        <w:widowControl/>
        <w:spacing w:before="120" w:beforeLines="50" w:after="120" w:afterLines="50"/>
        <w:jc w:val="both"/>
        <w:rPr>
          <w:color w:val="000000" w:themeColor="text1"/>
          <w:highlight w:val="none"/>
          <w14:textFill>
            <w14:solidFill>
              <w14:schemeClr w14:val="tx1"/>
            </w14:solidFill>
          </w14:textFill>
        </w:rPr>
      </w:pPr>
    </w:p>
    <w:p w14:paraId="681AE5B9">
      <w:pPr>
        <w:widowControl/>
        <w:spacing w:before="120" w:beforeLines="50" w:after="120" w:afterLines="50"/>
        <w:jc w:val="both"/>
        <w:rPr>
          <w:color w:val="000000" w:themeColor="text1"/>
          <w:highlight w:val="none"/>
          <w14:textFill>
            <w14:solidFill>
              <w14:schemeClr w14:val="tx1"/>
            </w14:solidFill>
          </w14:textFill>
        </w:rPr>
      </w:pPr>
    </w:p>
    <w:p w14:paraId="35D71E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20" w:lineRule="atLeast"/>
        <w:ind w:left="0" w:right="0" w:firstLine="0"/>
        <w:jc w:val="center"/>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kern w:val="0"/>
          <w:sz w:val="24"/>
          <w:szCs w:val="24"/>
          <w:highlight w:val="none"/>
          <w:shd w:val="clear" w:fill="FFFFFF"/>
          <w:vertAlign w:val="baseline"/>
          <w:lang w:val="en-US" w:eastAsia="zh-CN" w:bidi="ar"/>
        </w:rPr>
        <w:t>关于推动解决政府采购异常低价问题的通知</w:t>
      </w:r>
    </w:p>
    <w:p w14:paraId="7EAB6C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textAlignment w:val="baseline"/>
        <w:rPr>
          <w:rFonts w:hint="eastAsia" w:ascii="宋体" w:hAnsi="宋体" w:eastAsia="宋体" w:cs="宋体"/>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 </w:t>
      </w:r>
      <w: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
        </w:rPr>
        <w:t>财库〔2026〕2号</w:t>
      </w:r>
    </w:p>
    <w:p w14:paraId="0E6D6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 </w:t>
      </w:r>
    </w:p>
    <w:p w14:paraId="13452E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各中央预算单位，各省、自治区、直辖市、计划单列市财政厅（局），新疆生产建设兵团财政局：</w:t>
      </w:r>
    </w:p>
    <w:p w14:paraId="16E542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为整治政府采购领域“内卷式”竞争，形成优质优价、良性竞争的市场秩序，现就推动解决政府采购异常低价问题有关事项通知如下：</w:t>
      </w:r>
    </w:p>
    <w:p w14:paraId="31F51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一、加强政府采购需求管理</w:t>
      </w:r>
    </w:p>
    <w:p w14:paraId="29366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03CE35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497DA1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212D5F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二、强化政府采购异常低价审查</w:t>
      </w:r>
    </w:p>
    <w:p w14:paraId="0E7B6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（一）采购人应当在采购文件中明确，政府采购评审中出现下列情形之一的，评审委员会应当启动异常低价投标（响应）审查程序：</w:t>
      </w:r>
    </w:p>
    <w:p w14:paraId="2E4926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1.投标（响应）报价低于全部通过符合性审查供应商投标（响应）报价平均值50%的，即投标（响应）报价&lt;全部通过符合性审查供应商投标（响应）报价平均值×50%；</w:t>
      </w:r>
    </w:p>
    <w:p w14:paraId="59C37A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2.投标（响应）报价低于通过符合性审查的次低报价供应商投标（响应）报价50%的，即投标（响应）报价&lt;通过符合性审查的次低报价供应商投标（响应）报价×50%；</w:t>
      </w:r>
    </w:p>
    <w:p w14:paraId="78FD8B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3.投标（响应）报价低于采购项目最高限价45%的，即投标（响应）报价&lt;采购项目最高限价×45%；</w:t>
      </w:r>
    </w:p>
    <w:p w14:paraId="1A502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4.评审委员会基于专业判断，认为供应商报价过低，有可能影响产品质量或者不能诚信履约的其他情形。</w:t>
      </w:r>
    </w:p>
    <w:p w14:paraId="657E6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采购人可以结合具体项目实际情况，提高上述第1项至第3项中启动异常低价投标（响应）审查的数值标准，但是最高不得超过65%。</w:t>
      </w:r>
    </w:p>
    <w:p w14:paraId="261789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相关法律法规对供应商报价有规定的，从其规定。</w:t>
      </w:r>
    </w:p>
    <w:p w14:paraId="1A396E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0689C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09B8A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6832D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3FD5D6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2F971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三、加强政府采购履约验收管理</w:t>
      </w:r>
    </w:p>
    <w:p w14:paraId="5CE87D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4B268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6B2647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highlight w:val="none"/>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
        </w:rPr>
        <w:t>本通知自2026年2月1日起施行。 </w:t>
      </w:r>
    </w:p>
    <w:p w14:paraId="558E0C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0"/>
        <w:jc w:val="both"/>
        <w:textAlignment w:val="baseline"/>
        <w:rPr>
          <w:sz w:val="28"/>
          <w:szCs w:val="28"/>
          <w:highlight w:val="none"/>
        </w:rPr>
      </w:pPr>
      <w:r>
        <w:rPr>
          <w:rFonts w:hint="eastAsia" w:ascii="宋体" w:hAnsi="宋体" w:eastAsia="宋体" w:cs="宋体"/>
          <w:i w:val="0"/>
          <w:iCs w:val="0"/>
          <w:caps w:val="0"/>
          <w:color w:val="000000"/>
          <w:spacing w:val="0"/>
          <w:kern w:val="0"/>
          <w:sz w:val="28"/>
          <w:szCs w:val="28"/>
          <w:highlight w:val="none"/>
          <w:u w:val="none"/>
          <w:shd w:val="clear" w:fill="FFFFFF"/>
          <w:vertAlign w:val="baseline"/>
          <w:lang w:val="en-US" w:eastAsia="zh-CN" w:bidi="ar"/>
        </w:rPr>
        <w:t> </w:t>
      </w:r>
    </w:p>
    <w:p w14:paraId="6C5687B2">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right"/>
        <w:textAlignment w:val="baseline"/>
        <w:rPr>
          <w:sz w:val="28"/>
          <w:szCs w:val="28"/>
          <w:highlight w:val="none"/>
        </w:rPr>
      </w:pPr>
      <w:r>
        <w:rPr>
          <w:rFonts w:hint="eastAsia" w:ascii="仿宋" w:hAnsi="仿宋" w:eastAsia="仿宋" w:cs="仿宋"/>
          <w:i w:val="0"/>
          <w:iCs w:val="0"/>
          <w:caps w:val="0"/>
          <w:color w:val="000000"/>
          <w:spacing w:val="0"/>
          <w:sz w:val="28"/>
          <w:szCs w:val="28"/>
          <w:highlight w:val="none"/>
          <w:u w:val="none"/>
          <w:shd w:val="clear" w:fill="FFFFFF"/>
          <w:vertAlign w:val="baseline"/>
        </w:rPr>
        <w:t>财政部</w:t>
      </w:r>
    </w:p>
    <w:p w14:paraId="68290510">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right"/>
        <w:textAlignment w:val="baseline"/>
        <w:rPr>
          <w:sz w:val="28"/>
          <w:szCs w:val="28"/>
          <w:highlight w:val="none"/>
        </w:rPr>
      </w:pPr>
      <w:r>
        <w:rPr>
          <w:rFonts w:hint="eastAsia" w:ascii="仿宋" w:hAnsi="仿宋" w:eastAsia="仿宋" w:cs="仿宋"/>
          <w:i w:val="0"/>
          <w:iCs w:val="0"/>
          <w:caps w:val="0"/>
          <w:color w:val="000000"/>
          <w:spacing w:val="0"/>
          <w:sz w:val="28"/>
          <w:szCs w:val="28"/>
          <w:highlight w:val="none"/>
          <w:u w:val="none"/>
          <w:shd w:val="clear" w:fill="FFFFFF"/>
          <w:vertAlign w:val="baseline"/>
        </w:rPr>
        <w:t>2026年1月14日</w:t>
      </w:r>
    </w:p>
    <w:p w14:paraId="6C2E0758">
      <w:pPr>
        <w:widowControl/>
        <w:spacing w:before="120" w:beforeLines="50" w:after="120" w:afterLines="50"/>
        <w:jc w:val="both"/>
        <w:rPr>
          <w:color w:val="000000" w:themeColor="text1"/>
          <w:highlight w:val="none"/>
          <w14:textFill>
            <w14:solidFill>
              <w14:schemeClr w14:val="tx1"/>
            </w14:solidFill>
          </w14:textFill>
        </w:rPr>
      </w:pPr>
    </w:p>
    <w:sectPr>
      <w:footerReference r:id="rId7" w:type="default"/>
      <w:pgSz w:w="12240" w:h="15840"/>
      <w:pgMar w:top="1400" w:right="1720" w:bottom="1120" w:left="1720" w:header="0" w:footer="921"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简体">
    <w:altName w:val="黑体"/>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新宋体">
    <w:panose1 w:val="02010609030101010101"/>
    <w:charset w:val="86"/>
    <w:family w:val="modern"/>
    <w:pitch w:val="default"/>
    <w:sig w:usb0="000002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E78A0">
    <w:pPr>
      <w:pStyle w:val="8"/>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CC603">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0CC60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FB8F">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7C5E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F7C5E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24EF9">
    <w:pPr>
      <w:pStyle w:val="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354AE">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F8354AE">
                    <w:pPr>
                      <w:pStyle w:val="1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9606B">
    <w:pPr>
      <w:pStyle w:val="8"/>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8DF9A">
                          <w:pPr>
                            <w:pStyle w:val="1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068DF9A">
                    <w:pPr>
                      <w:pStyle w:val="1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BD880">
    <w:pPr>
      <w:pStyle w:val="8"/>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3EB46">
                          <w:pPr>
                            <w:pStyle w:val="1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B3EB46">
                    <w:pPr>
                      <w:pStyle w:val="1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2A986"/>
    <w:multiLevelType w:val="singleLevel"/>
    <w:tmpl w:val="9442A986"/>
    <w:lvl w:ilvl="0" w:tentative="0">
      <w:start w:val="1"/>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690FC81"/>
    <w:multiLevelType w:val="singleLevel"/>
    <w:tmpl w:val="C690FC81"/>
    <w:lvl w:ilvl="0" w:tentative="0">
      <w:start w:val="2"/>
      <w:numFmt w:val="chineseCounting"/>
      <w:suff w:val="space"/>
      <w:lvlText w:val="%1、"/>
      <w:lvlJc w:val="left"/>
      <w:rPr>
        <w:rFonts w:hint="eastAsia"/>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6BEEBA7"/>
    <w:multiLevelType w:val="singleLevel"/>
    <w:tmpl w:val="06BEEBA7"/>
    <w:lvl w:ilvl="0" w:tentative="0">
      <w:start w:val="2"/>
      <w:numFmt w:val="decimal"/>
      <w:suff w:val="nothing"/>
      <w:lvlText w:val="%1、"/>
      <w:lvlJc w:val="left"/>
    </w:lvl>
  </w:abstractNum>
  <w:abstractNum w:abstractNumId="9">
    <w:nsid w:val="75325F7C"/>
    <w:multiLevelType w:val="multilevel"/>
    <w:tmpl w:val="75325F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A0F6431"/>
    <w:multiLevelType w:val="singleLevel"/>
    <w:tmpl w:val="7A0F6431"/>
    <w:lvl w:ilvl="0" w:tentative="0">
      <w:start w:val="1"/>
      <w:numFmt w:val="decimal"/>
      <w:suff w:val="space"/>
      <w:lvlText w:val="%1."/>
      <w:lvlJc w:val="left"/>
    </w:lvl>
  </w:abstractNum>
  <w:num w:numId="1">
    <w:abstractNumId w:val="0"/>
  </w:num>
  <w:num w:numId="2">
    <w:abstractNumId w:val="2"/>
  </w:num>
  <w:num w:numId="3">
    <w:abstractNumId w:val="10"/>
  </w:num>
  <w:num w:numId="4">
    <w:abstractNumId w:val="3"/>
  </w:num>
  <w:num w:numId="5">
    <w:abstractNumId w:val="7"/>
  </w:num>
  <w:num w:numId="6">
    <w:abstractNumId w:val="5"/>
  </w:num>
  <w:num w:numId="7">
    <w:abstractNumId w:val="4"/>
  </w:num>
  <w:num w:numId="8">
    <w:abstractNumId w:val="1"/>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ZDBjNzNkMDQ2OTkwNDNhYjJkMTJkZDg4MjhjZWYifQ=="/>
  </w:docVars>
  <w:rsids>
    <w:rsidRoot w:val="000553E1"/>
    <w:rsid w:val="00012EC2"/>
    <w:rsid w:val="00050D4B"/>
    <w:rsid w:val="00053761"/>
    <w:rsid w:val="000553E1"/>
    <w:rsid w:val="00081511"/>
    <w:rsid w:val="00085510"/>
    <w:rsid w:val="000A2561"/>
    <w:rsid w:val="000C1F8E"/>
    <w:rsid w:val="000F172D"/>
    <w:rsid w:val="0011084D"/>
    <w:rsid w:val="001332D4"/>
    <w:rsid w:val="001E62B9"/>
    <w:rsid w:val="00213CF6"/>
    <w:rsid w:val="002462C5"/>
    <w:rsid w:val="00285DCE"/>
    <w:rsid w:val="002B06D1"/>
    <w:rsid w:val="002B4765"/>
    <w:rsid w:val="003170FF"/>
    <w:rsid w:val="00376C69"/>
    <w:rsid w:val="003A3127"/>
    <w:rsid w:val="003A5749"/>
    <w:rsid w:val="003E76E9"/>
    <w:rsid w:val="003F263B"/>
    <w:rsid w:val="00400689"/>
    <w:rsid w:val="00422A11"/>
    <w:rsid w:val="00427E88"/>
    <w:rsid w:val="004353A5"/>
    <w:rsid w:val="004A6146"/>
    <w:rsid w:val="00526E55"/>
    <w:rsid w:val="00527C65"/>
    <w:rsid w:val="005303B8"/>
    <w:rsid w:val="005E6A94"/>
    <w:rsid w:val="00675481"/>
    <w:rsid w:val="00694A8A"/>
    <w:rsid w:val="006D3AAA"/>
    <w:rsid w:val="00807FF1"/>
    <w:rsid w:val="00812280"/>
    <w:rsid w:val="008457DA"/>
    <w:rsid w:val="00874927"/>
    <w:rsid w:val="008811BF"/>
    <w:rsid w:val="00893527"/>
    <w:rsid w:val="00896267"/>
    <w:rsid w:val="008A1BC7"/>
    <w:rsid w:val="008A3F79"/>
    <w:rsid w:val="008A5B08"/>
    <w:rsid w:val="009250A7"/>
    <w:rsid w:val="009778EE"/>
    <w:rsid w:val="009C6EFB"/>
    <w:rsid w:val="00A013D4"/>
    <w:rsid w:val="00A82B2F"/>
    <w:rsid w:val="00AD0D03"/>
    <w:rsid w:val="00AE3C2F"/>
    <w:rsid w:val="00B26E13"/>
    <w:rsid w:val="00B60D14"/>
    <w:rsid w:val="00B67265"/>
    <w:rsid w:val="00B81DC7"/>
    <w:rsid w:val="00BB01C8"/>
    <w:rsid w:val="00C00508"/>
    <w:rsid w:val="00C1153A"/>
    <w:rsid w:val="00C253F0"/>
    <w:rsid w:val="00C70069"/>
    <w:rsid w:val="00CA181D"/>
    <w:rsid w:val="00CF5962"/>
    <w:rsid w:val="00CF6556"/>
    <w:rsid w:val="00D01B22"/>
    <w:rsid w:val="00D11514"/>
    <w:rsid w:val="00D41FF3"/>
    <w:rsid w:val="00D83C27"/>
    <w:rsid w:val="00DC4425"/>
    <w:rsid w:val="00DC6059"/>
    <w:rsid w:val="00DC7C1D"/>
    <w:rsid w:val="00EC23F9"/>
    <w:rsid w:val="00ED3A1B"/>
    <w:rsid w:val="00ED4ADB"/>
    <w:rsid w:val="00FD1A2B"/>
    <w:rsid w:val="00FE1942"/>
    <w:rsid w:val="010C2211"/>
    <w:rsid w:val="0127003B"/>
    <w:rsid w:val="01347A59"/>
    <w:rsid w:val="014632E9"/>
    <w:rsid w:val="01633E9B"/>
    <w:rsid w:val="01784A5B"/>
    <w:rsid w:val="017B7436"/>
    <w:rsid w:val="017E0CD4"/>
    <w:rsid w:val="018310E9"/>
    <w:rsid w:val="01A8449D"/>
    <w:rsid w:val="01B55CB3"/>
    <w:rsid w:val="01B66AA1"/>
    <w:rsid w:val="01DD3C4D"/>
    <w:rsid w:val="01EA4635"/>
    <w:rsid w:val="01F82835"/>
    <w:rsid w:val="02007F6D"/>
    <w:rsid w:val="02104022"/>
    <w:rsid w:val="021F6753"/>
    <w:rsid w:val="02355F05"/>
    <w:rsid w:val="02395D05"/>
    <w:rsid w:val="024F4E36"/>
    <w:rsid w:val="02512F75"/>
    <w:rsid w:val="0252337E"/>
    <w:rsid w:val="0260530A"/>
    <w:rsid w:val="027259E5"/>
    <w:rsid w:val="0286060F"/>
    <w:rsid w:val="0295646F"/>
    <w:rsid w:val="029F53A6"/>
    <w:rsid w:val="02A62291"/>
    <w:rsid w:val="02AF69EA"/>
    <w:rsid w:val="03196F07"/>
    <w:rsid w:val="03271916"/>
    <w:rsid w:val="03305F66"/>
    <w:rsid w:val="034F0B7A"/>
    <w:rsid w:val="0365214C"/>
    <w:rsid w:val="036D3194"/>
    <w:rsid w:val="03893141"/>
    <w:rsid w:val="039B5EA1"/>
    <w:rsid w:val="039C5442"/>
    <w:rsid w:val="03C70711"/>
    <w:rsid w:val="03CA6453"/>
    <w:rsid w:val="03F62DA4"/>
    <w:rsid w:val="043B546A"/>
    <w:rsid w:val="0447527C"/>
    <w:rsid w:val="0463167B"/>
    <w:rsid w:val="046319D0"/>
    <w:rsid w:val="04710E60"/>
    <w:rsid w:val="04814D63"/>
    <w:rsid w:val="04826D2E"/>
    <w:rsid w:val="0483547A"/>
    <w:rsid w:val="04953D64"/>
    <w:rsid w:val="04956A61"/>
    <w:rsid w:val="04A94837"/>
    <w:rsid w:val="04AD5B99"/>
    <w:rsid w:val="04C311BF"/>
    <w:rsid w:val="04C96295"/>
    <w:rsid w:val="04CE0EA8"/>
    <w:rsid w:val="04D8694E"/>
    <w:rsid w:val="04DA4474"/>
    <w:rsid w:val="04E81A9D"/>
    <w:rsid w:val="04EB6681"/>
    <w:rsid w:val="04F64013"/>
    <w:rsid w:val="05351E6A"/>
    <w:rsid w:val="053A7A5A"/>
    <w:rsid w:val="053F077B"/>
    <w:rsid w:val="05410997"/>
    <w:rsid w:val="05B357F4"/>
    <w:rsid w:val="05B62611"/>
    <w:rsid w:val="05C41B83"/>
    <w:rsid w:val="05CC0260"/>
    <w:rsid w:val="05E067BA"/>
    <w:rsid w:val="05EF03F3"/>
    <w:rsid w:val="05F67157"/>
    <w:rsid w:val="05F812DD"/>
    <w:rsid w:val="0616597F"/>
    <w:rsid w:val="062D71EF"/>
    <w:rsid w:val="06346CF4"/>
    <w:rsid w:val="0636392C"/>
    <w:rsid w:val="06580E7E"/>
    <w:rsid w:val="065B6852"/>
    <w:rsid w:val="06640499"/>
    <w:rsid w:val="066A4608"/>
    <w:rsid w:val="066A68AC"/>
    <w:rsid w:val="066E5E88"/>
    <w:rsid w:val="067A5F0E"/>
    <w:rsid w:val="068026B7"/>
    <w:rsid w:val="068917E1"/>
    <w:rsid w:val="069A048A"/>
    <w:rsid w:val="06B03F10"/>
    <w:rsid w:val="06B04E68"/>
    <w:rsid w:val="06CC0D15"/>
    <w:rsid w:val="06D363BB"/>
    <w:rsid w:val="0700028A"/>
    <w:rsid w:val="07246C73"/>
    <w:rsid w:val="07247C28"/>
    <w:rsid w:val="072B7208"/>
    <w:rsid w:val="073D1728"/>
    <w:rsid w:val="0742420A"/>
    <w:rsid w:val="07835317"/>
    <w:rsid w:val="07837045"/>
    <w:rsid w:val="07950B26"/>
    <w:rsid w:val="07A33243"/>
    <w:rsid w:val="07A661EA"/>
    <w:rsid w:val="07B312F5"/>
    <w:rsid w:val="07BD54B4"/>
    <w:rsid w:val="07BE007D"/>
    <w:rsid w:val="07F10205"/>
    <w:rsid w:val="0806270F"/>
    <w:rsid w:val="08071A24"/>
    <w:rsid w:val="08145EEF"/>
    <w:rsid w:val="081D6F74"/>
    <w:rsid w:val="08243047"/>
    <w:rsid w:val="08253634"/>
    <w:rsid w:val="084D7B3A"/>
    <w:rsid w:val="08500690"/>
    <w:rsid w:val="08590FDA"/>
    <w:rsid w:val="088E3EF3"/>
    <w:rsid w:val="08936892"/>
    <w:rsid w:val="08AE1E9F"/>
    <w:rsid w:val="08AF36BD"/>
    <w:rsid w:val="08C711B3"/>
    <w:rsid w:val="08D07634"/>
    <w:rsid w:val="08E3266C"/>
    <w:rsid w:val="08E44A1B"/>
    <w:rsid w:val="08F5187C"/>
    <w:rsid w:val="08F61472"/>
    <w:rsid w:val="09581487"/>
    <w:rsid w:val="095C18FB"/>
    <w:rsid w:val="097F1859"/>
    <w:rsid w:val="099472E7"/>
    <w:rsid w:val="09972933"/>
    <w:rsid w:val="099A7C71"/>
    <w:rsid w:val="09D65B51"/>
    <w:rsid w:val="09E004E6"/>
    <w:rsid w:val="0A080B0E"/>
    <w:rsid w:val="0A1A2AD5"/>
    <w:rsid w:val="0A24345E"/>
    <w:rsid w:val="0A2763AD"/>
    <w:rsid w:val="0A2A37A7"/>
    <w:rsid w:val="0A2F3891"/>
    <w:rsid w:val="0A8D74AA"/>
    <w:rsid w:val="0A99092D"/>
    <w:rsid w:val="0ABF0394"/>
    <w:rsid w:val="0AE0655C"/>
    <w:rsid w:val="0AE93662"/>
    <w:rsid w:val="0AF00197"/>
    <w:rsid w:val="0AFF4706"/>
    <w:rsid w:val="0B1F0E32"/>
    <w:rsid w:val="0B381088"/>
    <w:rsid w:val="0B3905D0"/>
    <w:rsid w:val="0B3B0714"/>
    <w:rsid w:val="0B3E4FA8"/>
    <w:rsid w:val="0B6119C0"/>
    <w:rsid w:val="0B923CFA"/>
    <w:rsid w:val="0B980BE5"/>
    <w:rsid w:val="0BA37CBF"/>
    <w:rsid w:val="0BB377CC"/>
    <w:rsid w:val="0BD3226B"/>
    <w:rsid w:val="0BD95198"/>
    <w:rsid w:val="0BE4446F"/>
    <w:rsid w:val="0BE91440"/>
    <w:rsid w:val="0C063434"/>
    <w:rsid w:val="0C1C5017"/>
    <w:rsid w:val="0C2A7207"/>
    <w:rsid w:val="0C3923C8"/>
    <w:rsid w:val="0C4A5278"/>
    <w:rsid w:val="0C66524E"/>
    <w:rsid w:val="0CA02206"/>
    <w:rsid w:val="0CDA0BA6"/>
    <w:rsid w:val="0D002EE5"/>
    <w:rsid w:val="0D037C1E"/>
    <w:rsid w:val="0D164155"/>
    <w:rsid w:val="0D211C11"/>
    <w:rsid w:val="0D5D49D6"/>
    <w:rsid w:val="0D6841C7"/>
    <w:rsid w:val="0D6E25A1"/>
    <w:rsid w:val="0D8C0C48"/>
    <w:rsid w:val="0DA63A8D"/>
    <w:rsid w:val="0DB02216"/>
    <w:rsid w:val="0DD00B0A"/>
    <w:rsid w:val="0DD55B9E"/>
    <w:rsid w:val="0DD87BCC"/>
    <w:rsid w:val="0E012EC8"/>
    <w:rsid w:val="0E0F1632"/>
    <w:rsid w:val="0E1704E7"/>
    <w:rsid w:val="0E1B6695"/>
    <w:rsid w:val="0E2A021A"/>
    <w:rsid w:val="0E346909"/>
    <w:rsid w:val="0E383AA8"/>
    <w:rsid w:val="0E4D5A02"/>
    <w:rsid w:val="0E890FFF"/>
    <w:rsid w:val="0E963B01"/>
    <w:rsid w:val="0EB14497"/>
    <w:rsid w:val="0EB9159E"/>
    <w:rsid w:val="0EBB70C4"/>
    <w:rsid w:val="0ECA6FA0"/>
    <w:rsid w:val="0ED95B03"/>
    <w:rsid w:val="0EE93A7E"/>
    <w:rsid w:val="0EF5094A"/>
    <w:rsid w:val="0F220EF1"/>
    <w:rsid w:val="0F28462B"/>
    <w:rsid w:val="0F296723"/>
    <w:rsid w:val="0F2C3A96"/>
    <w:rsid w:val="0F2E09A0"/>
    <w:rsid w:val="0F3C0B05"/>
    <w:rsid w:val="0F3E087B"/>
    <w:rsid w:val="0F56503F"/>
    <w:rsid w:val="0F7D4857"/>
    <w:rsid w:val="0F890F70"/>
    <w:rsid w:val="0F92460D"/>
    <w:rsid w:val="0F966B3F"/>
    <w:rsid w:val="0FB42B59"/>
    <w:rsid w:val="0FBB34DA"/>
    <w:rsid w:val="0FEB39D9"/>
    <w:rsid w:val="0FEE15F8"/>
    <w:rsid w:val="0FF041A1"/>
    <w:rsid w:val="0FF56606"/>
    <w:rsid w:val="0FF6382B"/>
    <w:rsid w:val="10060813"/>
    <w:rsid w:val="101A42BE"/>
    <w:rsid w:val="102672D1"/>
    <w:rsid w:val="10354C54"/>
    <w:rsid w:val="10394744"/>
    <w:rsid w:val="10523A58"/>
    <w:rsid w:val="105559AB"/>
    <w:rsid w:val="108616C4"/>
    <w:rsid w:val="10882BCD"/>
    <w:rsid w:val="10943543"/>
    <w:rsid w:val="109E4BD3"/>
    <w:rsid w:val="10B2300C"/>
    <w:rsid w:val="10BE4C49"/>
    <w:rsid w:val="10D778A7"/>
    <w:rsid w:val="10EB3A48"/>
    <w:rsid w:val="10EE48FC"/>
    <w:rsid w:val="111E6E82"/>
    <w:rsid w:val="11211CA5"/>
    <w:rsid w:val="112C7CAB"/>
    <w:rsid w:val="113969C6"/>
    <w:rsid w:val="113A27F3"/>
    <w:rsid w:val="114B0EF0"/>
    <w:rsid w:val="115B0BCD"/>
    <w:rsid w:val="115C00FD"/>
    <w:rsid w:val="11697D1A"/>
    <w:rsid w:val="118B6FDD"/>
    <w:rsid w:val="11F36A2F"/>
    <w:rsid w:val="1201781B"/>
    <w:rsid w:val="121D7DCD"/>
    <w:rsid w:val="12236D5C"/>
    <w:rsid w:val="127A1E68"/>
    <w:rsid w:val="1283614B"/>
    <w:rsid w:val="128924DC"/>
    <w:rsid w:val="128D6FC9"/>
    <w:rsid w:val="12A728B0"/>
    <w:rsid w:val="12A960F8"/>
    <w:rsid w:val="12B66520"/>
    <w:rsid w:val="12C80001"/>
    <w:rsid w:val="12D17CF5"/>
    <w:rsid w:val="12DA2569"/>
    <w:rsid w:val="12E04A49"/>
    <w:rsid w:val="12EC0194"/>
    <w:rsid w:val="12F61353"/>
    <w:rsid w:val="131B5635"/>
    <w:rsid w:val="131B6383"/>
    <w:rsid w:val="132077BC"/>
    <w:rsid w:val="132810EB"/>
    <w:rsid w:val="133756FE"/>
    <w:rsid w:val="134949A7"/>
    <w:rsid w:val="135C54AE"/>
    <w:rsid w:val="135E1E67"/>
    <w:rsid w:val="13672503"/>
    <w:rsid w:val="137B1518"/>
    <w:rsid w:val="138959E3"/>
    <w:rsid w:val="139A4016"/>
    <w:rsid w:val="13C75F88"/>
    <w:rsid w:val="13D22EDB"/>
    <w:rsid w:val="13D34EB0"/>
    <w:rsid w:val="13D50C28"/>
    <w:rsid w:val="13DC7F8F"/>
    <w:rsid w:val="13F57460"/>
    <w:rsid w:val="13F75067"/>
    <w:rsid w:val="13F866C4"/>
    <w:rsid w:val="140B289C"/>
    <w:rsid w:val="141F00F5"/>
    <w:rsid w:val="14271A0F"/>
    <w:rsid w:val="142803C2"/>
    <w:rsid w:val="143040B0"/>
    <w:rsid w:val="14351742"/>
    <w:rsid w:val="143771ED"/>
    <w:rsid w:val="144B4E27"/>
    <w:rsid w:val="147246C9"/>
    <w:rsid w:val="147C7830"/>
    <w:rsid w:val="14832432"/>
    <w:rsid w:val="14904B4F"/>
    <w:rsid w:val="14B720DC"/>
    <w:rsid w:val="14C447F8"/>
    <w:rsid w:val="14D709D0"/>
    <w:rsid w:val="14DB654D"/>
    <w:rsid w:val="14DE1D5E"/>
    <w:rsid w:val="14F418C0"/>
    <w:rsid w:val="150032B5"/>
    <w:rsid w:val="1505246F"/>
    <w:rsid w:val="150778A5"/>
    <w:rsid w:val="15185E5C"/>
    <w:rsid w:val="15284D87"/>
    <w:rsid w:val="1529706A"/>
    <w:rsid w:val="154C5BF5"/>
    <w:rsid w:val="15673B02"/>
    <w:rsid w:val="156A1844"/>
    <w:rsid w:val="15705100"/>
    <w:rsid w:val="15720594"/>
    <w:rsid w:val="15790189"/>
    <w:rsid w:val="15B9462D"/>
    <w:rsid w:val="15CE07FC"/>
    <w:rsid w:val="15DD2016"/>
    <w:rsid w:val="15DD3DC4"/>
    <w:rsid w:val="15EC2259"/>
    <w:rsid w:val="15EE3762"/>
    <w:rsid w:val="16122888"/>
    <w:rsid w:val="161B4FCD"/>
    <w:rsid w:val="161D03CE"/>
    <w:rsid w:val="1663076D"/>
    <w:rsid w:val="16896E39"/>
    <w:rsid w:val="169564C9"/>
    <w:rsid w:val="169C509B"/>
    <w:rsid w:val="169E0CBC"/>
    <w:rsid w:val="16A201F2"/>
    <w:rsid w:val="16A4086E"/>
    <w:rsid w:val="16CD02FC"/>
    <w:rsid w:val="16DB76B1"/>
    <w:rsid w:val="16EE5266"/>
    <w:rsid w:val="16FB46D8"/>
    <w:rsid w:val="16FC1964"/>
    <w:rsid w:val="171A0648"/>
    <w:rsid w:val="171B6BE7"/>
    <w:rsid w:val="172427CA"/>
    <w:rsid w:val="17372CF8"/>
    <w:rsid w:val="174658D3"/>
    <w:rsid w:val="17550AFC"/>
    <w:rsid w:val="175740E2"/>
    <w:rsid w:val="17600C81"/>
    <w:rsid w:val="1763654B"/>
    <w:rsid w:val="17681DB3"/>
    <w:rsid w:val="17771301"/>
    <w:rsid w:val="17840521"/>
    <w:rsid w:val="17847F27"/>
    <w:rsid w:val="178A3AD7"/>
    <w:rsid w:val="17A821AF"/>
    <w:rsid w:val="17B46DA6"/>
    <w:rsid w:val="17BD20FF"/>
    <w:rsid w:val="17FF6273"/>
    <w:rsid w:val="181674CA"/>
    <w:rsid w:val="181B2EEB"/>
    <w:rsid w:val="182E0D9B"/>
    <w:rsid w:val="182E6B59"/>
    <w:rsid w:val="18366571"/>
    <w:rsid w:val="18431BFF"/>
    <w:rsid w:val="1843389B"/>
    <w:rsid w:val="18450A85"/>
    <w:rsid w:val="184D2BBA"/>
    <w:rsid w:val="1871711F"/>
    <w:rsid w:val="187C68D6"/>
    <w:rsid w:val="18847E48"/>
    <w:rsid w:val="1892111D"/>
    <w:rsid w:val="18944E1F"/>
    <w:rsid w:val="1897327F"/>
    <w:rsid w:val="18A07991"/>
    <w:rsid w:val="18AE37F5"/>
    <w:rsid w:val="18BC0C06"/>
    <w:rsid w:val="18C66D91"/>
    <w:rsid w:val="18D205D5"/>
    <w:rsid w:val="18DE057F"/>
    <w:rsid w:val="18E26884"/>
    <w:rsid w:val="18E43886"/>
    <w:rsid w:val="18EE4ED2"/>
    <w:rsid w:val="18F77CFC"/>
    <w:rsid w:val="18F81D6B"/>
    <w:rsid w:val="192E139F"/>
    <w:rsid w:val="19305C51"/>
    <w:rsid w:val="193208CA"/>
    <w:rsid w:val="194276D1"/>
    <w:rsid w:val="195D7A76"/>
    <w:rsid w:val="19871009"/>
    <w:rsid w:val="19886197"/>
    <w:rsid w:val="19A92C67"/>
    <w:rsid w:val="19BD517D"/>
    <w:rsid w:val="19D15488"/>
    <w:rsid w:val="19D32F7C"/>
    <w:rsid w:val="19E51499"/>
    <w:rsid w:val="19EF6C71"/>
    <w:rsid w:val="19FC3617"/>
    <w:rsid w:val="1A166D8F"/>
    <w:rsid w:val="1A2521DD"/>
    <w:rsid w:val="1A4D0B70"/>
    <w:rsid w:val="1A4F1C91"/>
    <w:rsid w:val="1A5330D7"/>
    <w:rsid w:val="1A6751A7"/>
    <w:rsid w:val="1A7C5A75"/>
    <w:rsid w:val="1A89451A"/>
    <w:rsid w:val="1AA21AC2"/>
    <w:rsid w:val="1AB7192E"/>
    <w:rsid w:val="1ABA65EF"/>
    <w:rsid w:val="1AC76DF0"/>
    <w:rsid w:val="1AD74FDF"/>
    <w:rsid w:val="1AFE582D"/>
    <w:rsid w:val="1B1738D4"/>
    <w:rsid w:val="1B2110EE"/>
    <w:rsid w:val="1B2D1349"/>
    <w:rsid w:val="1B2D759B"/>
    <w:rsid w:val="1B421857"/>
    <w:rsid w:val="1B545651"/>
    <w:rsid w:val="1B7C7BDB"/>
    <w:rsid w:val="1B9238A2"/>
    <w:rsid w:val="1BA9343C"/>
    <w:rsid w:val="1BB12011"/>
    <w:rsid w:val="1BDC5034"/>
    <w:rsid w:val="1BE46FA9"/>
    <w:rsid w:val="1BF12377"/>
    <w:rsid w:val="1C015152"/>
    <w:rsid w:val="1C2A3082"/>
    <w:rsid w:val="1C3C2012"/>
    <w:rsid w:val="1C4103AE"/>
    <w:rsid w:val="1C4C6724"/>
    <w:rsid w:val="1C743D2D"/>
    <w:rsid w:val="1C782E38"/>
    <w:rsid w:val="1C8B0F3C"/>
    <w:rsid w:val="1C8D0562"/>
    <w:rsid w:val="1C901B90"/>
    <w:rsid w:val="1C907DE2"/>
    <w:rsid w:val="1CA507C5"/>
    <w:rsid w:val="1CAA0778"/>
    <w:rsid w:val="1CAB69CA"/>
    <w:rsid w:val="1CC436A8"/>
    <w:rsid w:val="1CDF0CCA"/>
    <w:rsid w:val="1CF5743D"/>
    <w:rsid w:val="1D017183"/>
    <w:rsid w:val="1D1A119B"/>
    <w:rsid w:val="1D320E99"/>
    <w:rsid w:val="1D491D3F"/>
    <w:rsid w:val="1D4B2A03"/>
    <w:rsid w:val="1D5065D4"/>
    <w:rsid w:val="1D655301"/>
    <w:rsid w:val="1D6A7045"/>
    <w:rsid w:val="1D970CFC"/>
    <w:rsid w:val="1D9D1676"/>
    <w:rsid w:val="1DA40EE9"/>
    <w:rsid w:val="1DA92327"/>
    <w:rsid w:val="1DB01DBE"/>
    <w:rsid w:val="1DB7139E"/>
    <w:rsid w:val="1DC10AB3"/>
    <w:rsid w:val="1E1862E1"/>
    <w:rsid w:val="1E1F2075"/>
    <w:rsid w:val="1E2B03E2"/>
    <w:rsid w:val="1E3429EF"/>
    <w:rsid w:val="1E3C551E"/>
    <w:rsid w:val="1E563B82"/>
    <w:rsid w:val="1E824E80"/>
    <w:rsid w:val="1E8255ED"/>
    <w:rsid w:val="1E875215"/>
    <w:rsid w:val="1E90200F"/>
    <w:rsid w:val="1E9C6F49"/>
    <w:rsid w:val="1EAA3E9A"/>
    <w:rsid w:val="1EB4768C"/>
    <w:rsid w:val="1EC51FA9"/>
    <w:rsid w:val="1ECB4E14"/>
    <w:rsid w:val="1EDB229E"/>
    <w:rsid w:val="1EDB5833"/>
    <w:rsid w:val="1EDC23DC"/>
    <w:rsid w:val="1EF54D8F"/>
    <w:rsid w:val="1F0E6A21"/>
    <w:rsid w:val="1F256949"/>
    <w:rsid w:val="1F2B7E9C"/>
    <w:rsid w:val="1F2C6B8B"/>
    <w:rsid w:val="1F3233D2"/>
    <w:rsid w:val="1F3F4253"/>
    <w:rsid w:val="1F4B0E37"/>
    <w:rsid w:val="1F4E188E"/>
    <w:rsid w:val="1F505606"/>
    <w:rsid w:val="1F5A6485"/>
    <w:rsid w:val="1F704C35"/>
    <w:rsid w:val="1F7D031E"/>
    <w:rsid w:val="1FA32094"/>
    <w:rsid w:val="1FB36FC7"/>
    <w:rsid w:val="1FCA1574"/>
    <w:rsid w:val="1FD12B17"/>
    <w:rsid w:val="1FD540BD"/>
    <w:rsid w:val="1FE31BDB"/>
    <w:rsid w:val="1FEF4E1F"/>
    <w:rsid w:val="20331BF3"/>
    <w:rsid w:val="203B6896"/>
    <w:rsid w:val="206F20D9"/>
    <w:rsid w:val="20823EE5"/>
    <w:rsid w:val="20972E33"/>
    <w:rsid w:val="2098521C"/>
    <w:rsid w:val="20A63530"/>
    <w:rsid w:val="20B244F2"/>
    <w:rsid w:val="20D858B3"/>
    <w:rsid w:val="20E65186"/>
    <w:rsid w:val="210B1AA8"/>
    <w:rsid w:val="211C1789"/>
    <w:rsid w:val="21211146"/>
    <w:rsid w:val="21311468"/>
    <w:rsid w:val="21380A48"/>
    <w:rsid w:val="213D7E0C"/>
    <w:rsid w:val="21892F8A"/>
    <w:rsid w:val="218C7517"/>
    <w:rsid w:val="21C02F32"/>
    <w:rsid w:val="21C72E5E"/>
    <w:rsid w:val="21C8560F"/>
    <w:rsid w:val="21CE0DA9"/>
    <w:rsid w:val="21D13286"/>
    <w:rsid w:val="21E559DB"/>
    <w:rsid w:val="21EB5ABA"/>
    <w:rsid w:val="220F17A9"/>
    <w:rsid w:val="221445DD"/>
    <w:rsid w:val="226262EB"/>
    <w:rsid w:val="226A4C31"/>
    <w:rsid w:val="22835CF3"/>
    <w:rsid w:val="229810D1"/>
    <w:rsid w:val="22C205C9"/>
    <w:rsid w:val="22CA1B74"/>
    <w:rsid w:val="22CC1448"/>
    <w:rsid w:val="22D430BB"/>
    <w:rsid w:val="22D87DED"/>
    <w:rsid w:val="22F4099F"/>
    <w:rsid w:val="22F62969"/>
    <w:rsid w:val="23073B84"/>
    <w:rsid w:val="230A0D66"/>
    <w:rsid w:val="230C3F3A"/>
    <w:rsid w:val="231C2AB7"/>
    <w:rsid w:val="23203639"/>
    <w:rsid w:val="232E56F6"/>
    <w:rsid w:val="23307C29"/>
    <w:rsid w:val="233829F3"/>
    <w:rsid w:val="233F7E6C"/>
    <w:rsid w:val="23503E42"/>
    <w:rsid w:val="235416BB"/>
    <w:rsid w:val="235B5E5A"/>
    <w:rsid w:val="2366364A"/>
    <w:rsid w:val="23713D9D"/>
    <w:rsid w:val="23795EAD"/>
    <w:rsid w:val="237E5F3B"/>
    <w:rsid w:val="23874E71"/>
    <w:rsid w:val="23B5012E"/>
    <w:rsid w:val="23BF2B98"/>
    <w:rsid w:val="23FA4BA4"/>
    <w:rsid w:val="24080638"/>
    <w:rsid w:val="24107F86"/>
    <w:rsid w:val="24337CBA"/>
    <w:rsid w:val="244140AD"/>
    <w:rsid w:val="244871F4"/>
    <w:rsid w:val="2466220E"/>
    <w:rsid w:val="24857B00"/>
    <w:rsid w:val="2489578C"/>
    <w:rsid w:val="24997A50"/>
    <w:rsid w:val="249C0E08"/>
    <w:rsid w:val="24B46637"/>
    <w:rsid w:val="24CF6FCD"/>
    <w:rsid w:val="24DC7C74"/>
    <w:rsid w:val="252B3BBA"/>
    <w:rsid w:val="25372C43"/>
    <w:rsid w:val="25590B49"/>
    <w:rsid w:val="255B1EFD"/>
    <w:rsid w:val="255F47F5"/>
    <w:rsid w:val="259E5605"/>
    <w:rsid w:val="25A8619C"/>
    <w:rsid w:val="25B032A3"/>
    <w:rsid w:val="25B64A05"/>
    <w:rsid w:val="25CE0D43"/>
    <w:rsid w:val="25DE1BBE"/>
    <w:rsid w:val="26107BDA"/>
    <w:rsid w:val="26330EC1"/>
    <w:rsid w:val="264F3DEA"/>
    <w:rsid w:val="265E4AAD"/>
    <w:rsid w:val="266073AE"/>
    <w:rsid w:val="26661BB3"/>
    <w:rsid w:val="26672348"/>
    <w:rsid w:val="266A173E"/>
    <w:rsid w:val="26747040"/>
    <w:rsid w:val="26793695"/>
    <w:rsid w:val="26A85D28"/>
    <w:rsid w:val="26B506EE"/>
    <w:rsid w:val="26CD0D40"/>
    <w:rsid w:val="26D4229E"/>
    <w:rsid w:val="26D66D39"/>
    <w:rsid w:val="26E2468E"/>
    <w:rsid w:val="26E70ADE"/>
    <w:rsid w:val="26EF0BE8"/>
    <w:rsid w:val="26EF3957"/>
    <w:rsid w:val="271362D7"/>
    <w:rsid w:val="271409FE"/>
    <w:rsid w:val="271A3663"/>
    <w:rsid w:val="2725381D"/>
    <w:rsid w:val="273B4DEE"/>
    <w:rsid w:val="274C24C7"/>
    <w:rsid w:val="27545EB0"/>
    <w:rsid w:val="27750300"/>
    <w:rsid w:val="277D11B2"/>
    <w:rsid w:val="27892B16"/>
    <w:rsid w:val="27AA5AD0"/>
    <w:rsid w:val="27AE3664"/>
    <w:rsid w:val="27B55C0D"/>
    <w:rsid w:val="27D1099D"/>
    <w:rsid w:val="27D36C4D"/>
    <w:rsid w:val="27E234BC"/>
    <w:rsid w:val="28020F7D"/>
    <w:rsid w:val="2815563F"/>
    <w:rsid w:val="28167048"/>
    <w:rsid w:val="28210CC5"/>
    <w:rsid w:val="282D4508"/>
    <w:rsid w:val="2838396A"/>
    <w:rsid w:val="28577A06"/>
    <w:rsid w:val="28682809"/>
    <w:rsid w:val="287719B1"/>
    <w:rsid w:val="28A6273B"/>
    <w:rsid w:val="28D54A7B"/>
    <w:rsid w:val="28E72C2A"/>
    <w:rsid w:val="28FD69FA"/>
    <w:rsid w:val="290F389D"/>
    <w:rsid w:val="293366CF"/>
    <w:rsid w:val="29363194"/>
    <w:rsid w:val="29381B9B"/>
    <w:rsid w:val="294D64D2"/>
    <w:rsid w:val="295403E9"/>
    <w:rsid w:val="295757E3"/>
    <w:rsid w:val="295D26D3"/>
    <w:rsid w:val="29702DE9"/>
    <w:rsid w:val="2996455E"/>
    <w:rsid w:val="29A0362E"/>
    <w:rsid w:val="29B03871"/>
    <w:rsid w:val="29B6075C"/>
    <w:rsid w:val="29C671DA"/>
    <w:rsid w:val="29D532D8"/>
    <w:rsid w:val="29F4318A"/>
    <w:rsid w:val="2A07545B"/>
    <w:rsid w:val="2A0D3885"/>
    <w:rsid w:val="2A13266E"/>
    <w:rsid w:val="2A1D2729"/>
    <w:rsid w:val="2A4B4255"/>
    <w:rsid w:val="2A5266D7"/>
    <w:rsid w:val="2A5A558B"/>
    <w:rsid w:val="2A5C7555"/>
    <w:rsid w:val="2A7523C5"/>
    <w:rsid w:val="2AA94318"/>
    <w:rsid w:val="2AAC2DCA"/>
    <w:rsid w:val="2AC94235"/>
    <w:rsid w:val="2ADE7F6A"/>
    <w:rsid w:val="2B0219FA"/>
    <w:rsid w:val="2B073965"/>
    <w:rsid w:val="2B0B6385"/>
    <w:rsid w:val="2B2C07C4"/>
    <w:rsid w:val="2B3109E2"/>
    <w:rsid w:val="2B3D790B"/>
    <w:rsid w:val="2B45505E"/>
    <w:rsid w:val="2B4C20BF"/>
    <w:rsid w:val="2B5A55FB"/>
    <w:rsid w:val="2B6C0390"/>
    <w:rsid w:val="2B707821"/>
    <w:rsid w:val="2B9A134C"/>
    <w:rsid w:val="2BA9730A"/>
    <w:rsid w:val="2BB807BB"/>
    <w:rsid w:val="2BBC3B7F"/>
    <w:rsid w:val="2BC817D4"/>
    <w:rsid w:val="2BDE58E5"/>
    <w:rsid w:val="2C027C88"/>
    <w:rsid w:val="2C0F5A5F"/>
    <w:rsid w:val="2C2F2A3E"/>
    <w:rsid w:val="2C2F5B4F"/>
    <w:rsid w:val="2C376479"/>
    <w:rsid w:val="2C41535E"/>
    <w:rsid w:val="2C564E3E"/>
    <w:rsid w:val="2C610E53"/>
    <w:rsid w:val="2C681FC8"/>
    <w:rsid w:val="2C6D1092"/>
    <w:rsid w:val="2C723060"/>
    <w:rsid w:val="2C8759DA"/>
    <w:rsid w:val="2C8B41B2"/>
    <w:rsid w:val="2CA62D0A"/>
    <w:rsid w:val="2CCD64E8"/>
    <w:rsid w:val="2CDF621C"/>
    <w:rsid w:val="2CE95ED4"/>
    <w:rsid w:val="2CF14791"/>
    <w:rsid w:val="2CF96670"/>
    <w:rsid w:val="2D010757"/>
    <w:rsid w:val="2D0F6B01"/>
    <w:rsid w:val="2D1265F1"/>
    <w:rsid w:val="2D1B2EF8"/>
    <w:rsid w:val="2D2517DC"/>
    <w:rsid w:val="2D291C7F"/>
    <w:rsid w:val="2D336429"/>
    <w:rsid w:val="2D376058"/>
    <w:rsid w:val="2D625C47"/>
    <w:rsid w:val="2D810644"/>
    <w:rsid w:val="2D843D89"/>
    <w:rsid w:val="2D8620A3"/>
    <w:rsid w:val="2D8E5E5A"/>
    <w:rsid w:val="2DBF063F"/>
    <w:rsid w:val="2DCB6CDA"/>
    <w:rsid w:val="2DD64DBC"/>
    <w:rsid w:val="2DD90EBD"/>
    <w:rsid w:val="2DE56341"/>
    <w:rsid w:val="2E000267"/>
    <w:rsid w:val="2E156399"/>
    <w:rsid w:val="2E187C37"/>
    <w:rsid w:val="2E1F3B86"/>
    <w:rsid w:val="2E222ABE"/>
    <w:rsid w:val="2E254102"/>
    <w:rsid w:val="2E3D58F0"/>
    <w:rsid w:val="2E514EF7"/>
    <w:rsid w:val="2E823F1A"/>
    <w:rsid w:val="2E9A1E93"/>
    <w:rsid w:val="2E9B1469"/>
    <w:rsid w:val="2EA95F0B"/>
    <w:rsid w:val="2EB3170E"/>
    <w:rsid w:val="2EB931C8"/>
    <w:rsid w:val="2ECD27D0"/>
    <w:rsid w:val="2ED753FC"/>
    <w:rsid w:val="2EDD678B"/>
    <w:rsid w:val="2EDF2503"/>
    <w:rsid w:val="2F0D52C2"/>
    <w:rsid w:val="2F167231"/>
    <w:rsid w:val="2F26340A"/>
    <w:rsid w:val="2F3153EA"/>
    <w:rsid w:val="2F3B1E2F"/>
    <w:rsid w:val="2F45779A"/>
    <w:rsid w:val="2F6173BC"/>
    <w:rsid w:val="2F7B4FA2"/>
    <w:rsid w:val="2F8B32CF"/>
    <w:rsid w:val="2FA21EAE"/>
    <w:rsid w:val="2FB41BE1"/>
    <w:rsid w:val="2FE36023"/>
    <w:rsid w:val="2FEF3EA4"/>
    <w:rsid w:val="300246FB"/>
    <w:rsid w:val="30087837"/>
    <w:rsid w:val="30097343"/>
    <w:rsid w:val="3015555F"/>
    <w:rsid w:val="302F1268"/>
    <w:rsid w:val="3030141B"/>
    <w:rsid w:val="305111DE"/>
    <w:rsid w:val="305F1B4D"/>
    <w:rsid w:val="30694CAC"/>
    <w:rsid w:val="306C677D"/>
    <w:rsid w:val="3075311F"/>
    <w:rsid w:val="307B6A0F"/>
    <w:rsid w:val="307F3C12"/>
    <w:rsid w:val="308464C8"/>
    <w:rsid w:val="309F019C"/>
    <w:rsid w:val="30C10112"/>
    <w:rsid w:val="30CC4D09"/>
    <w:rsid w:val="30FF3071"/>
    <w:rsid w:val="31045716"/>
    <w:rsid w:val="31126BC0"/>
    <w:rsid w:val="31181BA0"/>
    <w:rsid w:val="31255A91"/>
    <w:rsid w:val="3143321D"/>
    <w:rsid w:val="31441B75"/>
    <w:rsid w:val="31495967"/>
    <w:rsid w:val="317435A0"/>
    <w:rsid w:val="31795FC2"/>
    <w:rsid w:val="31864EB8"/>
    <w:rsid w:val="31885988"/>
    <w:rsid w:val="31A70E7E"/>
    <w:rsid w:val="31AB3134"/>
    <w:rsid w:val="31AD5007"/>
    <w:rsid w:val="31B41A25"/>
    <w:rsid w:val="31CF4AB1"/>
    <w:rsid w:val="31D74DEE"/>
    <w:rsid w:val="31FB58A6"/>
    <w:rsid w:val="3203227C"/>
    <w:rsid w:val="321E639F"/>
    <w:rsid w:val="3226005B"/>
    <w:rsid w:val="32267AF4"/>
    <w:rsid w:val="32281457"/>
    <w:rsid w:val="32295B32"/>
    <w:rsid w:val="322D73F8"/>
    <w:rsid w:val="323963CE"/>
    <w:rsid w:val="323C7542"/>
    <w:rsid w:val="324D01C5"/>
    <w:rsid w:val="325E21EC"/>
    <w:rsid w:val="32805DAB"/>
    <w:rsid w:val="32871443"/>
    <w:rsid w:val="32911D66"/>
    <w:rsid w:val="329D41B3"/>
    <w:rsid w:val="32E4458C"/>
    <w:rsid w:val="32F72400"/>
    <w:rsid w:val="33062754"/>
    <w:rsid w:val="330F5553"/>
    <w:rsid w:val="3317742F"/>
    <w:rsid w:val="331A4306"/>
    <w:rsid w:val="3321133C"/>
    <w:rsid w:val="33254B83"/>
    <w:rsid w:val="332D349E"/>
    <w:rsid w:val="333A0BD2"/>
    <w:rsid w:val="333E16CD"/>
    <w:rsid w:val="334705B2"/>
    <w:rsid w:val="336240D6"/>
    <w:rsid w:val="336B1BDE"/>
    <w:rsid w:val="3381529A"/>
    <w:rsid w:val="33887690"/>
    <w:rsid w:val="339A5589"/>
    <w:rsid w:val="33A27074"/>
    <w:rsid w:val="33DD386A"/>
    <w:rsid w:val="33F81FD6"/>
    <w:rsid w:val="33FB1E1A"/>
    <w:rsid w:val="340B52BB"/>
    <w:rsid w:val="341A3146"/>
    <w:rsid w:val="34580D8D"/>
    <w:rsid w:val="345E14FA"/>
    <w:rsid w:val="347004E5"/>
    <w:rsid w:val="347974B6"/>
    <w:rsid w:val="348248E6"/>
    <w:rsid w:val="3491015A"/>
    <w:rsid w:val="34B00BC9"/>
    <w:rsid w:val="34B66331"/>
    <w:rsid w:val="34BC3DD0"/>
    <w:rsid w:val="34C5404B"/>
    <w:rsid w:val="34ED6D04"/>
    <w:rsid w:val="34EF6AC7"/>
    <w:rsid w:val="3536285A"/>
    <w:rsid w:val="35394F7F"/>
    <w:rsid w:val="35450A4F"/>
    <w:rsid w:val="354F21D5"/>
    <w:rsid w:val="35613C72"/>
    <w:rsid w:val="3565498F"/>
    <w:rsid w:val="35D14A64"/>
    <w:rsid w:val="35E06E36"/>
    <w:rsid w:val="35E96FD9"/>
    <w:rsid w:val="35F1149A"/>
    <w:rsid w:val="36085CF8"/>
    <w:rsid w:val="36087F1F"/>
    <w:rsid w:val="360F7D0C"/>
    <w:rsid w:val="361F50F8"/>
    <w:rsid w:val="363650FE"/>
    <w:rsid w:val="36603656"/>
    <w:rsid w:val="367774C5"/>
    <w:rsid w:val="3690229C"/>
    <w:rsid w:val="369E0EF6"/>
    <w:rsid w:val="36A532D4"/>
    <w:rsid w:val="36B76A24"/>
    <w:rsid w:val="36BE50F4"/>
    <w:rsid w:val="36D1719A"/>
    <w:rsid w:val="36DB7A54"/>
    <w:rsid w:val="37187B85"/>
    <w:rsid w:val="372968B0"/>
    <w:rsid w:val="37313B18"/>
    <w:rsid w:val="373A5C4D"/>
    <w:rsid w:val="37584AAF"/>
    <w:rsid w:val="376D3F39"/>
    <w:rsid w:val="377C2FE5"/>
    <w:rsid w:val="37857C22"/>
    <w:rsid w:val="3789649F"/>
    <w:rsid w:val="37AB6747"/>
    <w:rsid w:val="37B564F7"/>
    <w:rsid w:val="37BF1123"/>
    <w:rsid w:val="37CA2AC7"/>
    <w:rsid w:val="37CD2A95"/>
    <w:rsid w:val="37DF3574"/>
    <w:rsid w:val="37E20540"/>
    <w:rsid w:val="38055CC8"/>
    <w:rsid w:val="38144126"/>
    <w:rsid w:val="3845787B"/>
    <w:rsid w:val="38481119"/>
    <w:rsid w:val="38532325"/>
    <w:rsid w:val="385457B8"/>
    <w:rsid w:val="38C84008"/>
    <w:rsid w:val="38D330D8"/>
    <w:rsid w:val="38D66725"/>
    <w:rsid w:val="38E075A3"/>
    <w:rsid w:val="38EA46B7"/>
    <w:rsid w:val="390F0511"/>
    <w:rsid w:val="39111E53"/>
    <w:rsid w:val="391B4A7F"/>
    <w:rsid w:val="391C2FB3"/>
    <w:rsid w:val="39250893"/>
    <w:rsid w:val="3926585A"/>
    <w:rsid w:val="39332BEA"/>
    <w:rsid w:val="39337F8C"/>
    <w:rsid w:val="393E2A33"/>
    <w:rsid w:val="394B7113"/>
    <w:rsid w:val="39524FF4"/>
    <w:rsid w:val="39743AD8"/>
    <w:rsid w:val="398938C7"/>
    <w:rsid w:val="398E4B5C"/>
    <w:rsid w:val="399675E8"/>
    <w:rsid w:val="399F0E87"/>
    <w:rsid w:val="39AB0B06"/>
    <w:rsid w:val="39AC6AC6"/>
    <w:rsid w:val="39AE214F"/>
    <w:rsid w:val="39B747A8"/>
    <w:rsid w:val="39B975E7"/>
    <w:rsid w:val="3A347611"/>
    <w:rsid w:val="3A387096"/>
    <w:rsid w:val="3A405BBE"/>
    <w:rsid w:val="3A4B4EF0"/>
    <w:rsid w:val="3A6A42E3"/>
    <w:rsid w:val="3A6C4FEA"/>
    <w:rsid w:val="3AA11540"/>
    <w:rsid w:val="3AA90857"/>
    <w:rsid w:val="3B0C4680"/>
    <w:rsid w:val="3B1672AC"/>
    <w:rsid w:val="3B74700B"/>
    <w:rsid w:val="3B791C8D"/>
    <w:rsid w:val="3B792E38"/>
    <w:rsid w:val="3B861EE2"/>
    <w:rsid w:val="3B877595"/>
    <w:rsid w:val="3B9876ED"/>
    <w:rsid w:val="3BA553C6"/>
    <w:rsid w:val="3BA96372"/>
    <w:rsid w:val="3BAC0116"/>
    <w:rsid w:val="3BC96A15"/>
    <w:rsid w:val="3BD864DE"/>
    <w:rsid w:val="3BED44B1"/>
    <w:rsid w:val="3BF05F8D"/>
    <w:rsid w:val="3C0B455A"/>
    <w:rsid w:val="3C1C0CA3"/>
    <w:rsid w:val="3C1F64D6"/>
    <w:rsid w:val="3C277FE9"/>
    <w:rsid w:val="3C492CED"/>
    <w:rsid w:val="3C611B04"/>
    <w:rsid w:val="3C65673D"/>
    <w:rsid w:val="3C677D0F"/>
    <w:rsid w:val="3C690CA9"/>
    <w:rsid w:val="3C6F5D0A"/>
    <w:rsid w:val="3C710B37"/>
    <w:rsid w:val="3C7B09E8"/>
    <w:rsid w:val="3CAD3C40"/>
    <w:rsid w:val="3CAD59EE"/>
    <w:rsid w:val="3CAE371B"/>
    <w:rsid w:val="3CB46D7D"/>
    <w:rsid w:val="3CB55044"/>
    <w:rsid w:val="3CB72746"/>
    <w:rsid w:val="3CBB50F2"/>
    <w:rsid w:val="3CC94B8C"/>
    <w:rsid w:val="3CE76E22"/>
    <w:rsid w:val="3CF04342"/>
    <w:rsid w:val="3D001FC2"/>
    <w:rsid w:val="3D2A5291"/>
    <w:rsid w:val="3D2F51CF"/>
    <w:rsid w:val="3D3908DB"/>
    <w:rsid w:val="3D3A1978"/>
    <w:rsid w:val="3D3B2FFA"/>
    <w:rsid w:val="3DAD746C"/>
    <w:rsid w:val="3DB57251"/>
    <w:rsid w:val="3DBB60F3"/>
    <w:rsid w:val="3DD05E38"/>
    <w:rsid w:val="3DD97882"/>
    <w:rsid w:val="3DFF3E2D"/>
    <w:rsid w:val="3E152263"/>
    <w:rsid w:val="3E1D0952"/>
    <w:rsid w:val="3E1D4DF6"/>
    <w:rsid w:val="3E364881"/>
    <w:rsid w:val="3E36702A"/>
    <w:rsid w:val="3E4677DC"/>
    <w:rsid w:val="3E4B54BF"/>
    <w:rsid w:val="3E546A69"/>
    <w:rsid w:val="3E614CE2"/>
    <w:rsid w:val="3E693B97"/>
    <w:rsid w:val="3E6B7354"/>
    <w:rsid w:val="3E7F33BB"/>
    <w:rsid w:val="3E94330A"/>
    <w:rsid w:val="3E9C5D1B"/>
    <w:rsid w:val="3EA742AA"/>
    <w:rsid w:val="3EA9292F"/>
    <w:rsid w:val="3EBD6AD7"/>
    <w:rsid w:val="3ECE361C"/>
    <w:rsid w:val="3ECF60F0"/>
    <w:rsid w:val="3EE51F8F"/>
    <w:rsid w:val="3EE651E8"/>
    <w:rsid w:val="3EE80F60"/>
    <w:rsid w:val="3F1F5DA0"/>
    <w:rsid w:val="3F283A52"/>
    <w:rsid w:val="3F5C1EE8"/>
    <w:rsid w:val="3F6A406B"/>
    <w:rsid w:val="3F6C3718"/>
    <w:rsid w:val="3F706E26"/>
    <w:rsid w:val="3F731171"/>
    <w:rsid w:val="3F777ABF"/>
    <w:rsid w:val="3F92007D"/>
    <w:rsid w:val="3FD025F5"/>
    <w:rsid w:val="3FDB0FB9"/>
    <w:rsid w:val="3FE16591"/>
    <w:rsid w:val="3FEA7A5B"/>
    <w:rsid w:val="3FFB06A8"/>
    <w:rsid w:val="40027B17"/>
    <w:rsid w:val="400E2C48"/>
    <w:rsid w:val="4028711E"/>
    <w:rsid w:val="40297A82"/>
    <w:rsid w:val="402C30CE"/>
    <w:rsid w:val="404C3770"/>
    <w:rsid w:val="405B4825"/>
    <w:rsid w:val="405C187B"/>
    <w:rsid w:val="406867FC"/>
    <w:rsid w:val="407F2196"/>
    <w:rsid w:val="408178BE"/>
    <w:rsid w:val="408D0011"/>
    <w:rsid w:val="409D0420"/>
    <w:rsid w:val="40B01F51"/>
    <w:rsid w:val="40B7508E"/>
    <w:rsid w:val="40E332CE"/>
    <w:rsid w:val="40FE0F0E"/>
    <w:rsid w:val="41055DF9"/>
    <w:rsid w:val="410776CF"/>
    <w:rsid w:val="410901E0"/>
    <w:rsid w:val="41115290"/>
    <w:rsid w:val="41155439"/>
    <w:rsid w:val="41275288"/>
    <w:rsid w:val="41314E40"/>
    <w:rsid w:val="41565437"/>
    <w:rsid w:val="4157061F"/>
    <w:rsid w:val="41794263"/>
    <w:rsid w:val="41AD4F25"/>
    <w:rsid w:val="41CA7043"/>
    <w:rsid w:val="41D659E7"/>
    <w:rsid w:val="41D74E79"/>
    <w:rsid w:val="41ED7C1F"/>
    <w:rsid w:val="41F77652"/>
    <w:rsid w:val="41FD36BD"/>
    <w:rsid w:val="42132798"/>
    <w:rsid w:val="421D3616"/>
    <w:rsid w:val="421F738E"/>
    <w:rsid w:val="42366486"/>
    <w:rsid w:val="423B2872"/>
    <w:rsid w:val="424F183F"/>
    <w:rsid w:val="426254CD"/>
    <w:rsid w:val="42650ADF"/>
    <w:rsid w:val="426D218E"/>
    <w:rsid w:val="426E0A10"/>
    <w:rsid w:val="42720CE5"/>
    <w:rsid w:val="428E09D1"/>
    <w:rsid w:val="42B14A51"/>
    <w:rsid w:val="42C27D1A"/>
    <w:rsid w:val="42D02437"/>
    <w:rsid w:val="42F5177B"/>
    <w:rsid w:val="4300323D"/>
    <w:rsid w:val="43166C07"/>
    <w:rsid w:val="431840AC"/>
    <w:rsid w:val="433014BF"/>
    <w:rsid w:val="43351D6D"/>
    <w:rsid w:val="434075BC"/>
    <w:rsid w:val="43632D4D"/>
    <w:rsid w:val="43725E62"/>
    <w:rsid w:val="43873A4B"/>
    <w:rsid w:val="439711A6"/>
    <w:rsid w:val="43A318F9"/>
    <w:rsid w:val="43B3462B"/>
    <w:rsid w:val="43B81849"/>
    <w:rsid w:val="43C06C42"/>
    <w:rsid w:val="43C53F65"/>
    <w:rsid w:val="43CD0789"/>
    <w:rsid w:val="43EA7528"/>
    <w:rsid w:val="43EB2EE6"/>
    <w:rsid w:val="43F54889"/>
    <w:rsid w:val="43F601F2"/>
    <w:rsid w:val="44016526"/>
    <w:rsid w:val="441A40CC"/>
    <w:rsid w:val="443469F5"/>
    <w:rsid w:val="44605F39"/>
    <w:rsid w:val="44641089"/>
    <w:rsid w:val="44715C16"/>
    <w:rsid w:val="447339C1"/>
    <w:rsid w:val="447755E0"/>
    <w:rsid w:val="448D4A83"/>
    <w:rsid w:val="449851D6"/>
    <w:rsid w:val="449F205D"/>
    <w:rsid w:val="44BA514C"/>
    <w:rsid w:val="44D6783B"/>
    <w:rsid w:val="44EE5BEA"/>
    <w:rsid w:val="44F26759"/>
    <w:rsid w:val="45016F59"/>
    <w:rsid w:val="450B2DF8"/>
    <w:rsid w:val="450D30D4"/>
    <w:rsid w:val="45125D38"/>
    <w:rsid w:val="45186AFD"/>
    <w:rsid w:val="451A1E03"/>
    <w:rsid w:val="455A49AE"/>
    <w:rsid w:val="457C6073"/>
    <w:rsid w:val="45AA51C1"/>
    <w:rsid w:val="45B36658"/>
    <w:rsid w:val="45C146A9"/>
    <w:rsid w:val="45CE4BAD"/>
    <w:rsid w:val="45D64208"/>
    <w:rsid w:val="45DB181E"/>
    <w:rsid w:val="45DD18A3"/>
    <w:rsid w:val="45E618B9"/>
    <w:rsid w:val="45F57FD7"/>
    <w:rsid w:val="46162856"/>
    <w:rsid w:val="461C6516"/>
    <w:rsid w:val="46292A1D"/>
    <w:rsid w:val="462F1B6A"/>
    <w:rsid w:val="46317690"/>
    <w:rsid w:val="464A3D8B"/>
    <w:rsid w:val="464C44CA"/>
    <w:rsid w:val="46517D32"/>
    <w:rsid w:val="46616912"/>
    <w:rsid w:val="466753B0"/>
    <w:rsid w:val="46697CD0"/>
    <w:rsid w:val="466E4440"/>
    <w:rsid w:val="46762255"/>
    <w:rsid w:val="4690212E"/>
    <w:rsid w:val="46A9325C"/>
    <w:rsid w:val="46AD24F0"/>
    <w:rsid w:val="46B11869"/>
    <w:rsid w:val="46BC396F"/>
    <w:rsid w:val="46BF2EEE"/>
    <w:rsid w:val="46C024B5"/>
    <w:rsid w:val="46C446E3"/>
    <w:rsid w:val="46E93AC7"/>
    <w:rsid w:val="46FA2C0B"/>
    <w:rsid w:val="470438DD"/>
    <w:rsid w:val="47084895"/>
    <w:rsid w:val="470A0066"/>
    <w:rsid w:val="470A39C4"/>
    <w:rsid w:val="4732546E"/>
    <w:rsid w:val="47451645"/>
    <w:rsid w:val="47490A0A"/>
    <w:rsid w:val="474B4782"/>
    <w:rsid w:val="475A59C6"/>
    <w:rsid w:val="475E6263"/>
    <w:rsid w:val="476A10AC"/>
    <w:rsid w:val="477535AD"/>
    <w:rsid w:val="478F5094"/>
    <w:rsid w:val="47AA14B2"/>
    <w:rsid w:val="47AF2F63"/>
    <w:rsid w:val="47BB1907"/>
    <w:rsid w:val="47FC5E2E"/>
    <w:rsid w:val="48023B9B"/>
    <w:rsid w:val="480E2C76"/>
    <w:rsid w:val="481530B8"/>
    <w:rsid w:val="482C1D47"/>
    <w:rsid w:val="482D44FD"/>
    <w:rsid w:val="4832372A"/>
    <w:rsid w:val="48672F38"/>
    <w:rsid w:val="486A52FD"/>
    <w:rsid w:val="486E0728"/>
    <w:rsid w:val="4882389D"/>
    <w:rsid w:val="488763BF"/>
    <w:rsid w:val="488F68F0"/>
    <w:rsid w:val="48A136C6"/>
    <w:rsid w:val="48A56114"/>
    <w:rsid w:val="48A742D4"/>
    <w:rsid w:val="48B90DC9"/>
    <w:rsid w:val="48D917E2"/>
    <w:rsid w:val="48DF6239"/>
    <w:rsid w:val="48E438B8"/>
    <w:rsid w:val="490A7EAF"/>
    <w:rsid w:val="490E3C5B"/>
    <w:rsid w:val="49184B37"/>
    <w:rsid w:val="49290AF3"/>
    <w:rsid w:val="493A3B5C"/>
    <w:rsid w:val="49415E3C"/>
    <w:rsid w:val="495A1311"/>
    <w:rsid w:val="495C67D2"/>
    <w:rsid w:val="496227D6"/>
    <w:rsid w:val="4973564E"/>
    <w:rsid w:val="49A40179"/>
    <w:rsid w:val="49C34AA3"/>
    <w:rsid w:val="49E36EF3"/>
    <w:rsid w:val="49EC53A2"/>
    <w:rsid w:val="49F13037"/>
    <w:rsid w:val="49F74240"/>
    <w:rsid w:val="49FE2936"/>
    <w:rsid w:val="4A0F4E4B"/>
    <w:rsid w:val="4A146AA9"/>
    <w:rsid w:val="4A157333"/>
    <w:rsid w:val="4A1C51FA"/>
    <w:rsid w:val="4A4B4E0D"/>
    <w:rsid w:val="4A733A4B"/>
    <w:rsid w:val="4A9A254A"/>
    <w:rsid w:val="4A9B157C"/>
    <w:rsid w:val="4AA448D5"/>
    <w:rsid w:val="4AA85A47"/>
    <w:rsid w:val="4AC17D25"/>
    <w:rsid w:val="4AC9433B"/>
    <w:rsid w:val="4AD34169"/>
    <w:rsid w:val="4AF26396"/>
    <w:rsid w:val="4B013AD5"/>
    <w:rsid w:val="4B085F71"/>
    <w:rsid w:val="4B10411A"/>
    <w:rsid w:val="4B272BB3"/>
    <w:rsid w:val="4B466BE4"/>
    <w:rsid w:val="4B4E6EB7"/>
    <w:rsid w:val="4B52144B"/>
    <w:rsid w:val="4B645E12"/>
    <w:rsid w:val="4B751DCD"/>
    <w:rsid w:val="4B897627"/>
    <w:rsid w:val="4B9A3DEE"/>
    <w:rsid w:val="4B9B725E"/>
    <w:rsid w:val="4BA751BF"/>
    <w:rsid w:val="4BA83D98"/>
    <w:rsid w:val="4BB723E6"/>
    <w:rsid w:val="4BC66ACD"/>
    <w:rsid w:val="4BD226E3"/>
    <w:rsid w:val="4C0D46FC"/>
    <w:rsid w:val="4C147838"/>
    <w:rsid w:val="4C15535E"/>
    <w:rsid w:val="4C207F8B"/>
    <w:rsid w:val="4C245DD4"/>
    <w:rsid w:val="4C275E5D"/>
    <w:rsid w:val="4C2A6E8E"/>
    <w:rsid w:val="4C2B677F"/>
    <w:rsid w:val="4C485734"/>
    <w:rsid w:val="4C671A35"/>
    <w:rsid w:val="4C6B3F17"/>
    <w:rsid w:val="4CAC4558"/>
    <w:rsid w:val="4CAC60E6"/>
    <w:rsid w:val="4CB47604"/>
    <w:rsid w:val="4CB77FE4"/>
    <w:rsid w:val="4CC546CF"/>
    <w:rsid w:val="4CC65E80"/>
    <w:rsid w:val="4CCB7ABA"/>
    <w:rsid w:val="4CD90FB1"/>
    <w:rsid w:val="4CE45916"/>
    <w:rsid w:val="4CF414EB"/>
    <w:rsid w:val="4D005B8C"/>
    <w:rsid w:val="4D083A61"/>
    <w:rsid w:val="4D0E2D62"/>
    <w:rsid w:val="4D131C4F"/>
    <w:rsid w:val="4D30269C"/>
    <w:rsid w:val="4D3A507C"/>
    <w:rsid w:val="4D4B54DB"/>
    <w:rsid w:val="4D55477C"/>
    <w:rsid w:val="4D700A9E"/>
    <w:rsid w:val="4D885774"/>
    <w:rsid w:val="4DB43081"/>
    <w:rsid w:val="4DB56DF9"/>
    <w:rsid w:val="4DC94652"/>
    <w:rsid w:val="4DEA10D5"/>
    <w:rsid w:val="4DF739FA"/>
    <w:rsid w:val="4E0C70CD"/>
    <w:rsid w:val="4E1118A7"/>
    <w:rsid w:val="4E16235D"/>
    <w:rsid w:val="4E182D8C"/>
    <w:rsid w:val="4E1D7913"/>
    <w:rsid w:val="4E2236B2"/>
    <w:rsid w:val="4E241889"/>
    <w:rsid w:val="4E2D77D5"/>
    <w:rsid w:val="4E354390"/>
    <w:rsid w:val="4E4B27AD"/>
    <w:rsid w:val="4E573517"/>
    <w:rsid w:val="4EA56E6D"/>
    <w:rsid w:val="4F144F14"/>
    <w:rsid w:val="4F145898"/>
    <w:rsid w:val="4F1B011E"/>
    <w:rsid w:val="4F1D4C56"/>
    <w:rsid w:val="4F22226C"/>
    <w:rsid w:val="4F244075"/>
    <w:rsid w:val="4F2B762F"/>
    <w:rsid w:val="4F306FED"/>
    <w:rsid w:val="4F383592"/>
    <w:rsid w:val="4F716D4F"/>
    <w:rsid w:val="4F961587"/>
    <w:rsid w:val="4FA2515B"/>
    <w:rsid w:val="4FB120D3"/>
    <w:rsid w:val="4FBE3E9D"/>
    <w:rsid w:val="4FE127E8"/>
    <w:rsid w:val="4FE86518"/>
    <w:rsid w:val="4FEE65F2"/>
    <w:rsid w:val="4FF74123"/>
    <w:rsid w:val="4FF84D7B"/>
    <w:rsid w:val="4FFA4F97"/>
    <w:rsid w:val="500A6C75"/>
    <w:rsid w:val="50102C97"/>
    <w:rsid w:val="5019295A"/>
    <w:rsid w:val="50242014"/>
    <w:rsid w:val="503C55AF"/>
    <w:rsid w:val="50423830"/>
    <w:rsid w:val="50521ABD"/>
    <w:rsid w:val="506F4906"/>
    <w:rsid w:val="50886C33"/>
    <w:rsid w:val="508C1F90"/>
    <w:rsid w:val="50923421"/>
    <w:rsid w:val="50C335DB"/>
    <w:rsid w:val="50C866AA"/>
    <w:rsid w:val="50D70E34"/>
    <w:rsid w:val="50D94BAC"/>
    <w:rsid w:val="50F2160E"/>
    <w:rsid w:val="50F419E6"/>
    <w:rsid w:val="50FB2803"/>
    <w:rsid w:val="510E0CFA"/>
    <w:rsid w:val="51190398"/>
    <w:rsid w:val="511F1731"/>
    <w:rsid w:val="511F69F2"/>
    <w:rsid w:val="512A6844"/>
    <w:rsid w:val="512F490C"/>
    <w:rsid w:val="513609F4"/>
    <w:rsid w:val="5144471C"/>
    <w:rsid w:val="514A6B30"/>
    <w:rsid w:val="516C3C72"/>
    <w:rsid w:val="518C1C1F"/>
    <w:rsid w:val="51956D25"/>
    <w:rsid w:val="51AB6549"/>
    <w:rsid w:val="51B965A7"/>
    <w:rsid w:val="51CC64BF"/>
    <w:rsid w:val="51D91A92"/>
    <w:rsid w:val="51DB7F97"/>
    <w:rsid w:val="51DC1903"/>
    <w:rsid w:val="51FE13CF"/>
    <w:rsid w:val="52043EAB"/>
    <w:rsid w:val="520774F7"/>
    <w:rsid w:val="52132340"/>
    <w:rsid w:val="52383B54"/>
    <w:rsid w:val="52402DA2"/>
    <w:rsid w:val="525E687E"/>
    <w:rsid w:val="52A01B73"/>
    <w:rsid w:val="52AF3E17"/>
    <w:rsid w:val="52AF696E"/>
    <w:rsid w:val="52CB70DA"/>
    <w:rsid w:val="52E90793"/>
    <w:rsid w:val="530F1700"/>
    <w:rsid w:val="531341C6"/>
    <w:rsid w:val="5314478E"/>
    <w:rsid w:val="531F0360"/>
    <w:rsid w:val="532D3C17"/>
    <w:rsid w:val="532F1358"/>
    <w:rsid w:val="53332C9A"/>
    <w:rsid w:val="5334431C"/>
    <w:rsid w:val="534722A1"/>
    <w:rsid w:val="53591FD4"/>
    <w:rsid w:val="535C49C8"/>
    <w:rsid w:val="536A5B39"/>
    <w:rsid w:val="536F614C"/>
    <w:rsid w:val="537645E0"/>
    <w:rsid w:val="53764FC5"/>
    <w:rsid w:val="53807D59"/>
    <w:rsid w:val="538708F0"/>
    <w:rsid w:val="53A4152E"/>
    <w:rsid w:val="53D14341"/>
    <w:rsid w:val="53E43F94"/>
    <w:rsid w:val="53E47AF0"/>
    <w:rsid w:val="53FA5565"/>
    <w:rsid w:val="54040192"/>
    <w:rsid w:val="541C78F6"/>
    <w:rsid w:val="54273E81"/>
    <w:rsid w:val="544F3B03"/>
    <w:rsid w:val="545C67E7"/>
    <w:rsid w:val="54642849"/>
    <w:rsid w:val="546906D8"/>
    <w:rsid w:val="548B19DC"/>
    <w:rsid w:val="548B7774"/>
    <w:rsid w:val="548C131B"/>
    <w:rsid w:val="54D3695C"/>
    <w:rsid w:val="54D75752"/>
    <w:rsid w:val="54EB4F57"/>
    <w:rsid w:val="54F25160"/>
    <w:rsid w:val="550167C3"/>
    <w:rsid w:val="550C1CDD"/>
    <w:rsid w:val="552D0604"/>
    <w:rsid w:val="553E76D4"/>
    <w:rsid w:val="55466588"/>
    <w:rsid w:val="556A55BE"/>
    <w:rsid w:val="55986DE4"/>
    <w:rsid w:val="55AE3448"/>
    <w:rsid w:val="55B1434A"/>
    <w:rsid w:val="55CB1CDB"/>
    <w:rsid w:val="55CB540B"/>
    <w:rsid w:val="55CD51B7"/>
    <w:rsid w:val="55D122F6"/>
    <w:rsid w:val="55D60668"/>
    <w:rsid w:val="55F66942"/>
    <w:rsid w:val="55F8409D"/>
    <w:rsid w:val="56017E24"/>
    <w:rsid w:val="56331733"/>
    <w:rsid w:val="563867C7"/>
    <w:rsid w:val="566B44F9"/>
    <w:rsid w:val="567B78F1"/>
    <w:rsid w:val="56843C0F"/>
    <w:rsid w:val="56853637"/>
    <w:rsid w:val="569C27D3"/>
    <w:rsid w:val="56A6477E"/>
    <w:rsid w:val="56C37E91"/>
    <w:rsid w:val="56C500AD"/>
    <w:rsid w:val="56D02FEC"/>
    <w:rsid w:val="56DA342C"/>
    <w:rsid w:val="56EF6ED8"/>
    <w:rsid w:val="57007337"/>
    <w:rsid w:val="572D17AE"/>
    <w:rsid w:val="57313D45"/>
    <w:rsid w:val="573C5E95"/>
    <w:rsid w:val="57476D14"/>
    <w:rsid w:val="576E0282"/>
    <w:rsid w:val="5770460E"/>
    <w:rsid w:val="57781D9A"/>
    <w:rsid w:val="57802226"/>
    <w:rsid w:val="578515EA"/>
    <w:rsid w:val="57891062"/>
    <w:rsid w:val="57AF5F7C"/>
    <w:rsid w:val="57C2283E"/>
    <w:rsid w:val="57CE0F24"/>
    <w:rsid w:val="57EE5067"/>
    <w:rsid w:val="57F12ED6"/>
    <w:rsid w:val="57FF4C4C"/>
    <w:rsid w:val="580D15CE"/>
    <w:rsid w:val="58113076"/>
    <w:rsid w:val="581B15C3"/>
    <w:rsid w:val="58427D95"/>
    <w:rsid w:val="58516726"/>
    <w:rsid w:val="5863200B"/>
    <w:rsid w:val="586C6306"/>
    <w:rsid w:val="586D09FC"/>
    <w:rsid w:val="58707A91"/>
    <w:rsid w:val="587826B4"/>
    <w:rsid w:val="58871392"/>
    <w:rsid w:val="58A27146"/>
    <w:rsid w:val="58A55A7B"/>
    <w:rsid w:val="58BD4D37"/>
    <w:rsid w:val="58CC57C1"/>
    <w:rsid w:val="58D6441D"/>
    <w:rsid w:val="58DA3BB7"/>
    <w:rsid w:val="58E93DFA"/>
    <w:rsid w:val="58FE5F5A"/>
    <w:rsid w:val="5915074C"/>
    <w:rsid w:val="59172716"/>
    <w:rsid w:val="592A16CF"/>
    <w:rsid w:val="593908DE"/>
    <w:rsid w:val="5949786A"/>
    <w:rsid w:val="59552666"/>
    <w:rsid w:val="59753EAF"/>
    <w:rsid w:val="598E7CA7"/>
    <w:rsid w:val="59A55EC5"/>
    <w:rsid w:val="59BB7545"/>
    <w:rsid w:val="59F2271C"/>
    <w:rsid w:val="59FE1C20"/>
    <w:rsid w:val="5A0A6F08"/>
    <w:rsid w:val="5A3410A5"/>
    <w:rsid w:val="5A5363CF"/>
    <w:rsid w:val="5A557EF1"/>
    <w:rsid w:val="5A897643"/>
    <w:rsid w:val="5A8A6572"/>
    <w:rsid w:val="5A8B396B"/>
    <w:rsid w:val="5A8E235B"/>
    <w:rsid w:val="5A94756C"/>
    <w:rsid w:val="5ABE2723"/>
    <w:rsid w:val="5ACC12DE"/>
    <w:rsid w:val="5AE54520"/>
    <w:rsid w:val="5AE84658"/>
    <w:rsid w:val="5B090FE2"/>
    <w:rsid w:val="5B270786"/>
    <w:rsid w:val="5B44356A"/>
    <w:rsid w:val="5B4E6197"/>
    <w:rsid w:val="5B812593"/>
    <w:rsid w:val="5BA858A7"/>
    <w:rsid w:val="5BAC54F3"/>
    <w:rsid w:val="5BB83577"/>
    <w:rsid w:val="5BBB382C"/>
    <w:rsid w:val="5BBD5E86"/>
    <w:rsid w:val="5BC754E8"/>
    <w:rsid w:val="5BDE1273"/>
    <w:rsid w:val="5BE069CE"/>
    <w:rsid w:val="5BF154A0"/>
    <w:rsid w:val="5C221C85"/>
    <w:rsid w:val="5C2C08DF"/>
    <w:rsid w:val="5C9675D4"/>
    <w:rsid w:val="5CAA0CCB"/>
    <w:rsid w:val="5CE41B70"/>
    <w:rsid w:val="5CE51FD6"/>
    <w:rsid w:val="5CE648D9"/>
    <w:rsid w:val="5CED3EB9"/>
    <w:rsid w:val="5D021747"/>
    <w:rsid w:val="5D2B6F4A"/>
    <w:rsid w:val="5D342801"/>
    <w:rsid w:val="5D500125"/>
    <w:rsid w:val="5D6C036B"/>
    <w:rsid w:val="5D7A3273"/>
    <w:rsid w:val="5D7B2E20"/>
    <w:rsid w:val="5D953969"/>
    <w:rsid w:val="5DB7478C"/>
    <w:rsid w:val="5DC65563"/>
    <w:rsid w:val="5DEB5CC9"/>
    <w:rsid w:val="5DFB41A1"/>
    <w:rsid w:val="5E0258DF"/>
    <w:rsid w:val="5E35548F"/>
    <w:rsid w:val="5E4841BA"/>
    <w:rsid w:val="5E57401B"/>
    <w:rsid w:val="5E5B21FC"/>
    <w:rsid w:val="5E5D0BCB"/>
    <w:rsid w:val="5E714948"/>
    <w:rsid w:val="5E7F7D1C"/>
    <w:rsid w:val="5E8116BB"/>
    <w:rsid w:val="5E8E1F79"/>
    <w:rsid w:val="5E954808"/>
    <w:rsid w:val="5EAC56AE"/>
    <w:rsid w:val="5EBE53E1"/>
    <w:rsid w:val="5ED15CFA"/>
    <w:rsid w:val="5ED22174"/>
    <w:rsid w:val="5ED35784"/>
    <w:rsid w:val="5EE40C1B"/>
    <w:rsid w:val="5EEF3514"/>
    <w:rsid w:val="5EFA466C"/>
    <w:rsid w:val="5F082E00"/>
    <w:rsid w:val="5F117C07"/>
    <w:rsid w:val="5F1E2A3D"/>
    <w:rsid w:val="5F4901F1"/>
    <w:rsid w:val="5F4F4275"/>
    <w:rsid w:val="5F51025D"/>
    <w:rsid w:val="5F6474EC"/>
    <w:rsid w:val="5F6E0BB6"/>
    <w:rsid w:val="5F7A6980"/>
    <w:rsid w:val="5F84662B"/>
    <w:rsid w:val="5F925800"/>
    <w:rsid w:val="5F9C3975"/>
    <w:rsid w:val="5F9F070D"/>
    <w:rsid w:val="5FA11ECA"/>
    <w:rsid w:val="5FA6589B"/>
    <w:rsid w:val="5FB44474"/>
    <w:rsid w:val="5FC646D5"/>
    <w:rsid w:val="5FF74A0F"/>
    <w:rsid w:val="6017124D"/>
    <w:rsid w:val="601B4F8E"/>
    <w:rsid w:val="601E082E"/>
    <w:rsid w:val="602D0A71"/>
    <w:rsid w:val="602F6597"/>
    <w:rsid w:val="60385B0F"/>
    <w:rsid w:val="60392E2E"/>
    <w:rsid w:val="603A39FC"/>
    <w:rsid w:val="603C0F1E"/>
    <w:rsid w:val="603C797C"/>
    <w:rsid w:val="60636240"/>
    <w:rsid w:val="608A5EC3"/>
    <w:rsid w:val="60A91381"/>
    <w:rsid w:val="60AE7E03"/>
    <w:rsid w:val="60B0208F"/>
    <w:rsid w:val="60B150F8"/>
    <w:rsid w:val="60B62814"/>
    <w:rsid w:val="60C63BA6"/>
    <w:rsid w:val="60DB227B"/>
    <w:rsid w:val="60E37145"/>
    <w:rsid w:val="60F226C7"/>
    <w:rsid w:val="61132D68"/>
    <w:rsid w:val="611413BC"/>
    <w:rsid w:val="612221FA"/>
    <w:rsid w:val="61273712"/>
    <w:rsid w:val="613100ED"/>
    <w:rsid w:val="613B7E7B"/>
    <w:rsid w:val="61592551"/>
    <w:rsid w:val="615F3D76"/>
    <w:rsid w:val="617050B9"/>
    <w:rsid w:val="61992F6D"/>
    <w:rsid w:val="61AE19EB"/>
    <w:rsid w:val="61AF31B0"/>
    <w:rsid w:val="61BB1DBD"/>
    <w:rsid w:val="61C3512C"/>
    <w:rsid w:val="61D10B86"/>
    <w:rsid w:val="61D728BE"/>
    <w:rsid w:val="61DF4348"/>
    <w:rsid w:val="61E55DB9"/>
    <w:rsid w:val="620B0F95"/>
    <w:rsid w:val="620F6680"/>
    <w:rsid w:val="621B22EB"/>
    <w:rsid w:val="62437BD6"/>
    <w:rsid w:val="62440D4A"/>
    <w:rsid w:val="62455CE7"/>
    <w:rsid w:val="624E0FBB"/>
    <w:rsid w:val="625F486F"/>
    <w:rsid w:val="627D1922"/>
    <w:rsid w:val="6287090C"/>
    <w:rsid w:val="62A379A4"/>
    <w:rsid w:val="62A85C93"/>
    <w:rsid w:val="62A96937"/>
    <w:rsid w:val="62CA25A7"/>
    <w:rsid w:val="62CA729E"/>
    <w:rsid w:val="62D93A21"/>
    <w:rsid w:val="62E67462"/>
    <w:rsid w:val="62F13FD7"/>
    <w:rsid w:val="62F35FA1"/>
    <w:rsid w:val="631027BB"/>
    <w:rsid w:val="63161C90"/>
    <w:rsid w:val="631C154C"/>
    <w:rsid w:val="63210676"/>
    <w:rsid w:val="632556A1"/>
    <w:rsid w:val="63343EC4"/>
    <w:rsid w:val="63494E8F"/>
    <w:rsid w:val="63631827"/>
    <w:rsid w:val="636B1FDC"/>
    <w:rsid w:val="63786EBE"/>
    <w:rsid w:val="63867FF6"/>
    <w:rsid w:val="63A55FDB"/>
    <w:rsid w:val="63BC685B"/>
    <w:rsid w:val="63C33BC6"/>
    <w:rsid w:val="63CD29CF"/>
    <w:rsid w:val="63D3549F"/>
    <w:rsid w:val="63D626B9"/>
    <w:rsid w:val="63EA6160"/>
    <w:rsid w:val="63EC1F95"/>
    <w:rsid w:val="63F209FC"/>
    <w:rsid w:val="63F50154"/>
    <w:rsid w:val="63FE3353"/>
    <w:rsid w:val="64135505"/>
    <w:rsid w:val="641644E4"/>
    <w:rsid w:val="642D54E3"/>
    <w:rsid w:val="64440D58"/>
    <w:rsid w:val="644A028B"/>
    <w:rsid w:val="64523CDD"/>
    <w:rsid w:val="64832E50"/>
    <w:rsid w:val="648D254B"/>
    <w:rsid w:val="64900738"/>
    <w:rsid w:val="64B26DB7"/>
    <w:rsid w:val="64BB489D"/>
    <w:rsid w:val="64EE1A97"/>
    <w:rsid w:val="65094498"/>
    <w:rsid w:val="652379B5"/>
    <w:rsid w:val="652F4FF2"/>
    <w:rsid w:val="652F7039"/>
    <w:rsid w:val="6533183C"/>
    <w:rsid w:val="653576EB"/>
    <w:rsid w:val="65425B56"/>
    <w:rsid w:val="654A5C21"/>
    <w:rsid w:val="65672E18"/>
    <w:rsid w:val="65676554"/>
    <w:rsid w:val="65721162"/>
    <w:rsid w:val="657A7CE6"/>
    <w:rsid w:val="65B66DEA"/>
    <w:rsid w:val="65B813A6"/>
    <w:rsid w:val="65BC07BA"/>
    <w:rsid w:val="65CC62C7"/>
    <w:rsid w:val="65DC4ACB"/>
    <w:rsid w:val="65E63B9C"/>
    <w:rsid w:val="65EA573D"/>
    <w:rsid w:val="65F17726"/>
    <w:rsid w:val="65F55B8D"/>
    <w:rsid w:val="66072A56"/>
    <w:rsid w:val="660C4DA1"/>
    <w:rsid w:val="66111E97"/>
    <w:rsid w:val="66141C0C"/>
    <w:rsid w:val="661D3911"/>
    <w:rsid w:val="662B793D"/>
    <w:rsid w:val="662F6CBC"/>
    <w:rsid w:val="663719EA"/>
    <w:rsid w:val="6640239D"/>
    <w:rsid w:val="6663790D"/>
    <w:rsid w:val="667A0534"/>
    <w:rsid w:val="6698243F"/>
    <w:rsid w:val="66BB2D55"/>
    <w:rsid w:val="66CC0FE3"/>
    <w:rsid w:val="66CF3A21"/>
    <w:rsid w:val="66D6356D"/>
    <w:rsid w:val="66D93700"/>
    <w:rsid w:val="66DC0AFB"/>
    <w:rsid w:val="66E31F8B"/>
    <w:rsid w:val="66F30E6E"/>
    <w:rsid w:val="66F75934"/>
    <w:rsid w:val="66FE4F15"/>
    <w:rsid w:val="67030C04"/>
    <w:rsid w:val="67044DCA"/>
    <w:rsid w:val="670800C3"/>
    <w:rsid w:val="670A0F21"/>
    <w:rsid w:val="67106F11"/>
    <w:rsid w:val="67135C6C"/>
    <w:rsid w:val="671E0416"/>
    <w:rsid w:val="672B157E"/>
    <w:rsid w:val="672D6533"/>
    <w:rsid w:val="6759586E"/>
    <w:rsid w:val="67616BD8"/>
    <w:rsid w:val="67680688"/>
    <w:rsid w:val="6771549F"/>
    <w:rsid w:val="67946E9C"/>
    <w:rsid w:val="679F02B4"/>
    <w:rsid w:val="67A755AC"/>
    <w:rsid w:val="67B03871"/>
    <w:rsid w:val="67B0620F"/>
    <w:rsid w:val="67E67942"/>
    <w:rsid w:val="67E91721"/>
    <w:rsid w:val="67F24A7A"/>
    <w:rsid w:val="681346B6"/>
    <w:rsid w:val="681A18DB"/>
    <w:rsid w:val="68362C8E"/>
    <w:rsid w:val="68430CA2"/>
    <w:rsid w:val="68492FC4"/>
    <w:rsid w:val="685E210F"/>
    <w:rsid w:val="687C65EB"/>
    <w:rsid w:val="68867F05"/>
    <w:rsid w:val="689871CF"/>
    <w:rsid w:val="68D37846"/>
    <w:rsid w:val="68D777CC"/>
    <w:rsid w:val="68F60F8C"/>
    <w:rsid w:val="68F91E38"/>
    <w:rsid w:val="68FB170C"/>
    <w:rsid w:val="694C0422"/>
    <w:rsid w:val="697B2391"/>
    <w:rsid w:val="69872FA0"/>
    <w:rsid w:val="699D5390"/>
    <w:rsid w:val="69A47FF6"/>
    <w:rsid w:val="69D9075E"/>
    <w:rsid w:val="69F63AE7"/>
    <w:rsid w:val="6A0D57F2"/>
    <w:rsid w:val="6A227D0E"/>
    <w:rsid w:val="6A380EBB"/>
    <w:rsid w:val="6A3F61E1"/>
    <w:rsid w:val="6A50700C"/>
    <w:rsid w:val="6A6350EF"/>
    <w:rsid w:val="6A6B28C1"/>
    <w:rsid w:val="6AA32BD4"/>
    <w:rsid w:val="6AA81420"/>
    <w:rsid w:val="6AA910B5"/>
    <w:rsid w:val="6AB67CFD"/>
    <w:rsid w:val="6AC021F6"/>
    <w:rsid w:val="6AC16D84"/>
    <w:rsid w:val="6AE25E31"/>
    <w:rsid w:val="6AFC7260"/>
    <w:rsid w:val="6B016D82"/>
    <w:rsid w:val="6B064398"/>
    <w:rsid w:val="6B182F47"/>
    <w:rsid w:val="6B2A277C"/>
    <w:rsid w:val="6B376C47"/>
    <w:rsid w:val="6B421874"/>
    <w:rsid w:val="6B510393"/>
    <w:rsid w:val="6B5C045C"/>
    <w:rsid w:val="6B686E01"/>
    <w:rsid w:val="6B6934A7"/>
    <w:rsid w:val="6B87372B"/>
    <w:rsid w:val="6B877095"/>
    <w:rsid w:val="6B8E4D79"/>
    <w:rsid w:val="6BDE33C6"/>
    <w:rsid w:val="6C1F1891"/>
    <w:rsid w:val="6C3A66BC"/>
    <w:rsid w:val="6C4E04E0"/>
    <w:rsid w:val="6C5D3FF5"/>
    <w:rsid w:val="6C70748A"/>
    <w:rsid w:val="6C747658"/>
    <w:rsid w:val="6C875BB5"/>
    <w:rsid w:val="6CBA7B30"/>
    <w:rsid w:val="6CBC5656"/>
    <w:rsid w:val="6CC87B57"/>
    <w:rsid w:val="6CD0523D"/>
    <w:rsid w:val="6CD861DC"/>
    <w:rsid w:val="6CEE3336"/>
    <w:rsid w:val="6CF44DF0"/>
    <w:rsid w:val="6D3618D2"/>
    <w:rsid w:val="6D3E42BD"/>
    <w:rsid w:val="6D71190D"/>
    <w:rsid w:val="6D8A305E"/>
    <w:rsid w:val="6D9C62EB"/>
    <w:rsid w:val="6DB04B77"/>
    <w:rsid w:val="6DB90A8B"/>
    <w:rsid w:val="6DDB7D5E"/>
    <w:rsid w:val="6DF93AB7"/>
    <w:rsid w:val="6E117C70"/>
    <w:rsid w:val="6E121BA4"/>
    <w:rsid w:val="6E2407B2"/>
    <w:rsid w:val="6E451A92"/>
    <w:rsid w:val="6E7855AD"/>
    <w:rsid w:val="6E7A7577"/>
    <w:rsid w:val="6E924AC6"/>
    <w:rsid w:val="6E946EFE"/>
    <w:rsid w:val="6E9E14B7"/>
    <w:rsid w:val="6EA345F3"/>
    <w:rsid w:val="6EB309D4"/>
    <w:rsid w:val="6EB67350"/>
    <w:rsid w:val="6F06705D"/>
    <w:rsid w:val="6F0B6421"/>
    <w:rsid w:val="6F1B2B08"/>
    <w:rsid w:val="6F2B0871"/>
    <w:rsid w:val="6F3516F0"/>
    <w:rsid w:val="6F3C65DA"/>
    <w:rsid w:val="6F6137A6"/>
    <w:rsid w:val="6F627807"/>
    <w:rsid w:val="6F637A3E"/>
    <w:rsid w:val="6F767D3E"/>
    <w:rsid w:val="6F771D08"/>
    <w:rsid w:val="6F943273"/>
    <w:rsid w:val="6FA6577F"/>
    <w:rsid w:val="6FA85444"/>
    <w:rsid w:val="6FAC19B2"/>
    <w:rsid w:val="6FAF2A50"/>
    <w:rsid w:val="6FB31E97"/>
    <w:rsid w:val="6FBB18F6"/>
    <w:rsid w:val="6FC35EAE"/>
    <w:rsid w:val="6FD64E6A"/>
    <w:rsid w:val="6FF12C38"/>
    <w:rsid w:val="7018177F"/>
    <w:rsid w:val="70193EBC"/>
    <w:rsid w:val="701A3047"/>
    <w:rsid w:val="701E3F32"/>
    <w:rsid w:val="7028329E"/>
    <w:rsid w:val="7039045C"/>
    <w:rsid w:val="704C4F43"/>
    <w:rsid w:val="705A7660"/>
    <w:rsid w:val="706B54A8"/>
    <w:rsid w:val="70737134"/>
    <w:rsid w:val="707A560C"/>
    <w:rsid w:val="70871AD7"/>
    <w:rsid w:val="709275A3"/>
    <w:rsid w:val="709C192B"/>
    <w:rsid w:val="70A06289"/>
    <w:rsid w:val="70AB3A18"/>
    <w:rsid w:val="70AE52B6"/>
    <w:rsid w:val="70BE5A26"/>
    <w:rsid w:val="70D54F38"/>
    <w:rsid w:val="70DD3639"/>
    <w:rsid w:val="70E947AC"/>
    <w:rsid w:val="70EA462F"/>
    <w:rsid w:val="70F57818"/>
    <w:rsid w:val="710C1F1C"/>
    <w:rsid w:val="7133147E"/>
    <w:rsid w:val="71362B86"/>
    <w:rsid w:val="71363B0C"/>
    <w:rsid w:val="71404122"/>
    <w:rsid w:val="714B6FA9"/>
    <w:rsid w:val="715114E3"/>
    <w:rsid w:val="71600CA6"/>
    <w:rsid w:val="716167CC"/>
    <w:rsid w:val="716360A0"/>
    <w:rsid w:val="71657155"/>
    <w:rsid w:val="71722787"/>
    <w:rsid w:val="71762034"/>
    <w:rsid w:val="71B16C31"/>
    <w:rsid w:val="71B22914"/>
    <w:rsid w:val="71C63D7F"/>
    <w:rsid w:val="71DC4440"/>
    <w:rsid w:val="71E558FE"/>
    <w:rsid w:val="71EC253A"/>
    <w:rsid w:val="72021D5D"/>
    <w:rsid w:val="722162DF"/>
    <w:rsid w:val="722F68CA"/>
    <w:rsid w:val="723143F0"/>
    <w:rsid w:val="72575CDF"/>
    <w:rsid w:val="727C5484"/>
    <w:rsid w:val="72A42E14"/>
    <w:rsid w:val="72A7312D"/>
    <w:rsid w:val="72B875F5"/>
    <w:rsid w:val="72BC3F65"/>
    <w:rsid w:val="72C90934"/>
    <w:rsid w:val="72CB03A1"/>
    <w:rsid w:val="72DC6D4E"/>
    <w:rsid w:val="72E10069"/>
    <w:rsid w:val="72E503E5"/>
    <w:rsid w:val="72EC0317"/>
    <w:rsid w:val="72FD0776"/>
    <w:rsid w:val="730E028E"/>
    <w:rsid w:val="733D7D7D"/>
    <w:rsid w:val="73411B0D"/>
    <w:rsid w:val="735D2FC3"/>
    <w:rsid w:val="735F0AE9"/>
    <w:rsid w:val="736E51D0"/>
    <w:rsid w:val="738B7B30"/>
    <w:rsid w:val="73A86934"/>
    <w:rsid w:val="73BC5F3C"/>
    <w:rsid w:val="73C86761"/>
    <w:rsid w:val="73E6120B"/>
    <w:rsid w:val="73EA2652"/>
    <w:rsid w:val="740C1244"/>
    <w:rsid w:val="742835D1"/>
    <w:rsid w:val="743401C8"/>
    <w:rsid w:val="74416441"/>
    <w:rsid w:val="747B1953"/>
    <w:rsid w:val="747F12EB"/>
    <w:rsid w:val="74862FAF"/>
    <w:rsid w:val="748969AA"/>
    <w:rsid w:val="74936C9D"/>
    <w:rsid w:val="749B0247"/>
    <w:rsid w:val="74A63A17"/>
    <w:rsid w:val="74B44A19"/>
    <w:rsid w:val="74B808C5"/>
    <w:rsid w:val="74BA06CD"/>
    <w:rsid w:val="74BF3FA9"/>
    <w:rsid w:val="74C25FB2"/>
    <w:rsid w:val="74D6302D"/>
    <w:rsid w:val="74E9128E"/>
    <w:rsid w:val="74FA77DC"/>
    <w:rsid w:val="750E0A19"/>
    <w:rsid w:val="75472D0C"/>
    <w:rsid w:val="756F5600"/>
    <w:rsid w:val="75703178"/>
    <w:rsid w:val="75813F91"/>
    <w:rsid w:val="758D5478"/>
    <w:rsid w:val="75930F1E"/>
    <w:rsid w:val="75997612"/>
    <w:rsid w:val="75A66EA3"/>
    <w:rsid w:val="75A90742"/>
    <w:rsid w:val="75AE7B06"/>
    <w:rsid w:val="75C6028F"/>
    <w:rsid w:val="75EB48B6"/>
    <w:rsid w:val="75FE3006"/>
    <w:rsid w:val="76191423"/>
    <w:rsid w:val="761C4AF1"/>
    <w:rsid w:val="762978E9"/>
    <w:rsid w:val="76331DAF"/>
    <w:rsid w:val="7645131C"/>
    <w:rsid w:val="764663C8"/>
    <w:rsid w:val="765B5EE0"/>
    <w:rsid w:val="76874D1D"/>
    <w:rsid w:val="76A17EFF"/>
    <w:rsid w:val="76A5175F"/>
    <w:rsid w:val="76DA5057"/>
    <w:rsid w:val="76E47C83"/>
    <w:rsid w:val="76F141A8"/>
    <w:rsid w:val="771D1184"/>
    <w:rsid w:val="773615C6"/>
    <w:rsid w:val="776B2153"/>
    <w:rsid w:val="777C0999"/>
    <w:rsid w:val="77AE0B16"/>
    <w:rsid w:val="77AE203F"/>
    <w:rsid w:val="77B43AFA"/>
    <w:rsid w:val="77E52EDF"/>
    <w:rsid w:val="77EA16F7"/>
    <w:rsid w:val="77FC4E59"/>
    <w:rsid w:val="780058BF"/>
    <w:rsid w:val="780E6699"/>
    <w:rsid w:val="781B08C4"/>
    <w:rsid w:val="782E3B07"/>
    <w:rsid w:val="784340FC"/>
    <w:rsid w:val="785E5813"/>
    <w:rsid w:val="7885039C"/>
    <w:rsid w:val="78A107BC"/>
    <w:rsid w:val="78AE22A7"/>
    <w:rsid w:val="78B125B2"/>
    <w:rsid w:val="78B638A1"/>
    <w:rsid w:val="78B879DD"/>
    <w:rsid w:val="78B95140"/>
    <w:rsid w:val="78BA3601"/>
    <w:rsid w:val="78C80EDF"/>
    <w:rsid w:val="78EA52F9"/>
    <w:rsid w:val="78EB7872"/>
    <w:rsid w:val="78F34ED3"/>
    <w:rsid w:val="79022643"/>
    <w:rsid w:val="790A14F7"/>
    <w:rsid w:val="79392A0D"/>
    <w:rsid w:val="796B468C"/>
    <w:rsid w:val="79773031"/>
    <w:rsid w:val="797F3C93"/>
    <w:rsid w:val="79952807"/>
    <w:rsid w:val="79D63B6C"/>
    <w:rsid w:val="79E24222"/>
    <w:rsid w:val="79FC313C"/>
    <w:rsid w:val="79FF06C1"/>
    <w:rsid w:val="7A0E7277"/>
    <w:rsid w:val="7A1E315E"/>
    <w:rsid w:val="7A2111EE"/>
    <w:rsid w:val="7A3525A4"/>
    <w:rsid w:val="7A4130A5"/>
    <w:rsid w:val="7A560C6E"/>
    <w:rsid w:val="7A58507E"/>
    <w:rsid w:val="7A794B87"/>
    <w:rsid w:val="7A891E91"/>
    <w:rsid w:val="7A8B694B"/>
    <w:rsid w:val="7AAF76FA"/>
    <w:rsid w:val="7ABE2599"/>
    <w:rsid w:val="7ABF52D9"/>
    <w:rsid w:val="7AD258DE"/>
    <w:rsid w:val="7ADC6A87"/>
    <w:rsid w:val="7ADD75EF"/>
    <w:rsid w:val="7AE30252"/>
    <w:rsid w:val="7AED2E7F"/>
    <w:rsid w:val="7AF81F4F"/>
    <w:rsid w:val="7B230A08"/>
    <w:rsid w:val="7B231E55"/>
    <w:rsid w:val="7B277CBA"/>
    <w:rsid w:val="7B4231CA"/>
    <w:rsid w:val="7B512CCA"/>
    <w:rsid w:val="7B59060C"/>
    <w:rsid w:val="7B697FFC"/>
    <w:rsid w:val="7B717812"/>
    <w:rsid w:val="7B7517F2"/>
    <w:rsid w:val="7BB5399C"/>
    <w:rsid w:val="7BD37D44"/>
    <w:rsid w:val="7BD858DD"/>
    <w:rsid w:val="7BDA78A7"/>
    <w:rsid w:val="7BE36A1F"/>
    <w:rsid w:val="7BF162FF"/>
    <w:rsid w:val="7C077F70"/>
    <w:rsid w:val="7C1A2534"/>
    <w:rsid w:val="7C224DAA"/>
    <w:rsid w:val="7C2324AB"/>
    <w:rsid w:val="7C2E7C5F"/>
    <w:rsid w:val="7C455963"/>
    <w:rsid w:val="7C4C354E"/>
    <w:rsid w:val="7C4D0079"/>
    <w:rsid w:val="7C4F3DF1"/>
    <w:rsid w:val="7C5A4200"/>
    <w:rsid w:val="7C7D4604"/>
    <w:rsid w:val="7C806D20"/>
    <w:rsid w:val="7C820E86"/>
    <w:rsid w:val="7C86358B"/>
    <w:rsid w:val="7C8F1F7D"/>
    <w:rsid w:val="7C996EFF"/>
    <w:rsid w:val="7CA60FCB"/>
    <w:rsid w:val="7CC846E8"/>
    <w:rsid w:val="7CC86EEE"/>
    <w:rsid w:val="7CD32C5F"/>
    <w:rsid w:val="7CD57E28"/>
    <w:rsid w:val="7CE502B1"/>
    <w:rsid w:val="7CE82599"/>
    <w:rsid w:val="7CEA5C3B"/>
    <w:rsid w:val="7CF670C5"/>
    <w:rsid w:val="7D13776F"/>
    <w:rsid w:val="7D1D7B35"/>
    <w:rsid w:val="7D236607"/>
    <w:rsid w:val="7D347AD1"/>
    <w:rsid w:val="7D402470"/>
    <w:rsid w:val="7D493466"/>
    <w:rsid w:val="7D545437"/>
    <w:rsid w:val="7D882896"/>
    <w:rsid w:val="7DC375E5"/>
    <w:rsid w:val="7DC40E3D"/>
    <w:rsid w:val="7DCB5C21"/>
    <w:rsid w:val="7DE247F1"/>
    <w:rsid w:val="7DE269E8"/>
    <w:rsid w:val="7DF438B1"/>
    <w:rsid w:val="7E0D0718"/>
    <w:rsid w:val="7E0D6B59"/>
    <w:rsid w:val="7E0F48C0"/>
    <w:rsid w:val="7E1352F2"/>
    <w:rsid w:val="7E1E7AF4"/>
    <w:rsid w:val="7E3612AD"/>
    <w:rsid w:val="7E3D6B83"/>
    <w:rsid w:val="7E3F4209"/>
    <w:rsid w:val="7E444225"/>
    <w:rsid w:val="7E693D3E"/>
    <w:rsid w:val="7E6E31FA"/>
    <w:rsid w:val="7E6E560C"/>
    <w:rsid w:val="7E7A27E1"/>
    <w:rsid w:val="7E7A2C7B"/>
    <w:rsid w:val="7E7B74DF"/>
    <w:rsid w:val="7EAA1510"/>
    <w:rsid w:val="7EBF0352"/>
    <w:rsid w:val="7EC11C74"/>
    <w:rsid w:val="7EC42148"/>
    <w:rsid w:val="7EC43D9D"/>
    <w:rsid w:val="7EE426CC"/>
    <w:rsid w:val="7F105023"/>
    <w:rsid w:val="7F2C1323"/>
    <w:rsid w:val="7F3A20CB"/>
    <w:rsid w:val="7F717E8E"/>
    <w:rsid w:val="7F725FAB"/>
    <w:rsid w:val="7FA123EB"/>
    <w:rsid w:val="7FA36202"/>
    <w:rsid w:val="7FBA072D"/>
    <w:rsid w:val="7FBF128D"/>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link w:val="62"/>
    <w:qFormat/>
    <w:uiPriority w:val="1"/>
    <w:pPr>
      <w:spacing w:line="590" w:lineRule="exact"/>
      <w:ind w:left="3"/>
      <w:jc w:val="center"/>
      <w:outlineLvl w:val="0"/>
    </w:pPr>
    <w:rPr>
      <w:rFonts w:ascii="Microsoft JhengHei" w:hAnsi="Microsoft JhengHei" w:eastAsia="Microsoft JhengHei" w:cs="Microsoft JhengHei"/>
      <w:b/>
      <w:bCs/>
      <w:sz w:val="44"/>
      <w:szCs w:val="44"/>
    </w:rPr>
  </w:style>
  <w:style w:type="paragraph" w:styleId="3">
    <w:name w:val="heading 2"/>
    <w:basedOn w:val="1"/>
    <w:next w:val="1"/>
    <w:qFormat/>
    <w:uiPriority w:val="1"/>
    <w:pPr>
      <w:ind w:left="100" w:right="108"/>
      <w:outlineLvl w:val="1"/>
    </w:pPr>
    <w:rPr>
      <w:rFonts w:ascii="Microsoft JhengHei" w:hAnsi="Microsoft JhengHei" w:eastAsia="Microsoft JhengHei" w:cs="Microsoft JhengHei"/>
      <w:b/>
      <w:bCs/>
      <w:sz w:val="32"/>
      <w:szCs w:val="32"/>
    </w:rPr>
  </w:style>
  <w:style w:type="paragraph" w:styleId="4">
    <w:name w:val="heading 3"/>
    <w:basedOn w:val="1"/>
    <w:next w:val="1"/>
    <w:qFormat/>
    <w:uiPriority w:val="1"/>
    <w:pPr>
      <w:ind w:left="237" w:right="108"/>
      <w:outlineLvl w:val="2"/>
    </w:pPr>
    <w:rPr>
      <w:sz w:val="28"/>
      <w:szCs w:val="28"/>
    </w:rPr>
  </w:style>
  <w:style w:type="paragraph" w:styleId="5">
    <w:name w:val="heading 4"/>
    <w:basedOn w:val="1"/>
    <w:next w:val="1"/>
    <w:autoRedefine/>
    <w:qFormat/>
    <w:uiPriority w:val="1"/>
    <w:pPr>
      <w:ind w:left="513" w:right="108"/>
      <w:outlineLvl w:val="3"/>
    </w:pPr>
    <w:rPr>
      <w:rFonts w:ascii="Times New Roman" w:hAnsi="Times New Roman" w:eastAsia="Times New Roman" w:cs="Times New Roman"/>
      <w:b/>
      <w:bCs/>
      <w:sz w:val="21"/>
      <w:szCs w:val="21"/>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index 5"/>
    <w:basedOn w:val="1"/>
    <w:next w:val="1"/>
    <w:autoRedefine/>
    <w:unhideWhenUsed/>
    <w:qFormat/>
    <w:uiPriority w:val="99"/>
    <w:pPr>
      <w:ind w:left="800" w:leftChars="800"/>
    </w:pPr>
  </w:style>
  <w:style w:type="paragraph" w:styleId="7">
    <w:name w:val="annotation text"/>
    <w:basedOn w:val="1"/>
    <w:link w:val="51"/>
    <w:autoRedefine/>
    <w:qFormat/>
    <w:uiPriority w:val="0"/>
  </w:style>
  <w:style w:type="paragraph" w:styleId="8">
    <w:name w:val="Body Text"/>
    <w:basedOn w:val="1"/>
    <w:autoRedefine/>
    <w:qFormat/>
    <w:uiPriority w:val="1"/>
    <w:rPr>
      <w:sz w:val="21"/>
      <w:szCs w:val="21"/>
    </w:rPr>
  </w:style>
  <w:style w:type="paragraph" w:styleId="9">
    <w:name w:val="Body Text Indent"/>
    <w:basedOn w:val="1"/>
    <w:next w:val="1"/>
    <w:autoRedefine/>
    <w:qFormat/>
    <w:uiPriority w:val="0"/>
    <w:pPr>
      <w:adjustRightInd w:val="0"/>
      <w:spacing w:line="360" w:lineRule="atLeast"/>
      <w:ind w:firstLine="420"/>
      <w:textAlignment w:val="baseline"/>
    </w:pPr>
    <w:rPr>
      <w:sz w:val="28"/>
      <w:szCs w:val="20"/>
    </w:rPr>
  </w:style>
  <w:style w:type="paragraph" w:styleId="10">
    <w:name w:val="List 2"/>
    <w:basedOn w:val="1"/>
    <w:qFormat/>
    <w:uiPriority w:val="99"/>
    <w:pPr>
      <w:ind w:left="100" w:leftChars="200" w:hanging="200" w:hangingChars="200"/>
      <w:contextualSpacing/>
    </w:pPr>
  </w:style>
  <w:style w:type="paragraph" w:styleId="11">
    <w:name w:val="toc 3"/>
    <w:basedOn w:val="1"/>
    <w:next w:val="1"/>
    <w:autoRedefine/>
    <w:qFormat/>
    <w:uiPriority w:val="1"/>
    <w:pPr>
      <w:spacing w:line="272" w:lineRule="exact"/>
      <w:ind w:left="940"/>
    </w:pPr>
    <w:rPr>
      <w:sz w:val="21"/>
      <w:szCs w:val="21"/>
    </w:rPr>
  </w:style>
  <w:style w:type="paragraph" w:styleId="12">
    <w:name w:val="Plain Text"/>
    <w:basedOn w:val="1"/>
    <w:autoRedefine/>
    <w:qFormat/>
    <w:uiPriority w:val="0"/>
    <w:rPr>
      <w:rFonts w:hAnsi="Courier New" w:eastAsiaTheme="minorEastAsia" w:cstheme="minorBidi"/>
    </w:rPr>
  </w:style>
  <w:style w:type="paragraph" w:styleId="13">
    <w:name w:val="Date"/>
    <w:basedOn w:val="1"/>
    <w:next w:val="1"/>
    <w:autoRedefine/>
    <w:qFormat/>
    <w:uiPriority w:val="0"/>
    <w:rPr>
      <w:sz w:val="24"/>
      <w:szCs w:val="20"/>
    </w:rPr>
  </w:style>
  <w:style w:type="paragraph" w:styleId="14">
    <w:name w:val="Body Text Indent 2"/>
    <w:basedOn w:val="1"/>
    <w:autoRedefine/>
    <w:qFormat/>
    <w:uiPriority w:val="0"/>
    <w:pPr>
      <w:spacing w:after="120" w:line="480" w:lineRule="auto"/>
      <w:ind w:left="420" w:leftChars="200"/>
    </w:pPr>
  </w:style>
  <w:style w:type="paragraph" w:styleId="15">
    <w:name w:val="Balloon Text"/>
    <w:basedOn w:val="1"/>
    <w:link w:val="53"/>
    <w:autoRedefine/>
    <w:qFormat/>
    <w:uiPriority w:val="0"/>
    <w:rPr>
      <w:sz w:val="18"/>
      <w:szCs w:val="18"/>
    </w:rPr>
  </w:style>
  <w:style w:type="paragraph" w:styleId="16">
    <w:name w:val="footer"/>
    <w:basedOn w:val="1"/>
    <w:link w:val="58"/>
    <w:autoRedefine/>
    <w:qFormat/>
    <w:uiPriority w:val="99"/>
    <w:pPr>
      <w:tabs>
        <w:tab w:val="center" w:pos="4153"/>
        <w:tab w:val="right" w:pos="8306"/>
      </w:tabs>
      <w:snapToGrid w:val="0"/>
    </w:pPr>
    <w:rPr>
      <w:sz w:val="18"/>
    </w:rPr>
  </w:style>
  <w:style w:type="paragraph" w:styleId="17">
    <w:name w:val="envelope return"/>
    <w:basedOn w:val="1"/>
    <w:autoRedefine/>
    <w:qFormat/>
    <w:uiPriority w:val="99"/>
    <w:pPr>
      <w:snapToGrid w:val="0"/>
    </w:pPr>
    <w:rPr>
      <w:rFonts w:ascii="Arial" w:hAnsi="Arial" w:cs="Arial"/>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autoRedefine/>
    <w:qFormat/>
    <w:uiPriority w:val="1"/>
    <w:pPr>
      <w:tabs>
        <w:tab w:val="right" w:leader="dot" w:pos="9923"/>
      </w:tabs>
      <w:spacing w:line="480" w:lineRule="auto"/>
      <w:ind w:left="100"/>
    </w:pPr>
    <w:rPr>
      <w:sz w:val="21"/>
      <w:szCs w:val="21"/>
    </w:rPr>
  </w:style>
  <w:style w:type="paragraph" w:styleId="20">
    <w:name w:val="Body Text Indent 3"/>
    <w:basedOn w:val="1"/>
    <w:autoRedefine/>
    <w:qFormat/>
    <w:uiPriority w:val="0"/>
    <w:pPr>
      <w:spacing w:after="120"/>
      <w:ind w:left="420" w:leftChars="200"/>
    </w:pPr>
    <w:rPr>
      <w:sz w:val="16"/>
      <w:szCs w:val="16"/>
    </w:rPr>
  </w:style>
  <w:style w:type="paragraph" w:styleId="21">
    <w:name w:val="toc 2"/>
    <w:basedOn w:val="1"/>
    <w:next w:val="1"/>
    <w:autoRedefine/>
    <w:qFormat/>
    <w:uiPriority w:val="1"/>
    <w:pPr>
      <w:spacing w:line="272" w:lineRule="exact"/>
      <w:ind w:left="520"/>
    </w:pPr>
    <w:rPr>
      <w:sz w:val="21"/>
      <w:szCs w:val="21"/>
    </w:rPr>
  </w:style>
  <w:style w:type="paragraph" w:styleId="22">
    <w:name w:val="Body Text 2"/>
    <w:basedOn w:val="1"/>
    <w:autoRedefine/>
    <w:qFormat/>
    <w:uiPriority w:val="0"/>
    <w:pPr>
      <w:spacing w:after="120" w:line="480" w:lineRule="auto"/>
    </w:pPr>
  </w:style>
  <w:style w:type="paragraph" w:styleId="23">
    <w:name w:val="Normal (Web)"/>
    <w:basedOn w:val="1"/>
    <w:autoRedefine/>
    <w:qFormat/>
    <w:uiPriority w:val="0"/>
    <w:pPr>
      <w:spacing w:beforeAutospacing="1" w:afterAutospacing="1"/>
    </w:pPr>
    <w:rPr>
      <w:rFonts w:cs="Times New Roman"/>
      <w:sz w:val="24"/>
      <w:lang w:eastAsia="zh-CN"/>
    </w:rPr>
  </w:style>
  <w:style w:type="paragraph" w:styleId="24">
    <w:name w:val="Title"/>
    <w:basedOn w:val="1"/>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styleId="25">
    <w:name w:val="annotation subject"/>
    <w:basedOn w:val="7"/>
    <w:next w:val="7"/>
    <w:link w:val="52"/>
    <w:autoRedefine/>
    <w:qFormat/>
    <w:uiPriority w:val="0"/>
    <w:rPr>
      <w:b/>
      <w:bCs/>
    </w:rPr>
  </w:style>
  <w:style w:type="paragraph" w:styleId="26">
    <w:name w:val="Body Text First Indent 2"/>
    <w:basedOn w:val="9"/>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character" w:styleId="31">
    <w:name w:val="FollowedHyperlink"/>
    <w:basedOn w:val="29"/>
    <w:qFormat/>
    <w:uiPriority w:val="0"/>
    <w:rPr>
      <w:rFonts w:hint="eastAsia" w:ascii="微软雅黑" w:hAnsi="微软雅黑" w:eastAsia="微软雅黑" w:cs="微软雅黑"/>
      <w:color w:val="02396F"/>
      <w:u w:val="single"/>
    </w:rPr>
  </w:style>
  <w:style w:type="character" w:styleId="32">
    <w:name w:val="Hyperlink"/>
    <w:basedOn w:val="29"/>
    <w:qFormat/>
    <w:uiPriority w:val="0"/>
    <w:rPr>
      <w:rFonts w:hint="eastAsia" w:ascii="微软雅黑" w:hAnsi="微软雅黑" w:eastAsia="微软雅黑" w:cs="微软雅黑"/>
      <w:color w:val="02396F"/>
      <w:u w:val="single"/>
    </w:rPr>
  </w:style>
  <w:style w:type="character" w:styleId="33">
    <w:name w:val="annotation reference"/>
    <w:basedOn w:val="29"/>
    <w:qFormat/>
    <w:uiPriority w:val="0"/>
    <w:rPr>
      <w:sz w:val="21"/>
      <w:szCs w:val="21"/>
    </w:rPr>
  </w:style>
  <w:style w:type="paragraph" w:customStyle="1" w:styleId="34">
    <w:name w:val="段"/>
    <w:next w:val="1"/>
    <w:unhideWhenUsed/>
    <w:qFormat/>
    <w:uiPriority w:val="0"/>
    <w:pPr>
      <w:autoSpaceDE w:val="0"/>
      <w:autoSpaceDN w:val="0"/>
      <w:adjustRightInd w:val="0"/>
      <w:snapToGrid w:val="0"/>
      <w:spacing w:line="360" w:lineRule="auto"/>
      <w:ind w:firstLine="200" w:firstLineChars="200"/>
      <w:jc w:val="both"/>
    </w:pPr>
    <w:rPr>
      <w:rFonts w:hint="eastAsia" w:ascii="宋体" w:hAnsi="Times New Roman" w:eastAsia="宋体" w:cs="Times New Roman"/>
      <w:sz w:val="24"/>
      <w:lang w:val="en-US" w:eastAsia="zh-CN" w:bidi="ar-SA"/>
    </w:rPr>
  </w:style>
  <w:style w:type="paragraph" w:customStyle="1" w:styleId="35">
    <w:name w:val="Default"/>
    <w:next w:val="1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表格文字"/>
    <w:basedOn w:val="1"/>
    <w:next w:val="8"/>
    <w:qFormat/>
    <w:uiPriority w:val="0"/>
    <w:pPr>
      <w:adjustRightInd w:val="0"/>
      <w:spacing w:line="420" w:lineRule="atLeast"/>
      <w:textAlignment w:val="baseline"/>
    </w:pPr>
    <w:rPr>
      <w:szCs w:val="20"/>
    </w:rPr>
  </w:style>
  <w:style w:type="table" w:customStyle="1" w:styleId="37">
    <w:name w:val="Table Normal"/>
    <w:autoRedefine/>
    <w:semiHidden/>
    <w:unhideWhenUsed/>
    <w:qFormat/>
    <w:uiPriority w:val="2"/>
    <w:tblPr>
      <w:tblCellMar>
        <w:top w:w="0" w:type="dxa"/>
        <w:left w:w="0" w:type="dxa"/>
        <w:bottom w:w="0" w:type="dxa"/>
        <w:right w:w="0" w:type="dxa"/>
      </w:tblCellMar>
    </w:tblPr>
  </w:style>
  <w:style w:type="paragraph" w:styleId="38">
    <w:name w:val="List Paragraph"/>
    <w:basedOn w:val="1"/>
    <w:link w:val="57"/>
    <w:qFormat/>
    <w:uiPriority w:val="34"/>
  </w:style>
  <w:style w:type="paragraph" w:customStyle="1" w:styleId="39">
    <w:name w:val="Table Paragraph"/>
    <w:basedOn w:val="1"/>
    <w:qFormat/>
    <w:uiPriority w:val="1"/>
  </w:style>
  <w:style w:type="paragraph" w:customStyle="1" w:styleId="40">
    <w:name w:val="样式 样式 左侧:  2 字符 + 左侧:  0.85 厘米 首行缩进:  2 字符1"/>
    <w:basedOn w:val="1"/>
    <w:qFormat/>
    <w:uiPriority w:val="99"/>
    <w:pPr>
      <w:ind w:left="482" w:firstLine="200" w:firstLineChars="200"/>
    </w:pPr>
    <w:rPr>
      <w:rFonts w:hAnsi="Times New Roman"/>
      <w:sz w:val="34"/>
      <w:szCs w:val="20"/>
    </w:rPr>
  </w:style>
  <w:style w:type="character" w:customStyle="1" w:styleId="41">
    <w:name w:val="prev"/>
    <w:basedOn w:val="29"/>
    <w:qFormat/>
    <w:uiPriority w:val="0"/>
    <w:rPr>
      <w:rFonts w:ascii="微软雅黑" w:hAnsi="微软雅黑" w:eastAsia="微软雅黑" w:cs="微软雅黑"/>
      <w:sz w:val="21"/>
      <w:szCs w:val="21"/>
    </w:rPr>
  </w:style>
  <w:style w:type="character" w:customStyle="1" w:styleId="42">
    <w:name w:val="prev1"/>
    <w:basedOn w:val="29"/>
    <w:qFormat/>
    <w:uiPriority w:val="0"/>
    <w:rPr>
      <w:color w:val="888888"/>
    </w:rPr>
  </w:style>
  <w:style w:type="character" w:customStyle="1" w:styleId="43">
    <w:name w:val="gjfg"/>
    <w:basedOn w:val="29"/>
    <w:qFormat/>
    <w:uiPriority w:val="0"/>
  </w:style>
  <w:style w:type="character" w:customStyle="1" w:styleId="44">
    <w:name w:val="next"/>
    <w:basedOn w:val="29"/>
    <w:qFormat/>
    <w:uiPriority w:val="0"/>
    <w:rPr>
      <w:rFonts w:hint="eastAsia" w:ascii="微软雅黑" w:hAnsi="微软雅黑" w:eastAsia="微软雅黑" w:cs="微软雅黑"/>
      <w:sz w:val="21"/>
      <w:szCs w:val="21"/>
    </w:rPr>
  </w:style>
  <w:style w:type="character" w:customStyle="1" w:styleId="45">
    <w:name w:val="next1"/>
    <w:basedOn w:val="29"/>
    <w:qFormat/>
    <w:uiPriority w:val="0"/>
    <w:rPr>
      <w:color w:val="888888"/>
    </w:rPr>
  </w:style>
  <w:style w:type="character" w:customStyle="1" w:styleId="46">
    <w:name w:val="redfilefwwh"/>
    <w:basedOn w:val="29"/>
    <w:autoRedefine/>
    <w:qFormat/>
    <w:uiPriority w:val="0"/>
    <w:rPr>
      <w:color w:val="BA2636"/>
      <w:sz w:val="18"/>
      <w:szCs w:val="18"/>
    </w:rPr>
  </w:style>
  <w:style w:type="character" w:customStyle="1" w:styleId="47">
    <w:name w:val="qxdate"/>
    <w:basedOn w:val="29"/>
    <w:autoRedefine/>
    <w:qFormat/>
    <w:uiPriority w:val="0"/>
    <w:rPr>
      <w:color w:val="333333"/>
      <w:sz w:val="18"/>
      <w:szCs w:val="18"/>
    </w:rPr>
  </w:style>
  <w:style w:type="character" w:customStyle="1" w:styleId="48">
    <w:name w:val="displayarti"/>
    <w:basedOn w:val="29"/>
    <w:qFormat/>
    <w:uiPriority w:val="0"/>
    <w:rPr>
      <w:color w:val="FFFFFF"/>
      <w:shd w:val="clear" w:color="auto" w:fill="A00000"/>
    </w:rPr>
  </w:style>
  <w:style w:type="character" w:customStyle="1" w:styleId="49">
    <w:name w:val="redfilenumber"/>
    <w:basedOn w:val="29"/>
    <w:autoRedefine/>
    <w:qFormat/>
    <w:uiPriority w:val="0"/>
    <w:rPr>
      <w:color w:val="BA2636"/>
      <w:sz w:val="18"/>
      <w:szCs w:val="18"/>
    </w:rPr>
  </w:style>
  <w:style w:type="character" w:customStyle="1" w:styleId="50">
    <w:name w:val="cfdate"/>
    <w:basedOn w:val="29"/>
    <w:autoRedefine/>
    <w:qFormat/>
    <w:uiPriority w:val="0"/>
    <w:rPr>
      <w:color w:val="333333"/>
      <w:sz w:val="18"/>
      <w:szCs w:val="18"/>
    </w:rPr>
  </w:style>
  <w:style w:type="character" w:customStyle="1" w:styleId="51">
    <w:name w:val="批注文字 Char"/>
    <w:basedOn w:val="29"/>
    <w:link w:val="7"/>
    <w:qFormat/>
    <w:uiPriority w:val="0"/>
    <w:rPr>
      <w:rFonts w:ascii="宋体" w:hAnsi="宋体" w:cs="宋体"/>
      <w:sz w:val="22"/>
      <w:szCs w:val="22"/>
      <w:lang w:eastAsia="en-US"/>
    </w:rPr>
  </w:style>
  <w:style w:type="character" w:customStyle="1" w:styleId="52">
    <w:name w:val="批注主题 Char"/>
    <w:basedOn w:val="51"/>
    <w:link w:val="25"/>
    <w:autoRedefine/>
    <w:qFormat/>
    <w:uiPriority w:val="0"/>
    <w:rPr>
      <w:rFonts w:ascii="宋体" w:hAnsi="宋体" w:cs="宋体"/>
      <w:b/>
      <w:bCs/>
      <w:sz w:val="22"/>
      <w:szCs w:val="22"/>
      <w:lang w:eastAsia="en-US"/>
    </w:rPr>
  </w:style>
  <w:style w:type="character" w:customStyle="1" w:styleId="53">
    <w:name w:val="批注框文本 Char"/>
    <w:basedOn w:val="29"/>
    <w:link w:val="15"/>
    <w:qFormat/>
    <w:uiPriority w:val="0"/>
    <w:rPr>
      <w:rFonts w:ascii="宋体" w:hAnsi="宋体" w:cs="宋体"/>
      <w:sz w:val="18"/>
      <w:szCs w:val="18"/>
      <w:lang w:eastAsia="en-US"/>
    </w:rPr>
  </w:style>
  <w:style w:type="paragraph" w:customStyle="1" w:styleId="5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Times New Roman"/>
      <w:sz w:val="20"/>
      <w:szCs w:val="20"/>
    </w:rPr>
  </w:style>
  <w:style w:type="paragraph" w:customStyle="1" w:styleId="5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6">
    <w:name w:val="font21"/>
    <w:basedOn w:val="29"/>
    <w:qFormat/>
    <w:uiPriority w:val="0"/>
    <w:rPr>
      <w:rFonts w:hint="eastAsia" w:ascii="宋体" w:hAnsi="宋体" w:eastAsia="宋体" w:cs="宋体"/>
      <w:color w:val="000000"/>
      <w:sz w:val="24"/>
      <w:szCs w:val="24"/>
      <w:u w:val="none"/>
    </w:rPr>
  </w:style>
  <w:style w:type="character" w:customStyle="1" w:styleId="57">
    <w:name w:val="列出段落 Char"/>
    <w:link w:val="38"/>
    <w:autoRedefine/>
    <w:qFormat/>
    <w:uiPriority w:val="34"/>
    <w:rPr>
      <w:rFonts w:ascii="宋体" w:hAnsi="宋体" w:cs="宋体"/>
      <w:sz w:val="22"/>
      <w:szCs w:val="22"/>
      <w:lang w:eastAsia="en-US"/>
    </w:rPr>
  </w:style>
  <w:style w:type="character" w:customStyle="1" w:styleId="58">
    <w:name w:val="页脚 Char"/>
    <w:basedOn w:val="29"/>
    <w:link w:val="16"/>
    <w:qFormat/>
    <w:uiPriority w:val="99"/>
    <w:rPr>
      <w:rFonts w:ascii="宋体" w:hAnsi="宋体" w:cs="宋体"/>
      <w:sz w:val="18"/>
      <w:szCs w:val="22"/>
      <w:lang w:eastAsia="en-US"/>
    </w:rPr>
  </w:style>
  <w:style w:type="paragraph" w:customStyle="1" w:styleId="5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列出段落1"/>
    <w:basedOn w:val="1"/>
    <w:qFormat/>
    <w:uiPriority w:val="0"/>
    <w:pPr>
      <w:autoSpaceDE w:val="0"/>
      <w:autoSpaceDN w:val="0"/>
      <w:adjustRightInd w:val="0"/>
      <w:spacing w:line="315" w:lineRule="atLeast"/>
      <w:ind w:firstLine="420" w:firstLineChars="200"/>
      <w:jc w:val="left"/>
    </w:pPr>
    <w:rPr>
      <w:rFonts w:hint="eastAsia" w:ascii="楷体_GB2312" w:hAnsi="Times New Roman" w:eastAsia="楷体_GB2312" w:cs="Times New Roman"/>
      <w:kern w:val="0"/>
      <w:sz w:val="28"/>
      <w:szCs w:val="28"/>
    </w:rPr>
  </w:style>
  <w:style w:type="paragraph" w:customStyle="1" w:styleId="61">
    <w:name w:val="列表段落1"/>
    <w:basedOn w:val="1"/>
    <w:qFormat/>
    <w:uiPriority w:val="0"/>
    <w:pPr>
      <w:ind w:firstLine="420" w:firstLineChars="200"/>
    </w:pPr>
  </w:style>
  <w:style w:type="character" w:customStyle="1" w:styleId="62">
    <w:name w:val="标题 1 Char"/>
    <w:link w:val="2"/>
    <w:qFormat/>
    <w:uiPriority w:val="0"/>
    <w:rPr>
      <w:rFonts w:ascii="Microsoft JhengHei" w:hAnsi="Microsoft JhengHei" w:eastAsia="Microsoft JhengHei" w:cs="Microsoft JhengHei"/>
      <w:b/>
      <w:bCs/>
      <w:sz w:val="44"/>
      <w:szCs w:val="44"/>
    </w:rPr>
  </w:style>
  <w:style w:type="paragraph" w:customStyle="1" w:styleId="63">
    <w:name w:val="Table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88</Pages>
  <Words>4721</Words>
  <Characters>5707</Characters>
  <Lines>336</Lines>
  <Paragraphs>94</Paragraphs>
  <TotalTime>12</TotalTime>
  <ScaleCrop>false</ScaleCrop>
  <LinksUpToDate>false</LinksUpToDate>
  <CharactersWithSpaces>5830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2025-02-26T12:33:00Z</dcterms:created>
  <dc:creator>袁静</dc:creator>
  <cp:lastModifiedBy>Administrator</cp:lastModifiedBy>
  <cp:lastPrinted>2025-09-24T07:38:00Z</cp:lastPrinted>
  <dcterms:modified xsi:type="dcterms:W3CDTF">2026-06-09T03:37:36Z</dcterms:modified>
  <dc:title>中华人民共和国</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2052-12.1.0.26375</vt:lpwstr>
  </property>
  <property fmtid="{D5CDD505-2E9C-101B-9397-08002B2CF9AE}" pid="6" name="ICV">
    <vt:lpwstr>E4ED5B28E08B4136ABADE3A1F7DE64AA_13</vt:lpwstr>
  </property>
  <property fmtid="{D5CDD505-2E9C-101B-9397-08002B2CF9AE}" pid="7" name="KSOTemplateDocerSaveRecord">
    <vt:lpwstr>eyJoZGlkIjoiNDJjMDJjOTRlY2NkODYzOGE4OGRmMTU0NjA1Y2E5OWMiLCJ1c2VySWQiOiI2Njg3NTkzNzcifQ==</vt:lpwstr>
  </property>
</Properties>
</file>