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玉溪职业技术学院（云南省玉溪工业财贸学校）“双优”专业建设（1包）电子商务优质专业专业建设项目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ZZGL-2026067H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b/>
          <w:bCs/>
          <w:color w:val="auto"/>
          <w:sz w:val="28"/>
          <w:szCs w:val="28"/>
          <w:highlight w:val="none"/>
          <w:u w:val="single"/>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2"/>
        <w:rPr>
          <w:rFonts w:hint="eastAsia"/>
          <w:color w:val="auto"/>
          <w:sz w:val="28"/>
          <w:szCs w:val="28"/>
          <w:highlight w:val="none"/>
        </w:rPr>
      </w:pPr>
      <w:r>
        <w:rPr>
          <w:rFonts w:hint="eastAsia"/>
          <w:color w:val="auto"/>
          <w:sz w:val="28"/>
          <w:szCs w:val="28"/>
          <w:highlight w:val="none"/>
        </w:rPr>
        <w:t>目  录</w:t>
      </w:r>
    </w:p>
    <w:p w14:paraId="08F8B183">
      <w:pPr>
        <w:pStyle w:val="29"/>
        <w:tabs>
          <w:tab w:val="right" w:leader="dot" w:pos="9412"/>
          <w:tab w:val="clear" w:pos="9900"/>
        </w:tabs>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szCs w:val="24"/>
          <w:highlight w:val="none"/>
        </w:rPr>
        <w:instrText xml:space="preserve"> HYPERLINK \l _Toc875 </w:instrText>
      </w:r>
      <w:r>
        <w:rPr>
          <w:szCs w:val="24"/>
          <w:highlight w:val="none"/>
        </w:rPr>
        <w:fldChar w:fldCharType="separate"/>
      </w:r>
      <w:r>
        <w:rPr>
          <w:rFonts w:hint="eastAsia" w:ascii="宋体" w:hAnsi="宋体" w:eastAsia="宋体"/>
          <w:bCs/>
          <w:szCs w:val="30"/>
          <w:highlight w:val="none"/>
        </w:rPr>
        <w:t>第一章  招标公告</w:t>
      </w:r>
      <w:r>
        <w:tab/>
      </w:r>
      <w:r>
        <w:fldChar w:fldCharType="begin"/>
      </w:r>
      <w:r>
        <w:instrText xml:space="preserve"> PAGEREF _Toc875 \h </w:instrText>
      </w:r>
      <w:r>
        <w:fldChar w:fldCharType="separate"/>
      </w:r>
      <w:r>
        <w:t>1</w:t>
      </w:r>
      <w:r>
        <w:fldChar w:fldCharType="end"/>
      </w:r>
      <w:r>
        <w:rPr>
          <w:color w:val="auto"/>
          <w:szCs w:val="24"/>
          <w:highlight w:val="none"/>
        </w:rPr>
        <w:fldChar w:fldCharType="end"/>
      </w:r>
    </w:p>
    <w:p w14:paraId="634F8633">
      <w:pPr>
        <w:pStyle w:val="29"/>
        <w:tabs>
          <w:tab w:val="right" w:leader="dot" w:pos="9412"/>
          <w:tab w:val="clear" w:pos="9900"/>
        </w:tabs>
      </w:pPr>
      <w:r>
        <w:rPr>
          <w:bCs/>
          <w:color w:val="auto"/>
          <w:szCs w:val="24"/>
          <w:highlight w:val="none"/>
        </w:rPr>
        <w:fldChar w:fldCharType="begin"/>
      </w:r>
      <w:r>
        <w:rPr>
          <w:bCs/>
          <w:szCs w:val="24"/>
          <w:highlight w:val="none"/>
        </w:rPr>
        <w:instrText xml:space="preserve"> HYPERLINK \l _Toc11269 </w:instrText>
      </w:r>
      <w:r>
        <w:rPr>
          <w:bCs/>
          <w:szCs w:val="24"/>
          <w:highlight w:val="none"/>
        </w:rPr>
        <w:fldChar w:fldCharType="separate"/>
      </w:r>
      <w:r>
        <w:rPr>
          <w:rFonts w:hint="eastAsia" w:ascii="宋体" w:hAnsi="宋体" w:eastAsia="宋体"/>
          <w:szCs w:val="30"/>
          <w:highlight w:val="none"/>
        </w:rPr>
        <w:t>第二章  投标人须知</w:t>
      </w:r>
      <w:r>
        <w:tab/>
      </w:r>
      <w:r>
        <w:fldChar w:fldCharType="begin"/>
      </w:r>
      <w:r>
        <w:instrText xml:space="preserve"> PAGEREF _Toc11269 \h </w:instrText>
      </w:r>
      <w:r>
        <w:fldChar w:fldCharType="separate"/>
      </w:r>
      <w:r>
        <w:t>4</w:t>
      </w:r>
      <w:r>
        <w:fldChar w:fldCharType="end"/>
      </w:r>
      <w:r>
        <w:rPr>
          <w:bCs/>
          <w:color w:val="auto"/>
          <w:szCs w:val="24"/>
          <w:highlight w:val="none"/>
        </w:rPr>
        <w:fldChar w:fldCharType="end"/>
      </w:r>
    </w:p>
    <w:p w14:paraId="61F41D47">
      <w:pPr>
        <w:pStyle w:val="34"/>
        <w:tabs>
          <w:tab w:val="right" w:leader="dot" w:pos="9412"/>
        </w:tabs>
      </w:pPr>
      <w:r>
        <w:rPr>
          <w:bCs/>
          <w:color w:val="auto"/>
          <w:szCs w:val="24"/>
          <w:highlight w:val="none"/>
        </w:rPr>
        <w:fldChar w:fldCharType="begin"/>
      </w:r>
      <w:r>
        <w:rPr>
          <w:bCs/>
          <w:szCs w:val="24"/>
          <w:highlight w:val="none"/>
        </w:rPr>
        <w:instrText xml:space="preserve"> HYPERLINK \l _Toc24773 </w:instrText>
      </w:r>
      <w:r>
        <w:rPr>
          <w:bCs/>
          <w:szCs w:val="24"/>
          <w:highlight w:val="none"/>
        </w:rPr>
        <w:fldChar w:fldCharType="separate"/>
      </w:r>
      <w:r>
        <w:rPr>
          <w:rFonts w:hint="eastAsia"/>
          <w:highlight w:val="none"/>
        </w:rPr>
        <w:t>投标人须知前附表</w:t>
      </w:r>
      <w:r>
        <w:tab/>
      </w:r>
      <w:r>
        <w:fldChar w:fldCharType="begin"/>
      </w:r>
      <w:r>
        <w:instrText xml:space="preserve"> PAGEREF _Toc24773 \h </w:instrText>
      </w:r>
      <w:r>
        <w:fldChar w:fldCharType="separate"/>
      </w:r>
      <w:r>
        <w:t>4</w:t>
      </w:r>
      <w:r>
        <w:fldChar w:fldCharType="end"/>
      </w:r>
      <w:r>
        <w:rPr>
          <w:bCs/>
          <w:color w:val="auto"/>
          <w:szCs w:val="24"/>
          <w:highlight w:val="none"/>
        </w:rPr>
        <w:fldChar w:fldCharType="end"/>
      </w:r>
    </w:p>
    <w:p w14:paraId="1106164B">
      <w:pPr>
        <w:pStyle w:val="34"/>
        <w:tabs>
          <w:tab w:val="right" w:leader="dot" w:pos="9412"/>
        </w:tabs>
      </w:pPr>
      <w:r>
        <w:rPr>
          <w:bCs/>
          <w:color w:val="auto"/>
          <w:szCs w:val="24"/>
          <w:highlight w:val="none"/>
        </w:rPr>
        <w:fldChar w:fldCharType="begin"/>
      </w:r>
      <w:r>
        <w:rPr>
          <w:bCs/>
          <w:szCs w:val="24"/>
          <w:highlight w:val="none"/>
        </w:rPr>
        <w:instrText xml:space="preserve"> HYPERLINK \l _Toc32395 </w:instrText>
      </w:r>
      <w:r>
        <w:rPr>
          <w:bCs/>
          <w:szCs w:val="24"/>
          <w:highlight w:val="none"/>
        </w:rPr>
        <w:fldChar w:fldCharType="separate"/>
      </w:r>
      <w:r>
        <w:rPr>
          <w:rFonts w:hint="eastAsia"/>
          <w:highlight w:val="none"/>
        </w:rPr>
        <w:t>一、总  则</w:t>
      </w:r>
      <w:r>
        <w:tab/>
      </w:r>
      <w:r>
        <w:fldChar w:fldCharType="begin"/>
      </w:r>
      <w:r>
        <w:instrText xml:space="preserve"> PAGEREF _Toc32395 \h </w:instrText>
      </w:r>
      <w:r>
        <w:fldChar w:fldCharType="separate"/>
      </w:r>
      <w:r>
        <w:t>7</w:t>
      </w:r>
      <w:r>
        <w:fldChar w:fldCharType="end"/>
      </w:r>
      <w:r>
        <w:rPr>
          <w:bCs/>
          <w:color w:val="auto"/>
          <w:szCs w:val="24"/>
          <w:highlight w:val="none"/>
        </w:rPr>
        <w:fldChar w:fldCharType="end"/>
      </w:r>
    </w:p>
    <w:p w14:paraId="24AB4680">
      <w:pPr>
        <w:pStyle w:val="34"/>
        <w:tabs>
          <w:tab w:val="right" w:leader="dot" w:pos="9412"/>
        </w:tabs>
      </w:pPr>
      <w:r>
        <w:rPr>
          <w:bCs/>
          <w:color w:val="auto"/>
          <w:szCs w:val="24"/>
          <w:highlight w:val="none"/>
        </w:rPr>
        <w:fldChar w:fldCharType="begin"/>
      </w:r>
      <w:r>
        <w:rPr>
          <w:bCs/>
          <w:szCs w:val="24"/>
          <w:highlight w:val="none"/>
        </w:rPr>
        <w:instrText xml:space="preserve"> HYPERLINK \l _Toc23065 </w:instrText>
      </w:r>
      <w:r>
        <w:rPr>
          <w:bCs/>
          <w:szCs w:val="24"/>
          <w:highlight w:val="none"/>
        </w:rPr>
        <w:fldChar w:fldCharType="separate"/>
      </w:r>
      <w:r>
        <w:rPr>
          <w:rFonts w:hint="eastAsia"/>
          <w:highlight w:val="none"/>
        </w:rPr>
        <w:t>二、招标文件</w:t>
      </w:r>
      <w:r>
        <w:tab/>
      </w:r>
      <w:r>
        <w:fldChar w:fldCharType="begin"/>
      </w:r>
      <w:r>
        <w:instrText xml:space="preserve"> PAGEREF _Toc23065 \h </w:instrText>
      </w:r>
      <w:r>
        <w:fldChar w:fldCharType="separate"/>
      </w:r>
      <w:r>
        <w:t>8</w:t>
      </w:r>
      <w:r>
        <w:fldChar w:fldCharType="end"/>
      </w:r>
      <w:r>
        <w:rPr>
          <w:bCs/>
          <w:color w:val="auto"/>
          <w:szCs w:val="24"/>
          <w:highlight w:val="none"/>
        </w:rPr>
        <w:fldChar w:fldCharType="end"/>
      </w:r>
    </w:p>
    <w:p w14:paraId="578167F6">
      <w:pPr>
        <w:pStyle w:val="34"/>
        <w:tabs>
          <w:tab w:val="right" w:leader="dot" w:pos="9412"/>
        </w:tabs>
      </w:pPr>
      <w:r>
        <w:rPr>
          <w:bCs/>
          <w:color w:val="auto"/>
          <w:szCs w:val="24"/>
          <w:highlight w:val="none"/>
        </w:rPr>
        <w:fldChar w:fldCharType="begin"/>
      </w:r>
      <w:r>
        <w:rPr>
          <w:bCs/>
          <w:szCs w:val="24"/>
          <w:highlight w:val="none"/>
        </w:rPr>
        <w:instrText xml:space="preserve"> HYPERLINK \l _Toc11775 </w:instrText>
      </w:r>
      <w:r>
        <w:rPr>
          <w:bCs/>
          <w:szCs w:val="24"/>
          <w:highlight w:val="none"/>
        </w:rPr>
        <w:fldChar w:fldCharType="separate"/>
      </w:r>
      <w:r>
        <w:rPr>
          <w:rFonts w:hint="eastAsia"/>
          <w:highlight w:val="none"/>
        </w:rPr>
        <w:t>三、投标文件的编制</w:t>
      </w:r>
      <w:r>
        <w:tab/>
      </w:r>
      <w:r>
        <w:fldChar w:fldCharType="begin"/>
      </w:r>
      <w:r>
        <w:instrText xml:space="preserve"> PAGEREF _Toc11775 \h </w:instrText>
      </w:r>
      <w:r>
        <w:fldChar w:fldCharType="separate"/>
      </w:r>
      <w:r>
        <w:t>9</w:t>
      </w:r>
      <w:r>
        <w:fldChar w:fldCharType="end"/>
      </w:r>
      <w:r>
        <w:rPr>
          <w:bCs/>
          <w:color w:val="auto"/>
          <w:szCs w:val="24"/>
          <w:highlight w:val="none"/>
        </w:rPr>
        <w:fldChar w:fldCharType="end"/>
      </w:r>
    </w:p>
    <w:p w14:paraId="5FBE0DEA">
      <w:pPr>
        <w:pStyle w:val="34"/>
        <w:tabs>
          <w:tab w:val="right" w:leader="dot" w:pos="9412"/>
        </w:tabs>
      </w:pPr>
      <w:r>
        <w:rPr>
          <w:bCs/>
          <w:color w:val="auto"/>
          <w:szCs w:val="24"/>
          <w:highlight w:val="none"/>
        </w:rPr>
        <w:fldChar w:fldCharType="begin"/>
      </w:r>
      <w:r>
        <w:rPr>
          <w:bCs/>
          <w:szCs w:val="24"/>
          <w:highlight w:val="none"/>
        </w:rPr>
        <w:instrText xml:space="preserve"> HYPERLINK \l _Toc12041 </w:instrText>
      </w:r>
      <w:r>
        <w:rPr>
          <w:bCs/>
          <w:szCs w:val="24"/>
          <w:highlight w:val="none"/>
        </w:rPr>
        <w:fldChar w:fldCharType="separate"/>
      </w:r>
      <w:r>
        <w:rPr>
          <w:rFonts w:hint="eastAsia"/>
          <w:highlight w:val="none"/>
        </w:rPr>
        <w:t>四、投标文件的提交</w:t>
      </w:r>
      <w:r>
        <w:tab/>
      </w:r>
      <w:r>
        <w:fldChar w:fldCharType="begin"/>
      </w:r>
      <w:r>
        <w:instrText xml:space="preserve"> PAGEREF _Toc12041 \h </w:instrText>
      </w:r>
      <w:r>
        <w:fldChar w:fldCharType="separate"/>
      </w:r>
      <w:r>
        <w:t>11</w:t>
      </w:r>
      <w:r>
        <w:fldChar w:fldCharType="end"/>
      </w:r>
      <w:r>
        <w:rPr>
          <w:bCs/>
          <w:color w:val="auto"/>
          <w:szCs w:val="24"/>
          <w:highlight w:val="none"/>
        </w:rPr>
        <w:fldChar w:fldCharType="end"/>
      </w:r>
    </w:p>
    <w:p w14:paraId="6FC11D5F">
      <w:pPr>
        <w:pStyle w:val="34"/>
        <w:tabs>
          <w:tab w:val="right" w:leader="dot" w:pos="9412"/>
        </w:tabs>
      </w:pPr>
      <w:r>
        <w:rPr>
          <w:bCs/>
          <w:color w:val="auto"/>
          <w:szCs w:val="24"/>
          <w:highlight w:val="none"/>
        </w:rPr>
        <w:fldChar w:fldCharType="begin"/>
      </w:r>
      <w:r>
        <w:rPr>
          <w:bCs/>
          <w:szCs w:val="24"/>
          <w:highlight w:val="none"/>
        </w:rPr>
        <w:instrText xml:space="preserve"> HYPERLINK \l _Toc25705 </w:instrText>
      </w:r>
      <w:r>
        <w:rPr>
          <w:bCs/>
          <w:szCs w:val="24"/>
          <w:highlight w:val="none"/>
        </w:rPr>
        <w:fldChar w:fldCharType="separate"/>
      </w:r>
      <w:r>
        <w:rPr>
          <w:rFonts w:hint="eastAsia"/>
          <w:highlight w:val="none"/>
        </w:rPr>
        <w:t>五、开标与评标</w:t>
      </w:r>
      <w:r>
        <w:tab/>
      </w:r>
      <w:r>
        <w:fldChar w:fldCharType="begin"/>
      </w:r>
      <w:r>
        <w:instrText xml:space="preserve"> PAGEREF _Toc25705 \h </w:instrText>
      </w:r>
      <w:r>
        <w:fldChar w:fldCharType="separate"/>
      </w:r>
      <w:r>
        <w:t>11</w:t>
      </w:r>
      <w:r>
        <w:fldChar w:fldCharType="end"/>
      </w:r>
      <w:r>
        <w:rPr>
          <w:bCs/>
          <w:color w:val="auto"/>
          <w:szCs w:val="24"/>
          <w:highlight w:val="none"/>
        </w:rPr>
        <w:fldChar w:fldCharType="end"/>
      </w:r>
    </w:p>
    <w:p w14:paraId="62750D07">
      <w:pPr>
        <w:pStyle w:val="34"/>
        <w:tabs>
          <w:tab w:val="right" w:leader="dot" w:pos="9412"/>
        </w:tabs>
      </w:pPr>
      <w:r>
        <w:rPr>
          <w:bCs/>
          <w:color w:val="auto"/>
          <w:szCs w:val="24"/>
          <w:highlight w:val="none"/>
        </w:rPr>
        <w:fldChar w:fldCharType="begin"/>
      </w:r>
      <w:r>
        <w:rPr>
          <w:bCs/>
          <w:szCs w:val="24"/>
          <w:highlight w:val="none"/>
        </w:rPr>
        <w:instrText xml:space="preserve"> HYPERLINK \l _Toc20162 </w:instrText>
      </w:r>
      <w:r>
        <w:rPr>
          <w:bCs/>
          <w:szCs w:val="24"/>
          <w:highlight w:val="none"/>
        </w:rPr>
        <w:fldChar w:fldCharType="separate"/>
      </w:r>
      <w:r>
        <w:rPr>
          <w:rFonts w:hint="eastAsia"/>
          <w:highlight w:val="none"/>
        </w:rPr>
        <w:t>六、中标结果</w:t>
      </w:r>
      <w:r>
        <w:tab/>
      </w:r>
      <w:r>
        <w:fldChar w:fldCharType="begin"/>
      </w:r>
      <w:r>
        <w:instrText xml:space="preserve"> PAGEREF _Toc20162 \h </w:instrText>
      </w:r>
      <w:r>
        <w:fldChar w:fldCharType="separate"/>
      </w:r>
      <w:r>
        <w:t>13</w:t>
      </w:r>
      <w:r>
        <w:fldChar w:fldCharType="end"/>
      </w:r>
      <w:r>
        <w:rPr>
          <w:bCs/>
          <w:color w:val="auto"/>
          <w:szCs w:val="24"/>
          <w:highlight w:val="none"/>
        </w:rPr>
        <w:fldChar w:fldCharType="end"/>
      </w:r>
    </w:p>
    <w:p w14:paraId="39DF8639">
      <w:pPr>
        <w:pStyle w:val="34"/>
        <w:tabs>
          <w:tab w:val="right" w:leader="dot" w:pos="9412"/>
        </w:tabs>
      </w:pPr>
      <w:r>
        <w:rPr>
          <w:bCs/>
          <w:color w:val="auto"/>
          <w:szCs w:val="24"/>
          <w:highlight w:val="none"/>
        </w:rPr>
        <w:fldChar w:fldCharType="begin"/>
      </w:r>
      <w:r>
        <w:rPr>
          <w:bCs/>
          <w:szCs w:val="24"/>
          <w:highlight w:val="none"/>
        </w:rPr>
        <w:instrText xml:space="preserve"> HYPERLINK \l _Toc5239 </w:instrText>
      </w:r>
      <w:r>
        <w:rPr>
          <w:bCs/>
          <w:szCs w:val="24"/>
          <w:highlight w:val="none"/>
        </w:rPr>
        <w:fldChar w:fldCharType="separate"/>
      </w:r>
      <w:r>
        <w:rPr>
          <w:rFonts w:hint="eastAsia"/>
          <w:highlight w:val="none"/>
        </w:rPr>
        <w:t>七、其他事项</w:t>
      </w:r>
      <w:r>
        <w:tab/>
      </w:r>
      <w:r>
        <w:fldChar w:fldCharType="begin"/>
      </w:r>
      <w:r>
        <w:instrText xml:space="preserve"> PAGEREF _Toc5239 \h </w:instrText>
      </w:r>
      <w:r>
        <w:fldChar w:fldCharType="separate"/>
      </w:r>
      <w:r>
        <w:t>14</w:t>
      </w:r>
      <w:r>
        <w:fldChar w:fldCharType="end"/>
      </w:r>
      <w:r>
        <w:rPr>
          <w:bCs/>
          <w:color w:val="auto"/>
          <w:szCs w:val="24"/>
          <w:highlight w:val="none"/>
        </w:rPr>
        <w:fldChar w:fldCharType="end"/>
      </w:r>
    </w:p>
    <w:p w14:paraId="75906027">
      <w:pPr>
        <w:pStyle w:val="29"/>
        <w:tabs>
          <w:tab w:val="right" w:leader="dot" w:pos="9412"/>
          <w:tab w:val="clear" w:pos="9900"/>
        </w:tabs>
      </w:pPr>
      <w:r>
        <w:rPr>
          <w:bCs/>
          <w:color w:val="auto"/>
          <w:szCs w:val="24"/>
          <w:highlight w:val="none"/>
        </w:rPr>
        <w:fldChar w:fldCharType="begin"/>
      </w:r>
      <w:r>
        <w:rPr>
          <w:bCs/>
          <w:szCs w:val="24"/>
          <w:highlight w:val="none"/>
        </w:rPr>
        <w:instrText xml:space="preserve"> HYPERLINK \l _Toc2190 </w:instrText>
      </w:r>
      <w:r>
        <w:rPr>
          <w:bCs/>
          <w:szCs w:val="24"/>
          <w:highlight w:val="none"/>
        </w:rPr>
        <w:fldChar w:fldCharType="separate"/>
      </w:r>
      <w:r>
        <w:rPr>
          <w:rFonts w:hint="eastAsia" w:ascii="宋体" w:hAnsi="宋体" w:eastAsia="宋体"/>
          <w:bCs/>
          <w:szCs w:val="30"/>
          <w:highlight w:val="none"/>
        </w:rPr>
        <w:t>第三章  评标方法（综合评分法）</w:t>
      </w:r>
      <w:r>
        <w:tab/>
      </w:r>
      <w:r>
        <w:fldChar w:fldCharType="begin"/>
      </w:r>
      <w:r>
        <w:instrText xml:space="preserve"> PAGEREF _Toc2190 \h </w:instrText>
      </w:r>
      <w:r>
        <w:fldChar w:fldCharType="separate"/>
      </w:r>
      <w:r>
        <w:t>18</w:t>
      </w:r>
      <w:r>
        <w:fldChar w:fldCharType="end"/>
      </w:r>
      <w:r>
        <w:rPr>
          <w:bCs/>
          <w:color w:val="auto"/>
          <w:szCs w:val="24"/>
          <w:highlight w:val="none"/>
        </w:rPr>
        <w:fldChar w:fldCharType="end"/>
      </w:r>
    </w:p>
    <w:p w14:paraId="0E4ADD6D">
      <w:pPr>
        <w:pStyle w:val="29"/>
        <w:tabs>
          <w:tab w:val="right" w:leader="dot" w:pos="9412"/>
          <w:tab w:val="clear" w:pos="9900"/>
        </w:tabs>
      </w:pPr>
      <w:r>
        <w:rPr>
          <w:bCs/>
          <w:color w:val="auto"/>
          <w:szCs w:val="24"/>
          <w:highlight w:val="none"/>
        </w:rPr>
        <w:fldChar w:fldCharType="begin"/>
      </w:r>
      <w:r>
        <w:rPr>
          <w:bCs/>
          <w:szCs w:val="24"/>
          <w:highlight w:val="none"/>
        </w:rPr>
        <w:instrText xml:space="preserve"> HYPERLINK \l _Toc8790 </w:instrText>
      </w:r>
      <w:r>
        <w:rPr>
          <w:bCs/>
          <w:szCs w:val="24"/>
          <w:highlight w:val="none"/>
        </w:rPr>
        <w:fldChar w:fldCharType="separate"/>
      </w:r>
      <w:r>
        <w:rPr>
          <w:rFonts w:hint="eastAsia" w:ascii="宋体" w:hAnsi="宋体" w:eastAsia="宋体"/>
          <w:bCs/>
          <w:szCs w:val="30"/>
          <w:highlight w:val="none"/>
        </w:rPr>
        <w:t>第四章  采购需求</w:t>
      </w:r>
      <w:r>
        <w:tab/>
      </w:r>
      <w:r>
        <w:fldChar w:fldCharType="begin"/>
      </w:r>
      <w:r>
        <w:instrText xml:space="preserve"> PAGEREF _Toc8790 \h </w:instrText>
      </w:r>
      <w:r>
        <w:fldChar w:fldCharType="separate"/>
      </w:r>
      <w:r>
        <w:t>30</w:t>
      </w:r>
      <w:r>
        <w:fldChar w:fldCharType="end"/>
      </w:r>
      <w:r>
        <w:rPr>
          <w:bCs/>
          <w:color w:val="auto"/>
          <w:szCs w:val="24"/>
          <w:highlight w:val="none"/>
        </w:rPr>
        <w:fldChar w:fldCharType="end"/>
      </w:r>
    </w:p>
    <w:p w14:paraId="3F7A796E">
      <w:pPr>
        <w:pStyle w:val="34"/>
        <w:tabs>
          <w:tab w:val="right" w:leader="dot" w:pos="9412"/>
        </w:tabs>
      </w:pPr>
      <w:r>
        <w:rPr>
          <w:bCs/>
          <w:color w:val="auto"/>
          <w:szCs w:val="24"/>
          <w:highlight w:val="none"/>
        </w:rPr>
        <w:fldChar w:fldCharType="begin"/>
      </w:r>
      <w:r>
        <w:rPr>
          <w:bCs/>
          <w:szCs w:val="24"/>
          <w:highlight w:val="none"/>
        </w:rPr>
        <w:instrText xml:space="preserve"> HYPERLINK \l _Toc25027 </w:instrText>
      </w:r>
      <w:r>
        <w:rPr>
          <w:bCs/>
          <w:szCs w:val="24"/>
          <w:highlight w:val="none"/>
        </w:rPr>
        <w:fldChar w:fldCharType="separate"/>
      </w:r>
      <w:r>
        <w:rPr>
          <w:rFonts w:hint="eastAsia"/>
          <w:szCs w:val="24"/>
          <w:highlight w:val="none"/>
        </w:rPr>
        <w:t>一、采购标的项目概况，以及为落实政府采购政策需满足的要求</w:t>
      </w:r>
      <w:r>
        <w:tab/>
      </w:r>
      <w:r>
        <w:fldChar w:fldCharType="begin"/>
      </w:r>
      <w:r>
        <w:instrText xml:space="preserve"> PAGEREF _Toc25027 \h </w:instrText>
      </w:r>
      <w:r>
        <w:fldChar w:fldCharType="separate"/>
      </w:r>
      <w:r>
        <w:t>30</w:t>
      </w:r>
      <w:r>
        <w:fldChar w:fldCharType="end"/>
      </w:r>
      <w:r>
        <w:rPr>
          <w:bCs/>
          <w:color w:val="auto"/>
          <w:szCs w:val="24"/>
          <w:highlight w:val="none"/>
        </w:rPr>
        <w:fldChar w:fldCharType="end"/>
      </w:r>
    </w:p>
    <w:p w14:paraId="5A5BC9F1">
      <w:pPr>
        <w:pStyle w:val="34"/>
        <w:tabs>
          <w:tab w:val="right" w:leader="dot" w:pos="9412"/>
        </w:tabs>
      </w:pPr>
      <w:r>
        <w:rPr>
          <w:bCs/>
          <w:color w:val="auto"/>
          <w:szCs w:val="24"/>
          <w:highlight w:val="none"/>
        </w:rPr>
        <w:fldChar w:fldCharType="begin"/>
      </w:r>
      <w:r>
        <w:rPr>
          <w:bCs/>
          <w:szCs w:val="24"/>
          <w:highlight w:val="none"/>
        </w:rPr>
        <w:instrText xml:space="preserve"> HYPERLINK \l _Toc28771 </w:instrText>
      </w:r>
      <w:r>
        <w:rPr>
          <w:bCs/>
          <w:szCs w:val="24"/>
          <w:highlight w:val="none"/>
        </w:rPr>
        <w:fldChar w:fldCharType="separate"/>
      </w:r>
      <w:r>
        <w:rPr>
          <w:rFonts w:hint="eastAsia"/>
          <w:szCs w:val="24"/>
          <w:highlight w:val="none"/>
        </w:rPr>
        <w:t>二、执行的国家相关标准、行业标准、地方标准或者其他标准、规范</w:t>
      </w:r>
      <w:r>
        <w:tab/>
      </w:r>
      <w:r>
        <w:fldChar w:fldCharType="begin"/>
      </w:r>
      <w:r>
        <w:instrText xml:space="preserve"> PAGEREF _Toc28771 \h </w:instrText>
      </w:r>
      <w:r>
        <w:fldChar w:fldCharType="separate"/>
      </w:r>
      <w:r>
        <w:t>30</w:t>
      </w:r>
      <w:r>
        <w:fldChar w:fldCharType="end"/>
      </w:r>
      <w:r>
        <w:rPr>
          <w:bCs/>
          <w:color w:val="auto"/>
          <w:szCs w:val="24"/>
          <w:highlight w:val="none"/>
        </w:rPr>
        <w:fldChar w:fldCharType="end"/>
      </w:r>
    </w:p>
    <w:p w14:paraId="5EC69DD1">
      <w:pPr>
        <w:pStyle w:val="34"/>
        <w:tabs>
          <w:tab w:val="right" w:leader="dot" w:pos="9412"/>
        </w:tabs>
      </w:pPr>
      <w:r>
        <w:rPr>
          <w:bCs/>
          <w:color w:val="auto"/>
          <w:szCs w:val="24"/>
          <w:highlight w:val="none"/>
        </w:rPr>
        <w:fldChar w:fldCharType="begin"/>
      </w:r>
      <w:r>
        <w:rPr>
          <w:bCs/>
          <w:szCs w:val="24"/>
          <w:highlight w:val="none"/>
        </w:rPr>
        <w:instrText xml:space="preserve"> HYPERLINK \l _Toc17470 </w:instrText>
      </w:r>
      <w:r>
        <w:rPr>
          <w:bCs/>
          <w:szCs w:val="24"/>
          <w:highlight w:val="none"/>
        </w:rPr>
        <w:fldChar w:fldCharType="separate"/>
      </w:r>
      <w:r>
        <w:rPr>
          <w:rFonts w:hint="eastAsia"/>
          <w:szCs w:val="24"/>
          <w:highlight w:val="none"/>
        </w:rPr>
        <w:t>三、采购标的的采购内容及要求</w:t>
      </w:r>
      <w:r>
        <w:tab/>
      </w:r>
      <w:r>
        <w:fldChar w:fldCharType="begin"/>
      </w:r>
      <w:r>
        <w:instrText xml:space="preserve"> PAGEREF _Toc17470 \h </w:instrText>
      </w:r>
      <w:r>
        <w:fldChar w:fldCharType="separate"/>
      </w:r>
      <w:r>
        <w:t>30</w:t>
      </w:r>
      <w:r>
        <w:fldChar w:fldCharType="end"/>
      </w:r>
      <w:r>
        <w:rPr>
          <w:bCs/>
          <w:color w:val="auto"/>
          <w:szCs w:val="24"/>
          <w:highlight w:val="none"/>
        </w:rPr>
        <w:fldChar w:fldCharType="end"/>
      </w:r>
    </w:p>
    <w:p w14:paraId="5F36F1C4">
      <w:pPr>
        <w:pStyle w:val="34"/>
        <w:tabs>
          <w:tab w:val="right" w:leader="dot" w:pos="9412"/>
        </w:tabs>
      </w:pPr>
      <w:r>
        <w:rPr>
          <w:bCs/>
          <w:color w:val="auto"/>
          <w:szCs w:val="24"/>
          <w:highlight w:val="none"/>
        </w:rPr>
        <w:fldChar w:fldCharType="begin"/>
      </w:r>
      <w:r>
        <w:rPr>
          <w:bCs/>
          <w:szCs w:val="24"/>
          <w:highlight w:val="none"/>
        </w:rPr>
        <w:instrText xml:space="preserve"> HYPERLINK \l _Toc22058 </w:instrText>
      </w:r>
      <w:r>
        <w:rPr>
          <w:bCs/>
          <w:szCs w:val="24"/>
          <w:highlight w:val="none"/>
        </w:rPr>
        <w:fldChar w:fldCharType="separate"/>
      </w:r>
      <w:r>
        <w:rPr>
          <w:rFonts w:hint="eastAsia"/>
          <w:szCs w:val="24"/>
          <w:highlight w:val="none"/>
        </w:rPr>
        <w:t>四、采购标的的数量、采购项目服务期限及交货地点</w:t>
      </w:r>
      <w:r>
        <w:tab/>
      </w:r>
      <w:r>
        <w:fldChar w:fldCharType="begin"/>
      </w:r>
      <w:r>
        <w:instrText xml:space="preserve"> PAGEREF _Toc22058 \h </w:instrText>
      </w:r>
      <w:r>
        <w:fldChar w:fldCharType="separate"/>
      </w:r>
      <w:r>
        <w:t>79</w:t>
      </w:r>
      <w:r>
        <w:fldChar w:fldCharType="end"/>
      </w:r>
      <w:r>
        <w:rPr>
          <w:bCs/>
          <w:color w:val="auto"/>
          <w:szCs w:val="24"/>
          <w:highlight w:val="none"/>
        </w:rPr>
        <w:fldChar w:fldCharType="end"/>
      </w:r>
    </w:p>
    <w:p w14:paraId="3CA7E1A3">
      <w:pPr>
        <w:pStyle w:val="34"/>
        <w:tabs>
          <w:tab w:val="right" w:leader="dot" w:pos="9412"/>
        </w:tabs>
      </w:pPr>
      <w:r>
        <w:rPr>
          <w:bCs/>
          <w:color w:val="auto"/>
          <w:szCs w:val="24"/>
          <w:highlight w:val="none"/>
        </w:rPr>
        <w:fldChar w:fldCharType="begin"/>
      </w:r>
      <w:r>
        <w:rPr>
          <w:bCs/>
          <w:szCs w:val="24"/>
          <w:highlight w:val="none"/>
        </w:rPr>
        <w:instrText xml:space="preserve"> HYPERLINK \l _Toc4574 </w:instrText>
      </w:r>
      <w:r>
        <w:rPr>
          <w:bCs/>
          <w:szCs w:val="24"/>
          <w:highlight w:val="none"/>
        </w:rPr>
        <w:fldChar w:fldCharType="separate"/>
      </w:r>
      <w:r>
        <w:rPr>
          <w:rFonts w:hint="eastAsia"/>
          <w:szCs w:val="24"/>
          <w:highlight w:val="none"/>
        </w:rPr>
        <w:t>五、验收标准</w:t>
      </w:r>
      <w:r>
        <w:tab/>
      </w:r>
      <w:r>
        <w:fldChar w:fldCharType="begin"/>
      </w:r>
      <w:r>
        <w:instrText xml:space="preserve"> PAGEREF _Toc4574 \h </w:instrText>
      </w:r>
      <w:r>
        <w:fldChar w:fldCharType="separate"/>
      </w:r>
      <w:r>
        <w:t>80</w:t>
      </w:r>
      <w:r>
        <w:fldChar w:fldCharType="end"/>
      </w:r>
      <w:r>
        <w:rPr>
          <w:bCs/>
          <w:color w:val="auto"/>
          <w:szCs w:val="24"/>
          <w:highlight w:val="none"/>
        </w:rPr>
        <w:fldChar w:fldCharType="end"/>
      </w:r>
    </w:p>
    <w:p w14:paraId="640F9EB5">
      <w:pPr>
        <w:pStyle w:val="29"/>
        <w:tabs>
          <w:tab w:val="right" w:leader="dot" w:pos="9412"/>
          <w:tab w:val="clear" w:pos="9900"/>
        </w:tabs>
      </w:pPr>
      <w:r>
        <w:rPr>
          <w:bCs/>
          <w:color w:val="auto"/>
          <w:szCs w:val="24"/>
          <w:highlight w:val="none"/>
        </w:rPr>
        <w:fldChar w:fldCharType="begin"/>
      </w:r>
      <w:r>
        <w:rPr>
          <w:bCs/>
          <w:szCs w:val="24"/>
          <w:highlight w:val="none"/>
        </w:rPr>
        <w:instrText xml:space="preserve"> HYPERLINK \l _Toc31884 </w:instrText>
      </w:r>
      <w:r>
        <w:rPr>
          <w:bCs/>
          <w:szCs w:val="24"/>
          <w:highlight w:val="none"/>
        </w:rPr>
        <w:fldChar w:fldCharType="separate"/>
      </w:r>
      <w:r>
        <w:rPr>
          <w:rFonts w:hint="eastAsia" w:ascii="宋体" w:hAnsi="宋体" w:eastAsia="宋体"/>
          <w:bCs/>
          <w:szCs w:val="30"/>
          <w:highlight w:val="none"/>
        </w:rPr>
        <w:t>第五章  合同书样式及主要条款(此合同范本仅供参考)</w:t>
      </w:r>
      <w:r>
        <w:tab/>
      </w:r>
      <w:r>
        <w:fldChar w:fldCharType="begin"/>
      </w:r>
      <w:r>
        <w:instrText xml:space="preserve"> PAGEREF _Toc31884 \h </w:instrText>
      </w:r>
      <w:r>
        <w:fldChar w:fldCharType="separate"/>
      </w:r>
      <w:r>
        <w:t>81</w:t>
      </w:r>
      <w:r>
        <w:fldChar w:fldCharType="end"/>
      </w:r>
      <w:r>
        <w:rPr>
          <w:bCs/>
          <w:color w:val="auto"/>
          <w:szCs w:val="24"/>
          <w:highlight w:val="none"/>
        </w:rPr>
        <w:fldChar w:fldCharType="end"/>
      </w:r>
    </w:p>
    <w:p w14:paraId="2340A6A6">
      <w:pPr>
        <w:pStyle w:val="29"/>
        <w:tabs>
          <w:tab w:val="right" w:leader="dot" w:pos="9412"/>
          <w:tab w:val="clear" w:pos="9900"/>
        </w:tabs>
      </w:pPr>
      <w:r>
        <w:rPr>
          <w:bCs/>
          <w:color w:val="auto"/>
          <w:szCs w:val="24"/>
          <w:highlight w:val="none"/>
        </w:rPr>
        <w:fldChar w:fldCharType="begin"/>
      </w:r>
      <w:r>
        <w:rPr>
          <w:bCs/>
          <w:szCs w:val="24"/>
          <w:highlight w:val="none"/>
        </w:rPr>
        <w:instrText xml:space="preserve"> HYPERLINK \l _Toc19598 </w:instrText>
      </w:r>
      <w:r>
        <w:rPr>
          <w:bCs/>
          <w:szCs w:val="24"/>
          <w:highlight w:val="none"/>
        </w:rPr>
        <w:fldChar w:fldCharType="separate"/>
      </w:r>
      <w:r>
        <w:rPr>
          <w:rFonts w:hint="eastAsia" w:ascii="宋体" w:hAnsi="宋体" w:eastAsia="宋体"/>
          <w:bCs/>
          <w:highlight w:val="none"/>
        </w:rPr>
        <w:t>第六章  投标文件格式</w:t>
      </w:r>
      <w:r>
        <w:tab/>
      </w:r>
      <w:r>
        <w:fldChar w:fldCharType="begin"/>
      </w:r>
      <w:r>
        <w:instrText xml:space="preserve"> PAGEREF _Toc19598 \h </w:instrText>
      </w:r>
      <w:r>
        <w:fldChar w:fldCharType="separate"/>
      </w:r>
      <w:r>
        <w:t>88</w:t>
      </w:r>
      <w:r>
        <w:fldChar w:fldCharType="end"/>
      </w:r>
      <w:r>
        <w:rPr>
          <w:bCs/>
          <w:color w:val="auto"/>
          <w:szCs w:val="24"/>
          <w:highlight w:val="none"/>
        </w:rPr>
        <w:fldChar w:fldCharType="end"/>
      </w:r>
    </w:p>
    <w:p w14:paraId="2A5E9409">
      <w:pPr>
        <w:pStyle w:val="34"/>
        <w:tabs>
          <w:tab w:val="right" w:leader="dot" w:pos="9412"/>
        </w:tabs>
      </w:pPr>
      <w:r>
        <w:rPr>
          <w:bCs/>
          <w:color w:val="auto"/>
          <w:szCs w:val="24"/>
          <w:highlight w:val="none"/>
        </w:rPr>
        <w:fldChar w:fldCharType="begin"/>
      </w:r>
      <w:r>
        <w:rPr>
          <w:bCs/>
          <w:szCs w:val="24"/>
          <w:highlight w:val="none"/>
        </w:rPr>
        <w:instrText xml:space="preserve"> HYPERLINK \l _Toc12305 </w:instrText>
      </w:r>
      <w:r>
        <w:rPr>
          <w:bCs/>
          <w:szCs w:val="24"/>
          <w:highlight w:val="none"/>
        </w:rPr>
        <w:fldChar w:fldCharType="separate"/>
      </w:r>
      <w:r>
        <w:rPr>
          <w:rFonts w:hint="eastAsia" w:ascii="仿宋_BG2312"/>
          <w:shd w:val="clear" w:fill="FFFFFF"/>
        </w:rPr>
        <w:t xml:space="preserve">一、 </w:t>
      </w:r>
      <w:r>
        <w:rPr>
          <w:rFonts w:hint="eastAsia" w:ascii="仿宋_BG2312"/>
          <w:highlight w:val="none"/>
          <w:shd w:val="clear" w:color="auto" w:fill="FFFFFF"/>
        </w:rPr>
        <w:t>资格审查部分</w:t>
      </w:r>
      <w:r>
        <w:tab/>
      </w:r>
      <w:r>
        <w:fldChar w:fldCharType="begin"/>
      </w:r>
      <w:r>
        <w:instrText xml:space="preserve"> PAGEREF _Toc12305 \h </w:instrText>
      </w:r>
      <w:r>
        <w:fldChar w:fldCharType="separate"/>
      </w:r>
      <w:r>
        <w:t>90</w:t>
      </w:r>
      <w:r>
        <w:fldChar w:fldCharType="end"/>
      </w:r>
      <w:r>
        <w:rPr>
          <w:bCs/>
          <w:color w:val="auto"/>
          <w:szCs w:val="24"/>
          <w:highlight w:val="none"/>
        </w:rPr>
        <w:fldChar w:fldCharType="end"/>
      </w:r>
    </w:p>
    <w:p w14:paraId="195A0E97">
      <w:pPr>
        <w:pStyle w:val="34"/>
        <w:tabs>
          <w:tab w:val="right" w:leader="dot" w:pos="9412"/>
        </w:tabs>
      </w:pPr>
      <w:r>
        <w:rPr>
          <w:bCs/>
          <w:color w:val="auto"/>
          <w:szCs w:val="24"/>
          <w:highlight w:val="none"/>
        </w:rPr>
        <w:fldChar w:fldCharType="begin"/>
      </w:r>
      <w:r>
        <w:rPr>
          <w:bCs/>
          <w:szCs w:val="24"/>
          <w:highlight w:val="none"/>
        </w:rPr>
        <w:instrText xml:space="preserve"> HYPERLINK \l _Toc16352 </w:instrText>
      </w:r>
      <w:r>
        <w:rPr>
          <w:bCs/>
          <w:szCs w:val="24"/>
          <w:highlight w:val="none"/>
        </w:rPr>
        <w:fldChar w:fldCharType="separate"/>
      </w:r>
      <w:r>
        <w:rPr>
          <w:rFonts w:hint="eastAsia"/>
          <w:highlight w:val="none"/>
        </w:rPr>
        <w:t>二、投标文件商务部分</w:t>
      </w:r>
      <w:r>
        <w:tab/>
      </w:r>
      <w:r>
        <w:fldChar w:fldCharType="begin"/>
      </w:r>
      <w:r>
        <w:instrText xml:space="preserve"> PAGEREF _Toc16352 \h </w:instrText>
      </w:r>
      <w:r>
        <w:fldChar w:fldCharType="separate"/>
      </w:r>
      <w:r>
        <w:t>95</w:t>
      </w:r>
      <w:r>
        <w:fldChar w:fldCharType="end"/>
      </w:r>
      <w:r>
        <w:rPr>
          <w:bCs/>
          <w:color w:val="auto"/>
          <w:szCs w:val="24"/>
          <w:highlight w:val="none"/>
        </w:rPr>
        <w:fldChar w:fldCharType="end"/>
      </w:r>
    </w:p>
    <w:p w14:paraId="14FFEE96">
      <w:pPr>
        <w:pStyle w:val="34"/>
        <w:tabs>
          <w:tab w:val="right" w:leader="dot" w:pos="9412"/>
        </w:tabs>
      </w:pPr>
      <w:r>
        <w:rPr>
          <w:bCs/>
          <w:color w:val="auto"/>
          <w:szCs w:val="24"/>
          <w:highlight w:val="none"/>
        </w:rPr>
        <w:fldChar w:fldCharType="begin"/>
      </w:r>
      <w:r>
        <w:rPr>
          <w:bCs/>
          <w:szCs w:val="24"/>
          <w:highlight w:val="none"/>
        </w:rPr>
        <w:instrText xml:space="preserve"> HYPERLINK \l _Toc672 </w:instrText>
      </w:r>
      <w:r>
        <w:rPr>
          <w:bCs/>
          <w:szCs w:val="24"/>
          <w:highlight w:val="none"/>
        </w:rPr>
        <w:fldChar w:fldCharType="separate"/>
      </w:r>
      <w:r>
        <w:rPr>
          <w:rFonts w:hint="eastAsia" w:ascii="仿宋_BG2312"/>
          <w:highlight w:val="none"/>
          <w:shd w:val="clear" w:color="auto" w:fill="FFFFFF"/>
        </w:rPr>
        <w:t>三、投标报价部分</w:t>
      </w:r>
      <w:r>
        <w:tab/>
      </w:r>
      <w:r>
        <w:fldChar w:fldCharType="begin"/>
      </w:r>
      <w:r>
        <w:instrText xml:space="preserve"> PAGEREF _Toc672 \h </w:instrText>
      </w:r>
      <w:r>
        <w:fldChar w:fldCharType="separate"/>
      </w:r>
      <w:r>
        <w:t>101</w:t>
      </w:r>
      <w:r>
        <w:fldChar w:fldCharType="end"/>
      </w:r>
      <w:r>
        <w:rPr>
          <w:bCs/>
          <w:color w:val="auto"/>
          <w:szCs w:val="24"/>
          <w:highlight w:val="none"/>
        </w:rPr>
        <w:fldChar w:fldCharType="end"/>
      </w:r>
    </w:p>
    <w:p w14:paraId="023ABB5C">
      <w:pPr>
        <w:pStyle w:val="34"/>
        <w:tabs>
          <w:tab w:val="right" w:leader="dot" w:pos="9412"/>
        </w:tabs>
      </w:pPr>
      <w:r>
        <w:rPr>
          <w:bCs/>
          <w:color w:val="auto"/>
          <w:szCs w:val="24"/>
          <w:highlight w:val="none"/>
        </w:rPr>
        <w:fldChar w:fldCharType="begin"/>
      </w:r>
      <w:r>
        <w:rPr>
          <w:bCs/>
          <w:szCs w:val="24"/>
          <w:highlight w:val="none"/>
        </w:rPr>
        <w:instrText xml:space="preserve"> HYPERLINK \l _Toc16457 </w:instrText>
      </w:r>
      <w:r>
        <w:rPr>
          <w:bCs/>
          <w:szCs w:val="24"/>
          <w:highlight w:val="none"/>
        </w:rPr>
        <w:fldChar w:fldCharType="separate"/>
      </w:r>
      <w:r>
        <w:rPr>
          <w:rFonts w:hint="eastAsia" w:ascii="仿宋_BG2312"/>
          <w:highlight w:val="none"/>
          <w:shd w:val="clear" w:color="auto" w:fill="FFFFFF"/>
        </w:rPr>
        <w:t>四、投标文件技术部分</w:t>
      </w:r>
      <w:r>
        <w:tab/>
      </w:r>
      <w:r>
        <w:fldChar w:fldCharType="begin"/>
      </w:r>
      <w:r>
        <w:instrText xml:space="preserve"> PAGEREF _Toc16457 \h </w:instrText>
      </w:r>
      <w:r>
        <w:fldChar w:fldCharType="separate"/>
      </w:r>
      <w:r>
        <w:t>107</w:t>
      </w:r>
      <w:r>
        <w:fldChar w:fldCharType="end"/>
      </w:r>
      <w:r>
        <w:rPr>
          <w:bCs/>
          <w:color w:val="auto"/>
          <w:szCs w:val="24"/>
          <w:highlight w:val="none"/>
        </w:rPr>
        <w:fldChar w:fldCharType="end"/>
      </w:r>
    </w:p>
    <w:p w14:paraId="4899A2EC">
      <w:pPr>
        <w:pStyle w:val="34"/>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875"/>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2"/>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玉溪职业技术学院（云南省玉溪工业财贸学校）“双优”专业建设（1包）电子商务优质专业专业建设项目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2"/>
            <w:bookmarkEnd w:id="2"/>
            <w:bookmarkStart w:id="3" w:name="_Hlt130408164"/>
            <w:bookmarkEnd w:id="3"/>
            <w:bookmarkStart w:id="4" w:name="_Hlt130408161"/>
            <w:bookmarkEnd w:id="4"/>
            <w:bookmarkStart w:id="5" w:name="_Hlt130408163"/>
            <w:bookmarkEnd w:id="5"/>
            <w:r>
              <w:rPr>
                <w:rFonts w:hint="eastAsia" w:ascii="宋体" w:hAnsi="宋体" w:cs="宋体"/>
                <w:color w:val="auto"/>
                <w:kern w:val="0"/>
                <w:sz w:val="24"/>
                <w:szCs w:val="24"/>
                <w:highlight w:val="none"/>
              </w:rPr>
              <w:t>并于2026年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ZZGL-2026067H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rPr>
        <w:t>玉溪职业技术学院（云南省玉溪工业财贸学校）“双优”专业建设（1包）电子商务优质专业专业建设项目；</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1</w:t>
      </w:r>
      <w:r>
        <w:rPr>
          <w:rFonts w:hint="eastAsia"/>
          <w:color w:val="auto"/>
          <w:highlight w:val="none"/>
        </w:rPr>
        <w:t>50.00万元（人民币</w:t>
      </w:r>
      <w:r>
        <w:rPr>
          <w:rFonts w:hint="eastAsia"/>
          <w:color w:val="auto"/>
          <w:highlight w:val="none"/>
          <w:lang w:val="en-US" w:eastAsia="zh-CN"/>
        </w:rPr>
        <w:t>壹佰伍拾万元整</w:t>
      </w:r>
      <w:r>
        <w:rPr>
          <w:rFonts w:hint="eastAsia"/>
          <w:color w:val="auto"/>
          <w:highlight w:val="none"/>
        </w:rPr>
        <w:t>）；</w:t>
      </w:r>
    </w:p>
    <w:p w14:paraId="40CF021D">
      <w:pPr>
        <w:snapToGrid w:val="0"/>
        <w:spacing w:line="360" w:lineRule="auto"/>
        <w:ind w:firstLine="480" w:firstLineChars="200"/>
        <w:contextualSpacing/>
        <w:rPr>
          <w:rFonts w:hint="default" w:eastAsia="宋体"/>
          <w:color w:val="auto"/>
          <w:highlight w:val="none"/>
          <w:lang w:val="en-US"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玉溪职业技术学院（云南省玉溪工业财贸学校）“双优”专业建设（1包）电子商务优质专业专业建设项目</w:t>
      </w:r>
      <w:r>
        <w:rPr>
          <w:rFonts w:hint="eastAsia"/>
          <w:color w:val="auto"/>
          <w:highlight w:val="none"/>
        </w:rPr>
        <w:t>，包括电商实训</w:t>
      </w:r>
      <w:r>
        <w:rPr>
          <w:rFonts w:hint="eastAsia"/>
          <w:color w:val="auto"/>
          <w:highlight w:val="none"/>
          <w:lang w:eastAsia="zh-CN"/>
        </w:rPr>
        <w:t>、商贸赛道平台建设、课程资源、基础配套建设</w:t>
      </w:r>
      <w:r>
        <w:rPr>
          <w:rFonts w:hint="eastAsia"/>
          <w:color w:val="auto"/>
          <w:highlight w:val="none"/>
          <w:lang w:val="en-US" w:eastAsia="zh-CN"/>
        </w:rPr>
        <w:t>等内容。</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5.合同履行期限：自合同签订之日起90日历天内完成设备安装调试，并投入使用。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6.建设地点：采购人指定地点。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34EE2D36">
      <w:pPr>
        <w:snapToGrid w:val="0"/>
        <w:spacing w:line="360" w:lineRule="auto"/>
        <w:ind w:firstLine="480" w:firstLineChars="200"/>
        <w:contextualSpacing/>
        <w:rPr>
          <w:rFonts w:hint="eastAsia"/>
          <w:color w:val="auto"/>
          <w:highlight w:val="none"/>
        </w:rPr>
      </w:pPr>
      <w:r>
        <w:rPr>
          <w:rFonts w:hint="eastAsia"/>
          <w:color w:val="auto"/>
          <w:highlight w:val="none"/>
        </w:rPr>
        <w:t>联系人：化丽娟</w:t>
      </w:r>
    </w:p>
    <w:p w14:paraId="304939D3">
      <w:pPr>
        <w:snapToGrid w:val="0"/>
        <w:spacing w:line="360" w:lineRule="auto"/>
        <w:ind w:firstLine="480" w:firstLineChars="200"/>
        <w:contextualSpacing/>
        <w:rPr>
          <w:rFonts w:hint="eastAsia"/>
          <w:color w:val="auto"/>
          <w:highlight w:val="none"/>
        </w:rPr>
      </w:pPr>
      <w:r>
        <w:rPr>
          <w:rFonts w:hint="eastAsia"/>
          <w:color w:val="auto"/>
          <w:highlight w:val="none"/>
        </w:rPr>
        <w:t>电  话：13987782818</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11269"/>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451172696"/>
      <w:bookmarkStart w:id="23" w:name="_Toc24773"/>
      <w:bookmarkStart w:id="24" w:name="_Toc1164"/>
      <w:bookmarkStart w:id="25" w:name="_Toc22781"/>
      <w:r>
        <w:rPr>
          <w:rFonts w:hint="eastAsia"/>
          <w:color w:val="auto"/>
          <w:highlight w:val="none"/>
        </w:rPr>
        <w:t>投标人须知前附表</w:t>
      </w:r>
      <w:bookmarkEnd w:id="22"/>
      <w:bookmarkEnd w:id="23"/>
      <w:bookmarkEnd w:id="24"/>
      <w:bookmarkEnd w:id="25"/>
    </w:p>
    <w:tbl>
      <w:tblPr>
        <w:tblStyle w:val="42"/>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2"/>
              <w:rPr>
                <w:rFonts w:hint="eastAsia"/>
                <w:color w:val="auto"/>
                <w:highlight w:val="none"/>
              </w:rPr>
            </w:pPr>
            <w:bookmarkStart w:id="26" w:name="_Toc20781"/>
            <w:bookmarkStart w:id="27" w:name="_Toc26125"/>
            <w:r>
              <w:rPr>
                <w:color w:val="auto"/>
                <w:highlight w:val="none"/>
              </w:rPr>
              <w:t>条款号</w:t>
            </w:r>
          </w:p>
        </w:tc>
        <w:tc>
          <w:tcPr>
            <w:tcW w:w="1540" w:type="dxa"/>
            <w:vAlign w:val="center"/>
          </w:tcPr>
          <w:p w14:paraId="37C8C832">
            <w:pPr>
              <w:pStyle w:val="22"/>
              <w:rPr>
                <w:rFonts w:hint="eastAsia"/>
                <w:color w:val="auto"/>
                <w:highlight w:val="none"/>
              </w:rPr>
            </w:pPr>
            <w:r>
              <w:rPr>
                <w:color w:val="auto"/>
                <w:highlight w:val="none"/>
              </w:rPr>
              <w:t>条 款 名 称</w:t>
            </w:r>
          </w:p>
        </w:tc>
        <w:tc>
          <w:tcPr>
            <w:tcW w:w="7252" w:type="dxa"/>
            <w:vAlign w:val="center"/>
          </w:tcPr>
          <w:p w14:paraId="2CB50939">
            <w:pPr>
              <w:pStyle w:val="22"/>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2"/>
              <w:rPr>
                <w:rFonts w:hint="eastAsia"/>
                <w:color w:val="auto"/>
                <w:highlight w:val="none"/>
              </w:rPr>
            </w:pPr>
            <w:r>
              <w:rPr>
                <w:rFonts w:hint="eastAsia"/>
                <w:color w:val="auto"/>
                <w:highlight w:val="none"/>
              </w:rPr>
              <w:t>1</w:t>
            </w:r>
          </w:p>
        </w:tc>
        <w:tc>
          <w:tcPr>
            <w:tcW w:w="1540" w:type="dxa"/>
            <w:vAlign w:val="center"/>
          </w:tcPr>
          <w:p w14:paraId="40348C8F">
            <w:pPr>
              <w:pStyle w:val="22"/>
              <w:rPr>
                <w:rFonts w:hint="eastAsia"/>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2"/>
              <w:rPr>
                <w:rFonts w:hint="eastAsia"/>
                <w:color w:val="auto"/>
                <w:highlight w:val="none"/>
              </w:rPr>
            </w:pPr>
            <w:r>
              <w:rPr>
                <w:rFonts w:hint="eastAsia"/>
                <w:color w:val="auto"/>
                <w:highlight w:val="none"/>
              </w:rPr>
              <w:t>2</w:t>
            </w:r>
          </w:p>
        </w:tc>
        <w:tc>
          <w:tcPr>
            <w:tcW w:w="1540" w:type="dxa"/>
            <w:vAlign w:val="center"/>
          </w:tcPr>
          <w:p w14:paraId="19D19208">
            <w:pPr>
              <w:pStyle w:val="22"/>
              <w:rPr>
                <w:rFonts w:hint="eastAsia"/>
                <w:color w:val="auto"/>
                <w:highlight w:val="none"/>
              </w:rPr>
            </w:pPr>
            <w:r>
              <w:rPr>
                <w:rFonts w:hint="eastAsia"/>
                <w:color w:val="auto"/>
                <w:highlight w:val="none"/>
              </w:rPr>
              <w:t>采购代理机构</w:t>
            </w:r>
          </w:p>
        </w:tc>
        <w:tc>
          <w:tcPr>
            <w:tcW w:w="7252"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2"/>
              <w:rPr>
                <w:rFonts w:hint="eastAsia"/>
                <w:color w:val="auto"/>
                <w:highlight w:val="none"/>
              </w:rPr>
            </w:pPr>
            <w:r>
              <w:rPr>
                <w:rFonts w:hint="eastAsia"/>
                <w:color w:val="auto"/>
                <w:highlight w:val="none"/>
              </w:rPr>
              <w:t>3</w:t>
            </w:r>
          </w:p>
        </w:tc>
        <w:tc>
          <w:tcPr>
            <w:tcW w:w="1540" w:type="dxa"/>
            <w:vAlign w:val="center"/>
          </w:tcPr>
          <w:p w14:paraId="19CAA886">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0EAFCD16">
            <w:pPr>
              <w:pStyle w:val="120"/>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玉溪职业技术学院（云南省玉溪工业财贸学校）“双优”专业建设（1包）电子商务优质专业专业建设项目</w:t>
            </w:r>
            <w:r>
              <w:rPr>
                <w:rFonts w:hint="eastAsia" w:ascii="宋体" w:hAnsi="宋体" w:eastAsia="宋体"/>
                <w:color w:val="auto"/>
                <w:sz w:val="21"/>
                <w:szCs w:val="21"/>
                <w:highlight w:val="none"/>
              </w:rPr>
              <w:t>；</w:t>
            </w:r>
          </w:p>
          <w:p w14:paraId="095B8582">
            <w:pPr>
              <w:pStyle w:val="120"/>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ZZGL-2026067H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2"/>
              <w:rPr>
                <w:rFonts w:hint="eastAsia"/>
                <w:color w:val="auto"/>
                <w:highlight w:val="none"/>
              </w:rPr>
            </w:pPr>
            <w:r>
              <w:rPr>
                <w:rFonts w:hint="eastAsia"/>
                <w:color w:val="auto"/>
                <w:highlight w:val="none"/>
              </w:rPr>
              <w:t>4</w:t>
            </w:r>
          </w:p>
        </w:tc>
        <w:tc>
          <w:tcPr>
            <w:tcW w:w="1540" w:type="dxa"/>
            <w:vAlign w:val="center"/>
          </w:tcPr>
          <w:p w14:paraId="23DAD93A">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1DCC52E0">
            <w:pPr>
              <w:pStyle w:val="120"/>
              <w:adjustRightInd w:val="0"/>
              <w:spacing w:afterLines="0" w:line="360" w:lineRule="auto"/>
              <w:ind w:firstLine="0" w:firstLineChars="0"/>
              <w:jc w:val="left"/>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2"/>
              <w:rPr>
                <w:rFonts w:hint="eastAsia"/>
                <w:color w:val="auto"/>
                <w:highlight w:val="none"/>
              </w:rPr>
            </w:pPr>
            <w:r>
              <w:rPr>
                <w:rFonts w:hint="eastAsia"/>
                <w:color w:val="auto"/>
                <w:highlight w:val="none"/>
              </w:rPr>
              <w:t>5</w:t>
            </w:r>
          </w:p>
        </w:tc>
        <w:tc>
          <w:tcPr>
            <w:tcW w:w="1540" w:type="dxa"/>
            <w:vAlign w:val="center"/>
          </w:tcPr>
          <w:p w14:paraId="51459FDE">
            <w:pPr>
              <w:pStyle w:val="22"/>
              <w:rPr>
                <w:rFonts w:hint="eastAsia"/>
                <w:color w:val="auto"/>
                <w:highlight w:val="none"/>
              </w:rPr>
            </w:pPr>
            <w:r>
              <w:rPr>
                <w:rFonts w:hint="eastAsia"/>
                <w:color w:val="auto"/>
                <w:highlight w:val="none"/>
              </w:rPr>
              <w:t>采购需求</w:t>
            </w:r>
          </w:p>
        </w:tc>
        <w:tc>
          <w:tcPr>
            <w:tcW w:w="7252" w:type="dxa"/>
            <w:vAlign w:val="center"/>
          </w:tcPr>
          <w:p w14:paraId="7712F8B6">
            <w:pPr>
              <w:adjustRightInd w:val="0"/>
              <w:snapToGrid w:val="0"/>
              <w:spacing w:line="360" w:lineRule="auto"/>
              <w:rPr>
                <w:rFonts w:hint="eastAsia"/>
                <w:bCs/>
                <w:color w:val="auto"/>
                <w:sz w:val="21"/>
                <w:szCs w:val="21"/>
                <w:highlight w:val="none"/>
              </w:rPr>
            </w:pPr>
            <w:r>
              <w:rPr>
                <w:rFonts w:hint="eastAsia"/>
                <w:color w:val="auto"/>
                <w:sz w:val="21"/>
                <w:szCs w:val="21"/>
                <w:highlight w:val="none"/>
                <w:lang w:eastAsia="zh-CN"/>
              </w:rPr>
              <w:t>玉溪职业技术学院（云南省玉溪工业财贸学校）“双优”专业建设（1包）电子商务优质专业专业建设项目</w:t>
            </w:r>
            <w:r>
              <w:rPr>
                <w:rFonts w:hint="eastAsia"/>
                <w:color w:val="auto"/>
                <w:sz w:val="21"/>
                <w:szCs w:val="21"/>
                <w:highlight w:val="none"/>
              </w:rPr>
              <w:t>，包括电商直播实训区、成品立体仓储作业区、物流与供应链赛项专项训练区、课程资源</w:t>
            </w:r>
            <w:r>
              <w:rPr>
                <w:rFonts w:hint="eastAsia"/>
                <w:color w:val="auto"/>
                <w:sz w:val="21"/>
                <w:szCs w:val="21"/>
                <w:highlight w:val="none"/>
                <w:lang w:val="en-US" w:eastAsia="zh-CN"/>
              </w:rPr>
              <w:t>及</w:t>
            </w:r>
            <w:r>
              <w:rPr>
                <w:rFonts w:hint="eastAsia"/>
                <w:color w:val="auto"/>
                <w:sz w:val="21"/>
                <w:szCs w:val="21"/>
                <w:highlight w:val="none"/>
              </w:rPr>
              <w:t>其他</w:t>
            </w:r>
            <w:r>
              <w:rPr>
                <w:rFonts w:hint="eastAsia"/>
                <w:color w:val="auto"/>
                <w:sz w:val="21"/>
                <w:szCs w:val="21"/>
                <w:highlight w:val="none"/>
                <w:lang w:val="en-US" w:eastAsia="zh-CN"/>
              </w:rPr>
              <w:t>区域</w:t>
            </w:r>
            <w:r>
              <w:rPr>
                <w:rFonts w:hint="eastAsia"/>
                <w:color w:val="auto"/>
                <w:sz w:val="21"/>
                <w:szCs w:val="21"/>
                <w:highlight w:val="none"/>
              </w:rPr>
              <w:t>。</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2"/>
              <w:rPr>
                <w:rFonts w:hint="eastAsia"/>
                <w:color w:val="auto"/>
                <w:highlight w:val="none"/>
              </w:rPr>
            </w:pPr>
            <w:r>
              <w:rPr>
                <w:rFonts w:hint="eastAsia"/>
                <w:color w:val="auto"/>
                <w:highlight w:val="none"/>
              </w:rPr>
              <w:t>6</w:t>
            </w:r>
          </w:p>
        </w:tc>
        <w:tc>
          <w:tcPr>
            <w:tcW w:w="1540" w:type="dxa"/>
            <w:vAlign w:val="center"/>
          </w:tcPr>
          <w:p w14:paraId="1E2569E7">
            <w:pPr>
              <w:pStyle w:val="22"/>
              <w:rPr>
                <w:rFonts w:hint="eastAsia"/>
                <w:color w:val="auto"/>
                <w:highlight w:val="none"/>
              </w:rPr>
            </w:pPr>
            <w:bookmarkStart w:id="28" w:name="_Hlk148635653"/>
            <w:r>
              <w:rPr>
                <w:rFonts w:hint="eastAsia"/>
                <w:color w:val="auto"/>
                <w:highlight w:val="none"/>
              </w:rPr>
              <w:t>建设地点</w:t>
            </w:r>
            <w:bookmarkEnd w:id="28"/>
          </w:p>
        </w:tc>
        <w:tc>
          <w:tcPr>
            <w:tcW w:w="7252"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2"/>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252"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2"/>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252"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2"/>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252" w:type="dxa"/>
            <w:vAlign w:val="center"/>
          </w:tcPr>
          <w:p w14:paraId="106FE756">
            <w:pPr>
              <w:pStyle w:val="127"/>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2"/>
              <w:rPr>
                <w:rFonts w:hint="eastAsia"/>
                <w:color w:val="auto"/>
                <w:highlight w:val="none"/>
              </w:rPr>
            </w:pPr>
            <w:r>
              <w:rPr>
                <w:rFonts w:hint="eastAsia"/>
                <w:color w:val="auto"/>
                <w:highlight w:val="none"/>
              </w:rPr>
              <w:t>10</w:t>
            </w:r>
          </w:p>
        </w:tc>
        <w:tc>
          <w:tcPr>
            <w:tcW w:w="1540" w:type="dxa"/>
            <w:vAlign w:val="center"/>
          </w:tcPr>
          <w:p w14:paraId="204E8C4D">
            <w:pPr>
              <w:pStyle w:val="22"/>
              <w:rPr>
                <w:rFonts w:hint="eastAsia"/>
                <w:color w:val="auto"/>
                <w:highlight w:val="none"/>
              </w:rPr>
            </w:pPr>
            <w:r>
              <w:rPr>
                <w:rFonts w:hint="eastAsia"/>
                <w:color w:val="auto"/>
                <w:highlight w:val="none"/>
              </w:rPr>
              <w:t>申请人的资格要求</w:t>
            </w:r>
          </w:p>
        </w:tc>
        <w:tc>
          <w:tcPr>
            <w:tcW w:w="7252"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2"/>
              <w:rPr>
                <w:rFonts w:hint="eastAsia"/>
                <w:color w:val="auto"/>
                <w:highlight w:val="none"/>
              </w:rPr>
            </w:pPr>
            <w:r>
              <w:rPr>
                <w:rFonts w:hint="eastAsia"/>
                <w:color w:val="auto"/>
                <w:highlight w:val="none"/>
              </w:rPr>
              <w:t>11</w:t>
            </w:r>
          </w:p>
        </w:tc>
        <w:tc>
          <w:tcPr>
            <w:tcW w:w="1540" w:type="dxa"/>
            <w:vAlign w:val="center"/>
          </w:tcPr>
          <w:p w14:paraId="3A618B61">
            <w:pPr>
              <w:pStyle w:val="22"/>
              <w:rPr>
                <w:rFonts w:hint="eastAsia"/>
                <w:color w:val="auto"/>
                <w:highlight w:val="none"/>
              </w:rPr>
            </w:pPr>
            <w:r>
              <w:rPr>
                <w:color w:val="auto"/>
                <w:highlight w:val="none"/>
              </w:rPr>
              <w:t>资格审查方式</w:t>
            </w:r>
          </w:p>
        </w:tc>
        <w:tc>
          <w:tcPr>
            <w:tcW w:w="7252" w:type="dxa"/>
            <w:vAlign w:val="center"/>
          </w:tcPr>
          <w:p w14:paraId="4B2CE9B8">
            <w:pPr>
              <w:pStyle w:val="22"/>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2"/>
              <w:rPr>
                <w:rFonts w:hint="eastAsia"/>
                <w:color w:val="auto"/>
                <w:highlight w:val="none"/>
              </w:rPr>
            </w:pPr>
            <w:r>
              <w:rPr>
                <w:rFonts w:hint="eastAsia"/>
                <w:color w:val="auto"/>
                <w:highlight w:val="none"/>
              </w:rPr>
              <w:t>12</w:t>
            </w:r>
          </w:p>
        </w:tc>
        <w:tc>
          <w:tcPr>
            <w:tcW w:w="1540" w:type="dxa"/>
            <w:vAlign w:val="center"/>
          </w:tcPr>
          <w:p w14:paraId="75913AAC">
            <w:pPr>
              <w:pStyle w:val="22"/>
              <w:rPr>
                <w:rFonts w:hint="eastAsia"/>
                <w:color w:val="auto"/>
                <w:highlight w:val="none"/>
              </w:rPr>
            </w:pPr>
            <w:r>
              <w:rPr>
                <w:color w:val="auto"/>
                <w:highlight w:val="none"/>
              </w:rPr>
              <w:t>对招标文件提出疑问或异议的截止时间及方式</w:t>
            </w:r>
          </w:p>
        </w:tc>
        <w:tc>
          <w:tcPr>
            <w:tcW w:w="7252" w:type="dxa"/>
            <w:vAlign w:val="center"/>
          </w:tcPr>
          <w:p w14:paraId="5F84BCD0">
            <w:pPr>
              <w:pStyle w:val="22"/>
              <w:jc w:val="left"/>
              <w:rPr>
                <w:rFonts w:hint="eastAsia"/>
                <w:color w:val="auto"/>
                <w:highlight w:val="none"/>
              </w:rPr>
            </w:pPr>
            <w:r>
              <w:rPr>
                <w:rFonts w:hint="eastAsia"/>
                <w:color w:val="auto"/>
                <w:highlight w:val="none"/>
              </w:rPr>
              <w:t>对招标文件提出疑问或异议的截止时间：</w:t>
            </w:r>
          </w:p>
          <w:p w14:paraId="024C59CC">
            <w:pPr>
              <w:pStyle w:val="22"/>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2"/>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2"/>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壹</w:t>
            </w:r>
            <w:r>
              <w:rPr>
                <w:rFonts w:hint="eastAsia"/>
                <w:b/>
                <w:bCs/>
                <w:color w:val="auto"/>
                <w:sz w:val="21"/>
                <w:szCs w:val="21"/>
                <w:highlight w:val="none"/>
              </w:rPr>
              <w:t>万元整（小写：¥</w:t>
            </w:r>
            <w:r>
              <w:rPr>
                <w:rFonts w:hint="eastAsia"/>
                <w:b/>
                <w:bCs/>
                <w:color w:val="auto"/>
                <w:sz w:val="21"/>
                <w:szCs w:val="21"/>
                <w:highlight w:val="none"/>
                <w:lang w:val="en-US" w:eastAsia="zh-CN"/>
              </w:rPr>
              <w:t>10</w:t>
            </w:r>
            <w:r>
              <w:rPr>
                <w:rFonts w:hint="eastAsia"/>
                <w:b/>
                <w:bCs/>
                <w:color w:val="auto"/>
                <w:sz w:val="21"/>
                <w:szCs w:val="21"/>
                <w:highlight w:val="none"/>
              </w:rPr>
              <w:t>000.00元）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2"/>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252" w:type="dxa"/>
            <w:vAlign w:val="center"/>
          </w:tcPr>
          <w:p w14:paraId="16928A5A">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0ED25852">
            <w:pPr>
              <w:adjustRightInd w:val="0"/>
              <w:snapToGrid w:val="0"/>
              <w:spacing w:line="360" w:lineRule="auto"/>
              <w:rPr>
                <w:rFonts w:hint="eastAsia"/>
                <w:color w:val="auto"/>
                <w:sz w:val="21"/>
                <w:szCs w:val="21"/>
                <w:highlight w:val="none"/>
              </w:rPr>
            </w:pPr>
            <w:r>
              <w:rPr>
                <w:rFonts w:hint="eastAsia"/>
                <w:color w:val="auto"/>
                <w:sz w:val="21"/>
                <w:szCs w:val="21"/>
                <w:highlight w:val="none"/>
              </w:rPr>
              <w:t>履约保证金账户信息：</w:t>
            </w:r>
          </w:p>
          <w:p w14:paraId="3692E90D">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526DCF4">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4930E716">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741E14E0">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2"/>
              <w:rPr>
                <w:rFonts w:hint="eastAsia"/>
                <w:color w:val="auto"/>
                <w:highlight w:val="none"/>
              </w:rPr>
            </w:pPr>
            <w:r>
              <w:rPr>
                <w:rFonts w:hint="eastAsia"/>
                <w:color w:val="auto"/>
                <w:highlight w:val="none"/>
              </w:rPr>
              <w:t>16</w:t>
            </w:r>
          </w:p>
        </w:tc>
        <w:tc>
          <w:tcPr>
            <w:tcW w:w="1540" w:type="dxa"/>
            <w:vAlign w:val="center"/>
          </w:tcPr>
          <w:p w14:paraId="2591E2B6">
            <w:pPr>
              <w:pStyle w:val="22"/>
              <w:rPr>
                <w:rFonts w:hint="eastAsia"/>
                <w:color w:val="auto"/>
                <w:highlight w:val="none"/>
              </w:rPr>
            </w:pPr>
            <w:r>
              <w:rPr>
                <w:color w:val="auto"/>
                <w:highlight w:val="none"/>
              </w:rPr>
              <w:t>投标有效期</w:t>
            </w:r>
          </w:p>
        </w:tc>
        <w:tc>
          <w:tcPr>
            <w:tcW w:w="7252" w:type="dxa"/>
            <w:vAlign w:val="center"/>
          </w:tcPr>
          <w:p w14:paraId="68B32D84">
            <w:pPr>
              <w:pStyle w:val="22"/>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2"/>
              <w:rPr>
                <w:rFonts w:hint="eastAsia"/>
                <w:color w:val="auto"/>
                <w:highlight w:val="none"/>
              </w:rPr>
            </w:pPr>
            <w:r>
              <w:rPr>
                <w:rFonts w:hint="eastAsia"/>
                <w:color w:val="auto"/>
                <w:highlight w:val="none"/>
              </w:rPr>
              <w:t>17</w:t>
            </w:r>
          </w:p>
        </w:tc>
        <w:tc>
          <w:tcPr>
            <w:tcW w:w="1540" w:type="dxa"/>
            <w:vAlign w:val="center"/>
          </w:tcPr>
          <w:p w14:paraId="0467C3BB">
            <w:pPr>
              <w:pStyle w:val="22"/>
              <w:rPr>
                <w:rFonts w:hint="eastAsia"/>
                <w:color w:val="auto"/>
                <w:highlight w:val="none"/>
              </w:rPr>
            </w:pPr>
            <w:r>
              <w:rPr>
                <w:rFonts w:hint="eastAsia"/>
                <w:color w:val="auto"/>
                <w:highlight w:val="none"/>
              </w:rPr>
              <w:t>投标</w:t>
            </w:r>
            <w:r>
              <w:rPr>
                <w:color w:val="auto"/>
                <w:highlight w:val="none"/>
              </w:rPr>
              <w:t>文件的签署</w:t>
            </w:r>
          </w:p>
        </w:tc>
        <w:tc>
          <w:tcPr>
            <w:tcW w:w="7252" w:type="dxa"/>
            <w:vAlign w:val="center"/>
          </w:tcPr>
          <w:p w14:paraId="1BCC8B77">
            <w:pPr>
              <w:pStyle w:val="22"/>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2"/>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2"/>
              <w:rPr>
                <w:rFonts w:hint="eastAsia"/>
                <w:color w:val="auto"/>
                <w:highlight w:val="none"/>
              </w:rPr>
            </w:pPr>
            <w:r>
              <w:rPr>
                <w:rFonts w:hint="eastAsia"/>
                <w:color w:val="auto"/>
                <w:highlight w:val="none"/>
              </w:rPr>
              <w:t>现场开标现场解密方式</w:t>
            </w:r>
          </w:p>
        </w:tc>
        <w:tc>
          <w:tcPr>
            <w:tcW w:w="7252"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2"/>
              <w:rPr>
                <w:rFonts w:hint="eastAsia"/>
                <w:color w:val="auto"/>
                <w:highlight w:val="none"/>
              </w:rPr>
            </w:pPr>
            <w:r>
              <w:rPr>
                <w:rFonts w:hint="eastAsia"/>
                <w:color w:val="auto"/>
                <w:highlight w:val="none"/>
              </w:rPr>
              <w:t>网上递交电子投标文件</w:t>
            </w:r>
          </w:p>
        </w:tc>
        <w:tc>
          <w:tcPr>
            <w:tcW w:w="7252"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日9时00分前（北京时间，下同）；</w:t>
            </w:r>
          </w:p>
          <w:p w14:paraId="260B4E72">
            <w:pPr>
              <w:pStyle w:val="22"/>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2"/>
              <w:rPr>
                <w:rFonts w:hint="eastAsia"/>
                <w:color w:val="auto"/>
                <w:highlight w:val="none"/>
              </w:rPr>
            </w:pPr>
            <w:r>
              <w:rPr>
                <w:rFonts w:hint="eastAsia"/>
                <w:color w:val="auto"/>
                <w:highlight w:val="none"/>
              </w:rPr>
              <w:t>21</w:t>
            </w:r>
          </w:p>
        </w:tc>
        <w:tc>
          <w:tcPr>
            <w:tcW w:w="1540" w:type="dxa"/>
            <w:vAlign w:val="center"/>
          </w:tcPr>
          <w:p w14:paraId="2F3FD9BC">
            <w:pPr>
              <w:pStyle w:val="22"/>
              <w:rPr>
                <w:rFonts w:hint="eastAsia"/>
                <w:color w:val="auto"/>
                <w:highlight w:val="none"/>
              </w:rPr>
            </w:pPr>
            <w:r>
              <w:rPr>
                <w:color w:val="auto"/>
                <w:highlight w:val="none"/>
              </w:rPr>
              <w:t>开标时间和地点</w:t>
            </w:r>
          </w:p>
        </w:tc>
        <w:tc>
          <w:tcPr>
            <w:tcW w:w="7252" w:type="dxa"/>
            <w:vAlign w:val="center"/>
          </w:tcPr>
          <w:p w14:paraId="3F90DDC2">
            <w:pPr>
              <w:pStyle w:val="22"/>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2"/>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2"/>
              <w:rPr>
                <w:rFonts w:hint="eastAsia"/>
                <w:color w:val="auto"/>
                <w:highlight w:val="none"/>
              </w:rPr>
            </w:pPr>
            <w:r>
              <w:rPr>
                <w:rFonts w:hint="eastAsia"/>
                <w:color w:val="auto"/>
                <w:highlight w:val="none"/>
              </w:rPr>
              <w:t>22</w:t>
            </w:r>
          </w:p>
        </w:tc>
        <w:tc>
          <w:tcPr>
            <w:tcW w:w="1540" w:type="dxa"/>
            <w:vAlign w:val="center"/>
          </w:tcPr>
          <w:p w14:paraId="739FBD42">
            <w:pPr>
              <w:pStyle w:val="22"/>
              <w:rPr>
                <w:rFonts w:hint="eastAsia"/>
                <w:color w:val="auto"/>
                <w:highlight w:val="none"/>
              </w:rPr>
            </w:pPr>
            <w:r>
              <w:rPr>
                <w:color w:val="auto"/>
                <w:highlight w:val="none"/>
              </w:rPr>
              <w:t>评标委员会的</w:t>
            </w:r>
          </w:p>
          <w:p w14:paraId="522C8E14">
            <w:pPr>
              <w:pStyle w:val="22"/>
              <w:rPr>
                <w:rFonts w:hint="eastAsia"/>
                <w:color w:val="auto"/>
                <w:highlight w:val="none"/>
              </w:rPr>
            </w:pPr>
            <w:r>
              <w:rPr>
                <w:color w:val="auto"/>
                <w:highlight w:val="none"/>
              </w:rPr>
              <w:t>组建</w:t>
            </w:r>
          </w:p>
        </w:tc>
        <w:tc>
          <w:tcPr>
            <w:tcW w:w="7252"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2"/>
              <w:rPr>
                <w:rFonts w:hint="eastAsia"/>
                <w:color w:val="auto"/>
                <w:highlight w:val="none"/>
              </w:rPr>
            </w:pPr>
            <w:r>
              <w:rPr>
                <w:rFonts w:hint="eastAsia"/>
                <w:color w:val="auto"/>
                <w:highlight w:val="none"/>
              </w:rPr>
              <w:t>23</w:t>
            </w:r>
          </w:p>
        </w:tc>
        <w:tc>
          <w:tcPr>
            <w:tcW w:w="1540" w:type="dxa"/>
            <w:vAlign w:val="center"/>
          </w:tcPr>
          <w:p w14:paraId="03177BE3">
            <w:pPr>
              <w:pStyle w:val="22"/>
              <w:rPr>
                <w:rFonts w:hint="eastAsia"/>
                <w:color w:val="auto"/>
                <w:highlight w:val="none"/>
              </w:rPr>
            </w:pPr>
            <w:r>
              <w:rPr>
                <w:color w:val="auto"/>
                <w:highlight w:val="none"/>
              </w:rPr>
              <w:t>评标方法</w:t>
            </w:r>
            <w:r>
              <w:rPr>
                <w:rFonts w:hint="eastAsia"/>
                <w:color w:val="auto"/>
                <w:highlight w:val="none"/>
              </w:rPr>
              <w:t>及标准</w:t>
            </w:r>
          </w:p>
        </w:tc>
        <w:tc>
          <w:tcPr>
            <w:tcW w:w="7252" w:type="dxa"/>
            <w:vAlign w:val="center"/>
          </w:tcPr>
          <w:p w14:paraId="36F86AD6">
            <w:pPr>
              <w:pStyle w:val="22"/>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252"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2"/>
              <w:rPr>
                <w:rFonts w:hint="eastAsia"/>
                <w:color w:val="auto"/>
                <w:highlight w:val="none"/>
              </w:rPr>
            </w:pPr>
            <w:r>
              <w:rPr>
                <w:rFonts w:hint="eastAsia"/>
                <w:color w:val="auto"/>
                <w:highlight w:val="none"/>
              </w:rPr>
              <w:t>26</w:t>
            </w:r>
          </w:p>
        </w:tc>
        <w:tc>
          <w:tcPr>
            <w:tcW w:w="1540" w:type="dxa"/>
            <w:vAlign w:val="center"/>
          </w:tcPr>
          <w:p w14:paraId="5DCC2151">
            <w:pPr>
              <w:pStyle w:val="22"/>
              <w:rPr>
                <w:rFonts w:hint="eastAsia"/>
                <w:color w:val="auto"/>
                <w:highlight w:val="none"/>
              </w:rPr>
            </w:pPr>
            <w:r>
              <w:rPr>
                <w:color w:val="auto"/>
                <w:highlight w:val="none"/>
              </w:rPr>
              <w:t>备选方案</w:t>
            </w:r>
          </w:p>
        </w:tc>
        <w:tc>
          <w:tcPr>
            <w:tcW w:w="7252" w:type="dxa"/>
            <w:vAlign w:val="center"/>
          </w:tcPr>
          <w:p w14:paraId="7B271ADB">
            <w:pPr>
              <w:pStyle w:val="22"/>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2"/>
              <w:rPr>
                <w:rFonts w:hint="eastAsia"/>
                <w:color w:val="auto"/>
                <w:highlight w:val="none"/>
              </w:rPr>
            </w:pPr>
            <w:r>
              <w:rPr>
                <w:rFonts w:hint="eastAsia"/>
                <w:color w:val="auto"/>
                <w:highlight w:val="none"/>
              </w:rPr>
              <w:t>27</w:t>
            </w:r>
          </w:p>
        </w:tc>
        <w:tc>
          <w:tcPr>
            <w:tcW w:w="8792"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2"/>
              <w:rPr>
                <w:rFonts w:hint="eastAsia"/>
                <w:color w:val="auto"/>
                <w:highlight w:val="none"/>
              </w:rPr>
            </w:pPr>
            <w:r>
              <w:rPr>
                <w:rFonts w:hint="eastAsia"/>
                <w:color w:val="auto"/>
                <w:highlight w:val="none"/>
              </w:rPr>
              <w:t>28</w:t>
            </w:r>
          </w:p>
        </w:tc>
        <w:tc>
          <w:tcPr>
            <w:tcW w:w="8792"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2"/>
              <w:rPr>
                <w:rFonts w:hint="eastAsia"/>
                <w:color w:val="auto"/>
                <w:highlight w:val="none"/>
              </w:rPr>
            </w:pPr>
            <w:r>
              <w:rPr>
                <w:rFonts w:hint="eastAsia"/>
                <w:color w:val="auto"/>
                <w:highlight w:val="none"/>
              </w:rPr>
              <w:t>29</w:t>
            </w:r>
          </w:p>
        </w:tc>
        <w:tc>
          <w:tcPr>
            <w:tcW w:w="8792" w:type="dxa"/>
            <w:gridSpan w:val="2"/>
            <w:shd w:val="clear" w:color="auto" w:fill="auto"/>
            <w:vAlign w:val="center"/>
          </w:tcPr>
          <w:p w14:paraId="4FF303B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7A68ED9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5175A12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本项目所属行业：软件和信息技术服务业</w:t>
            </w:r>
            <w:bookmarkStart w:id="122" w:name="_GoBack"/>
            <w:bookmarkEnd w:id="122"/>
            <w:r>
              <w:rPr>
                <w:rFonts w:hint="eastAsia" w:ascii="宋体" w:hAnsi="宋体" w:eastAsia="宋体" w:cs="宋体"/>
                <w:b/>
                <w:bCs/>
                <w:color w:val="auto"/>
                <w:sz w:val="21"/>
                <w:szCs w:val="21"/>
                <w:highlight w:val="none"/>
              </w:rPr>
              <w:t>。</w:t>
            </w:r>
          </w:p>
        </w:tc>
      </w:tr>
    </w:tbl>
    <w:p w14:paraId="3C5034C3">
      <w:pPr>
        <w:pStyle w:val="3"/>
        <w:snapToGrid w:val="0"/>
        <w:rPr>
          <w:rFonts w:hint="eastAsia"/>
          <w:color w:val="auto"/>
          <w:highlight w:val="none"/>
        </w:rPr>
      </w:pPr>
      <w:bookmarkStart w:id="29" w:name="_Toc451172697"/>
      <w:bookmarkStart w:id="30" w:name="_Toc32395"/>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719AC5F6">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18623"/>
      <w:bookmarkStart w:id="32" w:name="_Toc451172698"/>
      <w:bookmarkStart w:id="33" w:name="_Toc12844"/>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w:t>
      </w:r>
      <w:r>
        <w:rPr>
          <w:rFonts w:hint="eastAsia"/>
          <w:b/>
          <w:bCs/>
          <w:color w:val="auto"/>
          <w:highlight w:val="none"/>
          <w:lang w:eastAsia="zh-CN"/>
        </w:rPr>
        <w:t>；</w:t>
      </w:r>
      <w:r>
        <w:rPr>
          <w:rFonts w:hint="eastAsia"/>
          <w:b/>
          <w:bCs/>
          <w:color w:val="auto"/>
          <w:highlight w:val="none"/>
        </w:rPr>
        <w:t>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23065"/>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11775"/>
      <w:bookmarkStart w:id="36" w:name="_Toc9491"/>
      <w:bookmarkStart w:id="37" w:name="_Toc451172699"/>
      <w:bookmarkStart w:id="38" w:name="_Toc25751"/>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23723"/>
      <w:bookmarkStart w:id="40" w:name="_Toc451172700"/>
      <w:bookmarkStart w:id="41" w:name="_Toc3820"/>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12041"/>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20250"/>
      <w:bookmarkStart w:id="44" w:name="_Toc451172701"/>
      <w:bookmarkStart w:id="45" w:name="_Toc31068"/>
      <w:bookmarkStart w:id="46" w:name="_Toc25705"/>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451172702"/>
      <w:bookmarkStart w:id="49" w:name="_Toc28503"/>
      <w:bookmarkStart w:id="50" w:name="_Toc13105"/>
      <w:bookmarkStart w:id="51" w:name="_Toc20162"/>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14838"/>
      <w:bookmarkStart w:id="53" w:name="_Toc7792"/>
      <w:bookmarkStart w:id="54" w:name="_Toc5239"/>
      <w:bookmarkStart w:id="55" w:name="_Toc451172703"/>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2190"/>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2"/>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53C0E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7F31D2D2">
            <w:pPr>
              <w:adjustRightInd w:val="0"/>
              <w:snapToGrid w:val="0"/>
              <w:spacing w:line="360" w:lineRule="auto"/>
              <w:rPr>
                <w:rFonts w:hint="eastAsia"/>
                <w:color w:val="auto"/>
                <w:highlight w:val="none"/>
              </w:rPr>
            </w:pPr>
          </w:p>
        </w:tc>
        <w:tc>
          <w:tcPr>
            <w:tcW w:w="1736" w:type="dxa"/>
            <w:vAlign w:val="center"/>
          </w:tcPr>
          <w:p w14:paraId="4144F3F8">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6C2ED153">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53A3AF21">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7C9A9B25">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651D23FC">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338824BE">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2"/>
        <w:tblW w:w="95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442"/>
        <w:gridCol w:w="6688"/>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442"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688"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4629729"/>
            <w:bookmarkStart w:id="61" w:name="_Toc427081174"/>
            <w:bookmarkStart w:id="62" w:name="_Toc10305053"/>
            <w:bookmarkStart w:id="63" w:name="_Toc2349844"/>
            <w:r>
              <w:rPr>
                <w:rFonts w:hint="eastAsia"/>
                <w:bCs/>
                <w:color w:val="auto"/>
                <w:highlight w:val="none"/>
              </w:rPr>
              <w:t>报价部分（满分30分）</w:t>
            </w:r>
          </w:p>
        </w:tc>
        <w:tc>
          <w:tcPr>
            <w:tcW w:w="8130" w:type="dxa"/>
            <w:gridSpan w:val="2"/>
            <w:tcBorders>
              <w:tl2br w:val="nil"/>
              <w:tr2bl w:val="nil"/>
            </w:tcBorders>
            <w:vAlign w:val="center"/>
          </w:tcPr>
          <w:p w14:paraId="1C84DA8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2FBF71D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06FC084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4DB8131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60167D8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bCs/>
                <w:color w:val="auto"/>
                <w:highlight w:val="none"/>
                <w:lang w:val="en-US" w:eastAsia="zh-CN"/>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442" w:type="dxa"/>
            <w:vMerge w:val="restart"/>
            <w:tcBorders>
              <w:tl2br w:val="nil"/>
              <w:tr2bl w:val="nil"/>
            </w:tcBorders>
            <w:vAlign w:val="center"/>
          </w:tcPr>
          <w:p w14:paraId="1C675EAF">
            <w:pPr>
              <w:adjustRightInd w:val="0"/>
              <w:snapToGrid w:val="0"/>
              <w:spacing w:line="360" w:lineRule="auto"/>
              <w:jc w:val="center"/>
              <w:rPr>
                <w:rFonts w:hint="eastAsia"/>
                <w:bCs/>
                <w:color w:val="auto"/>
                <w:highlight w:val="none"/>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30分</w:t>
            </w:r>
            <w:r>
              <w:rPr>
                <w:rFonts w:hint="eastAsia"/>
                <w:color w:val="auto"/>
                <w:highlight w:val="none"/>
                <w:lang w:eastAsia="zh-CN"/>
              </w:rPr>
              <w:t>）</w:t>
            </w:r>
          </w:p>
        </w:tc>
        <w:tc>
          <w:tcPr>
            <w:tcW w:w="6688" w:type="dxa"/>
            <w:tcBorders>
              <w:bottom w:val="single" w:color="auto" w:sz="4" w:space="0"/>
              <w:tl2br w:val="nil"/>
              <w:tr2bl w:val="nil"/>
            </w:tcBorders>
            <w:vAlign w:val="center"/>
          </w:tcPr>
          <w:p w14:paraId="5747D435">
            <w:pPr>
              <w:pStyle w:val="142"/>
              <w:adjustRightInd w:val="0"/>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根据投标人提供的技术指标参数偏离表和技术支持资料，对照采购文件中标注“▲”技术参数进行评审。</w:t>
            </w:r>
          </w:p>
          <w:p w14:paraId="6BB66D4A">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1.重要技术参数响应（</w:t>
            </w:r>
            <w:r>
              <w:rPr>
                <w:rFonts w:hint="eastAsia" w:ascii="宋体" w:hAnsi="宋体"/>
                <w:b/>
                <w:bCs/>
                <w:color w:val="auto"/>
                <w:sz w:val="24"/>
                <w:szCs w:val="24"/>
                <w:highlight w:val="none"/>
                <w:lang w:val="en-US" w:eastAsia="zh-CN"/>
              </w:rPr>
              <w:t>21</w:t>
            </w:r>
            <w:r>
              <w:rPr>
                <w:rFonts w:hint="eastAsia" w:ascii="宋体" w:hAnsi="宋体"/>
                <w:b/>
                <w:bCs/>
                <w:color w:val="auto"/>
                <w:sz w:val="24"/>
                <w:szCs w:val="24"/>
                <w:highlight w:val="none"/>
              </w:rPr>
              <w:t>分）：</w:t>
            </w:r>
          </w:p>
          <w:p w14:paraId="6AAF147A">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采购文件第四章采购需求中参数配置标注“▲”项为重要技术参数，共</w:t>
            </w:r>
            <w:r>
              <w:rPr>
                <w:rFonts w:hint="eastAsia" w:ascii="宋体" w:hAnsi="宋体"/>
                <w:b/>
                <w:bCs/>
                <w:color w:val="auto"/>
                <w:sz w:val="24"/>
                <w:szCs w:val="24"/>
                <w:highlight w:val="none"/>
                <w:lang w:val="en-US" w:eastAsia="zh-CN"/>
              </w:rPr>
              <w:t>42</w:t>
            </w:r>
            <w:r>
              <w:rPr>
                <w:rFonts w:hint="eastAsia" w:ascii="宋体" w:hAnsi="宋体"/>
                <w:b/>
                <w:bCs/>
                <w:color w:val="auto"/>
                <w:sz w:val="24"/>
                <w:szCs w:val="24"/>
                <w:highlight w:val="none"/>
              </w:rPr>
              <w:t>项，供应商拟投产品的技术参数存在一项负偏离的，扣</w:t>
            </w:r>
            <w:r>
              <w:rPr>
                <w:rFonts w:hint="eastAsia" w:ascii="宋体" w:hAnsi="宋体"/>
                <w:b/>
                <w:bCs/>
                <w:color w:val="auto"/>
                <w:sz w:val="24"/>
                <w:szCs w:val="24"/>
                <w:highlight w:val="none"/>
                <w:lang w:val="en-US" w:eastAsia="zh-CN"/>
              </w:rPr>
              <w:t>0.5</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21</w:t>
            </w:r>
            <w:r>
              <w:rPr>
                <w:rFonts w:hint="eastAsia" w:ascii="宋体" w:hAnsi="宋体"/>
                <w:b/>
                <w:bCs/>
                <w:color w:val="auto"/>
                <w:sz w:val="24"/>
                <w:szCs w:val="24"/>
                <w:highlight w:val="none"/>
              </w:rPr>
              <w:t>分扣完为止，正偏离不加分。</w:t>
            </w:r>
          </w:p>
          <w:p w14:paraId="7A3FF4E3">
            <w:pPr>
              <w:adjustRightInd w:val="0"/>
              <w:snapToGrid w:val="0"/>
              <w:spacing w:line="360" w:lineRule="auto"/>
              <w:rPr>
                <w:rFonts w:hint="eastAsia" w:cs="Times New Roman"/>
                <w:color w:val="auto"/>
                <w:highlight w:val="none"/>
              </w:rPr>
            </w:pPr>
            <w:r>
              <w:rPr>
                <w:rFonts w:hint="eastAsia" w:cs="Times New Roman"/>
                <w:color w:val="auto"/>
                <w:highlight w:val="none"/>
              </w:rPr>
              <w:t>注：证明材料包括 第四章 货物需求及技术要求的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BAF6689">
            <w:pPr>
              <w:snapToGrid w:val="0"/>
              <w:spacing w:line="360" w:lineRule="auto"/>
              <w:contextualSpacing/>
              <w:rPr>
                <w:rFonts w:hint="eastAsia"/>
                <w:bCs/>
                <w:color w:val="auto"/>
                <w:highlight w:val="none"/>
              </w:rPr>
            </w:pPr>
            <w:r>
              <w:rPr>
                <w:rFonts w:hint="eastAsia" w:cs="Times New Roman"/>
                <w:color w:val="auto"/>
                <w:highlight w:val="none"/>
              </w:rPr>
              <w:t>因未附产品技术支持资料或说明导致评审小组会无法评审时，则视为不响应该项技术参数要求。</w:t>
            </w:r>
          </w:p>
        </w:tc>
      </w:tr>
      <w:tr w14:paraId="63AE2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60D054E6">
            <w:pPr>
              <w:snapToGrid w:val="0"/>
              <w:spacing w:line="360" w:lineRule="auto"/>
              <w:contextualSpacing/>
              <w:jc w:val="both"/>
              <w:rPr>
                <w:rFonts w:hint="eastAsia"/>
                <w:bCs/>
                <w:color w:val="auto"/>
                <w:highlight w:val="none"/>
              </w:rPr>
            </w:pPr>
          </w:p>
        </w:tc>
        <w:tc>
          <w:tcPr>
            <w:tcW w:w="1442" w:type="dxa"/>
            <w:vMerge w:val="continue"/>
            <w:tcBorders>
              <w:bottom w:val="single" w:color="auto" w:sz="4" w:space="0"/>
              <w:tl2br w:val="nil"/>
              <w:tr2bl w:val="nil"/>
            </w:tcBorders>
            <w:vAlign w:val="center"/>
          </w:tcPr>
          <w:p w14:paraId="4ED13631">
            <w:pPr>
              <w:adjustRightInd w:val="0"/>
              <w:snapToGrid w:val="0"/>
              <w:spacing w:line="360" w:lineRule="auto"/>
              <w:jc w:val="center"/>
              <w:rPr>
                <w:rFonts w:hint="eastAsia"/>
                <w:bCs/>
                <w:color w:val="auto"/>
                <w:highlight w:val="none"/>
              </w:rPr>
            </w:pPr>
          </w:p>
        </w:tc>
        <w:tc>
          <w:tcPr>
            <w:tcW w:w="6688" w:type="dxa"/>
            <w:tcBorders>
              <w:bottom w:val="single" w:color="auto" w:sz="4" w:space="0"/>
              <w:tl2br w:val="nil"/>
              <w:tr2bl w:val="nil"/>
            </w:tcBorders>
            <w:vAlign w:val="center"/>
          </w:tcPr>
          <w:p w14:paraId="61E5BF87">
            <w:pPr>
              <w:adjustRightInd w:val="0"/>
              <w:snapToGrid w:val="0"/>
              <w:spacing w:line="360" w:lineRule="auto"/>
              <w:rPr>
                <w:rFonts w:hint="eastAsia" w:cs="Times New Roman"/>
                <w:b/>
                <w:bCs/>
                <w:color w:val="auto"/>
                <w:highlight w:val="none"/>
              </w:rPr>
            </w:pPr>
            <w:r>
              <w:rPr>
                <w:rFonts w:hint="eastAsia" w:cs="Times New Roman"/>
                <w:b/>
                <w:bCs/>
                <w:color w:val="auto"/>
                <w:highlight w:val="none"/>
              </w:rPr>
              <w:t>2.一般技术参数响应（</w:t>
            </w:r>
            <w:r>
              <w:rPr>
                <w:rFonts w:hint="eastAsia" w:cs="Times New Roman"/>
                <w:b/>
                <w:bCs/>
                <w:color w:val="auto"/>
                <w:highlight w:val="none"/>
                <w:lang w:val="en-US" w:eastAsia="zh-CN"/>
              </w:rPr>
              <w:t>9</w:t>
            </w:r>
            <w:r>
              <w:rPr>
                <w:rFonts w:hint="eastAsia" w:cs="Times New Roman"/>
                <w:b/>
                <w:bCs/>
                <w:color w:val="auto"/>
                <w:highlight w:val="none"/>
              </w:rPr>
              <w:t>分）</w:t>
            </w:r>
          </w:p>
          <w:p w14:paraId="01C3D101">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采购文件第四章采购需求中参数配置未标注“▲”项为一般技术参数，根据投标人投标文件技术规格偏离表对招标文件技术指标的响应程度进行评分：</w:t>
            </w:r>
          </w:p>
          <w:p w14:paraId="21A287FF">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1.投标人提供产品配置及技术要求完全满足或优于招标文件参数要求的得基本分</w:t>
            </w:r>
            <w:r>
              <w:rPr>
                <w:rFonts w:hint="eastAsia" w:ascii="宋体" w:hAnsi="宋体"/>
                <w:b/>
                <w:bCs/>
                <w:color w:val="auto"/>
                <w:sz w:val="24"/>
                <w:szCs w:val="24"/>
                <w:highlight w:val="none"/>
                <w:lang w:val="en-US" w:eastAsia="zh-CN"/>
              </w:rPr>
              <w:t>9</w:t>
            </w:r>
            <w:r>
              <w:rPr>
                <w:rFonts w:hint="eastAsia" w:ascii="宋体" w:hAnsi="宋体"/>
                <w:b/>
                <w:bCs/>
                <w:color w:val="auto"/>
                <w:sz w:val="24"/>
                <w:szCs w:val="24"/>
                <w:highlight w:val="none"/>
              </w:rPr>
              <w:t>分。</w:t>
            </w:r>
          </w:p>
          <w:p w14:paraId="054155AE">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2.产品参数如有负偏离，即有一项不满足或低于招标需求的，在基本分</w:t>
            </w:r>
            <w:r>
              <w:rPr>
                <w:rFonts w:hint="eastAsia" w:ascii="宋体" w:hAnsi="宋体"/>
                <w:b/>
                <w:bCs/>
                <w:color w:val="auto"/>
                <w:sz w:val="24"/>
                <w:szCs w:val="24"/>
                <w:highlight w:val="none"/>
                <w:lang w:val="en-US" w:eastAsia="zh-CN"/>
              </w:rPr>
              <w:t>9</w:t>
            </w:r>
            <w:r>
              <w:rPr>
                <w:rFonts w:hint="eastAsia" w:ascii="宋体" w:hAnsi="宋体"/>
                <w:b/>
                <w:bCs/>
                <w:color w:val="auto"/>
                <w:sz w:val="24"/>
                <w:szCs w:val="24"/>
                <w:highlight w:val="none"/>
              </w:rPr>
              <w:t>分基础上每项扣</w:t>
            </w:r>
            <w:r>
              <w:rPr>
                <w:rFonts w:hint="eastAsia" w:ascii="宋体" w:hAnsi="宋体"/>
                <w:b/>
                <w:bCs/>
                <w:color w:val="auto"/>
                <w:sz w:val="24"/>
                <w:szCs w:val="24"/>
                <w:highlight w:val="none"/>
                <w:lang w:val="en-US" w:eastAsia="zh-CN"/>
              </w:rPr>
              <w:t>0.05</w:t>
            </w:r>
            <w:r>
              <w:rPr>
                <w:rFonts w:hint="eastAsia" w:ascii="宋体" w:hAnsi="宋体"/>
                <w:b/>
                <w:bCs/>
                <w:color w:val="auto"/>
                <w:sz w:val="24"/>
                <w:szCs w:val="24"/>
                <w:highlight w:val="none"/>
              </w:rPr>
              <w:t>分，分数扣完为止。</w:t>
            </w:r>
          </w:p>
          <w:p w14:paraId="3311069F">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3.允许投标人对技术指标做出正向偏离。</w:t>
            </w:r>
          </w:p>
          <w:p w14:paraId="3CBBFB92">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根据供应商所提供的《技术参数偏离表》或相关证明材料进行评审</w:t>
            </w:r>
            <w:r>
              <w:rPr>
                <w:rFonts w:hint="eastAsia" w:cs="Times New Roman"/>
                <w:color w:val="auto"/>
                <w:highlight w:val="none"/>
              </w:rPr>
              <w:t>。</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5" w:hRule="atLeast"/>
          <w:jc w:val="center"/>
        </w:trPr>
        <w:tc>
          <w:tcPr>
            <w:tcW w:w="1468" w:type="dxa"/>
            <w:vMerge w:val="continue"/>
            <w:tcBorders>
              <w:tl2br w:val="nil"/>
              <w:tr2bl w:val="nil"/>
            </w:tcBorders>
            <w:vAlign w:val="center"/>
          </w:tcPr>
          <w:p w14:paraId="7B35ABA4">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03E2A199">
            <w:pPr>
              <w:adjustRightInd w:val="0"/>
              <w:spacing w:line="360" w:lineRule="auto"/>
              <w:jc w:val="center"/>
              <w:rPr>
                <w:rFonts w:hint="eastAsia"/>
                <w:color w:val="auto"/>
                <w:highlight w:val="none"/>
              </w:rPr>
            </w:pPr>
            <w:r>
              <w:rPr>
                <w:rFonts w:hint="eastAsia" w:ascii="宋体" w:hAnsi="宋体"/>
                <w:color w:val="auto"/>
                <w:sz w:val="24"/>
                <w:highlight w:val="none"/>
              </w:rPr>
              <w:t>产品演示</w:t>
            </w:r>
            <w:r>
              <w:rPr>
                <w:rFonts w:hint="eastAsia"/>
                <w:color w:val="auto"/>
                <w:sz w:val="24"/>
                <w:highlight w:val="none"/>
                <w:lang w:eastAsia="zh-CN"/>
              </w:rPr>
              <w:t>（</w:t>
            </w:r>
            <w:r>
              <w:rPr>
                <w:rFonts w:hint="eastAsia"/>
                <w:color w:val="auto"/>
                <w:sz w:val="24"/>
                <w:highlight w:val="none"/>
                <w:lang w:val="en-US" w:eastAsia="zh-CN"/>
              </w:rPr>
              <w:t>10分</w:t>
            </w:r>
            <w:r>
              <w:rPr>
                <w:rFonts w:hint="eastAsia"/>
                <w:color w:val="auto"/>
                <w:sz w:val="24"/>
                <w:highlight w:val="none"/>
                <w:lang w:eastAsia="zh-CN"/>
              </w:rPr>
              <w:t>）</w:t>
            </w:r>
          </w:p>
        </w:tc>
        <w:tc>
          <w:tcPr>
            <w:tcW w:w="6688" w:type="dxa"/>
            <w:tcBorders>
              <w:bottom w:val="single" w:color="auto" w:sz="4" w:space="0"/>
              <w:tl2br w:val="nil"/>
              <w:tr2bl w:val="nil"/>
            </w:tcBorders>
            <w:shd w:val="clear" w:color="auto" w:fill="auto"/>
            <w:vAlign w:val="center"/>
          </w:tcPr>
          <w:p w14:paraId="3AEF5DD8">
            <w:pPr>
              <w:adjustRightInd w:val="0"/>
              <w:snapToGrid w:val="0"/>
              <w:spacing w:line="360" w:lineRule="auto"/>
              <w:rPr>
                <w:rFonts w:hint="eastAsia" w:ascii="宋体" w:hAnsi="宋体" w:eastAsia="宋体" w:cs="Times New Roman"/>
                <w:color w:val="auto"/>
                <w:highlight w:val="none"/>
              </w:rPr>
            </w:pPr>
            <w:r>
              <w:rPr>
                <w:rFonts w:hint="eastAsia" w:ascii="宋体" w:hAnsi="宋体" w:eastAsia="宋体" w:cs="Times New Roman"/>
                <w:color w:val="auto"/>
                <w:highlight w:val="none"/>
              </w:rPr>
              <w:t>投标人提供线上演示，具体演示方式在开标后具体通知，评标委员会依据投标人针对本项目提供的演示进行</w:t>
            </w:r>
            <w:r>
              <w:rPr>
                <w:rFonts w:hint="eastAsia" w:ascii="宋体" w:hAnsi="宋体" w:eastAsia="宋体" w:cs="Times New Roman"/>
                <w:color w:val="auto"/>
                <w:highlight w:val="none"/>
                <w:lang w:val="en-US" w:eastAsia="zh-CN"/>
              </w:rPr>
              <w:t>评审</w:t>
            </w:r>
            <w:r>
              <w:rPr>
                <w:rFonts w:hint="eastAsia" w:ascii="宋体" w:hAnsi="宋体" w:eastAsia="宋体" w:cs="Times New Roman"/>
                <w:color w:val="auto"/>
                <w:highlight w:val="none"/>
              </w:rPr>
              <w:t>：</w:t>
            </w:r>
          </w:p>
          <w:p w14:paraId="3E47D6B1">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rPr>
              <w:t>一、电商实训区</w:t>
            </w:r>
            <w:r>
              <w:rPr>
                <w:rFonts w:hint="eastAsia" w:ascii="宋体" w:hAnsi="宋体" w:eastAsia="宋体" w:cs="Times New Roman"/>
                <w:b/>
                <w:bCs/>
                <w:color w:val="auto"/>
                <w:highlight w:val="none"/>
                <w:lang w:eastAsia="zh-CN"/>
              </w:rPr>
              <w:t>（</w:t>
            </w:r>
            <w:r>
              <w:rPr>
                <w:rFonts w:hint="eastAsia" w:cs="Times New Roman"/>
                <w:b/>
                <w:bCs/>
                <w:color w:val="auto"/>
                <w:highlight w:val="none"/>
                <w:lang w:val="en-US" w:eastAsia="zh-CN"/>
              </w:rPr>
              <w:t>6</w:t>
            </w:r>
            <w:r>
              <w:rPr>
                <w:rFonts w:hint="eastAsia" w:ascii="宋体" w:hAnsi="宋体" w:eastAsia="宋体" w:cs="Times New Roman"/>
                <w:b/>
                <w:bCs/>
                <w:color w:val="auto"/>
                <w:highlight w:val="none"/>
                <w:lang w:val="en-US" w:eastAsia="zh-CN"/>
              </w:rPr>
              <w:t>分</w:t>
            </w:r>
            <w:r>
              <w:rPr>
                <w:rFonts w:hint="eastAsia" w:ascii="宋体" w:hAnsi="宋体" w:eastAsia="宋体" w:cs="Times New Roman"/>
                <w:b/>
                <w:bCs/>
                <w:color w:val="auto"/>
                <w:highlight w:val="none"/>
                <w:lang w:eastAsia="zh-CN"/>
              </w:rPr>
              <w:t>）</w:t>
            </w:r>
          </w:p>
          <w:p w14:paraId="2434627A">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val="en-US" w:eastAsia="zh-CN"/>
              </w:rPr>
              <w:t>（一）虚拟数字人创作平台：</w:t>
            </w:r>
          </w:p>
          <w:p w14:paraId="593C8D2E">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1.须支持转场功能，可提供基础转场、特效转场、运镜转场、遮罩转场，提供对角切换、旋涡、栅格等不少于30项转场设计；</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16D99125">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2.须支持特效功能，可提供基础、氛围、动感、分屏、变形、光影、梦幻、色彩、复古、自然等模板，提供开幕、闭幕、横向模糊等不少于30项特效设计；</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70FE4EAB">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val="en-US" w:eastAsia="zh-CN"/>
              </w:rPr>
              <w:t>（二）BEM技能应用与实战平台：</w:t>
            </w:r>
          </w:p>
          <w:p w14:paraId="4BB58E7D">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1.AIGC提示词技巧实训：包括两个子任务：提示词构建、精准提问与追问；支持用户根据任务要求进行提示词撰写；支持根据用户的提示词生成AI内容；并对用户的提示词给出AI建议，从而修改优化提示词；提示词构建包括：BACK模型训练、BARD模型训练、公式法训练、ICIO模型训练、CARE模型训练、CRISPE模型训练等不少于6种训练模板；精准提问与追问包括：指令式提问、引导式提问、发散式提问、递进式追问等不少于4种训练模板；每个任务内置对应的知识点、案例学习、任务背景与任务要求；</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1D8C908E">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2.AIGC文本内容实训：包括三个子任务：文本基础处理、方案设计、文案创作；文本基础处理包括：扩写、改写、精简、摘要、语气等不少于5种训练模板，方案设计包括：市场营销方案、品牌推广方案、项目管理方案、客户服务方案、培训教育方案等不少于5种训练模板；文案创作包括：标题撰写、开头设计、内容策划、结尾撰写，等不少于4种训练模板，每个任务内置对应的知识点、案例学习、任务背景与任务要求；</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2D5813D7">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3.AIGC视觉营销实训：包括两个子任务：视觉营销提示词、视觉营销创意设计；支持用户通过提示词生成图片；支持通过调整提示词重新生成视觉图，视觉营销创意设计包括：社媒宣传图、电商图、海报图等不少于3种训练模板，每个任务内置对应的知识点、案例学习、任务背景与任务要求；</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37E233A1">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4.</w:t>
            </w:r>
            <w:r>
              <w:rPr>
                <w:rFonts w:hint="eastAsia" w:ascii="宋体" w:hAnsi="宋体" w:eastAsia="宋体" w:cs="宋体"/>
                <w:i w:val="0"/>
                <w:iCs w:val="0"/>
                <w:color w:val="auto"/>
                <w:kern w:val="0"/>
                <w:sz w:val="24"/>
                <w:szCs w:val="24"/>
                <w:highlight w:val="none"/>
                <w:u w:val="none"/>
                <w:lang w:val="en-US" w:eastAsia="zh-CN" w:bidi="ar"/>
              </w:rPr>
              <w:t>供应商须为采购人提供《电子商务数据分析》、《农产品电商运营资源》、《跨境电商基础与实务》课程资源包，《电子商务数据分析》课程资源包须包含课程视频≥145个、作业≥32个、测验≥17个、资料≥133个；《农产品电商运营资源》课程资源包须包含课程视频不少于122个、作业不少于32个、测验不少于6个、资料不少于29个；《跨境电商基础与实务》课程资源包须包含课程视频≥20个、作业≥10个、测验≥15个、资源≥40个，所有资源包内容可一键摘录到平台班级中直接使用，同时提供职业技能等级证书训练平台，便于采购人有效利用。</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3E4423B6">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val="en-US" w:eastAsia="zh-CN"/>
              </w:rPr>
              <w:t>二</w:t>
            </w:r>
            <w:r>
              <w:rPr>
                <w:rFonts w:hint="eastAsia" w:ascii="宋体" w:hAnsi="宋体" w:eastAsia="宋体" w:cs="Times New Roman"/>
                <w:b/>
                <w:bCs/>
                <w:color w:val="auto"/>
                <w:highlight w:val="none"/>
              </w:rPr>
              <w:t>、商贸赛道平台建设</w:t>
            </w:r>
            <w:r>
              <w:rPr>
                <w:rFonts w:hint="eastAsia" w:ascii="宋体" w:hAnsi="宋体" w:eastAsia="宋体" w:cs="Times New Roman"/>
                <w:b/>
                <w:bCs/>
                <w:color w:val="auto"/>
                <w:highlight w:val="none"/>
                <w:lang w:eastAsia="zh-CN"/>
              </w:rPr>
              <w:t>（</w:t>
            </w:r>
            <w:r>
              <w:rPr>
                <w:rFonts w:hint="eastAsia" w:cs="Times New Roman"/>
                <w:b/>
                <w:bCs/>
                <w:color w:val="auto"/>
                <w:highlight w:val="none"/>
                <w:lang w:val="en-US" w:eastAsia="zh-CN"/>
              </w:rPr>
              <w:t>4</w:t>
            </w:r>
            <w:r>
              <w:rPr>
                <w:rFonts w:hint="eastAsia" w:ascii="宋体" w:hAnsi="宋体" w:eastAsia="宋体" w:cs="Times New Roman"/>
                <w:b/>
                <w:bCs/>
                <w:color w:val="auto"/>
                <w:highlight w:val="none"/>
                <w:lang w:val="en-US" w:eastAsia="zh-CN"/>
              </w:rPr>
              <w:t>分</w:t>
            </w:r>
            <w:r>
              <w:rPr>
                <w:rFonts w:hint="eastAsia" w:ascii="宋体" w:hAnsi="宋体" w:eastAsia="宋体" w:cs="Times New Roman"/>
                <w:b/>
                <w:bCs/>
                <w:color w:val="auto"/>
                <w:highlight w:val="none"/>
                <w:lang w:eastAsia="zh-CN"/>
              </w:rPr>
              <w:t>）</w:t>
            </w:r>
          </w:p>
          <w:p w14:paraId="7A6DA25B">
            <w:pPr>
              <w:adjustRightInd w:val="0"/>
              <w:snapToGrid w:val="0"/>
              <w:spacing w:line="360" w:lineRule="auto"/>
              <w:rPr>
                <w:rFonts w:hint="default"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lang w:val="en-US" w:eastAsia="zh-CN"/>
              </w:rPr>
              <w:t>（一）跨境贸易业财税实战平台</w:t>
            </w:r>
          </w:p>
          <w:p w14:paraId="7AFFFDAC">
            <w:pPr>
              <w:adjustRightInd w:val="0"/>
              <w:snapToGrid w:val="0"/>
              <w:spacing w:line="360" w:lineRule="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1.平台支持知识库中选择讲义，根据AI提取的章节内容、输入的教学方法和课程学时，AI生成包括教学目标、教学重点、教学难点、每一节教学内容、教学方法、教学评价、对应学时的每一章教学内容。</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3EB61CDC">
            <w:pPr>
              <w:adjustRightInd w:val="0"/>
              <w:snapToGrid w:val="0"/>
              <w:spacing w:line="360" w:lineRule="auto"/>
              <w:rPr>
                <w:rFonts w:hint="default"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2.平台支持从知识库中选择讲义，通过AI的分解技术，自动解析教学课题和内容，同时根据教学对象、教学方法，AI生成包括知识基础、认知能力、学习特点、专业特性的学情分析，生成包括知识与技能、过程与方法、情感态度与价值观的教学目标，生成教学重难点、教学策略，生成教学资源、教学用具、教学环境、教学媒体教学准备内容。</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3709416B">
            <w:pPr>
              <w:adjustRightInd w:val="0"/>
              <w:snapToGrid w:val="0"/>
              <w:spacing w:line="360" w:lineRule="auto"/>
              <w:rPr>
                <w:rFonts w:hint="default"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3.平台支持内置PPT模版，包括扁平简约、商务科技、文艺清新、卡通手绘、中国风、创意时尚、创意趣味风格，选择某个模版AI自动生成PPT内容，生成的PPT内容还支持线上再次编辑，添加标准字体或艺术字、插入各种形状的图形、插入图片、音乐、影片、条形图、饼状图、环形图、折线图，更换模版和主题、支持线上播放和导出PPT。</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37B33312">
            <w:pPr>
              <w:adjustRightInd w:val="0"/>
              <w:snapToGrid w:val="0"/>
              <w:spacing w:line="360" w:lineRule="auto"/>
              <w:rPr>
                <w:rFonts w:hint="default"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4.平台AI自动制单包含输入业务信息、选择单据类型、自动生成单据三个交互界面，引导用户利用AI生成经济业务对应的原始凭证，同时支持凭证一键截图功能，方便对生成的凭证进行使用。AI根据用户输入的经济业务内容，智能推荐对应的单据类型。推荐结果以图像形式排列，用户可查看并确认选择的单据类型。支持对推荐的单据类型进行修改，用户可通过删除键或新增键修改对应单据类型。</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1</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13ADD6AA">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color w:val="auto"/>
                <w:highlight w:val="none"/>
              </w:rPr>
              <w:t>注：（1）本次线上演示设备及环境由投标人自行准备，演示时长不得超过20分钟。（2）本项目总计</w:t>
            </w:r>
            <w:r>
              <w:rPr>
                <w:rFonts w:hint="eastAsia" w:ascii="宋体" w:hAnsi="宋体" w:eastAsia="宋体" w:cs="Times New Roman"/>
                <w:color w:val="auto"/>
                <w:highlight w:val="none"/>
                <w:lang w:val="en-US" w:eastAsia="zh-CN"/>
              </w:rPr>
              <w:t>10</w:t>
            </w:r>
            <w:r>
              <w:rPr>
                <w:rFonts w:hint="eastAsia" w:ascii="宋体" w:hAnsi="宋体" w:eastAsia="宋体" w:cs="Times New Roman"/>
                <w:color w:val="auto"/>
                <w:highlight w:val="none"/>
              </w:rPr>
              <w:t>个分项演示，每一项完全演示成功的得</w:t>
            </w:r>
            <w:r>
              <w:rPr>
                <w:rFonts w:hint="eastAsia" w:cs="Times New Roman"/>
                <w:color w:val="auto"/>
                <w:highlight w:val="none"/>
                <w:lang w:val="en-US" w:eastAsia="zh-CN"/>
              </w:rPr>
              <w:t>1</w:t>
            </w:r>
            <w:r>
              <w:rPr>
                <w:rFonts w:hint="eastAsia" w:ascii="宋体" w:hAnsi="宋体" w:eastAsia="宋体" w:cs="Times New Roman"/>
                <w:color w:val="auto"/>
                <w:highlight w:val="none"/>
              </w:rPr>
              <w:t>分，总分</w:t>
            </w:r>
            <w:r>
              <w:rPr>
                <w:rFonts w:hint="eastAsia" w:ascii="宋体" w:hAnsi="宋体" w:eastAsia="宋体" w:cs="Times New Roman"/>
                <w:color w:val="auto"/>
                <w:highlight w:val="none"/>
                <w:lang w:val="en-US" w:eastAsia="zh-CN"/>
              </w:rPr>
              <w:t>10</w:t>
            </w:r>
            <w:r>
              <w:rPr>
                <w:rFonts w:hint="eastAsia" w:ascii="宋体" w:hAnsi="宋体" w:eastAsia="宋体" w:cs="Times New Roman"/>
                <w:color w:val="auto"/>
                <w:highlight w:val="none"/>
              </w:rPr>
              <w:t>分；单演示项目中未全部演示成功</w:t>
            </w:r>
            <w:r>
              <w:rPr>
                <w:rFonts w:hint="eastAsia" w:cs="Times New Roman"/>
                <w:color w:val="auto"/>
                <w:highlight w:val="none"/>
                <w:lang w:val="en-US" w:eastAsia="zh-CN"/>
              </w:rPr>
              <w:t>或</w:t>
            </w:r>
            <w:r>
              <w:rPr>
                <w:rFonts w:hint="eastAsia" w:ascii="宋体" w:hAnsi="宋体" w:eastAsia="宋体" w:cs="Times New Roman"/>
                <w:color w:val="auto"/>
                <w:highlight w:val="none"/>
              </w:rPr>
              <w:t>未演示的不得分。</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6"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191A987B">
            <w:pPr>
              <w:adjustRightInd w:val="0"/>
              <w:spacing w:line="4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项目实施方案</w:t>
            </w:r>
          </w:p>
          <w:p w14:paraId="21D0994E">
            <w:pPr>
              <w:adjustRightInd w:val="0"/>
              <w:spacing w:line="460" w:lineRule="exact"/>
              <w:jc w:val="center"/>
              <w:rPr>
                <w:rFonts w:hint="eastAsia"/>
                <w:bCs/>
                <w:color w:val="auto"/>
                <w:highlight w:val="none"/>
              </w:rPr>
            </w:pPr>
            <w:r>
              <w:rPr>
                <w:rFonts w:hint="eastAsia" w:ascii="宋体" w:hAnsi="宋体" w:cs="宋体"/>
                <w:color w:val="auto"/>
                <w:sz w:val="24"/>
                <w:highlight w:val="none"/>
              </w:rPr>
              <w:t>（</w:t>
            </w:r>
            <w:r>
              <w:rPr>
                <w:rFonts w:hint="eastAsia" w:cs="宋体"/>
                <w:color w:val="auto"/>
                <w:sz w:val="24"/>
                <w:highlight w:val="none"/>
                <w:lang w:val="en-US" w:eastAsia="zh-CN"/>
              </w:rPr>
              <w:t>8</w:t>
            </w:r>
            <w:r>
              <w:rPr>
                <w:rFonts w:hint="eastAsia" w:ascii="宋体" w:hAnsi="宋体" w:cs="宋体"/>
                <w:color w:val="auto"/>
                <w:sz w:val="24"/>
                <w:highlight w:val="none"/>
              </w:rPr>
              <w:t>分）</w:t>
            </w:r>
          </w:p>
        </w:tc>
        <w:tc>
          <w:tcPr>
            <w:tcW w:w="6688" w:type="dxa"/>
            <w:tcBorders>
              <w:top w:val="single" w:color="auto" w:sz="4" w:space="0"/>
              <w:bottom w:val="single" w:color="auto" w:sz="4" w:space="0"/>
              <w:tl2br w:val="nil"/>
              <w:tr2bl w:val="nil"/>
            </w:tcBorders>
            <w:vAlign w:val="center"/>
          </w:tcPr>
          <w:p w14:paraId="25DD1401">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根据投标人提供的项目实施方案进行评审，包括但不限于：</w:t>
            </w:r>
          </w:p>
          <w:p w14:paraId="12093930">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（1）项目实施过程管控方案；</w:t>
            </w:r>
          </w:p>
          <w:p w14:paraId="6B33B7DA">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（2）项目实施进度计划安排</w:t>
            </w:r>
            <w:r>
              <w:rPr>
                <w:rFonts w:hint="eastAsia" w:cs="宋体"/>
                <w:b/>
                <w:bCs/>
                <w:color w:val="auto"/>
                <w:sz w:val="24"/>
                <w:highlight w:val="none"/>
                <w:u w:val="none"/>
                <w:lang w:val="en-US" w:eastAsia="zh-CN"/>
              </w:rPr>
              <w:t>及保障措施</w:t>
            </w:r>
            <w:r>
              <w:rPr>
                <w:rFonts w:hint="eastAsia" w:ascii="宋体" w:hAnsi="宋体" w:cs="宋体"/>
                <w:b/>
                <w:bCs/>
                <w:color w:val="auto"/>
                <w:sz w:val="24"/>
                <w:highlight w:val="none"/>
                <w:u w:val="none"/>
              </w:rPr>
              <w:t>；</w:t>
            </w:r>
          </w:p>
          <w:p w14:paraId="27B89C80">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（3）系统安装调试方案；</w:t>
            </w:r>
          </w:p>
          <w:p w14:paraId="54E4997F">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（4）试验验证或成果验收方案；</w:t>
            </w:r>
          </w:p>
          <w:p w14:paraId="5BDE7914">
            <w:pPr>
              <w:adjustRightInd w:val="0"/>
              <w:spacing w:line="440" w:lineRule="exact"/>
              <w:rPr>
                <w:rFonts w:hint="eastAsia"/>
                <w:bCs/>
                <w:color w:val="auto"/>
                <w:highlight w:val="none"/>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项，经评定相关内容完整、方案详细、全面，完全满足采购文件服务要求，在完整性、契合度、思路清晰、可实施性、专业性上强的得</w:t>
            </w:r>
            <w:r>
              <w:rPr>
                <w:rFonts w:hint="eastAsia" w:cs="宋体"/>
                <w:b w:val="0"/>
                <w:bCs w:val="0"/>
                <w:color w:val="auto"/>
                <w:sz w:val="24"/>
                <w:highlight w:val="none"/>
                <w:u w:val="none"/>
                <w:lang w:val="en-US" w:eastAsia="zh-CN"/>
              </w:rPr>
              <w:t>8</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w:t>
            </w:r>
            <w:r>
              <w:rPr>
                <w:rFonts w:hint="eastAsia" w:ascii="宋体" w:hAnsi="宋体" w:cs="宋体"/>
                <w:b w:val="0"/>
                <w:bCs w:val="0"/>
                <w:color w:val="auto"/>
                <w:sz w:val="24"/>
                <w:highlight w:val="none"/>
                <w:u w:val="none"/>
                <w:lang w:val="en-US" w:eastAsia="zh-CN"/>
              </w:rPr>
              <w:t>0.5</w:t>
            </w:r>
            <w:r>
              <w:rPr>
                <w:rFonts w:hint="eastAsia" w:ascii="宋体" w:hAnsi="宋体" w:cs="宋体"/>
                <w:b w:val="0"/>
                <w:bCs w:val="0"/>
                <w:color w:val="auto"/>
                <w:sz w:val="24"/>
                <w:highlight w:val="none"/>
                <w:u w:val="none"/>
              </w:rPr>
              <w:t>分；内容存在不足，存在疏漏、思路不清晰，可实施性较弱的扣</w:t>
            </w:r>
            <w:r>
              <w:rPr>
                <w:rFonts w:hint="eastAsia" w:ascii="宋体" w:hAnsi="宋体"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w:t>
            </w:r>
            <w:r>
              <w:rPr>
                <w:rFonts w:hint="eastAsia"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4DDAF60D">
            <w:pPr>
              <w:adjustRightInd w:val="0"/>
              <w:spacing w:line="480" w:lineRule="exact"/>
              <w:jc w:val="center"/>
              <w:rPr>
                <w:rFonts w:hint="eastAsia" w:ascii="宋体" w:hAnsi="宋体" w:cs="宋体"/>
                <w:color w:val="auto"/>
                <w:sz w:val="24"/>
                <w:highlight w:val="none"/>
              </w:rPr>
            </w:pPr>
            <w:r>
              <w:rPr>
                <w:rFonts w:hint="eastAsia" w:ascii="宋体" w:hAnsi="宋体" w:cs="宋体"/>
                <w:color w:val="auto"/>
                <w:sz w:val="24"/>
                <w:highlight w:val="none"/>
              </w:rPr>
              <w:t>质量承诺及其保证措施</w:t>
            </w:r>
          </w:p>
          <w:p w14:paraId="3375D674">
            <w:pPr>
              <w:adjustRightInd w:val="0"/>
              <w:spacing w:line="480" w:lineRule="exact"/>
              <w:jc w:val="center"/>
              <w:rPr>
                <w:rFonts w:hint="eastAsia"/>
                <w:bCs/>
                <w:color w:val="auto"/>
                <w:highlight w:val="none"/>
              </w:rPr>
            </w:pPr>
            <w:r>
              <w:rPr>
                <w:rFonts w:hint="eastAsia" w:ascii="宋体" w:hAnsi="宋体" w:cs="宋体"/>
                <w:color w:val="auto"/>
                <w:sz w:val="24"/>
                <w:highlight w:val="none"/>
              </w:rPr>
              <w:t>（</w:t>
            </w:r>
            <w:r>
              <w:rPr>
                <w:rFonts w:hint="eastAsia" w:cs="宋体"/>
                <w:color w:val="auto"/>
                <w:sz w:val="24"/>
                <w:highlight w:val="none"/>
                <w:lang w:val="en-US" w:eastAsia="zh-CN"/>
              </w:rPr>
              <w:t>6</w:t>
            </w:r>
            <w:r>
              <w:rPr>
                <w:rFonts w:hint="eastAsia" w:ascii="宋体" w:hAnsi="宋体" w:cs="宋体"/>
                <w:color w:val="auto"/>
                <w:sz w:val="24"/>
                <w:highlight w:val="none"/>
              </w:rPr>
              <w:t>分）</w:t>
            </w:r>
          </w:p>
        </w:tc>
        <w:tc>
          <w:tcPr>
            <w:tcW w:w="6688" w:type="dxa"/>
            <w:tcBorders>
              <w:top w:val="single" w:color="auto" w:sz="4" w:space="0"/>
              <w:tl2br w:val="nil"/>
              <w:tr2bl w:val="nil"/>
            </w:tcBorders>
            <w:vAlign w:val="center"/>
          </w:tcPr>
          <w:p w14:paraId="53A28E6A">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根据投标人提供的质量承诺及其保证措施进行评审，包括但不限于：</w:t>
            </w:r>
          </w:p>
          <w:p w14:paraId="06A17F6A">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（1）服务及产品质量</w:t>
            </w:r>
            <w:r>
              <w:rPr>
                <w:rFonts w:hint="eastAsia" w:cs="宋体"/>
                <w:b/>
                <w:bCs/>
                <w:color w:val="auto"/>
                <w:sz w:val="24"/>
                <w:highlight w:val="none"/>
                <w:u w:val="none"/>
                <w:lang w:val="en-US" w:eastAsia="zh-CN"/>
              </w:rPr>
              <w:t>保障措施及承诺</w:t>
            </w:r>
            <w:r>
              <w:rPr>
                <w:rFonts w:hint="eastAsia" w:ascii="宋体" w:hAnsi="宋体" w:cs="宋体"/>
                <w:b/>
                <w:bCs/>
                <w:color w:val="auto"/>
                <w:sz w:val="24"/>
                <w:highlight w:val="none"/>
                <w:u w:val="none"/>
              </w:rPr>
              <w:t>；</w:t>
            </w:r>
          </w:p>
          <w:p w14:paraId="46ED7133">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（2）质保期</w:t>
            </w:r>
            <w:r>
              <w:rPr>
                <w:rFonts w:hint="eastAsia" w:cs="宋体"/>
                <w:b/>
                <w:bCs/>
                <w:color w:val="auto"/>
                <w:sz w:val="24"/>
                <w:highlight w:val="none"/>
                <w:u w:val="none"/>
                <w:lang w:val="en-US" w:eastAsia="zh-CN"/>
              </w:rPr>
              <w:t>服务方案及承诺</w:t>
            </w:r>
            <w:r>
              <w:rPr>
                <w:rFonts w:hint="eastAsia" w:ascii="宋体" w:hAnsi="宋体" w:cs="宋体"/>
                <w:b/>
                <w:bCs/>
                <w:color w:val="auto"/>
                <w:sz w:val="24"/>
                <w:highlight w:val="none"/>
                <w:u w:val="none"/>
              </w:rPr>
              <w:t>；</w:t>
            </w:r>
          </w:p>
          <w:p w14:paraId="48BA87D1">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3</w:t>
            </w:r>
            <w:r>
              <w:rPr>
                <w:rFonts w:hint="eastAsia" w:ascii="宋体" w:hAnsi="宋体" w:cs="宋体"/>
                <w:b/>
                <w:bCs/>
                <w:color w:val="auto"/>
                <w:sz w:val="24"/>
                <w:highlight w:val="none"/>
                <w:u w:val="none"/>
              </w:rPr>
              <w:t>）违约责任承诺及处罚措施。</w:t>
            </w:r>
          </w:p>
          <w:p w14:paraId="7661D9D9">
            <w:pPr>
              <w:adjustRightInd w:val="0"/>
              <w:spacing w:line="440" w:lineRule="exact"/>
              <w:rPr>
                <w:rFonts w:hint="eastAsia"/>
                <w:bCs/>
                <w:color w:val="auto"/>
                <w:highlight w:val="none"/>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3</w:t>
            </w:r>
            <w:r>
              <w:rPr>
                <w:rFonts w:hint="eastAsia" w:ascii="宋体" w:hAnsi="宋体" w:cs="宋体"/>
                <w:b w:val="0"/>
                <w:bCs w:val="0"/>
                <w:color w:val="auto"/>
                <w:sz w:val="24"/>
                <w:highlight w:val="none"/>
                <w:u w:val="none"/>
              </w:rPr>
              <w:t>项，经评定相关内容完整、</w:t>
            </w:r>
            <w:r>
              <w:rPr>
                <w:rFonts w:hint="eastAsia" w:cs="宋体"/>
                <w:b w:val="0"/>
                <w:bCs w:val="0"/>
                <w:color w:val="auto"/>
                <w:sz w:val="24"/>
                <w:highlight w:val="none"/>
                <w:u w:val="none"/>
                <w:lang w:val="en-US" w:eastAsia="zh-CN"/>
              </w:rPr>
              <w:t>措施</w:t>
            </w:r>
            <w:r>
              <w:rPr>
                <w:rFonts w:hint="eastAsia" w:ascii="宋体" w:hAnsi="宋体" w:cs="宋体"/>
                <w:b w:val="0"/>
                <w:bCs w:val="0"/>
                <w:color w:val="auto"/>
                <w:sz w:val="24"/>
                <w:highlight w:val="none"/>
                <w:u w:val="none"/>
              </w:rPr>
              <w:t>详细、全面，完全满足采购文件服务要求，在完整性、契合度、思路清晰、可实施性、专业性上强的得</w:t>
            </w:r>
            <w:r>
              <w:rPr>
                <w:rFonts w:hint="eastAsia" w:cs="宋体"/>
                <w:b w:val="0"/>
                <w:bCs w:val="0"/>
                <w:color w:val="auto"/>
                <w:sz w:val="24"/>
                <w:highlight w:val="none"/>
                <w:u w:val="none"/>
                <w:lang w:val="en-US" w:eastAsia="zh-CN"/>
              </w:rPr>
              <w:t>6</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w:t>
            </w:r>
            <w:r>
              <w:rPr>
                <w:rFonts w:hint="eastAsia" w:cs="宋体"/>
                <w:b w:val="0"/>
                <w:bCs w:val="0"/>
                <w:color w:val="auto"/>
                <w:sz w:val="24"/>
                <w:highlight w:val="none"/>
                <w:u w:val="none"/>
                <w:lang w:val="en-US" w:eastAsia="zh-CN"/>
              </w:rPr>
              <w:t>0.5</w:t>
            </w:r>
            <w:r>
              <w:rPr>
                <w:rFonts w:hint="eastAsia" w:ascii="宋体" w:hAnsi="宋体" w:cs="宋体"/>
                <w:b w:val="0"/>
                <w:bCs w:val="0"/>
                <w:color w:val="auto"/>
                <w:sz w:val="24"/>
                <w:highlight w:val="none"/>
                <w:u w:val="none"/>
              </w:rPr>
              <w:t>分；内容存在不足，存在疏漏、思路不清晰，可实施性较弱的扣</w:t>
            </w:r>
            <w:r>
              <w:rPr>
                <w:rFonts w:hint="eastAsia"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w:t>
            </w:r>
            <w:r>
              <w:rPr>
                <w:rFonts w:hint="eastAsia"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218A4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5EBF6D1">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214D58A2">
            <w:pPr>
              <w:spacing w:line="440" w:lineRule="exact"/>
              <w:jc w:val="center"/>
              <w:rPr>
                <w:rFonts w:hint="eastAsia" w:ascii="宋体" w:hAnsi="宋体"/>
                <w:color w:val="auto"/>
                <w:sz w:val="24"/>
                <w:highlight w:val="none"/>
              </w:rPr>
            </w:pPr>
            <w:r>
              <w:rPr>
                <w:rFonts w:hint="eastAsia" w:ascii="宋体" w:hAnsi="宋体"/>
                <w:color w:val="auto"/>
                <w:sz w:val="24"/>
                <w:highlight w:val="none"/>
              </w:rPr>
              <w:t>售后服务方案及承诺</w:t>
            </w:r>
          </w:p>
          <w:p w14:paraId="31398BAA">
            <w:pPr>
              <w:spacing w:line="440" w:lineRule="exact"/>
              <w:jc w:val="center"/>
              <w:rPr>
                <w:rFonts w:hint="eastAsia" w:ascii="宋体" w:hAnsi="宋体" w:cs="宋体"/>
                <w:color w:val="auto"/>
                <w:sz w:val="24"/>
                <w:highlight w:val="none"/>
              </w:rPr>
            </w:pPr>
            <w:r>
              <w:rPr>
                <w:rFonts w:hint="eastAsia" w:ascii="宋体" w:hAnsi="宋体" w:cs="宋体"/>
                <w:bCs/>
                <w:color w:val="auto"/>
                <w:sz w:val="24"/>
                <w:highlight w:val="none"/>
              </w:rPr>
              <w:t>（</w:t>
            </w:r>
            <w:r>
              <w:rPr>
                <w:rFonts w:hint="eastAsia" w:cs="宋体"/>
                <w:bCs/>
                <w:color w:val="auto"/>
                <w:sz w:val="24"/>
                <w:highlight w:val="none"/>
                <w:lang w:val="en-US" w:eastAsia="zh-CN"/>
              </w:rPr>
              <w:t>8</w:t>
            </w:r>
            <w:r>
              <w:rPr>
                <w:rFonts w:hint="eastAsia" w:ascii="宋体" w:hAnsi="宋体" w:cs="宋体"/>
                <w:bCs/>
                <w:color w:val="auto"/>
                <w:sz w:val="24"/>
                <w:highlight w:val="none"/>
              </w:rPr>
              <w:t>分）</w:t>
            </w:r>
          </w:p>
        </w:tc>
        <w:tc>
          <w:tcPr>
            <w:tcW w:w="6688" w:type="dxa"/>
            <w:tcBorders>
              <w:top w:val="single" w:color="auto" w:sz="4" w:space="0"/>
              <w:tl2br w:val="nil"/>
              <w:tr2bl w:val="nil"/>
            </w:tcBorders>
            <w:vAlign w:val="center"/>
          </w:tcPr>
          <w:p w14:paraId="4AED8FE1">
            <w:pPr>
              <w:adjustRightInd w:val="0"/>
              <w:spacing w:line="440" w:lineRule="exact"/>
              <w:rPr>
                <w:rFonts w:hint="eastAsia" w:ascii="宋体" w:hAnsi="宋体"/>
                <w:color w:val="auto"/>
                <w:sz w:val="24"/>
                <w:highlight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售后服务方案及承诺进行评审，包括但不限于：</w:t>
            </w:r>
          </w:p>
          <w:p w14:paraId="3863C85A">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（1）售后服务方案及运维服务方案；</w:t>
            </w:r>
          </w:p>
          <w:p w14:paraId="12C4C517">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（2）售后服务人员安排；</w:t>
            </w:r>
          </w:p>
          <w:p w14:paraId="6C604C80">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（3）系统升级、运行支持、安全漏洞修补</w:t>
            </w:r>
            <w:r>
              <w:rPr>
                <w:rFonts w:hint="eastAsia"/>
                <w:b/>
                <w:bCs/>
                <w:color w:val="auto"/>
                <w:sz w:val="24"/>
                <w:highlight w:val="none"/>
                <w:u w:val="none"/>
                <w:lang w:val="en-US" w:eastAsia="zh-CN"/>
              </w:rPr>
              <w:t>及应急故障处理</w:t>
            </w:r>
            <w:r>
              <w:rPr>
                <w:rFonts w:hint="eastAsia" w:ascii="宋体" w:hAnsi="宋体"/>
                <w:b/>
                <w:bCs/>
                <w:color w:val="auto"/>
                <w:sz w:val="24"/>
                <w:highlight w:val="none"/>
                <w:u w:val="none"/>
              </w:rPr>
              <w:t>；</w:t>
            </w:r>
          </w:p>
          <w:p w14:paraId="3958F6CE">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w:t>
            </w:r>
            <w:r>
              <w:rPr>
                <w:rFonts w:hint="eastAsia"/>
                <w:b/>
                <w:bCs/>
                <w:color w:val="auto"/>
                <w:sz w:val="24"/>
                <w:highlight w:val="none"/>
                <w:u w:val="none"/>
                <w:lang w:val="en-US" w:eastAsia="zh-CN"/>
              </w:rPr>
              <w:t>4</w:t>
            </w:r>
            <w:r>
              <w:rPr>
                <w:rFonts w:hint="eastAsia" w:ascii="宋体" w:hAnsi="宋体"/>
                <w:b/>
                <w:bCs/>
                <w:color w:val="auto"/>
                <w:sz w:val="24"/>
                <w:highlight w:val="none"/>
                <w:u w:val="none"/>
              </w:rPr>
              <w:t>）运维保障及违约惩罚措施等方案。</w:t>
            </w:r>
          </w:p>
          <w:p w14:paraId="2A38489B">
            <w:pPr>
              <w:adjustRightInd w:val="0"/>
              <w:spacing w:line="440" w:lineRule="exact"/>
              <w:rPr>
                <w:rFonts w:hint="eastAsia" w:ascii="宋体" w:hAnsi="宋体" w:cs="宋体"/>
                <w:b w:val="0"/>
                <w:bCs w:val="0"/>
                <w:color w:val="auto"/>
                <w:sz w:val="24"/>
                <w:highlight w:val="none"/>
                <w:u w:val="none"/>
              </w:rPr>
            </w:pPr>
            <w:r>
              <w:rPr>
                <w:rFonts w:hint="eastAsia" w:ascii="宋体" w:hAnsi="宋体"/>
                <w:b w:val="0"/>
                <w:bCs w:val="0"/>
                <w:color w:val="auto"/>
                <w:sz w:val="24"/>
                <w:highlight w:val="none"/>
                <w:u w:val="none"/>
              </w:rPr>
              <w:t>以上</w:t>
            </w:r>
            <w:r>
              <w:rPr>
                <w:rFonts w:hint="eastAsia"/>
                <w:b w:val="0"/>
                <w:bCs w:val="0"/>
                <w:color w:val="auto"/>
                <w:sz w:val="24"/>
                <w:highlight w:val="none"/>
                <w:u w:val="none"/>
                <w:lang w:val="en-US" w:eastAsia="zh-CN"/>
              </w:rPr>
              <w:t>4</w:t>
            </w:r>
            <w:r>
              <w:rPr>
                <w:rFonts w:hint="eastAsia" w:ascii="宋体" w:hAnsi="宋体"/>
                <w:b w:val="0"/>
                <w:bCs w:val="0"/>
                <w:color w:val="auto"/>
                <w:sz w:val="24"/>
                <w:highlight w:val="none"/>
                <w:u w:val="none"/>
              </w:rPr>
              <w:t>项，经评定相关内容完整、</w:t>
            </w:r>
            <w:r>
              <w:rPr>
                <w:rFonts w:hint="eastAsia"/>
                <w:b w:val="0"/>
                <w:bCs w:val="0"/>
                <w:color w:val="auto"/>
                <w:sz w:val="24"/>
                <w:highlight w:val="none"/>
                <w:u w:val="none"/>
                <w:lang w:val="en-US" w:eastAsia="zh-CN"/>
              </w:rPr>
              <w:t>方案</w:t>
            </w:r>
            <w:r>
              <w:rPr>
                <w:rFonts w:hint="eastAsia" w:ascii="宋体" w:hAnsi="宋体"/>
                <w:b w:val="0"/>
                <w:bCs w:val="0"/>
                <w:color w:val="auto"/>
                <w:sz w:val="24"/>
                <w:highlight w:val="none"/>
                <w:u w:val="none"/>
              </w:rPr>
              <w:t>详细、全面，完全满足采购文件服务要求，在完整性、契合度、思路清晰、可实施性、专业性上强的得</w:t>
            </w:r>
            <w:r>
              <w:rPr>
                <w:rFonts w:hint="eastAsia"/>
                <w:b w:val="0"/>
                <w:bCs w:val="0"/>
                <w:color w:val="auto"/>
                <w:sz w:val="24"/>
                <w:highlight w:val="none"/>
                <w:u w:val="none"/>
                <w:lang w:val="en-US" w:eastAsia="zh-CN"/>
              </w:rPr>
              <w:t>8</w:t>
            </w:r>
            <w:r>
              <w:rPr>
                <w:rFonts w:hint="eastAsia" w:ascii="宋体" w:hAnsi="宋体"/>
                <w:b w:val="0"/>
                <w:bCs w:val="0"/>
                <w:color w:val="auto"/>
                <w:sz w:val="24"/>
                <w:highlight w:val="none"/>
                <w:u w:val="none"/>
              </w:rPr>
              <w:t>分；每缺少一项内容扣2分；内容存在细微不足，方案略有瑕疵的扣0.5分；内容存在不足，存在疏漏、思路不清晰，可实施性较弱的扣1分，内容存在</w:t>
            </w:r>
            <w:r>
              <w:rPr>
                <w:rFonts w:hint="eastAsia"/>
                <w:b w:val="0"/>
                <w:bCs w:val="0"/>
                <w:color w:val="auto"/>
                <w:sz w:val="24"/>
                <w:highlight w:val="none"/>
                <w:u w:val="none"/>
                <w:lang w:val="en-US" w:eastAsia="zh-CN"/>
              </w:rPr>
              <w:t>较大</w:t>
            </w:r>
            <w:r>
              <w:rPr>
                <w:rFonts w:hint="eastAsia" w:ascii="宋体" w:hAnsi="宋体"/>
                <w:b w:val="0"/>
                <w:bCs w:val="0"/>
                <w:color w:val="auto"/>
                <w:sz w:val="24"/>
                <w:highlight w:val="none"/>
                <w:u w:val="none"/>
              </w:rPr>
              <w:t>不足，存在多处错误、逻辑混乱的，扣1.5分；扣完为止。</w:t>
            </w:r>
          </w:p>
        </w:tc>
      </w:tr>
      <w:tr w14:paraId="2A279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8EE49B8">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48A8E687">
            <w:pPr>
              <w:spacing w:line="440" w:lineRule="exact"/>
              <w:jc w:val="center"/>
              <w:rPr>
                <w:rFonts w:hint="eastAsia" w:ascii="宋体" w:hAnsi="宋体"/>
                <w:color w:val="auto"/>
                <w:sz w:val="24"/>
                <w:highlight w:val="none"/>
              </w:rPr>
            </w:pPr>
            <w:r>
              <w:rPr>
                <w:rFonts w:hint="eastAsia" w:ascii="宋体" w:hAnsi="宋体"/>
                <w:color w:val="auto"/>
                <w:sz w:val="24"/>
                <w:highlight w:val="none"/>
              </w:rPr>
              <w:t>培训承诺及方案</w:t>
            </w:r>
          </w:p>
          <w:p w14:paraId="0D551B37">
            <w:pPr>
              <w:spacing w:line="440" w:lineRule="exact"/>
              <w:jc w:val="center"/>
              <w:rPr>
                <w:rFonts w:hint="eastAsia" w:ascii="宋体" w:hAnsi="宋体" w:cs="宋体"/>
                <w:color w:val="auto"/>
                <w:sz w:val="24"/>
                <w:highlight w:val="none"/>
              </w:rPr>
            </w:pPr>
            <w:r>
              <w:rPr>
                <w:rFonts w:hint="eastAsia" w:ascii="宋体" w:hAnsi="宋体" w:cs="宋体"/>
                <w:bCs/>
                <w:color w:val="auto"/>
                <w:sz w:val="24"/>
                <w:highlight w:val="none"/>
              </w:rPr>
              <w:t>（6分</w:t>
            </w:r>
            <w:r>
              <w:rPr>
                <w:rFonts w:hint="eastAsia" w:ascii="宋体" w:hAnsi="宋体"/>
                <w:color w:val="auto"/>
                <w:sz w:val="24"/>
                <w:highlight w:val="none"/>
              </w:rPr>
              <w:t>）</w:t>
            </w:r>
          </w:p>
        </w:tc>
        <w:tc>
          <w:tcPr>
            <w:tcW w:w="6688" w:type="dxa"/>
            <w:tcBorders>
              <w:top w:val="single" w:color="auto" w:sz="4" w:space="0"/>
              <w:tl2br w:val="nil"/>
              <w:tr2bl w:val="nil"/>
            </w:tcBorders>
            <w:vAlign w:val="center"/>
          </w:tcPr>
          <w:p w14:paraId="0E62C70F">
            <w:pPr>
              <w:adjustRightInd w:val="0"/>
              <w:spacing w:line="440" w:lineRule="exact"/>
              <w:rPr>
                <w:rFonts w:hint="eastAsia" w:ascii="宋体" w:hAnsi="宋体"/>
                <w:b/>
                <w:bCs/>
                <w:color w:val="auto"/>
                <w:sz w:val="24"/>
                <w:highlight w:val="none"/>
                <w:u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培训承诺及方案进行评审，包括但不限于：</w:t>
            </w:r>
            <w:r>
              <w:rPr>
                <w:rFonts w:hint="eastAsia" w:ascii="宋体" w:hAnsi="宋体"/>
                <w:b/>
                <w:bCs/>
                <w:color w:val="auto"/>
                <w:sz w:val="24"/>
                <w:highlight w:val="none"/>
                <w:u w:val="none"/>
              </w:rPr>
              <w:t>（1）设备操作说明及系统使用及管理；</w:t>
            </w:r>
          </w:p>
          <w:p w14:paraId="1345B829">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（2）故障排除方案；</w:t>
            </w:r>
          </w:p>
          <w:p w14:paraId="7BCE918B">
            <w:pPr>
              <w:adjustRightInd w:val="0"/>
              <w:spacing w:line="440" w:lineRule="exact"/>
              <w:rPr>
                <w:rFonts w:hint="eastAsia" w:ascii="宋体" w:hAnsi="宋体" w:cs="宋体"/>
                <w:color w:val="auto"/>
                <w:sz w:val="24"/>
                <w:highlight w:val="none"/>
                <w:u w:val="none"/>
              </w:rPr>
            </w:pPr>
            <w:r>
              <w:rPr>
                <w:rFonts w:hint="eastAsia" w:ascii="宋体" w:hAnsi="宋体"/>
                <w:b/>
                <w:bCs/>
                <w:color w:val="auto"/>
                <w:sz w:val="24"/>
                <w:highlight w:val="none"/>
                <w:u w:val="none"/>
              </w:rPr>
              <w:t>（3）线下培训内容及材料（对采购人进行硬件和软件协同使用方法、系统使用和维护方法、常见问题的处理的培训方案）。</w:t>
            </w:r>
          </w:p>
          <w:p w14:paraId="091E35C0">
            <w:pPr>
              <w:adjustRightInd w:val="0"/>
              <w:spacing w:line="440" w:lineRule="exact"/>
              <w:rPr>
                <w:rFonts w:hint="eastAsia" w:ascii="宋体" w:hAnsi="宋体" w:cs="宋体"/>
                <w:b w:val="0"/>
                <w:bCs w:val="0"/>
                <w:color w:val="auto"/>
                <w:sz w:val="24"/>
                <w:highlight w:val="none"/>
                <w:u w:val="none"/>
              </w:rPr>
            </w:pPr>
            <w:r>
              <w:rPr>
                <w:rFonts w:hint="eastAsia" w:ascii="宋体" w:hAnsi="宋体" w:cs="宋体"/>
                <w:color w:val="auto"/>
                <w:sz w:val="24"/>
                <w:highlight w:val="none"/>
              </w:rPr>
              <w:t>以上</w:t>
            </w:r>
            <w:r>
              <w:rPr>
                <w:rFonts w:hint="eastAsia" w:cs="宋体"/>
                <w:color w:val="auto"/>
                <w:sz w:val="24"/>
                <w:highlight w:val="none"/>
                <w:lang w:val="en-US" w:eastAsia="zh-CN"/>
              </w:rPr>
              <w:t>3</w:t>
            </w:r>
            <w:r>
              <w:rPr>
                <w:rFonts w:hint="eastAsia" w:ascii="宋体" w:hAnsi="宋体" w:cs="宋体"/>
                <w:color w:val="auto"/>
                <w:sz w:val="24"/>
                <w:highlight w:val="none"/>
              </w:rPr>
              <w:t>项，经评定相关内容完整、措施详细、全面，完全满足采购文件服务要求，在完整性、契合度、思路清晰、可实施性、专业性上强的得</w:t>
            </w:r>
            <w:r>
              <w:rPr>
                <w:rFonts w:hint="eastAsia" w:cs="宋体"/>
                <w:color w:val="auto"/>
                <w:sz w:val="24"/>
                <w:highlight w:val="none"/>
                <w:lang w:val="en-US" w:eastAsia="zh-CN"/>
              </w:rPr>
              <w:t>6</w:t>
            </w:r>
            <w:r>
              <w:rPr>
                <w:rFonts w:hint="eastAsia" w:ascii="宋体" w:hAnsi="宋体" w:cs="宋体"/>
                <w:color w:val="auto"/>
                <w:sz w:val="24"/>
                <w:highlight w:val="none"/>
              </w:rPr>
              <w:t>分；每缺少一项内容扣2分；内容存在细微不足，方案略有瑕疵的扣0.5分；内容存在不足，存在疏漏、思路不清晰，可实施性较弱的扣1分，内容存在不足，存在多处错误、逻辑混乱的，扣1.5分；扣完为止。</w:t>
            </w:r>
          </w:p>
        </w:tc>
      </w:tr>
      <w:tr w14:paraId="2B7B4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7B7C59F2">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0F3667B0">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color w:val="auto"/>
                <w:sz w:val="24"/>
                <w:highlight w:val="none"/>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1</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688" w:type="dxa"/>
            <w:tcBorders>
              <w:top w:val="single" w:color="auto" w:sz="4" w:space="0"/>
              <w:tl2br w:val="nil"/>
              <w:tr2bl w:val="nil"/>
            </w:tcBorders>
            <w:vAlign w:val="center"/>
          </w:tcPr>
          <w:p w14:paraId="5AEB1D58">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 w:val="0"/>
                <w:bCs w:val="0"/>
                <w:color w:val="auto"/>
                <w:sz w:val="24"/>
                <w:highlight w:val="none"/>
                <w:u w:val="none"/>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cs="宋体"/>
                <w:bCs/>
                <w:color w:val="auto"/>
                <w:highlight w:val="none"/>
                <w:lang w:val="en-US" w:eastAsia="zh-CN"/>
              </w:rPr>
              <w:t>1</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26BBC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468" w:type="dxa"/>
            <w:vMerge w:val="continue"/>
            <w:tcBorders>
              <w:tl2br w:val="nil"/>
              <w:tr2bl w:val="nil"/>
            </w:tcBorders>
            <w:vAlign w:val="center"/>
          </w:tcPr>
          <w:p w14:paraId="49F60C88">
            <w:pPr>
              <w:snapToGrid w:val="0"/>
              <w:spacing w:line="360" w:lineRule="auto"/>
              <w:contextualSpacing/>
              <w:jc w:val="both"/>
              <w:rPr>
                <w:rFonts w:hint="eastAsia"/>
                <w:bCs/>
                <w:color w:val="auto"/>
                <w:highlight w:val="none"/>
                <w:lang w:val="zh-CN"/>
              </w:rPr>
            </w:pPr>
          </w:p>
        </w:tc>
        <w:tc>
          <w:tcPr>
            <w:tcW w:w="1442" w:type="dxa"/>
            <w:tcBorders>
              <w:tl2br w:val="nil"/>
              <w:tr2bl w:val="nil"/>
            </w:tcBorders>
            <w:vAlign w:val="center"/>
          </w:tcPr>
          <w:p w14:paraId="13D42E18">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bCs/>
                <w:color w:val="auto"/>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1</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688" w:type="dxa"/>
            <w:tcBorders>
              <w:tl2br w:val="nil"/>
              <w:tr2bl w:val="nil"/>
            </w:tcBorders>
            <w:vAlign w:val="center"/>
          </w:tcPr>
          <w:p w14:paraId="4924E040">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bCs/>
                <w:color w:val="auto"/>
                <w:highlight w:val="none"/>
              </w:rPr>
            </w:pPr>
            <w:r>
              <w:rPr>
                <w:rFonts w:hint="eastAsia" w:ascii="宋体" w:hAnsi="宋体" w:eastAsia="宋体" w:cs="宋体"/>
                <w:bCs/>
                <w:color w:val="auto"/>
                <w:highlight w:val="none"/>
              </w:rPr>
              <w:t>投标产品为环境标志产品并提供在有效期内的认证证书得</w:t>
            </w:r>
            <w:r>
              <w:rPr>
                <w:rFonts w:hint="eastAsia" w:cs="宋体"/>
                <w:bCs/>
                <w:color w:val="auto"/>
                <w:highlight w:val="none"/>
                <w:lang w:val="en-US" w:eastAsia="zh-CN"/>
              </w:rPr>
              <w:t>1</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79505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9598" w:type="dxa"/>
            <w:gridSpan w:val="3"/>
            <w:tcBorders>
              <w:tl2br w:val="nil"/>
              <w:tr2bl w:val="nil"/>
            </w:tcBorders>
            <w:vAlign w:val="center"/>
          </w:tcPr>
          <w:p w14:paraId="0A61F0FD">
            <w:pPr>
              <w:pStyle w:val="225"/>
              <w:snapToGrid w:val="0"/>
              <w:spacing w:before="0" w:beforeAutospacing="0" w:after="0" w:afterAutospacing="0" w:line="360" w:lineRule="auto"/>
              <w:contextualSpacing/>
              <w:rPr>
                <w:rFonts w:hint="eastAsia"/>
                <w:color w:val="auto"/>
                <w:highlight w:val="none"/>
              </w:rPr>
            </w:pPr>
            <w:r>
              <w:rPr>
                <w:rFonts w:hint="eastAsia"/>
                <w:color w:val="auto"/>
                <w:highlight w:val="none"/>
              </w:rPr>
              <w:t>演示说明：</w:t>
            </w:r>
          </w:p>
          <w:p w14:paraId="5598BD3C">
            <w:pPr>
              <w:pStyle w:val="225"/>
              <w:snapToGrid w:val="0"/>
              <w:spacing w:before="0" w:beforeAutospacing="0" w:after="0" w:afterAutospacing="0" w:line="360" w:lineRule="auto"/>
              <w:contextualSpacing/>
              <w:rPr>
                <w:rFonts w:hint="eastAsia"/>
                <w:color w:val="auto"/>
                <w:highlight w:val="none"/>
              </w:rPr>
            </w:pPr>
            <w:r>
              <w:rPr>
                <w:rFonts w:hint="eastAsia"/>
                <w:color w:val="auto"/>
                <w:highlight w:val="none"/>
              </w:rPr>
              <w:t>1.演示顺序以各投标人的投标文件解密时间先后顺序为依据排序。</w:t>
            </w:r>
          </w:p>
          <w:p w14:paraId="7A48D9FF">
            <w:pPr>
              <w:pStyle w:val="225"/>
              <w:snapToGrid w:val="0"/>
              <w:spacing w:before="0" w:beforeAutospacing="0" w:after="0" w:afterAutospacing="0" w:line="360" w:lineRule="auto"/>
              <w:contextualSpacing/>
              <w:rPr>
                <w:rFonts w:hint="eastAsia"/>
                <w:color w:val="auto"/>
                <w:highlight w:val="none"/>
              </w:rPr>
            </w:pPr>
            <w:r>
              <w:rPr>
                <w:rFonts w:hint="eastAsia"/>
                <w:color w:val="auto"/>
                <w:highlight w:val="none"/>
              </w:rPr>
              <w:t>2.演示方式：开标当日，供应商需在任意地点通过腾讯会议软件及相应的配套硬件设备（摄像头、麦克风等），按代理机构相关程序完成演示。招标文件解密后代理机构会通过邮箱将会议房间号发送到投标人获取文件时的邮箱地址，供应商应及时进入会议房间，并配合代理机构调试设备，若投标人未及时进入会议房间，所造成的后果由投标人自行承担（投标人有权对会议进行查证）。</w:t>
            </w:r>
          </w:p>
          <w:p w14:paraId="28C8FAE4">
            <w:pPr>
              <w:pStyle w:val="225"/>
              <w:snapToGrid w:val="0"/>
              <w:spacing w:before="0" w:beforeAutospacing="0" w:after="0" w:afterAutospacing="0" w:line="360" w:lineRule="auto"/>
              <w:contextualSpacing/>
              <w:rPr>
                <w:rFonts w:hint="eastAsia"/>
                <w:color w:val="auto"/>
                <w:highlight w:val="none"/>
              </w:rPr>
            </w:pPr>
            <w:r>
              <w:rPr>
                <w:rFonts w:hint="eastAsia"/>
                <w:color w:val="auto"/>
                <w:highlight w:val="none"/>
              </w:rPr>
              <w:t>3.投标人须在线上对真实系统进行演示，演示内容必须基于已完成并可正常运行的正式系统。不得采用产品Demo、产品PPT、录制视频、图片、静态页面等其他方式进行演示，否则视为无效演示，无效演示的演示部分不得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spacing w:before="0"/>
        <w:ind w:left="0" w:firstLine="562"/>
        <w:jc w:val="center"/>
        <w:rPr>
          <w:rFonts w:hint="eastAsia" w:ascii="宋体" w:hAnsi="宋体" w:eastAsia="宋体"/>
          <w:bCs/>
          <w:color w:val="auto"/>
          <w:sz w:val="30"/>
          <w:szCs w:val="30"/>
          <w:highlight w:val="none"/>
        </w:rPr>
      </w:pPr>
      <w:bookmarkStart w:id="64" w:name="_Toc8790"/>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2502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玉溪职业技术学院（云南省玉溪工业财贸学校）“双优”专业建设（1包）电子商务优质专业专业建设项目</w:t>
      </w:r>
      <w:r>
        <w:rPr>
          <w:rFonts w:hint="eastAsia"/>
          <w:bCs/>
          <w:color w:val="auto"/>
          <w:highlight w:val="none"/>
        </w:rPr>
        <w:t>，包括电商直播实训区、成品立体仓储作业区、物流与供应链赛项专项训练区、课程资源及其他区域。</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28771"/>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17470"/>
      <w:r>
        <w:rPr>
          <w:rFonts w:hint="eastAsia"/>
          <w:color w:val="auto"/>
          <w:sz w:val="24"/>
          <w:szCs w:val="24"/>
          <w:highlight w:val="none"/>
        </w:rPr>
        <w:t>三、采购标的的采购内容及要求</w:t>
      </w:r>
      <w:bookmarkEnd w:id="68"/>
    </w:p>
    <w:p w14:paraId="167F540F">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（一）玉溪职业技术学院电子商务双优项目建设清单</w:t>
      </w:r>
    </w:p>
    <w:tbl>
      <w:tblPr>
        <w:tblStyle w:val="42"/>
        <w:tblW w:w="96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37"/>
        <w:gridCol w:w="656"/>
        <w:gridCol w:w="5232"/>
        <w:gridCol w:w="945"/>
        <w:gridCol w:w="948"/>
      </w:tblGrid>
      <w:tr w14:paraId="71148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3456F52">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类别</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F78D529">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序号</w:t>
            </w:r>
          </w:p>
        </w:tc>
        <w:tc>
          <w:tcPr>
            <w:tcW w:w="52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CA4EED">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设备名称</w:t>
            </w:r>
          </w:p>
        </w:tc>
        <w:tc>
          <w:tcPr>
            <w:tcW w:w="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F63A9">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数量</w:t>
            </w:r>
          </w:p>
        </w:tc>
        <w:tc>
          <w:tcPr>
            <w:tcW w:w="9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E3574E">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单位</w:t>
            </w:r>
          </w:p>
        </w:tc>
      </w:tr>
      <w:tr w14:paraId="76A5F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restart"/>
            <w:tcBorders>
              <w:top w:val="single" w:color="auto" w:sz="4" w:space="0"/>
              <w:left w:val="single" w:color="000000" w:sz="4" w:space="0"/>
              <w:right w:val="single" w:color="000000" w:sz="4" w:space="0"/>
            </w:tcBorders>
            <w:shd w:val="clear" w:color="auto" w:fill="auto"/>
            <w:vAlign w:val="center"/>
          </w:tcPr>
          <w:p w14:paraId="5608E64F">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电商实训</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EB5324C">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23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09A607F">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虚拟数字人创作平台</w:t>
            </w:r>
          </w:p>
        </w:tc>
        <w:tc>
          <w:tcPr>
            <w:tcW w:w="94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5EF0DA5">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169F790">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64084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6F49C141">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BBD1">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57A0">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AI视觉实时无穿戴动捕设备与系统</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F95B">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37A4">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179A4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25C74E95">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44B1">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959D">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无线表情捕捉仪</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B6A7">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F907">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2C4A7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5AE7719A">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1C55">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9958">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虚拟人AI动捕互动系统</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940A">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0F03">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4BB80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03C34B1B">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E98A4">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58736">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虚拟数字人定制（卡通类）</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CE9D">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2A81">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0360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278C3B5E">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4A84">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EC801">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BEM技能应用与实战平台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379F">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C570">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1679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restart"/>
            <w:tcBorders>
              <w:top w:val="single" w:color="000000" w:sz="4" w:space="0"/>
              <w:left w:val="single" w:color="000000" w:sz="4" w:space="0"/>
              <w:right w:val="single" w:color="000000" w:sz="4" w:space="0"/>
            </w:tcBorders>
            <w:shd w:val="clear" w:color="auto" w:fill="auto"/>
            <w:vAlign w:val="center"/>
          </w:tcPr>
          <w:p w14:paraId="6AB1FDAE">
            <w:pPr>
              <w:keepNext w:val="0"/>
              <w:keepLines w:val="0"/>
              <w:widowControl/>
              <w:suppressLineNumbers w:val="0"/>
              <w:snapToGrid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商贸赛道</w:t>
            </w:r>
            <w:r>
              <w:rPr>
                <w:rFonts w:hint="eastAsia" w:cs="宋体"/>
                <w:i w:val="0"/>
                <w:iCs w:val="0"/>
                <w:color w:val="auto"/>
                <w:kern w:val="0"/>
                <w:sz w:val="22"/>
                <w:szCs w:val="22"/>
                <w:highlight w:val="none"/>
                <w:u w:val="none"/>
                <w:lang w:val="en-US" w:eastAsia="zh-CN" w:bidi="ar"/>
              </w:rPr>
              <w:t>平台建设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6493">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A574">
            <w:pPr>
              <w:keepNext w:val="0"/>
              <w:keepLines w:val="0"/>
              <w:widowControl/>
              <w:suppressLineNumbers w:val="0"/>
              <w:snapToGrid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AI+跨境电商直播综合实训平台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01B7">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80F50">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3347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4B62E9F7">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1285">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3363">
            <w:pPr>
              <w:keepNext w:val="0"/>
              <w:keepLines w:val="0"/>
              <w:widowControl/>
              <w:suppressLineNumbers w:val="0"/>
              <w:snapToGrid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电子商务物流与配送仿真实训平台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5EFC">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989B">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3527D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7CC7C884">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088FA">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3AD2">
            <w:pPr>
              <w:keepNext w:val="0"/>
              <w:keepLines w:val="0"/>
              <w:widowControl/>
              <w:suppressLineNumbers w:val="0"/>
              <w:snapToGrid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电子商务综合实训资源包</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9628">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76C1">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7C1B3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10175200">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DF1C">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30827">
            <w:pPr>
              <w:keepNext w:val="0"/>
              <w:keepLines w:val="0"/>
              <w:widowControl/>
              <w:suppressLineNumbers w:val="0"/>
              <w:snapToGrid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竞赛训练包</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44C6">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8877">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39E5B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6E4CE77F">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F782">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ED22">
            <w:pPr>
              <w:keepNext w:val="0"/>
              <w:keepLines w:val="0"/>
              <w:widowControl/>
              <w:suppressLineNumbers w:val="0"/>
              <w:snapToGrid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国际货运代理实战系统</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C973">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6A4F">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6BF3C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jc w:val="center"/>
        </w:trPr>
        <w:tc>
          <w:tcPr>
            <w:tcW w:w="0" w:type="auto"/>
            <w:vMerge w:val="continue"/>
            <w:tcBorders>
              <w:left w:val="single" w:color="000000" w:sz="4" w:space="0"/>
              <w:right w:val="single" w:color="000000" w:sz="4" w:space="0"/>
            </w:tcBorders>
            <w:shd w:val="clear" w:color="auto" w:fill="auto"/>
            <w:vAlign w:val="center"/>
          </w:tcPr>
          <w:p w14:paraId="25DDDF3D">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5668">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B393">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跨境贸易业财税实战平台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F0EBA">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D2DE">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64F53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59499">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课程资源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DC091">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CB5B">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《智慧物流仓储规划设计》课程资源建设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E280">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94AA4">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4F7ED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3E93">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D943">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E79A">
            <w:pPr>
              <w:keepNext w:val="0"/>
              <w:keepLines w:val="0"/>
              <w:widowControl/>
              <w:suppressLineNumbers w:val="0"/>
              <w:snapToGrid w:val="0"/>
              <w:jc w:val="both"/>
              <w:textAlignment w:val="center"/>
              <w:rPr>
                <w:rFonts w:ascii="仿宋" w:hAnsi="仿宋" w:eastAsia="仿宋" w:cs="仿宋"/>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《物流市场营销》课程资源建设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1571">
            <w:pPr>
              <w:keepNext w:val="0"/>
              <w:keepLines w:val="0"/>
              <w:widowControl/>
              <w:suppressLineNumbers w:val="0"/>
              <w:snapToGrid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C3F7">
            <w:pPr>
              <w:keepNext w:val="0"/>
              <w:keepLines w:val="0"/>
              <w:widowControl/>
              <w:suppressLineNumbers w:val="0"/>
              <w:snapToGrid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r>
      <w:tr w14:paraId="4CD7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A1C0">
            <w:pPr>
              <w:keepNext w:val="0"/>
              <w:keepLines w:val="0"/>
              <w:widowControl/>
              <w:suppressLineNumbers w:val="0"/>
              <w:snapToGrid w:val="0"/>
              <w:jc w:val="center"/>
              <w:textAlignment w:val="center"/>
              <w:rPr>
                <w:rFonts w:hint="default" w:ascii="宋体" w:hAnsi="宋体" w:eastAsia="宋体" w:cs="宋体"/>
                <w:i w:val="0"/>
                <w:iCs w:val="0"/>
                <w:color w:val="auto"/>
                <w:sz w:val="22"/>
                <w:szCs w:val="22"/>
                <w:highlight w:val="none"/>
                <w:u w:val="none"/>
                <w:lang w:val="en-US"/>
              </w:rPr>
            </w:pPr>
            <w:r>
              <w:rPr>
                <w:rFonts w:hint="eastAsia" w:cs="宋体"/>
                <w:i w:val="0"/>
                <w:iCs w:val="0"/>
                <w:color w:val="auto"/>
                <w:kern w:val="0"/>
                <w:sz w:val="22"/>
                <w:szCs w:val="22"/>
                <w:highlight w:val="none"/>
                <w:u w:val="none"/>
                <w:lang w:val="en-US" w:eastAsia="zh-CN" w:bidi="ar"/>
              </w:rPr>
              <w:t>基础配套建设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E5AEA">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A0C5">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师资培训</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D2680">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06A2">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项</w:t>
            </w:r>
          </w:p>
        </w:tc>
      </w:tr>
      <w:tr w14:paraId="2F9C3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B31B7">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8E95">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C2F4">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文化墙建设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3CA4">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ABAE">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项</w:t>
            </w:r>
          </w:p>
        </w:tc>
      </w:tr>
      <w:tr w14:paraId="0DEC0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ED84D">
            <w:pPr>
              <w:snapToGrid w:val="0"/>
              <w:jc w:val="center"/>
              <w:rPr>
                <w:rFonts w:hint="eastAsia" w:ascii="宋体" w:hAnsi="宋体" w:eastAsia="宋体" w:cs="宋体"/>
                <w:i w:val="0"/>
                <w:iCs w:val="0"/>
                <w:color w:val="auto"/>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04B4D">
            <w:pPr>
              <w:keepNext w:val="0"/>
              <w:keepLines w:val="0"/>
              <w:widowControl/>
              <w:suppressLineNumbers w:val="0"/>
              <w:snapToGrid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9175">
            <w:pPr>
              <w:keepNext w:val="0"/>
              <w:keepLines w:val="0"/>
              <w:widowControl/>
              <w:suppressLineNumbers w:val="0"/>
              <w:snapToGrid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综合集成</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CBD9">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3E5BA">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项</w:t>
            </w:r>
          </w:p>
        </w:tc>
      </w:tr>
      <w:tr w14:paraId="5330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jc w:val="center"/>
        </w:trPr>
        <w:tc>
          <w:tcPr>
            <w:tcW w:w="77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FC9E">
            <w:pPr>
              <w:keepNext w:val="0"/>
              <w:keepLines w:val="0"/>
              <w:widowControl/>
              <w:suppressLineNumbers w:val="0"/>
              <w:tabs>
                <w:tab w:val="left" w:pos="722"/>
              </w:tabs>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合计</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EA24">
            <w:pPr>
              <w:keepNext w:val="0"/>
              <w:keepLines w:val="0"/>
              <w:widowControl/>
              <w:suppressLineNumbers w:val="0"/>
              <w:snapToGrid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20</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13AE3">
            <w:pPr>
              <w:keepNext w:val="0"/>
              <w:keepLines w:val="0"/>
              <w:widowControl/>
              <w:suppressLineNumbers w:val="0"/>
              <w:snapToGrid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r>
    </w:tbl>
    <w:p w14:paraId="170E6526">
      <w:pPr>
        <w:widowControl w:val="0"/>
        <w:autoSpaceDE w:val="0"/>
        <w:autoSpaceDN w:val="0"/>
        <w:adjustRightInd w:val="0"/>
        <w:spacing w:line="360" w:lineRule="auto"/>
        <w:rPr>
          <w:rFonts w:hint="eastAsia"/>
          <w:b/>
          <w:color w:val="auto"/>
          <w:highlight w:val="none"/>
        </w:rPr>
      </w:pPr>
    </w:p>
    <w:p w14:paraId="317E55DF">
      <w:pPr>
        <w:widowControl w:val="0"/>
        <w:autoSpaceDE w:val="0"/>
        <w:autoSpaceDN w:val="0"/>
        <w:adjustRightInd w:val="0"/>
        <w:spacing w:line="360" w:lineRule="auto"/>
        <w:ind w:firstLine="482" w:firstLineChars="200"/>
        <w:rPr>
          <w:rFonts w:hint="eastAsia"/>
          <w:b/>
          <w:color w:val="auto"/>
          <w:highlight w:val="none"/>
          <w:lang w:val="en-US" w:eastAsia="zh-CN"/>
        </w:rPr>
      </w:pPr>
      <w:r>
        <w:rPr>
          <w:rFonts w:hint="eastAsia"/>
          <w:b/>
          <w:color w:val="auto"/>
          <w:highlight w:val="none"/>
        </w:rPr>
        <w:t>（二）</w:t>
      </w:r>
      <w:r>
        <w:rPr>
          <w:rFonts w:hint="eastAsia"/>
          <w:b/>
          <w:color w:val="auto"/>
          <w:highlight w:val="none"/>
          <w:lang w:val="en-US" w:eastAsia="zh-CN"/>
        </w:rPr>
        <w:t>技术参数</w:t>
      </w:r>
    </w:p>
    <w:p w14:paraId="5CCDBE89">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i w:val="0"/>
          <w:iCs w:val="0"/>
          <w:color w:val="auto"/>
          <w:kern w:val="0"/>
          <w:sz w:val="24"/>
          <w:szCs w:val="24"/>
          <w:highlight w:val="none"/>
          <w:u w:val="none"/>
          <w:lang w:val="en-US" w:eastAsia="zh-CN" w:bidi="ar"/>
        </w:rPr>
        <w:t>电商实训区</w:t>
      </w:r>
    </w:p>
    <w:tbl>
      <w:tblPr>
        <w:tblStyle w:val="42"/>
        <w:tblW w:w="-114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3"/>
        <w:gridCol w:w="693"/>
        <w:gridCol w:w="7560"/>
        <w:gridCol w:w="454"/>
        <w:gridCol w:w="454"/>
      </w:tblGrid>
      <w:tr w14:paraId="7591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7D8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C141C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7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0E2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规格、技术、功能等参数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A12B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3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1AD6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r>
      <w:tr w14:paraId="4FDFB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BFD6A6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0" w:type="auto"/>
            <w:tcBorders>
              <w:top w:val="single" w:color="000000" w:sz="4" w:space="0"/>
              <w:left w:val="single" w:color="000000" w:sz="4" w:space="0"/>
              <w:bottom w:val="single" w:color="auto" w:sz="4" w:space="0"/>
              <w:right w:val="single" w:color="000000" w:sz="4" w:space="0"/>
            </w:tcBorders>
            <w:shd w:val="clear" w:color="auto" w:fill="FFFFFF"/>
            <w:vAlign w:val="center"/>
          </w:tcPr>
          <w:p w14:paraId="626BEE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虚拟数字人创作平台</w:t>
            </w:r>
          </w:p>
        </w:tc>
        <w:tc>
          <w:tcPr>
            <w:tcW w:w="76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6ED681C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一、虚拟数字人创作平台介绍：</w:t>
            </w:r>
          </w:p>
          <w:p w14:paraId="4866D91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1.虚拟数字人创作平台可利用人工智能、深度学习、语音合成、自然语言处理等技术，实现AI生成课件、AI生成讲义、制作AI形象(数字人)、克隆声音、更换模版以及在线剪辑等一系列功能。</w:t>
            </w:r>
          </w:p>
          <w:p w14:paraId="3A07E8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数字人微课录制可为教师提供广泛的应用场景，包括在线教育平台的课程共享、翻转课堂的预习材料、个性化学习课程的定制、课程资源库的构建、复杂概念的演示讲解、语言学习的模拟对话、互动式学习的实时反馈、教学评估的数据收集、特殊教育需求的定制支持、教师培训的材料制作以及学校宣传视频、招生视频等。</w:t>
            </w:r>
          </w:p>
          <w:p w14:paraId="231D21B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★3.投标人须提供软件制造商针对此项目的授权书原件及原厂售后服务承诺函原件。</w:t>
            </w:r>
          </w:p>
          <w:p w14:paraId="4D64A72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二、功能模块要求：</w:t>
            </w:r>
          </w:p>
          <w:p w14:paraId="6B741BE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1.平台须支持生成AI形象（数字人形象）定制：</w:t>
            </w:r>
          </w:p>
          <w:p w14:paraId="5070CDB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1.1须支持真人教师拍摄的mp4文件导入，基于AI技术，可生成出逼真的数字人形象，须在视觉上与真人基本相似；</w:t>
            </w:r>
          </w:p>
          <w:p w14:paraId="6E95BD7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1.2数字人形象须动作流畅自然，无明显的延迟以及卡顿，可复现教师前期拍摄的动作，如展开双手、合手等；</w:t>
            </w:r>
          </w:p>
          <w:p w14:paraId="1A879E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1.3平台须支持学习真人口唇驱动，可模拟真人的唇部动作；</w:t>
            </w:r>
          </w:p>
          <w:p w14:paraId="37DB592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1.4生成的AI形象须在多种显示设备上清晰展现；</w:t>
            </w:r>
          </w:p>
          <w:p w14:paraId="168C48E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1.5平台须内置不少于2名真人AI形象，可支持教师基于已有的AI形象进行选择。</w:t>
            </w:r>
          </w:p>
          <w:p w14:paraId="034B5A7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2.平台须支持音色选择与AI声音生成：</w:t>
            </w:r>
          </w:p>
          <w:p w14:paraId="2C5F7AD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2.1须提供定制声音功能，支持教师从课件库选择录音文件、上传音频文件（mp3格式）或者在线录制音频，基于AI技术，实现个人声音生成；</w:t>
            </w:r>
          </w:p>
          <w:p w14:paraId="6D4107C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2.2可生成WAV格式的AI声音；</w:t>
            </w:r>
          </w:p>
          <w:p w14:paraId="0983545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2.3平台须内置不少于15种不同音色的系统声音，可供教师选择声音给数字人匹配。</w:t>
            </w:r>
          </w:p>
          <w:p w14:paraId="3144CF4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3.平台须支持AI生成课件与上传课件：</w:t>
            </w:r>
          </w:p>
          <w:p w14:paraId="79937FD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3.1须支持导入本地制作好的课件（格式为ppt或者pptx）保存到课件资源库，再次制作时可快速选择；</w:t>
            </w:r>
          </w:p>
          <w:p w14:paraId="2FCF6B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3.2基于AI技术，平台须支持教师输入生成微课课件要求平台可生成课件内容，须支持定制课件内容，内容可二次改写，支持课件模板选择，最终将文本、图像、图标等元素整合到课件中。</w:t>
            </w:r>
          </w:p>
          <w:p w14:paraId="01105D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3.3 课件模板库中须包含不少于5套PPT模板。</w:t>
            </w:r>
          </w:p>
          <w:p w14:paraId="15396A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4.平台须支持读取当前教师上传PPT页内容，可生成当前页讲义内容。须支持AI帮写，支持对文本框输入的脚本内容进行AI扩写、缩写、续写等。</w:t>
            </w:r>
          </w:p>
          <w:p w14:paraId="1859B1A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5.平台须支持幻灯片选择数字人模版，支持可自定义调整课件画面的位置，自定义调整数字人大小和位置等。</w:t>
            </w:r>
          </w:p>
          <w:p w14:paraId="1BCD0BE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6.平台须提供不少于20张图片背景，支持可本地上传背景图片（支持jpg，png格式）。</w:t>
            </w:r>
          </w:p>
          <w:p w14:paraId="4EC119A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7.平台须提供不少于10个课件边框模板选择，可实现课件与背景的融合。</w:t>
            </w:r>
          </w:p>
          <w:p w14:paraId="6014DE0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8.平台须支持一键生成讲义，可根据教师输入的内容要求生成讲义，可支持本地上传讲义。</w:t>
            </w:r>
          </w:p>
          <w:p w14:paraId="3F995B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9.平台须支持添加AI标识（水印）。</w:t>
            </w:r>
          </w:p>
          <w:p w14:paraId="459C701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10.平台须支持数字人合成微课支持排队生成，可在消息通知里查看完成通知。</w:t>
            </w:r>
          </w:p>
          <w:p w14:paraId="54350F5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11.平台须提供在线剪辑工具，可支持对生成的微课进行导入，实现二次编辑和优化：</w:t>
            </w:r>
          </w:p>
          <w:p w14:paraId="22F0000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11.1平台须提库，可支持视频、音频、图片等素材导入和预览；</w:t>
            </w:r>
          </w:p>
          <w:p w14:paraId="0F35D79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▲11.2须提供字幕功能，可支持读取字幕文件SRT/ASS格式，提供花字，支持字幕按照起始时间、字幕内容进行调整；</w:t>
            </w:r>
            <w:r>
              <w:rPr>
                <w:rFonts w:hint="eastAsia" w:ascii="宋体" w:hAnsi="宋体" w:eastAsia="宋体" w:cs="宋体"/>
                <w:i w:val="0"/>
                <w:iCs w:val="0"/>
                <w:color w:val="auto"/>
                <w:kern w:val="0"/>
                <w:sz w:val="24"/>
                <w:szCs w:val="24"/>
                <w:highlight w:val="none"/>
                <w:u w:val="none"/>
                <w:lang w:val="en-US" w:eastAsia="zh-CN" w:bidi="ar"/>
              </w:rPr>
              <w:t>（需提供相关功能截图证明文件并加盖供应商公章）</w:t>
            </w:r>
          </w:p>
          <w:p w14:paraId="08F2789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11.3须支持智能生成字幕；</w:t>
            </w:r>
          </w:p>
          <w:p w14:paraId="2604008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11.4须支持滤镜添加，可提供胶片、清新、旅行、艺术模板，支持复古、灰调、青阶等不少于30项风格；</w:t>
            </w:r>
          </w:p>
          <w:p w14:paraId="7DF33BF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●11.5须支持转场功能，可提供基础转场、特效转场、运镜转场、遮罩转场，提供对角切换、旋涡、栅格等不少于30项转场设计；</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76296C3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●11.6 须支持特效功能，可提供基础、氛围、动感、分屏、变形、光影、梦幻、色彩、复古、自然等模板，提供开幕、闭幕、横向模糊等不少于30项特效设计；</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3AB97E9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11.7 须支持多轨素材添加、音频分离、视频轨、字幕轨，可支持轨道隐藏、素材抹除，可支持已有视频素材编辑制作，以时间轴和多轨方式进行编辑并且支持实时预览编辑的视频效果，支持添加视频轨道画面内容；</w:t>
            </w:r>
          </w:p>
          <w:p w14:paraId="116AB93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11.8须支持片段合成导出；</w:t>
            </w:r>
          </w:p>
          <w:p w14:paraId="4A819FC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11.9 导出视频须支持设置输出mp4、mov视频格式；</w:t>
            </w:r>
          </w:p>
          <w:p w14:paraId="574CB76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11.10合成视频须支撑多种比例，支持21:9、9:16.4:3.3:4.2:1、1:1等比例；</w:t>
            </w:r>
          </w:p>
          <w:p w14:paraId="0045D3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11.11须支持添加画中画，画中画支持上传图片和视频，图片展示时长可支持拖拽模块的方式设置。</w:t>
            </w:r>
          </w:p>
          <w:p w14:paraId="541A767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12.平台须支持合成的微课在线预览、重命名、下载、复制、删除功能。</w:t>
            </w:r>
          </w:p>
          <w:p w14:paraId="0154758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13.平台须支持AI形象在线预览、重命名、删除功能。</w:t>
            </w:r>
          </w:p>
          <w:p w14:paraId="1491398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14.平台须支持AI声音文件在线预览、重命名、删除功能。</w:t>
            </w:r>
          </w:p>
          <w:p w14:paraId="1D75807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15.平台须支持课件资源文件在线预览、重命名、删除功能。</w:t>
            </w:r>
          </w:p>
          <w:p w14:paraId="5F710AC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16.平台须支持回收站作品彻底删除、恢复功能。</w:t>
            </w:r>
          </w:p>
          <w:p w14:paraId="01DA9A3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17、配套数字人创作终端配置要求</w:t>
            </w:r>
          </w:p>
          <w:p w14:paraId="0AB6BAB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CPU：i7十二代及以上</w:t>
            </w:r>
          </w:p>
          <w:p w14:paraId="02927A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内存：32G及以上</w:t>
            </w:r>
          </w:p>
          <w:p w14:paraId="2D7ABE2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硬盘：SSD1T</w:t>
            </w:r>
          </w:p>
          <w:p w14:paraId="2A43574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显卡：不低于RTX 3090TI</w:t>
            </w:r>
          </w:p>
          <w:p w14:paraId="31953B5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网卡：集成10/100/1000M以太网卡</w:t>
            </w:r>
          </w:p>
          <w:p w14:paraId="6840741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显示器：23寸及以上</w:t>
            </w:r>
          </w:p>
          <w:p w14:paraId="56C5CF5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系统：Windows10及以上</w:t>
            </w:r>
          </w:p>
          <w:p w14:paraId="5D5073D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三、配套服务</w:t>
            </w:r>
          </w:p>
          <w:p w14:paraId="7F6804F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为便于开展数字人创作资源制作，供应商须为采购人提供为期1年的AI教学助手，供应商须提供软件著作权证书，至少满足以下功能。</w:t>
            </w:r>
          </w:p>
          <w:p w14:paraId="4F8163E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1.助教</w:t>
            </w:r>
          </w:p>
          <w:p w14:paraId="661E9D7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课程标准：输入教学目标、学情参数，自动匹配教育部标准生成课程标准。</w:t>
            </w:r>
          </w:p>
          <w:p w14:paraId="3DEA187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教学计划：自动生成教学计划表，展示课时数、授课内容、目标要求等内容。</w:t>
            </w:r>
          </w:p>
          <w:p w14:paraId="75CB66D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教案编写：基于教学目标生成个性化教案。</w:t>
            </w:r>
          </w:p>
          <w:p w14:paraId="3D1F3A4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教学课件：输入主题或内容，生成配套PPT课件。</w:t>
            </w:r>
          </w:p>
          <w:p w14:paraId="7005545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AI出题：覆盖单选、多选、案例分析等题型。</w:t>
            </w:r>
          </w:p>
          <w:p w14:paraId="1060389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思维导图：上传文件，根据文件内容自动提取核心知识点生成思维导图。</w:t>
            </w:r>
          </w:p>
          <w:p w14:paraId="6B36D05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视频课程：联网检索优质教育视频，支持按知识点智能匹配。</w:t>
            </w:r>
          </w:p>
          <w:p w14:paraId="1502981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2.助研</w:t>
            </w:r>
          </w:p>
          <w:p w14:paraId="7DEEF02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课题申报书：生成课题申报书框架，内容智能润色。</w:t>
            </w:r>
          </w:p>
          <w:p w14:paraId="371E73A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项目申报书：适配一流课程、规划教材、产教融合基地等申报场景，提供模板化内容建议。</w:t>
            </w:r>
          </w:p>
          <w:p w14:paraId="272DBD4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数据分析：教学数据可视化-支持数据图表生成。科研数据处理-辅助进行数据处理、数据分析。</w:t>
            </w:r>
          </w:p>
          <w:p w14:paraId="0512F1B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3.助学</w:t>
            </w:r>
          </w:p>
          <w:p w14:paraId="211E88A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行业/产业分析报告：输入提示词，根据全国或区域行业发展情况，快速生成行业数据报告。</w:t>
            </w:r>
          </w:p>
          <w:p w14:paraId="75EA15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目标岗位分析：专业面向岗位分析，明确岗位职责、能力、技能、输入提示词，快速进行目标岗位分析。</w:t>
            </w:r>
          </w:p>
          <w:p w14:paraId="63D97EB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▲4.智能体生态模块</w:t>
            </w:r>
            <w:r>
              <w:rPr>
                <w:rFonts w:hint="eastAsia"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eastAsia="zh-CN"/>
              </w:rPr>
              <w:t>（逐项提供功能截图并加盖公章）</w:t>
            </w:r>
          </w:p>
          <w:p w14:paraId="1A8A696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电商大师、直播话术助手、爆款操盘手3款智能体，满足商品卖点提炼、直播话术生成、竞品分析报告的输出。</w:t>
            </w:r>
          </w:p>
          <w:p w14:paraId="75C60C8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配置证书顾问：考证路径规划、真题解析、职业能力测评；</w:t>
            </w:r>
          </w:p>
          <w:p w14:paraId="5F6520B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提供智能体广场：允许用户自定义创建、设定智能体角色的头像、背景信息、开场白、声音、记忆、知识（上传专业文档作为训练数据）、技能等。</w:t>
            </w:r>
          </w:p>
          <w:p w14:paraId="64A0555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配套增值服务：为教师进行智慧课程建设提供技术支持。</w:t>
            </w:r>
          </w:p>
        </w:tc>
        <w:tc>
          <w:tcPr>
            <w:tcW w:w="0" w:type="auto"/>
            <w:tcBorders>
              <w:top w:val="nil"/>
              <w:left w:val="single" w:color="000000" w:sz="4" w:space="0"/>
              <w:bottom w:val="single" w:color="auto" w:sz="4" w:space="0"/>
              <w:right w:val="single" w:color="000000" w:sz="4" w:space="0"/>
            </w:tcBorders>
            <w:shd w:val="clear" w:color="auto" w:fill="FFFFFF"/>
            <w:vAlign w:val="center"/>
          </w:tcPr>
          <w:p w14:paraId="2AA753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nil"/>
              <w:left w:val="single" w:color="000000" w:sz="4" w:space="0"/>
              <w:bottom w:val="single" w:color="auto" w:sz="4" w:space="0"/>
              <w:right w:val="single" w:color="000000" w:sz="4" w:space="0"/>
            </w:tcBorders>
            <w:shd w:val="clear" w:color="auto" w:fill="FFFFFF"/>
            <w:noWrap/>
            <w:vAlign w:val="center"/>
          </w:tcPr>
          <w:p w14:paraId="0DB448D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4866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A5CC83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48C8F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AI视觉实时无穿戴动捕设备与系统</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F3A72B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1、系统摄像头数量不少于7个，且不低于320w像素，彩色；</w:t>
            </w:r>
          </w:p>
          <w:p w14:paraId="7B5A0E8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2、相机传感器类型为 CMOS 全局快门，像元尺寸不小于 3.45 μm × 3.45 μm；</w:t>
            </w:r>
          </w:p>
          <w:p w14:paraId="09FA8C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3、相机数据接口: Gigabit Ethernet(1000 Mbit/s)兼容Fast Ethernet(100 Mbit/s)；</w:t>
            </w:r>
          </w:p>
          <w:p w14:paraId="7D215E3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4、相机支持 GigE Vision 协议, 支持PoE供电；</w:t>
            </w:r>
          </w:p>
          <w:p w14:paraId="6B2504D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5、相机支持曝光时间、增益、白平衡调节；</w:t>
            </w:r>
          </w:p>
          <w:p w14:paraId="6DB06CB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6、摄像头配备C口镜头，畸变&lt;0.5%，视场角(H×V)不小于: 82°×66°；</w:t>
            </w:r>
          </w:p>
          <w:p w14:paraId="00E3746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7、摄像头最大分辨率下的最大采集帧率不低于58fps，支持采集帧率可调节；</w:t>
            </w:r>
          </w:p>
          <w:p w14:paraId="5825CCC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8、摄像头上贴有编号，同系统相机名称编号，方便快速查找和调试；</w:t>
            </w:r>
          </w:p>
          <w:p w14:paraId="5B890C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▲9、包含同步触发器，支持不少于7台摄像头画面同步获取，同步时间误差小于1毫秒；(提供证明截图并加盖投标人公章）</w:t>
            </w:r>
          </w:p>
          <w:p w14:paraId="13871AA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▲10、基于人工智能图像识别技术，无需贴marker或穿戴惯性传感器，获取人体三维姿态数据；(提供证明截图并加盖投标人公章）</w:t>
            </w:r>
          </w:p>
          <w:p w14:paraId="1DB2A86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11、系统支持无标记实时捕捉21个身体关节点（身体动作）、30个手指关节点（手指动作）位移和四元数，支持同时捕捉表情；(提供证明截图并加盖投标人公章）</w:t>
            </w:r>
          </w:p>
          <w:p w14:paraId="21E8F18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12、系统支持所有已开启相机同步调节曝光时间、增益，支持镜像模式；</w:t>
            </w:r>
          </w:p>
          <w:p w14:paraId="54864FD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13、系统支持一键开启7台相机，可选分辨率和帧率；</w:t>
            </w:r>
          </w:p>
          <w:p w14:paraId="4A2BA4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14、系统支持相机内参标定、外参标定；</w:t>
            </w:r>
          </w:p>
          <w:p w14:paraId="7385266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15、系统支持棋盘格、标定杆两种相机外参标定方法，标定操作简单高效；(提供证明截图并加盖投标人公章）</w:t>
            </w:r>
          </w:p>
          <w:p w14:paraId="5DBFE8B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16、系统支持单人、双人两种动捕模式，可选是否捕捉手指动作、是否捕捉表情；(提供证明截图并加盖投标人公章）</w:t>
            </w:r>
          </w:p>
          <w:p w14:paraId="3B64174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17、系统支持动作数据平滑参数实时调节，且不同骨骼姿态数据可单独调节；</w:t>
            </w:r>
          </w:p>
          <w:p w14:paraId="02D0554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▲18、系统支持动作数据实时录制，同时支持所有已开启相机音视频同步录制；(提供证明截图并加盖投标人公章）</w:t>
            </w:r>
          </w:p>
          <w:p w14:paraId="4CB856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▲19、系统支持动作数据UDP广播，提供C++ sdk，及插件: unity插件,ue插件,maya插件,blender插件, motionbuilder插件, iClone插件；(提供证明截图并加盖投标人公章）</w:t>
            </w:r>
          </w:p>
          <w:p w14:paraId="6CEC57F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20、系统支持动捕数据以多种格式导出，包括 bvh、fbx、csv 和 txt 格式；(提供证明截图并加盖投标人公章）</w:t>
            </w:r>
          </w:p>
          <w:p w14:paraId="7311734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21、系统支持软件内查看说明书、获取插件包；</w:t>
            </w:r>
          </w:p>
          <w:p w14:paraId="4F6FC7A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22、系统支持已开启相机在场景内以3D模型方式显示；</w:t>
            </w:r>
          </w:p>
          <w:p w14:paraId="09D1BBA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▲23、系统支持已开启相机画面同屏实时预览，支持同屏显示人体三维模型；(提供证明截图并加盖投标人公章）</w:t>
            </w:r>
          </w:p>
          <w:p w14:paraId="776D9A88">
            <w:pPr>
              <w:keepNext w:val="0"/>
              <w:keepLines w:val="0"/>
              <w:pageBreakBefore w:val="0"/>
              <w:widowControl w:val="0"/>
              <w:numPr>
                <w:ilvl w:val="0"/>
                <w:numId w:val="3"/>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系统支持实时驱动人体三维模型，包含骨架模型和机器人模型，支持实时切换显示；</w:t>
            </w:r>
          </w:p>
          <w:p w14:paraId="475CFA0A">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240" w:lineRule="auto"/>
              <w:ind w:leftChars="0" w:right="0" w:right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25、系统三维模型显示界面支持自由视角旋转、平移和缩放；(提供证明截图并加盖投标人公章）</w:t>
            </w:r>
          </w:p>
          <w:p w14:paraId="3B1A5E8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26、本软件具备完全自主知识产权；(提供证明截图并加盖投标人公章）</w:t>
            </w:r>
          </w:p>
          <w:p w14:paraId="78ACBEB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27、配套操作终端配置要求：</w:t>
            </w:r>
          </w:p>
          <w:p w14:paraId="48DB186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CPU:i7-14700K 及以上; </w:t>
            </w:r>
          </w:p>
          <w:p w14:paraId="59CC70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显卡:RTX4090D 24G及以上; </w:t>
            </w:r>
          </w:p>
          <w:p w14:paraId="15E8345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主板:Z790-P(3*PCIe×16插槽); </w:t>
            </w:r>
          </w:p>
          <w:p w14:paraId="4A4282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内存:64G DDR4及以上; </w:t>
            </w:r>
          </w:p>
          <w:p w14:paraId="604D56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固态硬盘:2Tnvme(7000MB/s顺序读写速度); </w:t>
            </w:r>
          </w:p>
          <w:p w14:paraId="793AA70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机械硬盘:2T; </w:t>
            </w:r>
          </w:p>
          <w:p w14:paraId="2483C6C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显示器:1个24寸高清显示屏;</w:t>
            </w:r>
          </w:p>
          <w:p w14:paraId="25483A4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鼠标、键盘;</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A0B2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9C8280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r w14:paraId="2E64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1035F6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924257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无线表情捕捉仪</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5488FD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AH-D面捕头盔:</w:t>
            </w:r>
          </w:p>
          <w:p w14:paraId="79A78A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1.头盔结构设计采用聚酰胺(尼龙)打印制造，结构强韧轻盈。</w:t>
            </w:r>
          </w:p>
          <w:p w14:paraId="134613B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2.头盔整体重量不超过320g，轻便舒适，适合长时间佩戴。</w:t>
            </w:r>
          </w:p>
          <w:p w14:paraId="2238C0F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3.内置海绵填充物保证佩戴舒适度，可根据需求加装或更换条形内衬。</w:t>
            </w:r>
          </w:p>
          <w:p w14:paraId="20AF192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4.摄像头内置无线麦克风，可清晰稳定录制音频数据。</w:t>
            </w:r>
          </w:p>
          <w:p w14:paraId="61EAFE7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5.面部捕捉头盔至少含2个摄像头，且输出拼接后1080p高清单画面。</w:t>
            </w:r>
          </w:p>
          <w:p w14:paraId="4221AB0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6.面部捕捉拍摄帧率不低于60FPS，保证了画面流畅度，避免出现卡顿现象。</w:t>
            </w:r>
          </w:p>
          <w:p w14:paraId="2474910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7.无需数模转换器，无需安装驱动程序，直接与工作站相连接，即插即用。</w:t>
            </w:r>
          </w:p>
          <w:p w14:paraId="1263FCB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8.头盔自带940nm红外补光灯，能够在日常环境中提供足够的照明。</w:t>
            </w:r>
          </w:p>
          <w:p w14:paraId="18ECA71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9.支持有线、无线两种连接方式。</w:t>
            </w:r>
          </w:p>
          <w:p w14:paraId="596EF29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10.连接线长度不低于5米，方便用户根据需要调整使用距离。</w:t>
            </w:r>
          </w:p>
          <w:p w14:paraId="3CBE9AC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11.头盔整体尺寸不大于长49cm，宽25cm，高19cm，便于携带和存放。</w:t>
            </w:r>
          </w:p>
          <w:p w14:paraId="5411166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PC端面捕系统Facem：</w:t>
            </w:r>
          </w:p>
          <w:p w14:paraId="1AE0EC2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1.表情数据记录功能：支持录制面部表情数据，生成或导出Binary/Txt/Csv格式文件。</w:t>
            </w:r>
          </w:p>
          <w:p w14:paraId="3A08E3A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2.多数据同步采集功能：支持表情、相机画面、麦克风数据同步采集。</w:t>
            </w:r>
          </w:p>
          <w:p w14:paraId="21EFFEF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3.相机画面显示功能：支持实时显示相机捕捉画面，眼球自动跟踪识别。</w:t>
            </w:r>
          </w:p>
          <w:p w14:paraId="1B8889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4.面捕实时驱动模型功能：支持通过面部捕捉，驱动模拟面部3D模型实时显示。</w:t>
            </w:r>
          </w:p>
          <w:p w14:paraId="75A3959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5.数据广播功能：支持面捕数据通过UDP协议进行数据传输。</w:t>
            </w:r>
          </w:p>
          <w:p w14:paraId="3A3722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▲6.批量表情数据写入模型：支持批量表情数据写入FBX模型，以WriteToFbx类型进行导出。(提供证明截图并加盖供应商公章）</w:t>
            </w:r>
          </w:p>
          <w:p w14:paraId="350F9BD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7.表情修帧工具：支持自动识别关键帧，支持表情数据更改，支持多种数据修改方式。</w:t>
            </w:r>
          </w:p>
          <w:p w14:paraId="577E5FF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8.无线捕捉功能：支持与手机无线连接，支持远程控制手机端面捕，支持接收并显示手机端摄像头画面。</w:t>
            </w:r>
          </w:p>
          <w:p w14:paraId="0BC3EEE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9.捕捉面部表情的bs数不少于52，可以准确捕捉到各种细微的表情变化。</w:t>
            </w:r>
          </w:p>
          <w:p w14:paraId="6C3F429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面捕开发包插件：</w:t>
            </w:r>
          </w:p>
          <w:p w14:paraId="786693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1.支持及提供Unity插件配合使用</w:t>
            </w:r>
          </w:p>
          <w:p w14:paraId="0B917C4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2.支持及提供UE插件配合使用</w:t>
            </w:r>
          </w:p>
          <w:p w14:paraId="19DCD4C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3.支持及提供Maya插件配合使用</w:t>
            </w:r>
          </w:p>
          <w:p w14:paraId="412474F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4.提供C/C++ SDK 给客户供二次开发</w:t>
            </w:r>
          </w:p>
          <w:p w14:paraId="73AF7A5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配套安卓端采集器配置:</w:t>
            </w:r>
          </w:p>
          <w:p w14:paraId="183BD3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1.处理器不低于第四代骁龙 8s</w:t>
            </w:r>
          </w:p>
          <w:p w14:paraId="6BF7E7E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2.Android版本不低于16</w:t>
            </w:r>
          </w:p>
          <w:p w14:paraId="5E07423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安卓端面捕app FacemLink:</w:t>
            </w:r>
          </w:p>
          <w:p w14:paraId="187301E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1.表情数据记录功能：支持录制面部表情数据，生成或导出Binary格式文件。</w:t>
            </w:r>
          </w:p>
          <w:p w14:paraId="41D66E9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2.多数据同步采集功能：支持表情、相机画面、麦克风数据同步采集。</w:t>
            </w:r>
          </w:p>
          <w:p w14:paraId="08B3F20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3.相机画面显示功能：支持实时显示相机捕捉画面，眼球自动跟踪识别。</w:t>
            </w:r>
          </w:p>
          <w:p w14:paraId="009681D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4.数据广播功能：支持面捕数据通过UDP协议进行数据传输。</w:t>
            </w:r>
          </w:p>
          <w:p w14:paraId="18FE591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5.远程功能：支持与电脑端无线连接，支持受电脑端远程操作。</w:t>
            </w:r>
          </w:p>
          <w:p w14:paraId="4D90203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6.捕捉面部表情的bs数不少于52，可以准确捕捉到各种细微的表情变化。"</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64045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ACE585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r w14:paraId="59923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B32D12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91CDA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虚拟人AI动捕互动系统</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30D6A3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支持实时连接AI视觉实时无穿戴动捕设备与无线表情捕捉仪数据流，实时驱动虚拟角色动作与表情表演(提供证明截图并加盖供应商公章）</w:t>
            </w:r>
          </w:p>
          <w:p w14:paraId="36A33F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系统内匹配的数字人，可根据体型调节模型手臂张合度，更贴合适配动捕演员运动</w:t>
            </w:r>
          </w:p>
          <w:p w14:paraId="472DB4A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平台内包含6个虚拟人角色，支持实时切换应用，灵活应用于各类场景与需求中（支持定制角色）</w:t>
            </w:r>
          </w:p>
          <w:p w14:paraId="149818F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平台内集成丰富资源，涵盖超过20个以上的3D/2D场景，满足多样化互动与应用需求</w:t>
            </w:r>
          </w:p>
          <w:p w14:paraId="0314DBE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支持系统内场景光效参数调节，支持设置2D 场景、3D场景、AR模式；</w:t>
            </w:r>
          </w:p>
          <w:p w14:paraId="38A4C65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数字人在场景中机位切换调节，支持设定直播视角；支持横屏竖屏自定义切换；支持预设虚拟机位，移动机位，支持复位与跟踪模式，支持模型原点复位、视角复位基于模型视角跟踪功能(提供证明截图并加盖供应商公章）</w:t>
            </w:r>
          </w:p>
          <w:p w14:paraId="2524BAC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平台内置超过100个道具+特效资源，其中不低于29个特效资源、83套道具资源</w:t>
            </w:r>
          </w:p>
          <w:p w14:paraId="5082C35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8、支持大视窗实时预览数字人表演画面，直观可视，并可将预览内容拓展至副屏或其他展示设备同步展示</w:t>
            </w:r>
          </w:p>
          <w:p w14:paraId="5EBEB36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平台内支持AI视觉动作捕捉驱动模式与游戏互动任务模式，内置体育类互动闯关体验游戏(提供证明截图并加盖供应商公章）</w:t>
            </w:r>
          </w:p>
          <w:p w14:paraId="3154463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支持“虚拟摄像头”功能，通过摄像头模型推流画面到直播平台</w:t>
            </w:r>
          </w:p>
          <w:p w14:paraId="3AE8C84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支持画面录制、数字人短视频录制，实时进行动捕驱动表演，录制实时表演视频保存为本地文件</w:t>
            </w:r>
          </w:p>
          <w:p w14:paraId="036A1B4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支持AR相机模式，通过外接入相机采集画面，可实时将数字人与实拍画面融合</w:t>
            </w:r>
          </w:p>
          <w:p w14:paraId="397C772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支持用户通过专业虚幻引擎模型处理插件，将matehuman数字人模型以及自主建模模型文件通过PAK包挂载导入数字人软件并实时驱动</w:t>
            </w:r>
          </w:p>
          <w:p w14:paraId="7C21D6B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具备布料重置功能，支持长裙、长袖模型在实时动捕的布料运算中出现穿模可一键重置布料效果(提供证明截图并加盖供应商公章）</w:t>
            </w:r>
          </w:p>
          <w:p w14:paraId="4C92436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15、配套操作终端配置要求</w:t>
            </w:r>
          </w:p>
          <w:p w14:paraId="4FEC136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CPU:i7-14700K 及以上;</w:t>
            </w:r>
          </w:p>
          <w:p w14:paraId="137C7AE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显卡:RTX4090D 24G及以上;</w:t>
            </w:r>
          </w:p>
          <w:p w14:paraId="1408A85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主板:Z790-P(3*PCIe×16插槽);</w:t>
            </w:r>
          </w:p>
          <w:p w14:paraId="1A79F01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内存:64G DDR4及以上;</w:t>
            </w:r>
          </w:p>
          <w:p w14:paraId="47BEB45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固态硬盘:2T nvme(7000MB/s顺序读写速度);</w:t>
            </w:r>
          </w:p>
          <w:p w14:paraId="28DBEC5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机械硬盘:2T;</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48B1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E13F6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p>
        </w:tc>
      </w:tr>
      <w:tr w14:paraId="1F5F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FF65F9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6FA43C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虚拟数字人定制</w:t>
            </w:r>
          </w:p>
          <w:p w14:paraId="57A7488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（卡通类）</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528D85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数字人定制包含：原画设计、Maya建模（标准四边面）、头部雕刻、发型制作、动捕骨骼绑定、服装绑定、52BS面捕表情绑定、骨骼动力学设计专业且成熟的模型及驱动全闭环制作流程以及接入到实时引擎系统MHTP数字人软件系统中应用，单个模型面数约5-10万面</w:t>
            </w:r>
          </w:p>
          <w:p w14:paraId="3B4C660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制作流程：原画设计输出三视图，定稿后进入以下三维制作流程</w:t>
            </w:r>
          </w:p>
          <w:p w14:paraId="002D718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1、模型建模（灰模、贴图、材质、渲染）</w:t>
            </w:r>
          </w:p>
          <w:p w14:paraId="6B08E21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2、模型绑定（身体、服装、头发绑定）</w:t>
            </w:r>
          </w:p>
          <w:p w14:paraId="55718C4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3、表情制作（基于blendshape52表情绑定，适 用于AH头盔面捕算法驱动）</w:t>
            </w:r>
          </w:p>
          <w:p w14:paraId="69CEAEF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4、动捕驱动测试</w:t>
            </w:r>
          </w:p>
          <w:p w14:paraId="16CCA04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5、虚幻引擎渲染效果(材质二次编译、灯光渲染设置）</w:t>
            </w:r>
          </w:p>
          <w:p w14:paraId="07055E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6、动力学制作（骨骼动力学解算制作） </w:t>
            </w:r>
          </w:p>
          <w:p w14:paraId="199C668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7、动捕实时驱动测试</w:t>
            </w:r>
          </w:p>
          <w:p w14:paraId="12268D9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8、默认场景灯光适配</w:t>
            </w:r>
          </w:p>
          <w:p w14:paraId="3E1329F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9、关卡环境搭建 </w:t>
            </w:r>
          </w:p>
          <w:p w14:paraId="572EE84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10、软件打包输出，适配到MHTP数字人软件进行实时应用</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97CFA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97DFA1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r w14:paraId="06B20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3AE83D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3D11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BEM技能应用与实战平台</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3BD8D6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一、软件整体要求</w:t>
            </w:r>
          </w:p>
          <w:p w14:paraId="43F97AE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BEM技能应用与实战平台采用理实一体化设计理念，深入分析“AI+基础技能应用”场景下全媒体运营师、互联网营销师等相关职业，以及文案设计、新媒体运营、网络营销等相关岗位的典型工作任务和工作内容，通过AI赋能工作流程和具体工作内容实现整体工作的智能化创新，构建多行业、多类目、多场景的典型运营实战项目。提供包括AIGC核心技术认知实训、AIGC提示词技巧实训、AIGC文本内容实训、AIGC视觉营销实训、AIGC短视频实训、AIGC数据分析实训和综合训练7大实训模块，14个实训任务。</w:t>
            </w:r>
          </w:p>
          <w:p w14:paraId="71367AA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BEM技能应用与实战平台支持管理员端、教师端和学生端平台入口。其中管理员端提供教师管理、任务管理、案例管理、能力值管理、百宝箱管理、综合资源管理、AI工具管理模块；教师端包括班级管理、实训管理、案例管理、成绩管理模块；学生端包括首页、专项训练、综合训练、AI百宝箱、成绩中心模块。</w:t>
            </w:r>
          </w:p>
          <w:p w14:paraId="026D540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★3.投标人须提供软件制造商针对此项目的授权书原件及原厂售后服务承诺函原件。</w:t>
            </w:r>
          </w:p>
          <w:p w14:paraId="60F4192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二、功能模块要求</w:t>
            </w:r>
          </w:p>
          <w:p w14:paraId="2277219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1.系统首页须支持学生、教师、系统管理员使用不同的身份登录软件，不同的身份具有不同的操作权限；</w:t>
            </w:r>
          </w:p>
          <w:p w14:paraId="216E62C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2.系统支持完整的教学过程管理功能，包括班级管理、学生管理、实训管理等，支持查看任务得分；</w:t>
            </w:r>
          </w:p>
          <w:p w14:paraId="567D0C0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3.系统支持多班级管理，包括创建多个班级、多个班级可根据教学需求和进度分配不同的实训任务、按照不同的班级进行成绩分析等；</w:t>
            </w:r>
          </w:p>
          <w:p w14:paraId="0F08D09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4.系统可以自由添加、删除、修改班级信息；支持学生账号单独、批量添加两种方式；</w:t>
            </w:r>
          </w:p>
          <w:p w14:paraId="3D9C1F9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5.系统支持主观评分，在学生完成任务提交后，教师可对学生提交内容进行评分，同时支持学生查看成绩；</w:t>
            </w:r>
          </w:p>
          <w:p w14:paraId="1020BDD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6.学生实训内容汇总统计展示、专项综合训练任务实时展示、能力图谱动态展示；</w:t>
            </w:r>
          </w:p>
          <w:p w14:paraId="568D0B9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学生端提供首页、专项训练、综合训练、AI百宝箱、成绩中心模块。其中专项训练包括AIGC核心技术认知实训、AIGC提示词技巧实训、AIGC文本内容实训、AIGC视觉营销实训、AIGC短视频实训、AIGC数据分析实训；综合训练包括公众号图文营销、电商商品管理；系统不少于31个AIGC知识点、不少于12个AIGC案例、不少于14个实训任务；</w:t>
            </w:r>
          </w:p>
          <w:p w14:paraId="085988C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8.AIGC核心技术认知实训：包括基础认知（以情景对话的形式展示单选题、多选题、判断题）、常用工具；</w:t>
            </w:r>
          </w:p>
          <w:p w14:paraId="08A7D3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w:t>
            </w:r>
            <w:r>
              <w:rPr>
                <w:rFonts w:hint="eastAsia" w:ascii="宋体" w:hAnsi="宋体" w:eastAsia="宋体" w:cs="宋体"/>
                <w:i w:val="0"/>
                <w:iCs w:val="0"/>
                <w:color w:val="auto"/>
                <w:kern w:val="0"/>
                <w:sz w:val="24"/>
                <w:szCs w:val="24"/>
                <w:highlight w:val="none"/>
                <w:u w:val="none"/>
                <w:lang w:val="en-US" w:eastAsia="zh-CN" w:bidi="ar"/>
              </w:rPr>
              <w:t>9.AIGC提示词技巧实训：包括两个子任务：提示词构建、精准提问与追问；支持用户根据任务要求进行提示词撰写；支持根据用户的提示词生成AI内容；并对用户的提示词给出AI建议，从而修改优化提示词；提示词构建包括：BACK模型训练、BARD模型训练、公式法训练、ICIO模型训练、CARE模型训练、CRISPE模型训练等不少于6种训练模板；精准提问与追问包括：指令式提问、引导式提问、发散式提问、递进式追问等不少于4种训练模板；每个任务内置对应的知识点、案例学习、任务背景与任务要求；</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r>
              <w:rPr>
                <w:rFonts w:hint="eastAsia" w:cs="宋体"/>
                <w:b/>
                <w:bCs/>
                <w:i w:val="0"/>
                <w:iCs w:val="0"/>
                <w:color w:val="auto"/>
                <w:kern w:val="0"/>
                <w:sz w:val="24"/>
                <w:szCs w:val="24"/>
                <w:highlight w:val="none"/>
                <w:u w:val="none"/>
                <w:lang w:val="en-US" w:eastAsia="zh-CN" w:bidi="ar"/>
              </w:rPr>
              <w:t>。</w:t>
            </w:r>
          </w:p>
          <w:p w14:paraId="66E2720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w:t>
            </w:r>
            <w:r>
              <w:rPr>
                <w:rFonts w:hint="eastAsia" w:ascii="宋体" w:hAnsi="宋体" w:eastAsia="宋体" w:cs="宋体"/>
                <w:i w:val="0"/>
                <w:iCs w:val="0"/>
                <w:color w:val="auto"/>
                <w:kern w:val="0"/>
                <w:sz w:val="24"/>
                <w:szCs w:val="24"/>
                <w:highlight w:val="none"/>
                <w:u w:val="none"/>
                <w:lang w:val="en-US" w:eastAsia="zh-CN" w:bidi="ar"/>
              </w:rPr>
              <w:t>10.AIGC文本内容实训：包括三个子任务：文本基础处理、方案设计、文案创作；文本基础处理包括：扩写、改写、精简、摘要、语气等不少于5种训练模板，方案设计包括：市场营销方案、品牌推广方案、项目管理方案、客户服务方案、培训教育方案等不少于5种训练模板；文案创作包括：标题撰写、开头设计、内容策划、结尾撰写，等不少于4种训练模板，每个任务内置对应的知识点、案例学习、任务背景与任务要求；</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r>
              <w:rPr>
                <w:rFonts w:hint="eastAsia" w:cs="宋体"/>
                <w:b/>
                <w:bCs/>
                <w:i w:val="0"/>
                <w:iCs w:val="0"/>
                <w:color w:val="auto"/>
                <w:kern w:val="0"/>
                <w:sz w:val="24"/>
                <w:szCs w:val="24"/>
                <w:highlight w:val="none"/>
                <w:u w:val="none"/>
                <w:lang w:val="en-US" w:eastAsia="zh-CN" w:bidi="ar"/>
              </w:rPr>
              <w:t>。</w:t>
            </w:r>
          </w:p>
          <w:p w14:paraId="7C80674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w:t>
            </w:r>
            <w:r>
              <w:rPr>
                <w:rFonts w:hint="eastAsia" w:ascii="宋体" w:hAnsi="宋体" w:eastAsia="宋体" w:cs="宋体"/>
                <w:i w:val="0"/>
                <w:iCs w:val="0"/>
                <w:color w:val="auto"/>
                <w:kern w:val="0"/>
                <w:sz w:val="24"/>
                <w:szCs w:val="24"/>
                <w:highlight w:val="none"/>
                <w:u w:val="none"/>
                <w:lang w:val="en-US" w:eastAsia="zh-CN" w:bidi="ar"/>
              </w:rPr>
              <w:t>11.AIGC视觉营销实训：包括两个子任务：视觉营销提示词、视觉营销创意设计；支持用户通过提示词生成图片；支持通过调整提示词重新生成视觉图，视觉营销创意设计包括：社媒宣传图、电商图、海报图等不少于3种训练模板，每个任务内置对应的知识点、案例学习、任务背景与任务要求；</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r>
              <w:rPr>
                <w:rFonts w:hint="eastAsia" w:cs="宋体"/>
                <w:b/>
                <w:bCs/>
                <w:i w:val="0"/>
                <w:iCs w:val="0"/>
                <w:color w:val="auto"/>
                <w:kern w:val="0"/>
                <w:sz w:val="24"/>
                <w:szCs w:val="24"/>
                <w:highlight w:val="none"/>
                <w:u w:val="none"/>
                <w:lang w:val="en-US" w:eastAsia="zh-CN" w:bidi="ar"/>
              </w:rPr>
              <w:t>。</w:t>
            </w:r>
          </w:p>
          <w:p w14:paraId="3E927B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AIGC短视频实训：包括两个子任务：AI脚本创作、短视频生成；短视频生产包括：创建脚本化自动成片包括口播模式与分组模式，包括脚本节点配置、标题、口播、贴纸；使用AI生成短视频脚本，根据脚本使用AI智能成片工具进行短视频内容创作，并根据要求使用剪辑工具完成短视频创作实训；每个任务内置对应的知识点、案例学习、任务背景与任务要求；</w:t>
            </w:r>
          </w:p>
          <w:p w14:paraId="474DBC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13.AIGC数据分析实训：用户通过提示词对资源数据进行数据清洗、数据分析最终生成新的数据表格，系统内置知识点、案例学习、任务背景、任务要求与数据资源；</w:t>
            </w:r>
          </w:p>
          <w:p w14:paraId="6B58005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14.综合任务：包括两个任务：公众号图文营销和电商商品管理；</w:t>
            </w:r>
          </w:p>
          <w:p w14:paraId="3799B72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▲15.公众号图文营销实训：利用智能AI助手对公众号标题和文章内容进行生成设计；（需提供相关功能截图证明文件并加盖供应商公章）</w:t>
            </w:r>
          </w:p>
          <w:p w14:paraId="020EA92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▲16.电商商品管理实训：利用AI完成数据化选品，利用智能AI助手完成商品主图、商品副图、商品详情页、商品卖点、商品文案、营销方案的操作。（需提供相关功能截图证明文件并加盖供应商公章）</w:t>
            </w:r>
          </w:p>
          <w:p w14:paraId="7D0DCF8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17.成绩中心：可展示学生当前实训列表，得分情况；</w:t>
            </w:r>
          </w:p>
          <w:p w14:paraId="445DF72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AI百宝箱：包括四类专区：文案专区、图片专区、视频专区、数据分析专区。文案专区包括：市场调研、PPT制作、小红书、公众号、微博、社群、电商营销、短视频、直播等分类；图片专区包括：图片编辑、AI生图、智能设计等分类；视频专区包括视频剪辑、智能成片；数据分析专区包括数据处理、数据分析、图表生成、数据分析报告。</w:t>
            </w:r>
          </w:p>
          <w:p w14:paraId="24D2426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三、其他服务</w:t>
            </w:r>
          </w:p>
          <w:p w14:paraId="5C3EAF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为保证实训平台的使用效果，供应商须给采购人提供为期一年的信息化教学服务管理平台；</w:t>
            </w:r>
          </w:p>
          <w:p w14:paraId="6F8F7A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教学管理服务以产教融合为导向，通过线上课程、技能提升、任务实践对接三个核心脉络，糅合线上班级、任务化作业支撑、学习讨论，为教师提供互联网化的线上教学平台，为学生们提供专注于提升就业能力的学习成长型互动平台；</w:t>
            </w:r>
          </w:p>
          <w:p w14:paraId="0D5469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教学管理服务班级内含抢答及提问功能，提问共计点名提问及随机提问两种方式。抢答共计口头抢答/线上抢答两种方式，抢答人数数量教师可点击给出选项数字，也可以自定义数量。（需提供相关功能截图证明文件并加盖供应商公章）</w:t>
            </w:r>
          </w:p>
          <w:p w14:paraId="6291B61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3.教学管理服务班级包含课程模块，共计本地上传/资源模块/教学包模块/其他班级共享四种添加方式，支持下载/倍速播放/进度条拖拽/弹幕等设置。</w:t>
            </w:r>
          </w:p>
          <w:p w14:paraId="30ED644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4.教学管理服务班级内含作业模块，作业类型共计个人作业/小组作业两种类型，点评设置支持默认规则/教师批阅/教师助教批阅/学生互评四种方式。</w:t>
            </w:r>
          </w:p>
          <w:p w14:paraId="0AA2EF8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5.教学管理服务支持测验实时监控，教师可以在学生能作答期间监控学生的状态，查看学生是否作答，作答时长等，可实时监控学生作答状态。（需提供相关功能截图证明文件并加盖供应商公章）</w:t>
            </w:r>
          </w:p>
          <w:p w14:paraId="1AFF17B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▲6.教学管理服务班级内内设考勤功能，与移动端同步使用，共计传统/数字/手势/二维码四种考勤模式，支持班级内学生考勤统计；（需提供相关功能截图证明文件并加盖供应商公章）</w:t>
            </w:r>
          </w:p>
          <w:p w14:paraId="4AD45B9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7.国内教学管理服务能够帮助教师提高教学效率，为教师提供大量基础教学包，同时教师可以借助平台直接展开课程化教学工作，也可自定义教学内容，完成教学组织，获得教学结果和学生实践与成长数据。</w:t>
            </w:r>
          </w:p>
          <w:p w14:paraId="17A7612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8.教学管理服务班级内课堂互动拓展，支持试题互动、课件互动、头脑风暴、投票四种玩法。</w:t>
            </w:r>
          </w:p>
          <w:p w14:paraId="19E6536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9.班级内含资料模块，支持文本资料、链接发布两种资料类型。</w:t>
            </w:r>
          </w:p>
          <w:p w14:paraId="5304F01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10.教学管理服务班级内含成绩模块，支持线下成绩上传。</w:t>
            </w:r>
          </w:p>
          <w:p w14:paraId="3A67B38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教学管理服务班级内含教学评价功能，教师发起评价后，学生可对教师进行教学评价，教师可根据院校要求的教学评价内容修改学生评价模板，查看教学评价状态及评价详情，也可一键导出所有学生的教学评价，贯穿教学建设，促进教学质量。</w:t>
            </w:r>
          </w:p>
          <w:p w14:paraId="3BB1D32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教学管理服务支持教学模块自定义，教师可根据实际的教学内容对班级的模块进行自定义设置，对于没有教学内容的模块可以设置为隐藏，教师和学生端均无法看到该模块，也可对教学模块进行排序，帮助教师更方便的进行教学管理，学生也可以更快找到内容。</w:t>
            </w:r>
          </w:p>
          <w:p w14:paraId="6C250D6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13.教学管理服务班级内置错题库功能，主要用于收集学员在班级练习测验或者参加考试后的错题，学员可在个人中心进入错题库以班级进行不断的训练，巩固错题，减少同类题型或同一知识点的犯错。</w:t>
            </w:r>
          </w:p>
          <w:p w14:paraId="17C234C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14.教学管理服务支持班级结课功能，教师在一学期结束后，如果不再进行教学活动，点击班级结课后，学生在班级内的学习不会再产生记录，方便教师管理成绩以及数据。</w:t>
            </w:r>
          </w:p>
          <w:p w14:paraId="274E241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w:t>
            </w:r>
            <w:r>
              <w:rPr>
                <w:rFonts w:hint="eastAsia" w:ascii="宋体" w:hAnsi="宋体" w:eastAsia="宋体" w:cs="宋体"/>
                <w:i w:val="0"/>
                <w:iCs w:val="0"/>
                <w:color w:val="auto"/>
                <w:kern w:val="0"/>
                <w:sz w:val="24"/>
                <w:szCs w:val="24"/>
                <w:highlight w:val="none"/>
                <w:u w:val="none"/>
                <w:lang w:val="en-US" w:eastAsia="zh-CN" w:bidi="ar"/>
              </w:rPr>
              <w:t>15.供应商须为采购人提供《电子商务数据分析》、《农产品电商运营资源》、《跨境电商基础与实务》课程资源包，《电子商务数据分析》课程资源包须包含课程视频≥145个、作业≥32个、测验≥17个、资料≥133个；《农产品电商运营资源》课程资源包须包含课程视频不少于122个、作业不少于32个、测验不少于6个、资料不少于29个；《跨境电商基础与实务》课程资源包须包含课程视频≥20个、作业≥10个、测验≥15个、资源≥40个，所有资源包内容可一键摘录到平台班级中直接使用，同时提供职业技能等级证书训练平台，便于采购人有效利用。</w:t>
            </w:r>
            <w:r>
              <w:rPr>
                <w:rFonts w:hint="eastAsia" w:ascii="宋体" w:hAnsi="宋体" w:eastAsia="宋体" w:cs="宋体"/>
                <w:b/>
                <w:bCs/>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r>
              <w:rPr>
                <w:rFonts w:hint="eastAsia" w:cs="宋体"/>
                <w:b/>
                <w:bCs/>
                <w:i w:val="0"/>
                <w:iCs w:val="0"/>
                <w:color w:val="auto"/>
                <w:kern w:val="0"/>
                <w:sz w:val="24"/>
                <w:szCs w:val="24"/>
                <w:highlight w:val="none"/>
                <w:u w:val="none"/>
                <w:lang w:val="en-US" w:eastAsia="zh-CN" w:bidi="ar"/>
              </w:rPr>
              <w:t>。</w:t>
            </w:r>
          </w:p>
          <w:p w14:paraId="350311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我的班级内置数据分析理论考试及实操考试平台，相关知识点包括但不限于数据采集与处理方案、市场数据分析、运营数据分析、产品数据分析、数据监控与报告撰写等相关知识点，其中数据分析理论考试平台内置题库≥15套；实操考试平台内置实操题不少于40道；</w:t>
            </w:r>
          </w:p>
          <w:p w14:paraId="7864CB3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我的班级内置农产品电商运营理论考试及实操考试平台，相关知识点包括但不限于农产品电商日常运营、农产品供应链管理、农产品社交媒体营销、农产品直播营销等，其中农产品电商运营理论考试平台内置题库≥15套；实操考试平台可实现如下功能：</w:t>
            </w:r>
          </w:p>
          <w:p w14:paraId="221AACF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农产品电商日常运营：农产品市场调研实训任务包括但不限于调研问卷设计、调研结论撰写等。农产品开发实训任务包括但不限于农产品新品开发、农产品定价、农产品包装设计等。农产品运营规划实训任务包括但不限于农产品运营规划制定等。</w:t>
            </w:r>
          </w:p>
          <w:p w14:paraId="6B1FCFE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农产品供应链管理：农产品采购管理实训任务包括但不限于采购计划制定、发布采购意向、采购计划实施等。农产品供应链管理实训任务包括但不限于产品入库、产品出库、包装管理等。</w:t>
            </w:r>
          </w:p>
          <w:p w14:paraId="7EE4370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农产品社交媒体营销：社群营销实训任务包括但不限于社群构建、社群裂变、社群维护、社群转化等。社交媒体方案制定与规划实训任务包括但不限于社交媒体方案制定、社交媒体规划表制作等。</w:t>
            </w:r>
          </w:p>
          <w:p w14:paraId="7A00127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农产品直播营销：实训任务包括但不限于农产品整场直播脚本撰写、农产品直播执行、直播效果分析等。</w:t>
            </w:r>
          </w:p>
          <w:p w14:paraId="5D60420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国际教学管理模块至少支持4种国家语言，可以通过导入语言包，进行更多语言的切换。支持慕课选择多语言字幕（中英泰俄）视频，作业内容自动翻译以及测验题目翻译。（需提供相关功能截图证明文件并加盖供应商公章）</w:t>
            </w:r>
          </w:p>
          <w:p w14:paraId="7254CD8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配备智能字幕功能，可以将视频文件的中文音频转写，并且制作成多语言字幕（中英泰俄）srt格式，字幕文件可直接关联视频，达到字幕相应视频内容的效果。（需提供相关功能截图证明文件并加盖供应商公章）</w:t>
            </w:r>
          </w:p>
          <w:p w14:paraId="7CFA1C7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国际教学管理模块内置课程模块：支持教师发布录播课和直播课，可从资源库和教学包内摘录课程，以及进行课程管理（编辑、删除、批量管理、排序以及文件夹管理）；录播课字幕支持字幕上传，可选择多种语言翻译，并进行视频剪辑。学生能够学习课程，并标记未学习、学习中、已学习状态。直播课支持授课人实时语音多语言字幕翻译，支持AI同声传译，可进行多语言语音翻译。（需提供相关功能截图证明文件并加盖供应商公章）</w:t>
            </w:r>
          </w:p>
          <w:p w14:paraId="6C5FB3C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国际教学管理模块内置测验模块：支持教师发布测验，可从资源库和教学包内摘录测验，以及进行测验管理（编辑、删除、批量管理、排序以及文件夹管理），测验监控，测验下载；支持测验题目翻译，教师在编辑测验题目页面可以进行测验题翻译。学生能够进行答题，并标记未开始、暂未提交、已结束状态，答题完成后还可将错题放入错题库，也可查看试卷和答案。</w:t>
            </w:r>
          </w:p>
          <w:p w14:paraId="1917C79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国际教学管理模块内置作业模块：支持教师发布作业和小组作业，可从资源库和教学包内摘录作业，以及进行作业管理（编辑、删除、批量管理、排序以及文件夹管理）；支持作业内容翻译，教师在作业详情页页面可以多语言进行翻译。学生按照要求完成作业，并标记未开始、暂未提交、已结束等状态，还可查看班级学员提交情况。</w:t>
            </w:r>
          </w:p>
          <w:p w14:paraId="47A67F7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国际教学管理模块内置资料模块：支持教师发布资料，可从资源库和教学包内摘录资料，也可进行资料管理（编辑、删除、批量管理、排序以及文件夹管理）；支持资料内容翻译，在导入资料、查看资料时可进行多语言翻译；学生能够在线预览资料，并标记未开始、未学习、已学习状态，还可下载附件查看。</w:t>
            </w:r>
          </w:p>
          <w:p w14:paraId="7F46EE0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基于企业实际运营项目进行企业岗位分析及课程资源转化，以咖啡实战运营项目为载体，以直播电商工作流程为主线，系统涵盖咖啡认知、数字基础技能、岗位方向技能及数字拓展技能与素养四大模块。课程秉持以学生为中心的教学理念，紧密结合职业技能标准，共包含26个精品教学视频、26套配套课件及26套训练习题，支持自主学习与自我检测。通过实景拍摄、案例解析与多元化教学资源，有效提升学生的核心素养与数字运营实战能力，全面助力其综合素质发展。能精准反映行业真实工作场景、技术应用与问题解决逻辑，将其转化为课程案例，一方面可让学生接触最前沿的企业实战情况，增强课程的实践性与针对性；另一方面，借助企业的专业经验转化案例，能确保案例的真实性、实用性，助力学生更好地将所学知识与企业岗位需求对接，提升就业竞争力与职业能力。</w:t>
            </w:r>
          </w:p>
          <w:p w14:paraId="05F8169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配套增值服务：为教师进行智慧课程建设提供技术支持。</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7880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B36FFC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r w14:paraId="4FD57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E5B27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012" w:type="dxa"/>
            <w:tcBorders>
              <w:top w:val="single" w:color="auto" w:sz="4" w:space="0"/>
              <w:left w:val="single" w:color="auto" w:sz="4" w:space="0"/>
              <w:bottom w:val="single" w:color="auto" w:sz="4" w:space="0"/>
              <w:right w:val="single" w:color="auto" w:sz="4" w:space="0"/>
            </w:tcBorders>
            <w:shd w:val="clear" w:color="auto" w:fill="FFFFFF"/>
            <w:vAlign w:val="center"/>
          </w:tcPr>
          <w:p w14:paraId="034FACA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云台相机</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6815AA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电池类型：锂电池</w:t>
            </w:r>
          </w:p>
          <w:p w14:paraId="30CE1F5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存储介质：Mic-SD,内置内存</w:t>
            </w:r>
          </w:p>
          <w:p w14:paraId="44A852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防抖性能：三轴防抖</w:t>
            </w:r>
          </w:p>
          <w:p w14:paraId="797D6F4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防水性能：不支持防水</w:t>
            </w:r>
          </w:p>
          <w:p w14:paraId="7415C1C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视频分辨率：4k</w:t>
            </w:r>
          </w:p>
          <w:p w14:paraId="2D4B88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自带容量：107GB</w:t>
            </w:r>
          </w:p>
          <w:p w14:paraId="477F580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适用场景：Vlog</w:t>
            </w:r>
          </w:p>
          <w:p w14:paraId="0EAD7D9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翻转屏功能：支持翻转屏</w:t>
            </w:r>
          </w:p>
          <w:p w14:paraId="1B4900C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是否支持夜摄功能：夜摄功能</w:t>
            </w:r>
          </w:p>
          <w:p w14:paraId="46F2C31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传感器尺寸：1/1英寸</w:t>
            </w:r>
          </w:p>
          <w:p w14:paraId="3E5300A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感光元件：CMOS</w:t>
            </w:r>
          </w:p>
          <w:p w14:paraId="172529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显示屏尺寸(值)：2英寸</w:t>
            </w:r>
          </w:p>
          <w:p w14:paraId="6067A4D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质保期：1年</w:t>
            </w:r>
          </w:p>
          <w:p w14:paraId="6D3D15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接口类型：USB</w:t>
            </w:r>
          </w:p>
          <w:p w14:paraId="6AD4BEF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光学变焦倍数：2倍</w:t>
            </w:r>
          </w:p>
          <w:p w14:paraId="42BC18A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屏幕尺寸：2英寸</w:t>
            </w:r>
          </w:p>
          <w:p w14:paraId="18A71A2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数码像素：800万以上</w:t>
            </w:r>
          </w:p>
          <w:p w14:paraId="762C605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是否触摸屏：是</w:t>
            </w:r>
          </w:p>
          <w:p w14:paraId="1BF5D70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180度全景相机类型</w:t>
            </w:r>
          </w:p>
        </w:tc>
        <w:tc>
          <w:tcPr>
            <w:tcW w:w="280" w:type="dxa"/>
            <w:tcBorders>
              <w:top w:val="single" w:color="auto" w:sz="4" w:space="0"/>
              <w:left w:val="single" w:color="auto" w:sz="4" w:space="0"/>
              <w:bottom w:val="single" w:color="auto" w:sz="4" w:space="0"/>
              <w:right w:val="single" w:color="auto" w:sz="4" w:space="0"/>
            </w:tcBorders>
            <w:shd w:val="clear" w:color="auto" w:fill="FFFFFF"/>
            <w:vAlign w:val="center"/>
          </w:tcPr>
          <w:p w14:paraId="3F5FF23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B60F9B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台</w:t>
            </w:r>
          </w:p>
        </w:tc>
      </w:tr>
    </w:tbl>
    <w:p w14:paraId="0B8D91A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4F3B5861">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2.商贸赛道平台建设</w:t>
      </w:r>
    </w:p>
    <w:tbl>
      <w:tblPr>
        <w:tblStyle w:val="42"/>
        <w:tblW w:w="-114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3"/>
        <w:gridCol w:w="693"/>
        <w:gridCol w:w="7560"/>
        <w:gridCol w:w="454"/>
        <w:gridCol w:w="454"/>
      </w:tblGrid>
      <w:tr w14:paraId="7CD1C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C7E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89E12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7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98D1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规格、技术、功能等参数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726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3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6F79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r>
      <w:tr w14:paraId="1715A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41B112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0CEC6BC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AI+跨境电商直播综合实训平台</w:t>
            </w:r>
          </w:p>
        </w:tc>
        <w:tc>
          <w:tcPr>
            <w:tcW w:w="764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9498CE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一、总体要求</w:t>
            </w:r>
          </w:p>
          <w:p w14:paraId="14FD654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1、软件采用B/S架构，只需要通过能够上网的电脑和浏览器就可开展实训。</w:t>
            </w:r>
          </w:p>
          <w:p w14:paraId="52F06B6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2、平台应分为教学管理系统和实训系统两个部分，其中教学管理系统应具备权限分配和资源管理功能，实训系统应能够支持学生以卖家和买家两种角色完成跨境电商直播综合实训平台仿真实训。</w:t>
            </w:r>
          </w:p>
          <w:p w14:paraId="50AC8C7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二、教学管理系统模块</w:t>
            </w:r>
          </w:p>
          <w:p w14:paraId="257E1DC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1、教学管理系统后台</w:t>
            </w:r>
          </w:p>
          <w:p w14:paraId="2984869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（1）教学管理系统后台主页面：应支持选择班级查看对应班级的实训任务与课程题库完成情况，可通过柱状图与饼状图的可视化形式直观展现已完成实训任务与课程题库的人数与占比。</w:t>
            </w:r>
          </w:p>
          <w:p w14:paraId="5A9BFB7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教师管理：应支持通过教师名称或手机号码查询用户，支持通过是否完成手机号验证对用户进行筛选，查看教师姓名、用户名、联系电话、验证时间、学校、管理班级、班级人数、创建人、创建时间、授权状态、授权到期时间等信息，管理员可选择对教师账号进行信息修改或删除。系统应支持批量导出用户信息，添加新用户信息并创建账号，对教师账号进行单个或批量删除。</w:t>
            </w:r>
          </w:p>
          <w:p w14:paraId="5AFAA3C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班级管理：应支持在选择启用或禁用的班级状态下，通过班级名称查询班级，查看班级名称、班级学生人数、班级教师、学校名称、创建人、创建时间、授权状态、授权到期时间、启用状态等信息，管理员可选择对班级进行信息修改或禁用（启用），并在学生管理模块中对学生进行管理。系统应支持添加新班级信息并创建班级，对班级进行单个或批量禁用（启用）。</w:t>
            </w:r>
          </w:p>
          <w:p w14:paraId="33D3BB6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学生管理：应支持在选择启用或禁用的账号状态下，通过学生名称/账号或手机号码查询用户，支持通过是否完成手机号验证对用户进行筛选，查看学生姓名、学校、班级、账号、手机号、验证时间、创建人、授权到期时间、启用状态、创建时间等信息，管理员可选择对学生账号进行信息修改或禁用。系统应支持批量导出用户信息，单个添加或通过模板批量添加新用户信息并创建账号，对学生账号进行单个或批量禁用（启用）。</w:t>
            </w:r>
          </w:p>
          <w:p w14:paraId="2A784A4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课程列表：应支持通过课程名称查询课程类型、课程明细、封面图片、创建人、所属学校、添加时间等信息，管理员可选择对课程信息进行修改。系统应支持添加新的课程信息并创建课程，并在课程明细中对课程明细信息进行管理。</w:t>
            </w:r>
          </w:p>
          <w:p w14:paraId="3AD19A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教学监控：应支持通过班级或学生姓名筛选、查询用户，查看班级、学号、姓名、已完成实训任务、已完成课程题库、综合积分、综合成绩等信息。系统应支持批量导出用户信息。应支持教师查看学生每个实训任务的完成详情，支持自动评分和人工评分，系统应支持根据学生实操完成情况进行自动评分，教师也可以进入该学生的实训后台，查看该学生的实训平台实操情况并进行人工评分，若教师对该学生进行了人工评分，则该学生的实操分为老师的人工评分，否则为系统自动评分。</w:t>
            </w:r>
          </w:p>
          <w:p w14:paraId="3B3C300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交流中心：应具备管理帖子与回复的功能模块。在帖子管理模块中，应支持通过用户姓名或帖子标题查询帖子，支持通过帖子置顶或审核状态对帖子进行筛选，查看帖子的发布人、帖子标题、图片、置顶情况、学校、班级、审核状态等信息，管理员可添加帖子，或对帖子进行删除、审核等操作。在回复管理模块中，应支持通过用户姓名查询回复，支持通过回复审核状态对回复进行筛选，查看评论人、回复内容、图片、审核状态、添加时间等信息，管理员可对帖子进行删除、审核等操作。</w:t>
            </w:r>
          </w:p>
          <w:p w14:paraId="5D7E512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学情概览页面，应支持链接至班级学情分析、实训任务学情、课程题库学情、学生行为分析和学生学情报告页面。应支持选择学校和课程进行查询，应支持以柱图的形式查看不同班级的实训任务总进度百分比和以折线图的形式查看不同班级各实训任务具体进度百分比。</w:t>
            </w:r>
          </w:p>
          <w:p w14:paraId="448B3DF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9）班级学情分析页面，应支持选择学校、班级、课程、实验等信息进行查询，应支持查看学习情况、实操情况、答题情况、任务已全部完成个数，并支持查看总体概览，包括学习进度、实操进度和答题进度。点击任务已全部完成个数按钮，应支持筛选用户、学习状态、实操状态、答题状态进行查询任务学习情况，包括实验名称、用户名、学号、姓名、任务学习状态、学习状态、实操状态和答题状态，支持数据一键下载导出。</w:t>
            </w:r>
          </w:p>
          <w:p w14:paraId="28CBAD3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10）实训任务学情页面，应支持选择学校、班级、课程、实训任务标题等信息进行查询，应支持查看实训任务标题、所属章节、已完成人数、平均综合计分、活跃时长、操作等内容。点击操作详情，应支持查看对应实训任务的学习情况，通过输入学生姓名或学号进行查询，应支持查看用户名、学生姓名、学号、活跃时长等信息。应支持数据一键下载导出。</w:t>
            </w:r>
          </w:p>
          <w:p w14:paraId="31E215F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课程题库学情页面，应支持选择学校、班级、课程等信息进行查询，应支持查看综合训练完成情况柱形图以及详情表，详情表应包括综合训练名称、班级平均得分、作答人数、人均作答次数、正确率、操作等内容。点击操作详情，应支持查看对应综合训练的得分情况，支持输入题目内容进行查询，应支持查看题目、选项、正确答案、顺序、正确率、首次作答正确率等信息，支持切换为柱状图形式。</w:t>
            </w:r>
          </w:p>
          <w:p w14:paraId="34649C0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12）学生行为分析页面，应支持选择学校、班级、课程、学生姓名等信息进行查询，应支持查看序号、学生姓名、用户名、活跃时长、帖子发布数、实训任务点击次数、已完成实训任务、已完成课程题库、综合积分、综合成绩，点击详情，应支持查看学习详情、学习报告、实训报告，应支持数据一键下载导出；学习详情应支持查看用户名、姓名、学号，应支持根据实验名称和章节进行查询，应支持查看章节、实验序号、实验名称、学习次数、活跃时长，应支持数据一键下载导出；实训报告应支持查看报告时间、得分，应支持查看用户姓名、用户账号、实训任务模块、实训任务完成情况、课程题库模块、课程题库完成情况、学习积分、实操积分、答题积分、综合积分，应支持查看各实训任务得分明细。</w:t>
            </w:r>
          </w:p>
          <w:p w14:paraId="5CB0357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13）学生学情报告页面，应支持选择学校、班级、学生、课程、实训任务标题等信息进行查询。以平台运营、店铺管理、产品管理、营销推广、数据分析、物流管理与供应链、订单处理、客户服务等维度呈现学生学习能力和班级平均学习能力雷达图。应支持查看学生各个实训任务中学习、实操和答题情况。应支持查看学生的月度实训轨迹图，可按年份查看学生每月完成任务数量。</w:t>
            </w:r>
          </w:p>
          <w:p w14:paraId="4C908FE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14）作业管理：应支持进行作业管理，支持查看作业列表并按照课程、发布状态、作业标题进行查询，可对已有作业进行编辑、删除等操作。应支持教师或管理员自行添加作业，可设置作业名称、学校、课程、班级、发布时间、截止时间、封面图片、作业描述、作业填写说明等基本信息，并支持选择是否设置前置作业、是否立即发布及是否允许学生下载作业报告等。应支持教师或管理员对学生提交的作业进行查看和批改，支持根据作业完成状态、评语状态、完成时间等条件进行筛选查看；批改时应支持对学生填写内容进行修改，支持设置审核结果及编辑评语，应支持自动生成并可手动修改评语；并支持链接至学生实训平台查看学生实训情况，批改完成后可查看审核日志。同时应支持批量导出作业报告，可通过选择班级、作业根据条件导出，或者根据Excel模板上传名单进行批量导出，导出作业报告支持选择PNG或PDF格式。</w:t>
            </w:r>
          </w:p>
          <w:p w14:paraId="4DC99A8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2、教学管理系统前台</w:t>
            </w:r>
          </w:p>
          <w:p w14:paraId="77B9BB7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教学管理系统前台主页面：应支持链接至实训任务、实训平台、课程题库、交流中心、课程知识库、实训轨迹、实训排名、资料下载等功能模块。展示用户实训学习与答题完成情况，包括完成任务数、答题次数、积分、排名等信息。实训任务进度模块应支持显示设置的总任务数与完成任务数，以可视化的形式展现用户已完成的任务占比。课程题库进度模块应支持显示设置的总试卷数与完成试卷数，并以可视化的形式展现用户已完成的课程题库占比。每月练习数模块应展示月度练习完成情况的历史记录，显示的信息有月份、完成任务数与答题次数。实训排名模块应展示用户实训得分排名，提供名次、用户头像、姓名、积分、完成任务数与答题次数等信息。</w:t>
            </w:r>
          </w:p>
          <w:p w14:paraId="4C06EC1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实训任务：应支持展示用户实训任务完成情况，展示的信息包括实训积分、任务完成进度、已完成任务数量、未完成任务数量、班级排名。可根据实训任务的完成情况以全部任务、未完成任务、已完成任务三种状况对实训任务进行筛选分组显示，可按章节分组展示实训项目目录。每个实训任务显示任务完成情况，包括实训任务类型，学习、实操、答题和综合积分的得分情况，任务当前状态、任务详情等信息。用户可通过学习、实操和答题链接进入对应课程知识库学习相关理论知识，进入实训平台进行实操练习，进入课程题库完成对应项目的试题库并答题。</w:t>
            </w:r>
          </w:p>
          <w:p w14:paraId="43C66FF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课程题库：应支持分组展示课程试题组，显示作答次数、测试得分等信息。通过学习链接可进入对应课程知识库进行相关理论知识的学习，通过答题链接可进入试题组进行做题，试题形式包括单选题、多选题、判断题。完成答题后显示考试结果，应提供答题得分、错题数量、正确答案与学生答案等信息。</w:t>
            </w:r>
          </w:p>
          <w:p w14:paraId="0419607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（4）交流中心：应提供热门话题、我的话题、我的回复分组，发表的话题支持配插图。</w:t>
            </w:r>
          </w:p>
          <w:p w14:paraId="0245FC0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（5）课程知识库：应支持按章节分组展示课程知识库目录，课程知识库提供的文字、图片、视频等多种形式的课程资源，视频内容应支持静音、全屏播放、调整播放速度与画中画形式播放。</w:t>
            </w:r>
          </w:p>
          <w:p w14:paraId="77D3897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（6）实训轨迹：生成月度实训轨迹图，可按年查看每月完成任务数量。实训排名：应支持展示用户实训得分排名，应提供名次、用户头像、姓名、完成任务数、综合积分与综合成绩等信息。</w:t>
            </w:r>
          </w:p>
          <w:p w14:paraId="5B4A572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作业提交：应支持查看作业列表，展示作业封面、作业标题、批改结果、截止时间等基本信息。支持点击去完成按钮进行作业的提交，作业提交页面展示作业填写说明，可根据作业模板填写内容并上传附件，提交作业后允许撤回并修改后再次提交。作业批改完成后，应支持用户前台下载作业报告，作业报告支持选择PNG或PDF格式。</w:t>
            </w:r>
          </w:p>
          <w:p w14:paraId="629025D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（8）资料下载：应支持分组展示课程资料，显示资料组浏览次数，支持通过关键字搜索资料组。</w:t>
            </w:r>
          </w:p>
          <w:p w14:paraId="181EFB8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9）AI助手：包括AI伴学、智能出题、数据分析、竞赛选题、报告评测功能。AI伴学：应提供智能客服支持进行智能对话，提供24小时智能答疑，并能够实时解答实训操作问题。可对用户询问问题进行及时回复，并能够进行新建对话和查看历史记录。智能出题：应支持通过设置出题领域、题目主题等提示进行智能出题，支持设置出题难度及题目数量。支持查看当前新生成结果和历史生成记录。数据分析：应支持通过上传数据文件进行智能数据分析，支持上传数据后智能识别数据摘要、数据结构等内容并提供可供参考的分析计划。支持新建对话和查看历史记录。竞赛选题：应支持通过设置竞赛领域、选题要求、竞赛背景等提示进行竞赛选题。报告评测：应支持对数据分析报告进行智能评测，支持通过输入文本或上传文件的形式导入报告内容，支持对导入内容进行重置后重新导入，评测完成后支持查看评测结果。（本条参数为重要参数，需提供平台功能截图，未提供或不符合，则不得分）</w:t>
            </w:r>
          </w:p>
          <w:p w14:paraId="3421830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3、教学管理系统自动评分模块</w:t>
            </w:r>
          </w:p>
          <w:p w14:paraId="423467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1）运行报表：应支持查看自动评分系统运行情况，展示任务、规则、规则组、数据源、成功/失败运行次数、评卷数量、评卷成功数量等整体概况，并支持展现运行数据、评卷数据曲线图，分别展示成功数与失败数。应支持展示最近执行任务的详细情况，展示任务描述、评卷进度、评卷成功数量、任务状态、触发方式、操作用户、操作时间、结束时间等数据。评卷进度随着执行进度动态更新。支持按照不同时间长度筛选查看数据，并支持自定义时间区间，应支持查询最近1年及以上的运行数据。（本条参数为重要参数，需提供平台功能截图，未提供或不符合，则不得分）</w:t>
            </w:r>
          </w:p>
          <w:p w14:paraId="1D3333E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（2）数据源管理：应支持查询并动态创建数据源，数据源类型至少应支持MySQL，SQL Server，Oracle三种及以上，支持按照数据源名称、数据库类型、创建用户、是否公开及是否启用等条件进行查询，可查看数据源URL、数据库账号、创建时间等信息，支持对数据源进行编辑、测试及删除等操作。新增数据源支持编辑数据源名称、数据源URL、数据库类型、数据库账号及密码等信息，应支持对数据源进行测试。（本条参数为重要参数，需提供平台功能截图，未提供或不符合，则不得分）</w:t>
            </w: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3）规则管理：规则组管理应支持按照规则组名称、规则组备注、是否有默认完成动作、创建用户等条件进行查询，可查看规则数量、默认数据源、创建时间等信息，支持对规则组进行编辑、复制、导出、删除以及查看详情等操作。应支持新增或导入规则组，新增规则组支持设置规则组名称、默认数据源、规则组备注、是否开启默认完成后动作以及添加动作等。规则组详情应支持展示规则列表，包含规则名称、规则描述、是否公开、评分完成后动作、命中条件表达式等信息，并支持对规则进行测试、查看、编辑、删除等操作。应支持用户自由组合多项评分规则为一个规则组模型，可自由设置评分后动作和执行优先级，可通过自行编写动态SQL脚本来控制评分结果回写操作。规则管理应支持按照规则名称、规则描述、是否有完成后动作、所属规则组、创建用户、是否公开等条件进行查询。可查看规则名称、规则描述、命中表达式、创建时间等信息，支持对规则进行编辑、复制、导出、删除、测试以及查看已分配的规则组等操作。应支持新增或导入规则，新增规则支持设置规则名称、规则描述、是否公开、是否有完成动作、命中表达式、规则脚本及添加数据集等。应支持基于选定的数据源创建动态数据集作为评分规则的输入参数。应支持以动态脚本形式编写评分逻辑对输入的数据集进行评分，评分脚本语言采用高性能轻量化的脚本语言，例如：AviatorScript，且应支持用户自定义评分规则命中表达式。应提供版本控制功能，用户可自由选择回滚到任一历史版本。每个评分规则都应支持测试，并且提供获取测试数据功能，测试反馈内容包括但不限于：解析后的输入参数、控制台输出内容、脚本运行结果，便于用户根据测试反馈内容快速定位问题。（本条参数为重要参数，需提供平台功能截图，未提供或不符合，则不得分）</w:t>
            </w:r>
          </w:p>
          <w:p w14:paraId="48A9D54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4）任务管理：应支持进行评分任务管理，支持按照任务描述、规则组名称、任务类型、任务状态、创建用户等条件进行查询，可查看集合SQL数据源、任务状态、任务状态描述、是否回写总成绩、创建时间等信息，支持对评分任务进行编辑、执行、导出、删除及查看任务详情、评卷记录、执行记录等操作。应支持新增或导入任务，新增任务支持设置任务描述、规则组、试卷集合SQL、试题集合SQL、集合SQL数据源、是否回写总成绩及任务类型等，并支持查看示例数据。应支持用户引用某个评分规则组模型来创建动态评分任务，并可自定义任务执行方式，包括但不限于：手动执行、定时执行、轮询执行。并支持通过图形可视化展示各个评分任务的执行情况。（本条参数为重要参数，需提供平台功能截图，未提供或不符合，则不得分）</w:t>
            </w:r>
          </w:p>
          <w:p w14:paraId="5E624EB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5）系统管理：系统用户管理：应支持进行用户管理，支持按照条件查询用户信息并支持新增用户。代码参数类型列表：应支持进行参数类型管理，支持新增参数类型，可设置参数类型、类型说明、备注等信息。支持按照类型说明进行查询，并可查看各类型下参数列表。代码参数管理：应支持进行参数管理，支持查看参数类型、参数名、参数说明、参数状态等信息并可按照以上条件进行查询。新增代码支持设置参数类型、参数名称、参数说明、参数值及备注与参数状态等。（本条参数为重要参数，需提供平台功能截图，未提供或不符合，则不得分）</w:t>
            </w:r>
          </w:p>
          <w:p w14:paraId="20A398F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u w:val="none"/>
              </w:rPr>
              <w:t>（6）辅助功能：评分任务和规则组都应支持以AES加密数据包的形式导出和导入，导入后可自动创建该规则组关联的数据源和规则，便于数据迁移。规则脚本应内置余弦函数、Jaccard等相似度计算函数，并提供远程Redis读取函数以及常用的数组、日期、字符串等处理函数，供评分规则编写使用。（本条参数为重要参数，需提供平台功能截图，未提供或不符合，则不得分）</w:t>
            </w:r>
          </w:p>
          <w:p w14:paraId="47BC6D4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三、实训系统功能模块（网页端）</w:t>
            </w:r>
          </w:p>
          <w:p w14:paraId="66FCA9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直播网页端后台应包括：首页、直播、商品、数据、设置、下载APP、进入APP、体验入驻流程等功能模块。</w:t>
            </w:r>
          </w:p>
          <w:p w14:paraId="645710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（一）首页</w:t>
            </w:r>
          </w:p>
          <w:p w14:paraId="3C09986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首页应包括直播管理快捷入口、主播账号信息、直播数据概览、我的服务等功能。</w:t>
            </w:r>
          </w:p>
          <w:p w14:paraId="1FF927E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1、直播管理快捷入口：应包括创建直播计划、直播计划展示、开始直播、查看全部直播计划。</w:t>
            </w:r>
          </w:p>
          <w:p w14:paraId="6FDA21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2、主播账号信息：应支持展示主播头像、昵称、粉丝数、获赞量、销售额。</w:t>
            </w:r>
          </w:p>
          <w:p w14:paraId="6C3899C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3、直播数据概览：应支持切换查看观众人次、评论数量、点赞数量、新增粉丝、成交订单数等数据，应支持切换查看不同时间段数据，包括7日、15日、30日。</w:t>
            </w:r>
          </w:p>
          <w:p w14:paraId="7DE4D72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4、我的服务：应包括直播脚本、数字人脚本、数字人话术，系统应支持通过我的服务模块跳转至直播脚本、数字人脚本和数字人话术。</w:t>
            </w:r>
          </w:p>
          <w:p w14:paraId="1F5A22E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（二）直播</w:t>
            </w:r>
          </w:p>
          <w:p w14:paraId="6AE2536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直播应包括直播管理、数字人、直播中控等功能。</w:t>
            </w:r>
          </w:p>
          <w:p w14:paraId="02520C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1、直播管理：应包括直播计划、直播预告、播前准备、直播互动、直播装修、直播推广等功能。</w:t>
            </w:r>
          </w:p>
          <w:p w14:paraId="39828FD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（1）直播计划：应支持创建直播计划、查看直播计划、修改直播计划、删除直播计划、直播商品管理等功能。创建直播计划应包括直播封面上传、直播标题填写、直播日期选择、预告发布选择、可见范围选择。</w:t>
            </w:r>
          </w:p>
          <w:p w14:paraId="5A711A8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（2）直播预告：应包括创建直播预告、查看直播预告、编辑直播预告、删除直播预告等功能。</w:t>
            </w:r>
          </w:p>
          <w:p w14:paraId="488753E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（3）播前准备：应包括直播场次切换、进入中控台、商品口袋管理、待播商品管理等功能。</w:t>
            </w:r>
          </w:p>
          <w:p w14:paraId="18BC1AE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①直播场次切换：应支持展示当前选择的直播计划信息，通过点击“切换场次”按钮选择并切换直播计划，为不同未开播状态的直播场次进行播前准备。直播计划信息应包括直播封面、直播时间、直播状态。</w:t>
            </w:r>
          </w:p>
          <w:p w14:paraId="5C6B38C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②进入中控台：应支持通过点击“进入中控台”按钮，进入直播中控。应包括画面预览、互动消息、互动工具、实时数据、直播商品管理等功能。</w:t>
            </w:r>
          </w:p>
          <w:p w14:paraId="5818CE8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③商品口袋管理：应包括添加商品、单个或批量删除商品、设置商品信息、撰写商品话术。添加商品应支持从带货车或我的商品中选择商品；设置商品信息应包括价格、库存；撰写商品话术应包括核心卖点、目标客群、促销信息、购买引导。商品口袋中的商品将会展示在直播中。</w:t>
            </w:r>
          </w:p>
          <w:p w14:paraId="4065007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④待播商品管理：应包括添加商品、单个或批量删除商品、设置商品信息、撰写商品话术、推入商品口袋。添加商品应支持从带货车或我的商品中选择商品；设置商品信息应包括价格、库存；撰写商品话术应包括核心卖点、目标客群、促销信息、购买引导。</w:t>
            </w:r>
          </w:p>
          <w:p w14:paraId="1B46A93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（4）直播互动：应包括红包、优惠券功能。</w:t>
            </w:r>
          </w:p>
          <w:p w14:paraId="314A507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红包：应支持红包管理、红包创建。红包管理应包括查看已创建红包信息、单个或批量删除红包；红包创建应包括红包名称、红包类型（关注红包、口令红包、普通红包）、红包数量、红包价值、投放时间段、红包面额（随机、平均）。</w:t>
            </w:r>
          </w:p>
          <w:p w14:paraId="08332A3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优惠券：应支持优惠券管理、优惠券创建。优惠券管理应包括查看已创建优惠券信息、单个或批量删除优惠券；优惠券创建应包括优惠券名称、优惠券数量、每人可领数量、优惠券价值、能否叠加使用。优惠券价值应支持设置门槛与价值。</w:t>
            </w:r>
          </w:p>
          <w:p w14:paraId="1DE91D3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（5）直播装修：应包括我的素材库，支持查看已有素材、添加素材等功能。</w:t>
            </w:r>
          </w:p>
          <w:p w14:paraId="458B2E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①查看已有素材：应支持查看已有素材的素材名称、创建时间、素材样式，并可对素材进行编辑、删除等操作。</w:t>
            </w:r>
          </w:p>
          <w:p w14:paraId="00FFB61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②添加素材：应支持内容编辑、效果预览。内容编辑应包括编辑素材名称、上传自定义图片、调整图片信息。效果预览应支持调整图片宽高、位置，查看素材效果。</w:t>
            </w:r>
          </w:p>
          <w:p w14:paraId="422036C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（6）直播推广：应支持智能推广、自定义推广、管理推广计划。</w:t>
            </w:r>
          </w:p>
          <w:p w14:paraId="49FE6B7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①智能推广：应支持设置推广目标、选择场次、推广方案。</w:t>
            </w:r>
          </w:p>
          <w:p w14:paraId="1F6C70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②自定义推广：应支持设置推广目标、选择场次、推广预算、推广时长、目标客群。</w:t>
            </w:r>
          </w:p>
          <w:p w14:paraId="5714695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③管理推广计划：应支持查看已创建的推广计划，应支持对已创建的推广计划进行编辑和取消的操作。</w:t>
            </w:r>
          </w:p>
          <w:p w14:paraId="778E053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2、数字人：应包括形象创建、形象管理、一般话术、商品话术、数字人脚本等功能。</w:t>
            </w:r>
          </w:p>
          <w:p w14:paraId="1B8127D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3、直播中控：应包括视频预览、互动消息、互动工具、实时数据、直播商品管理等功能。视频预览应支持展示当前直播画面。互动消息应支持展示当前直播的互动消息，应包括评论、点赞、关注、分享、下单等消息，应支持输入并发送消息。互动工具应包括福袋抽奖、红包、优惠券、限时秒杀、关注卡片、直播公告。福袋抽奖应支持设置抽奖方式、奖品名称、奖品价值、奖品数量、开奖时间、奖品图片。红包应支持从已创建红包中选择红包并发放。优惠券应支持从已创建优惠券中选择并发放。限时秒杀应支持设置秒杀商品、秒杀数量、秒杀价格、秒杀限时、每人限购。关注卡片：应支持点击“推送”按钮。直播公告应支持填写并发送直播公告。实时数据：应支持展示直播数据概览，应包括在线人数、成交订单、成交金额。直播商品管理：应包含商品口袋、待播商品。商品口袋应支持展示直播中的商品、修改商品信息、弹出商品卡片、讲解商品、下架商品。待播商品应支持展示待播商品、修改商品信息、推入商品口袋。（本条参数为重要参数，需提供平台功能截图，未提供或不符合，则不得分）</w:t>
            </w:r>
          </w:p>
          <w:p w14:paraId="0007F5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（三）商品</w:t>
            </w:r>
          </w:p>
          <w:p w14:paraId="0A6F8A6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商品应包括商品管理和货品合作等功能。</w:t>
            </w:r>
          </w:p>
          <w:p w14:paraId="296B17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1、商品管理：应包括发布商品、我的商品等功能。</w:t>
            </w:r>
          </w:p>
          <w:p w14:paraId="433CD3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（1）发布商品：应支持填写商品基本信息、销售信息，基本信息应包括产品分类、产品标题、主图等，销售信息应包括销售属性、销售规格等，支持将商品“保存为草稿”或“提交商品信息”。</w:t>
            </w:r>
          </w:p>
          <w:p w14:paraId="7E1E2FB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我的商品：应支持切换商品状态（全部、已上架、仓库中、草稿箱），查看商品图片、价格、库存、创建时间等信息，并支持对商品进行编辑、删除、上下架等操作，同时支持点击“发布商品”按钮跳转至商品发布页面。</w:t>
            </w:r>
          </w:p>
          <w:p w14:paraId="44BB1D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2、货品合作：应包括渠道商品、带货车等功能。</w:t>
            </w:r>
          </w:p>
          <w:p w14:paraId="4F45111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（1）渠道商品：应包括商品筛选、商品搜索、商品展示、添加带货车等功能。</w:t>
            </w:r>
          </w:p>
          <w:p w14:paraId="7A9077A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（2）带货车：应包括商品展示、商品分组、分组管理、商品删除等功能。</w:t>
            </w:r>
          </w:p>
          <w:p w14:paraId="4BC9697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（四）数据</w:t>
            </w:r>
          </w:p>
          <w:p w14:paraId="2AF82BC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数据应包括直播数据，直播数据应包括场次分析、交易分析、订单明细、商品分析、粉丝数据、直播榜单等功能。</w:t>
            </w:r>
          </w:p>
          <w:p w14:paraId="61A2605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1、场次分析：应包括场次信息展示、场次切换、本场数据概览、回放分析、商品分析、观众画像等功能。</w:t>
            </w:r>
          </w:p>
          <w:p w14:paraId="1EE0858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（1）场次信息展示：应包括直播封面图、直播标题、直播时间、可见范围、直播时长等信息。</w:t>
            </w:r>
          </w:p>
          <w:p w14:paraId="594B389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（2）场次切换：应支持点击“切换场次”按钮，选择直播场次，查看不同场次的直播数据。</w:t>
            </w:r>
          </w:p>
          <w:p w14:paraId="34BB17B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（3）本场数据概览：应包括评论数量、点赞数量、新增粉丝、分享次数、成交订单数、成交总金额、观众人次、平均观看时长等信息。</w:t>
            </w:r>
          </w:p>
          <w:p w14:paraId="22D7048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（4）回放分析：应包括数据变动折线图。数据变动折线图应支持切换查看观众人次、评论数量、点赞数量、新增粉丝、成交订单数等数据随时间变化的情况。</w:t>
            </w:r>
          </w:p>
          <w:p w14:paraId="542C399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（5）商品分析：应包括商品名称、曝光次数、点击次数、加购次数、成交数量、成交金额等信息。</w:t>
            </w:r>
          </w:p>
          <w:p w14:paraId="56BC6E3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（6）观众画像：应包括观众性别比例饼图、观众年龄饼图、观众兴趣柱状图、观众地区柱状图。</w:t>
            </w:r>
          </w:p>
          <w:p w14:paraId="232605F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2、交易分析：应包括交易数据展示、购买构成分析等功能。</w:t>
            </w:r>
          </w:p>
          <w:p w14:paraId="61F3B1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（1）交易数据展示：应包括商品曝光次数、商品点击次数、商品曝光人数、商品点击人数、成交金额、成交订单数、成交人数、成交转化率等数据。可选择7日、15日、30日，查看不同时间段内的数据。</w:t>
            </w:r>
          </w:p>
          <w:p w14:paraId="5628DEB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（2）购买构成分析：应包括粉丝比例饼图、复购比例饼图等数据。</w:t>
            </w:r>
          </w:p>
          <w:p w14:paraId="2099FA8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3、订单明细：应包括订单查询、订单列表、列表下载等功能。</w:t>
            </w:r>
          </w:p>
          <w:p w14:paraId="22DEA63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（1）订单查询：应包括时间段查询、商品查询、订单ID查询。</w:t>
            </w:r>
          </w:p>
          <w:p w14:paraId="22FC06C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（2）订单列表：应包括直播场次、订单ID、商品ID、商品名称、支付金额、下单时间、状态等数据。</w:t>
            </w:r>
          </w:p>
          <w:p w14:paraId="3BF62F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（3）列表下载：应支持通过点击“下载”按钮，下载订单列表。</w:t>
            </w:r>
          </w:p>
          <w:p w14:paraId="7343C23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4、商品分析：应包括商品数据、列表下载等功能。</w:t>
            </w:r>
          </w:p>
          <w:p w14:paraId="7ED9A47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（1）商品数据：应包括商品名称、曝光次数、点击次数、点击率、成交订单数、成交金额、转化率等数据。应支持切换查看7日、15日、30日不同时间段内的数据。</w:t>
            </w:r>
          </w:p>
          <w:p w14:paraId="5FA2CB0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（2）列表下载：应支持通过点击“下载”按钮，下载商品数据列表。</w:t>
            </w:r>
          </w:p>
          <w:p w14:paraId="1B9BD6E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5、粉丝数据：应包括粉丝数据概览、粉丝数据变化等功能。</w:t>
            </w:r>
          </w:p>
          <w:p w14:paraId="421D09E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①粉丝数据概览：应包括粉丝数、昨日新增、昨日取关等数据。</w:t>
            </w:r>
          </w:p>
          <w:p w14:paraId="0F4DE86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②粉丝数据变化：应支持切换查看7日、15日、30日不同时间段内的粉丝数变化情况。</w:t>
            </w:r>
          </w:p>
          <w:p w14:paraId="56B15F7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6、直播榜单：应包含销售排行榜、达人排行榜。销售排行榜根据直播销售额进行排名，达人排行榜根据赚取佣金进行排名。应支持定期更新榜单。</w:t>
            </w:r>
          </w:p>
          <w:p w14:paraId="7A631D2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（五）设置</w:t>
            </w:r>
          </w:p>
          <w:p w14:paraId="048F4DD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设置应包括账号信息、直播脚本等功能。</w:t>
            </w:r>
          </w:p>
          <w:p w14:paraId="1585282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1、账号信息：应支持设置用户名、头像，查看虚拟币金额。</w:t>
            </w:r>
          </w:p>
          <w:p w14:paraId="5B72309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2、直播脚本：应包括脚本目录、撰写直播脚本、AI生成直播脚本。</w:t>
            </w:r>
          </w:p>
          <w:p w14:paraId="6EE3C9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（1）脚本目录：应支持新建、删除脚本。</w:t>
            </w:r>
          </w:p>
          <w:p w14:paraId="0B38A7E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（2）撰写直播脚本：应支持填写直播主题、直播目标，选择直播时间。新增流程应支持在表格中填写时间段、流程安排、各人员分工，应支持新增流程、删除流程、编辑流程、保存直播脚本。</w:t>
            </w:r>
          </w:p>
          <w:p w14:paraId="682A145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（六）下载APP：应支持通过手机扫描网页端显示二维码下载APP。</w:t>
            </w:r>
          </w:p>
          <w:p w14:paraId="631D87C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（七）进入APP：应支持通过APP端的扫描二维码功能，扫描网页端显示的二维码在APP端登录同一账号，也支持输入App登录码和请求URL在APP端登录同一账号。</w:t>
            </w:r>
          </w:p>
          <w:p w14:paraId="7BB57DC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（八）体验入驻流程：应包括申请入驻等操作。申请入驻应支持进行账号信息、身份信息设置。</w:t>
            </w:r>
          </w:p>
          <w:p w14:paraId="7D1E01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四、实训系统功能模块（APP端）</w:t>
            </w:r>
          </w:p>
          <w:p w14:paraId="451FA93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APP端应包含首页、直播观看、商品、扫码、我的、直播推流等功能模块。</w:t>
            </w:r>
          </w:p>
          <w:p w14:paraId="2920688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（一）首页</w:t>
            </w:r>
          </w:p>
          <w:p w14:paraId="7C8737D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首页应包括直播动态展示和直播预告展示。</w:t>
            </w:r>
          </w:p>
          <w:p w14:paraId="372AB16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1、直播动态展示：应包括直播封面图、主播头像、主播昵称、直播标题等内容。应支持点击直播动态进入直播观看页面。</w:t>
            </w:r>
          </w:p>
          <w:p w14:paraId="673610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预告展示：应包括直播预告图、主播头像、主播昵称、预告名称等内容。应支持点击直播预告进入直播预约页面。直播预约页面应包括主播头像、主播昵称、“关注”按钮、预告名称、预告商品、“预约直播”按钮等内容；应支持点击“关注”按钮关注主播，应支持点击“预约直播”按钮预约直播。</w:t>
            </w:r>
          </w:p>
          <w:p w14:paraId="28B2EE8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（二）商品</w:t>
            </w:r>
          </w:p>
          <w:p w14:paraId="15558E0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商品应包括选品、带货车等功能。</w:t>
            </w:r>
          </w:p>
          <w:p w14:paraId="7AF9AF0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1、选品：应包括商品筛选、商品搜索、商品展示、添加带货车等功能。</w:t>
            </w:r>
          </w:p>
          <w:p w14:paraId="7491FD1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2、带货车管理：应包括商品展示、商品分组、分组管理、商品删除等功能。</w:t>
            </w:r>
          </w:p>
          <w:p w14:paraId="3F170E8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（三）我的</w:t>
            </w:r>
          </w:p>
          <w:p w14:paraId="653BB30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我的应包括用户基础信息展示、直播计划、直播数据概览等功能。</w:t>
            </w:r>
          </w:p>
          <w:p w14:paraId="48EF94D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1、用户基础信息展示：应包括用户头像、用户昵称、用户粉丝数等内容。</w:t>
            </w:r>
          </w:p>
          <w:p w14:paraId="60B8522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2、直播计划：应支持展示已在网页端创建的直播计划。直播计划应包括直播封面、直播标题、直播时间、直播状态等内容。应支持点击状态为“直播中”的直播场次，以观众视角进入直播间。</w:t>
            </w:r>
          </w:p>
          <w:p w14:paraId="4816D66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3、直播数据概览：应包括场次信息展示、场次切换、本场数据概览、回放分析等功能。</w:t>
            </w:r>
          </w:p>
          <w:p w14:paraId="069AFB6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（1）场次信息展示：应包括直播封面图、直播标题、直播时间、直播品类、可见范围、直播时长等信息。</w:t>
            </w:r>
          </w:p>
          <w:p w14:paraId="2126DD7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（2）场次切换：应支持点击“切换场次”按钮，选择直播场次，查看不同场次的直播数据。</w:t>
            </w:r>
          </w:p>
          <w:p w14:paraId="4B6975F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（3）本场数据概览：应包括观众人次、新增粉丝数、成交订单数、成交总金额、评论次数、点赞数量、分享次数、平均观看时长等信息。</w:t>
            </w:r>
          </w:p>
          <w:p w14:paraId="2ED96DB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（4）回放分析：应包括数据变动折线图。数据变动折线图应支持切换查看观众人数、评论数量、点赞数量、新增粉丝、成交订单数等数据随时间变化的情况。</w:t>
            </w:r>
          </w:p>
          <w:p w14:paraId="3B8B213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（四）扫码</w:t>
            </w:r>
          </w:p>
          <w:p w14:paraId="62951D3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扫码应包括扫码登录、码登录和开直播。</w:t>
            </w:r>
          </w:p>
          <w:p w14:paraId="26D9818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1、扫码登录：当用户开启APP时应支持扫码登录。应支持点击扫码按钮打开扫码界面；应支持通过扫描网页端提供的登录二维码登录APP。</w:t>
            </w:r>
          </w:p>
          <w:p w14:paraId="4BAADA6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2、码登录：当用户开启APP时应支持码登录。应支持输入App登录码或App登录码和请求URL登录APP。</w:t>
            </w:r>
          </w:p>
          <w:p w14:paraId="12DE68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3、开直播：应支持通过点击扫码界面的“开直播”按钮快速开播。</w:t>
            </w:r>
          </w:p>
          <w:p w14:paraId="2AE56EF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（五）直播观看</w:t>
            </w:r>
          </w:p>
          <w:p w14:paraId="3E2A040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直播观看应包括关注、点赞、分享、弹幕、红包、优惠券、福袋、购物、退出等功能。</w:t>
            </w:r>
          </w:p>
          <w:p w14:paraId="150CC9C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1、关注：应支持点击左上方“关注”按钮关注主播；应支持点击“已关注”按钮取消关注。</w:t>
            </w:r>
          </w:p>
          <w:p w14:paraId="79E6CC7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2、点赞：应支持点击右下方爱心按钮点赞，点击按钮后应支持显示点赞动画，应支持重复点赞。</w:t>
            </w:r>
          </w:p>
          <w:p w14:paraId="3C2C89B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3、分享：应支持右下方点击“分享”按钮分享直播，应支持保存直播分享码，并通过直播APP扫码进入。</w:t>
            </w:r>
          </w:p>
          <w:p w14:paraId="216659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4、弹幕：应支持在左下方展示各类直播消息，应包括弹幕查看、弹幕发送、直播公告等功能。</w:t>
            </w:r>
          </w:p>
          <w:p w14:paraId="52AA0FA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5、红包：应支持点击画面红包组件打开红包互动窗口，红包应包括普通红包、关注红包、口令红包。</w:t>
            </w:r>
          </w:p>
          <w:p w14:paraId="729B6B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6、优惠券：应支持点击画面右侧优惠券组件打开优惠券领取窗口；应支持点击“立即领取”按钮领取优惠券；应支持弹窗提示“领取成功”。所有优惠券应仅限本场直播有效。</w:t>
            </w:r>
          </w:p>
          <w:p w14:paraId="7E7DE25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7、福袋：应支持点击画面右侧福袋组件打开福袋互动窗口，福袋应包括评论福袋、分享福袋、点赞福袋。</w:t>
            </w:r>
          </w:p>
          <w:p w14:paraId="34071D8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8、购物：应支持点击画面右下方“购物袋”按钮打开商品列表，商品列表应支持展示主播端“商品口袋”中的全部商品，商品信息应包括商品图、商品名、商品价格等内容。</w:t>
            </w:r>
          </w:p>
          <w:p w14:paraId="0C733F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9、退出：应支持点击画面右上方“×”按钮退出直播观看。</w:t>
            </w:r>
          </w:p>
          <w:p w14:paraId="53E01BA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（六）直播推流</w:t>
            </w:r>
          </w:p>
          <w:p w14:paraId="57CD10D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直播推流应包括开播设置、商品、互动、分享、设置、弹幕、关闭直播、直播小结等功能。</w:t>
            </w:r>
          </w:p>
          <w:p w14:paraId="7C2DD90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1、开播设置：应包括直播场次信息、镜头防抖、1080P直播、直播装修等功能。</w:t>
            </w:r>
          </w:p>
          <w:p w14:paraId="6BAB5D4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2、商品：应包含商品口袋、待播商品。</w:t>
            </w:r>
          </w:p>
          <w:p w14:paraId="736133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（1）商品口袋：应支持展示直播中的商品、弹出商品卡片、讲解商品、下架商品。</w:t>
            </w:r>
          </w:p>
          <w:p w14:paraId="5727FC6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（2）待播商品：应支持展示待播商品、修改商品信息、推入商品口袋。</w:t>
            </w:r>
          </w:p>
          <w:p w14:paraId="5053E70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3、互动：应支持点击右下方“互动”按钮打开互动工具面板，互动工具应包括福袋抽奖、红包、优惠券、限时秒杀、关注卡片、直播公告。</w:t>
            </w:r>
          </w:p>
          <w:p w14:paraId="50B55DC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4、分享：应支持点击右下方“分享”按钮分享直播，应支持保存直播分享码，并通过直播APP扫码进入。</w:t>
            </w:r>
          </w:p>
          <w:p w14:paraId="1993777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5、设置：应支持点击右下方“设置”按钮打开设置面板，设置应包括画面设置、直播装修、切换摄像头。</w:t>
            </w:r>
          </w:p>
          <w:p w14:paraId="33670C2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（1）画面设置：应包括商品无滤镜和1080P直播。商品无滤镜应支持设置美颜滤镜指数。1080P直播功能应支持点击开关，开启或关闭1080P直播功能，仅在使用前置摄像头时可用。</w:t>
            </w:r>
          </w:p>
          <w:p w14:paraId="1EAA811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（2）直播装修：应支持展示网页端保存的方案，选择方案后点击使用，应用选择的方案。</w:t>
            </w:r>
          </w:p>
          <w:p w14:paraId="1B6187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（3）切换摄像头：应支持点击开关，切换使用前置/后置摄像头。</w:t>
            </w:r>
          </w:p>
          <w:p w14:paraId="6A64D6D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6、弹幕：应支持在左下方展示各类直播消息，应包括弹幕查看、直播公告等功能。</w:t>
            </w:r>
          </w:p>
          <w:p w14:paraId="45BE9BC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（1）弹幕查看：应包括评论消息、点赞消息、分享消息、下单消息。</w:t>
            </w:r>
          </w:p>
          <w:p w14:paraId="30D8D5F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（2）直播公告：应支持在弹幕区域最上方以白底黑字形式展示直播公告。</w:t>
            </w:r>
          </w:p>
          <w:p w14:paraId="29BF08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7、关闭直播：应支持点击右上角“关闭”按钮，在确认关闭直播的窗口内点击“结束直播”按钮，关闭直播。</w:t>
            </w:r>
          </w:p>
          <w:p w14:paraId="3BCB26F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8、直播小结：应支持在关闭直播后显示直播小结，直播小结应包括观看人数、喜欢数量等数据。</w:t>
            </w:r>
          </w:p>
          <w:p w14:paraId="6AEBF91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五、智能AI</w:t>
            </w:r>
          </w:p>
          <w:p w14:paraId="112BEDD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AI功能应包括AI生成直播脚本、AI数字人、AI选品等。</w:t>
            </w:r>
          </w:p>
          <w:p w14:paraId="0F0545B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1、AI生成直播脚本：应支持在AI窗口中填写直播主题、直播目标，选择直播时间、填写其他需求，AI应分析直播主题、直播目标、根据直播时间自动规划直播流程，填写直播脚本。</w:t>
            </w:r>
          </w:p>
          <w:p w14:paraId="0E0C88C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2、AI数字人：应包括形象创建、形象管理、一般话术、商品话术、数字人脚本等功能。</w:t>
            </w:r>
          </w:p>
          <w:p w14:paraId="791A84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形象创建：应包括形象生成、形象预览等功能。形象生成应包括上传人物图片、音频文件、参数设置、形象名称设置。上传形象应支持从预设照片中选择形象；音频文件应包括选择预训练音色、3s极速复刻音色、跨语种复刻音色，其中预训练音色应包括中文男、中文女、粤语女、日语男、英文男、英文女、韩语女，3s极速复刻音色、跨语种复刻音色应支持上传音频文件，并输入与音频内容一致的prompt文本；参数设置应包括迭代步数、种子、采样率、每秒帧数；形象名称设置应支持输入形象名称。形象预览应包括形象预览窗口。应支持点击“开始生成数字人视频”，保存已创建的数字人形象；形象预览窗口应支持展示创建完成的数字人，观看数字人的播放效果。（本条参数为重要参数，需提供平台功能截图，未提供或不符合，则不得分）</w:t>
            </w:r>
          </w:p>
          <w:p w14:paraId="7CDDAD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（2）形象管理：应包括形象名称修改、形象简介设置、数字人人设与回复逻辑设置、形象管理与删除。数字人人设与回复逻辑设置应支持设置形象的人设与回复逻辑，以实现AI生成话术内容。</w:t>
            </w:r>
          </w:p>
          <w:p w14:paraId="1D11744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3）一般话术：应包括新建问答、新建话术、话术管理。新建问答应包括设置话术名称、选择数字人形象、设置问题、手动输入回答话术，AI优化问答。AI优化问答话术应支持根据已设置的问答话术，自动关联已选择数字人的回复逻辑优化对应回答。新建话术应包括设置话术名称、选择数字人形象、选择话术类型、手动输入话术内容，AI优化话术内容。AI优化话术内容应支持根据已选择话术类型及填写的话术内容，自动关联已选择数字人的回复逻辑优化对应话术内容。话术管理应包括话术信息查看、重新编辑话术、单个或批量删除话术。话术信息查看应包括话术名称、主播、状态、话术预览、最近修改时间。（本条参数为重要参数，需提供平台功能截图，未提供或不符合，则不得分）</w:t>
            </w:r>
          </w:p>
          <w:p w14:paraId="73DC77E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商品话术：应包括新建商品话术、商品话术管理。新建商品话术：应包括选择商品、选择数字人形象、手动输入商品话术，AI生成商品话术。AI生成商品话术应支持根据输入内容自动生成商品话术，支持点击“保存”按钮后根据输入或AI生成的商品话术生成视频片段。商品话术管理：应包括商品话术信息查看、重新编辑商品话术、单个或批量删除商品话术。商品话术信息查看应包括商品名称、主播、状态、话术预览、最近修改时间。</w:t>
            </w:r>
          </w:p>
          <w:p w14:paraId="34A58FD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（5）数字人脚本：应包括脚本目录、撰写直播脚本、AI生成直播脚本。</w:t>
            </w:r>
          </w:p>
          <w:p w14:paraId="2770DE5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①脚本目录：应支持新建、删除脚本。</w:t>
            </w:r>
          </w:p>
          <w:p w14:paraId="13F0B7D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②撰写直播脚本：应支持选择数字人、填写直播主题、直播目标，选择直播时间。应支持在直播流程中新增流程并选择数字人话术，应支持新增流程、删除流程、保存直播脚本。</w:t>
            </w:r>
          </w:p>
          <w:p w14:paraId="253BE79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③AI生成直播脚本：应支持在AI窗口中填写直播主题、直播目标，选择直播日期、数字人主播。AI应分析直播主题、直播目标、根据直播时间、数字人自动规划直播流程，填写直播脚本。</w:t>
            </w:r>
          </w:p>
          <w:p w14:paraId="6CE9DAA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3、AI选品：应支持输入选品需求，自动根据需求挑选合适的商品。</w:t>
            </w:r>
          </w:p>
          <w:p w14:paraId="4E80AA8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4、提供中英双语版本</w:t>
            </w:r>
          </w:p>
          <w:p w14:paraId="2569D1F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六、后台管理模块</w:t>
            </w:r>
          </w:p>
          <w:p w14:paraId="30FDF8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1、直播视频流统一接入服务平台</w:t>
            </w:r>
          </w:p>
          <w:p w14:paraId="11B101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运行报表：应支持查看当前直播平台的推流状况，包括当前直播路数、当前观看客户端数量，以及累计直播路数、直播时长、拉流人次、拉流时长、回放数量、回放文件大小等数据。应支持可视化呈现每日直播路数与直播时长变化。</w:t>
            </w:r>
          </w:p>
          <w:p w14:paraId="647C8A5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（2）应用管理：应支持查看已授权应用，支持添加、删除、修改授权应用。新增或修改应用应支持设置应用名称、回调地址、IP限制方式、有效期等内容。各应用应支持查看统计报表。</w:t>
            </w:r>
          </w:p>
          <w:p w14:paraId="7736926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视频流监控：应支持查看当前正在直播的直播流，可切换不同布局同时查看不同数量的直播流。展示的直播流应包含直播画面、直播应用、直播流标识等内容。应支持将直播流踢出功能，被踢出的直播流将中断直播。</w:t>
            </w:r>
          </w:p>
          <w:p w14:paraId="707E815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视频流管理：应支持通过应用、流标识、流状态、起止时间等查询直播流。直播流信息应包含直播应用、流标识、画面尺寸、累计观看人数、推流IP、流状态、创建时间、推流时间、推流结束时间等内容。应支持查看直播流详情和直播回放。</w:t>
            </w:r>
          </w:p>
          <w:p w14:paraId="300328F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系统管理：应支持用户管理、代码参数类型列表、代码参数管理。用户管理应支持添加或删除用户，应支持设置用户账号、用户昵称、用户类型、账号有效期、状态等信息。代码参数类型列表应支持查找、新增、查看参数类型。新增参数类型应支持设置参数类型、类型说明等信息。代码参数管理应支持查找、新增、查看代码参数，代码参数应包含参数类型、参数名称、参数说明、参数状态等信息。</w:t>
            </w:r>
          </w:p>
          <w:p w14:paraId="2486378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2、直播弹幕管理系统：应包含弹幕管理和系统管理，应支持中英文切换。</w:t>
            </w:r>
          </w:p>
          <w:p w14:paraId="0859C76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（1）弹幕管理：应支持问题组管理、问题库管理、任务管理、执行计划、执行记录等功能。</w:t>
            </w:r>
          </w:p>
          <w:p w14:paraId="0BD5FDB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①问题组管理：应支持查看、搜索与新增分组，展示的分组信息应包含分组名称、问题数量、创建时间等，应支持编辑或删除问题组。</w:t>
            </w:r>
          </w:p>
          <w:p w14:paraId="7712D28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②问题库管理：应支持搜索、筛选、查看、新增问题，问题列表展示的问题应包含问题ID、问题内容、答案、关联分组、创建时间、创建人等信息，应支持编辑或删除问题，新增问题应支持选择关联分组、输入问题内容和参考答案。</w:t>
            </w:r>
          </w:p>
          <w:p w14:paraId="7C7F6FA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③任务管理：应支持搜索、查看、新增任务。任务列表应包含任务名称、提问类型、关联问题数、实际提问数、创建时间等，支持编辑或删除任务。新增任务应支持输入任务名称、选择是否随机提问以及从问题组中选择问题。</w:t>
            </w:r>
          </w:p>
          <w:p w14:paraId="6C79C21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④执行计划管理：应支持筛选、查看、新增执行计划。执行计划列表展示信息应包括计划名称、问题总数、定时时间、优先级、是否启用等，应支持编辑与删除执行计划。新增执行计划应支持设置计划名称、任务、直播范围（学校、班级、学生）、执行时间、执行策略、优先级、是否启用等。</w:t>
            </w:r>
          </w:p>
          <w:p w14:paraId="3EB3435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⑤执行记录：应支持搜索与查看执行记录。执行记录应包含计划名称、关联任务、执行时间、直播间名称、直播用户账号、直播用户名称、问题数量、成功数量、失败数量、状态等信息。执行记录应支持查看详情，查看发送问题的具体内容、执行时间与状态。</w:t>
            </w:r>
          </w:p>
          <w:p w14:paraId="76BE474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系统管理：应支持数字人配置、用户管理、拉流方式管理、视频流配置等功能。数字人配置应支持查看、筛选、新增配置。新增配置应支持选择学校、是否启用。配置列表应包含学校ID、创建时间、状态等信息，应支持编辑或删除配置。用户管理应支持查看、搜索、新增用户。新增用户应支持设置用户名、账号、角色、密码等信息。用户列表应包含序号、昵称、账号、角色、创建时间等信息，应支持编辑或删除用户。拉流方式应支持设置安卓和IOS的拉流方式，拉流方式应包含webRtc、flv、m3u8、rtmp等方式。视频流配置应支持搜索、查看、批量管理回放与切片。回放列表与切片列表应包含ID、视频标题、关联直播ID等信息，应支持设置是否长期保存。批量管理应支持批量设置为长期保存或短期保存。（本条参数为重要参数，需提供平台功能截图，未提供或不符合，则不得分）</w:t>
            </w:r>
          </w:p>
          <w:p w14:paraId="1722856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七、跨境电商平台运营模块</w:t>
            </w:r>
          </w:p>
          <w:p w14:paraId="21A0640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1、产品模块：产品应包含查看所有产品、添加新产品、使用CSV添加/编辑产品、品牌授权等功能模块。</w:t>
            </w:r>
          </w:p>
          <w:p w14:paraId="24828CA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添加产品应包含产品品类、产品详情（名称、父SKU、状态）、产品图片、变体、价格、库存、分类（品牌或品牌ID、标签）、最大数量、自定义目的国/地区的运费、海关和物流（原厂国/地区、申报名称、申报的本地语言名称、海关申报价值、海关HS编码、是否含有粉末、是否含有液体、是否包含电池、是否含有金属）、单价、合规等功能模块。</w:t>
            </w:r>
          </w:p>
          <w:p w14:paraId="285D727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品牌授权模块：应支持查看品牌名称、状态、更新时间、操作，可通过筛选栏（已授权、需要修订、待审批）进行筛选。支持新建添加品牌授权，上传知识产权文件、完善知识产权文件信息、上传销售授权书、完善销售授权书信息、添加品牌授权。</w:t>
            </w:r>
          </w:p>
          <w:p w14:paraId="4E16EA9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4、用户问题：用户问题应包含采取措施、正在进行、已关闭等功能模块。采取措施模块中，应支持通过客户问题标签（包括：Apply for refund、Size/Color Preferences标签）对显示结果进行筛选，可通过用户问题或订单ID查询搜索指定的客户问题。</w:t>
            </w:r>
          </w:p>
          <w:p w14:paraId="0AB5C36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5、广告：广告应包含查看所有活动、创建活动、通过CSV创建活动、活动业绩和钱包等功能模块。查看所有活动模块可按名称搜索活动，查看活动名称、状态、持续时间、预算、花费、PB曝光量、PB点击次数、PB GMV、广告投入产出比、自动续期和操作等信息。</w:t>
            </w:r>
          </w:p>
          <w:p w14:paraId="29AA751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支持手动创建活动或通过上传CSV文件批量创建ProductBoost活动。钱包模块应支持查看可用余额和可用抵用金，支持充值余额。ProductBoost钱包历史记录支持查看日期、收据、说明、活动ID、金额等信息。</w:t>
            </w:r>
          </w:p>
          <w:p w14:paraId="07C7AFB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6、设置：设置应包含账户、税务、API、配送和假期等功能模块。</w:t>
            </w:r>
          </w:p>
          <w:p w14:paraId="6A0C9F7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账户管理：在账户设置中，卖家可查看账户登录和安全、账户的基本信息、显示设置、邮箱偏好设置等基本信息。如有需要的话可选择注销账户。在账户API设置中，用户可自定义设置应用名称，并可通过重定向URI完成与外部ERP工具进行对接。已注册的私服应用可进行更新或删除。</w:t>
            </w:r>
          </w:p>
          <w:p w14:paraId="5DC87C2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八、跨境电商物流模块</w:t>
            </w:r>
          </w:p>
          <w:p w14:paraId="4B63B59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系统内容要求：平台以海关“9610”通关模式为蓝本，通过再现跨境电商企业仓储、跨境物流场所、跨境监管场所及离境口岸4大场景，用户从获取海外订单信息开始，借助实验平台依次开展订单申报、运单申报以及支付单等申报工作，让学生以第一视角熟悉跨境电商物流通关业务流程。</w:t>
            </w:r>
          </w:p>
          <w:p w14:paraId="172C1FA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2、功能模块：平台分为实验介绍、实验流程、实验报告、课后习题、实验帮助、实验平台等六个模块。</w:t>
            </w:r>
          </w:p>
          <w:p w14:paraId="301168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3、提供中英双语版本。</w:t>
            </w:r>
          </w:p>
          <w:p w14:paraId="1A7FD76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4、功能模块要求：实验简介模块应包括实验背景、实验目的、实验内容、实验知识点信息；平台应包括12个实验流程，依次为平台收到用户订单、仓库排拣货、订单数据申报、运单数据申报、清单数据申报、物流分包、清单申报、支付单申报、运抵申报、跨境监管场所、离境口岸查验、放行、汇总申报等。展示从平台收到用户订单到汇总报关业务的跨境电商物流通关业务运作流程图。实验报告：若在实验尚未开始的情况下，查看实验报告，得分将为零分，给予用户提示以确认操作。能够根据学生实训情况自动进行评分，并生成实验报告。实验结果与分析应包含仓库安排拣货、订单数据申报、运单数据申报、收款单数据申报、清单数据申报、物流仓库货物分包、清单总单数据申报、运抵申报、跨境监管场所货物分包、离境口岸查验、汇总申报在内各项的得分情况。课后习题提供跨境电商物流通关相关课程试题，在学生完成试题并提交给，展示学生选择答案与正确答案。实验帮助提供平台操作帮助示意图。（本条参数为重要参数，需提供平台功能截图，未提供或不符合，则不得分）</w:t>
            </w:r>
          </w:p>
          <w:p w14:paraId="7881FE9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5、跨境电商平台商户平台：模拟跨境电商平台商户后台页面收到用户订单后的情景，展示待完成订单、已完成订单数量数据。</w:t>
            </w:r>
          </w:p>
          <w:p w14:paraId="13215A8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6、3D仓库分拣：模拟仓库安排拣货流程，在此过程中用户将体验按订单合成拣货单、按拣货单完成拣货、检查产品与订单是否一致、打包、打印并张贴物流面单、重量检验、物流揽件的业务流程，涉及热敏打印机、分拣车、扫码枪等硬件设备的认知和使用。仓库包含货架区、复检区、打包区等多个分区，设有小地图以便用户了解仓库布局。最终通过拣货顺序考核。3D物流分包：模拟物流仓库货物分包流程。通过观看动画与查看文字介绍，了解认知安检机及危险品基础知识、红外扫码仪工作流程、包裹人工翻面流程、分拣机工作流程认知、物流大包打包流程、物流分拣全流程并完成物流顺序考核。3D跨境监管场所：观看动画，了解跨境监管场所基础知识。在跨境监管场所中，用户将体验按总包安检、全方位智能扫描器读取大包单信息、拆包、全方位智能扫描器读取面单信息、信息匹配、货物按路向格口分拣入格、扎袋、打印总包袋牌并张贴、发往离境口岸的业务流程。通过观看动画与查看文字介绍，了解认知运抵申报、海关办公室、六面扫描仪、ADV叉车、跨境监管场所分拣全流程，并完成违禁品认知考核。3D离境口岸模拟离境口岸场景。在离境口岸中，用户将体验核对转关单信息、核对海关关封、放行、发往海外的业务流程。（本条参数为重要参数，需提供平台功能截图，未提供或不符合，则不得分）</w:t>
            </w:r>
          </w:p>
          <w:p w14:paraId="23C3A35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九、其他要求</w:t>
            </w:r>
          </w:p>
          <w:p w14:paraId="26A4EA6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1、应提供跨境电商直播在线学习资源，应具备ppt课件和教学视频，提供完整的课程体系以供教学参考。</w:t>
            </w:r>
          </w:p>
          <w:p w14:paraId="51D99C1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2、教材资源：供应商承诺提供的应标产品的制造商具有教材开发能力，具有正式出版的教材不少于3本，教材应具有案例、教案、课件、实训手册、试卷、实训指导视频等教材配套资源。</w:t>
            </w:r>
          </w:p>
          <w:p w14:paraId="335987D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应提供完整的配套实验教程，应包含认识跨境电商直播、直播团队组建、直播设备与软件、直播间场地选择与布置、直播目标设定、主播人设打造、创建直播计划、达人直播选品、商家直播选品、商品上架、创建直播预告、促销利益点设计、直播脚本策划、单品脚本策划、商品讲解技巧与话术、商品展示技巧、直播观众互动、直播互动玩法、购买行为转化、直播危机管理、各国文化与禁忌、直播付费推广、创建数字人、数字人话术、数字人直播脚本、直播复盘、直播数据分析、直播电商法律法规、直播电商平台政策等至少20个电商直播ppt，且每个实训任务提供对应的实验指导资料（包括实验目的、实验知识准备、实验内容与步骤、实验要求和思考题）以及配套指导视频和试题库。</w:t>
            </w:r>
          </w:p>
          <w:p w14:paraId="1C7D74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（1）认识跨境电商直播：全面了解电商直播的产生背景与发展历程，明晰其概念、内涵、核心特征与优势价值，熟悉电商直播产业链中的各方参与者及其关系。</w:t>
            </w:r>
          </w:p>
          <w:p w14:paraId="5CA24E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（2）直播团队组建：阐述构建高效直播团队所需的岗位设置，包括主播、副播、运营等，明确各岗位的职责与技能要求。分享团队建设的经验与技巧，强调团队协作与沟通的重要性。</w:t>
            </w:r>
          </w:p>
          <w:p w14:paraId="77D63BD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（3）直播设备与软件：介绍直播中常用的硬件设备，如摄像头、麦克风、声卡、灯光设备等，分析其性能特点与适用场景，讲解直播推流软件的使用方法。</w:t>
            </w:r>
          </w:p>
          <w:p w14:paraId="293481C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直播间场地选择与布置：探讨直播间场地选择的关键因素，如空间大小、隔音效果、网络条件等。学习如何根据品牌风格和直播内容进行直播间布置，包括背景设计、道具摆放、灯光布局等，营造出具有吸引力和专业感的直播间氛围，提升观众的视觉体验。</w:t>
            </w:r>
          </w:p>
          <w:p w14:paraId="6EDDFA4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直播目标设定：学习如何设定具体的、可衡量的、可达到的、相关性的且有明确截止时间的直播目标，分析如何将直播目标进行分解和细化，以便在直播过程中有针对性地进行策略调整和执行，确保最终目标的达成。</w:t>
            </w:r>
          </w:p>
          <w:p w14:paraId="72A75B8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（6）主播人设打造：深入探讨主播人设的重要性与构建方法，了解如何确定主播的风格定位（如幽默风趣、专业严谨、亲和力强等），塑造独特的主播形象与个性特点。</w:t>
            </w:r>
          </w:p>
          <w:p w14:paraId="4567AE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（7）创建直播计划：阐述系统化直播计划对保障跨境直播流程顺畅与目标达成的重要性，具体讲解如何构建可执行、可追踪的直播计划表，确保直播活动有序推进。</w:t>
            </w:r>
          </w:p>
          <w:p w14:paraId="32DE703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（8）达人直播选品：从达人视角出发，讲解如何基于粉丝偏好、跨境供应链能力及平台数据，筛选具有爆款潜力的跨境商品组合。</w:t>
            </w:r>
          </w:p>
          <w:p w14:paraId="26B469D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9）商家直播选品：讲解商家视角下直播选品对销售转化与品牌建设的重要性，重点阐述如何基于品牌定位、库存深度、利润结构、跨境物流适配性及目标市场消费数据等因素，构建科学的多维度选品矩阵，从而实现销售目标与战略价值的统一。</w:t>
            </w:r>
          </w:p>
          <w:p w14:paraId="75C561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（10）商品上架：了解直播间商品上架的操作与流程，学习利用商品口袋和待播商品管理直播商品，合理规划商品的上架与下架。</w:t>
            </w:r>
          </w:p>
          <w:p w14:paraId="51BB302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（11）创建直播预告：分析直播预告的传播逻辑与转化路径，学习制作跨文化适应的预告素材，提升预约转化率。</w:t>
            </w:r>
          </w:p>
          <w:p w14:paraId="5AA3C9B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（12）促销利益点设计：解析跨境用户价格敏感度与促销偏好，设计结合免税折扣、满减赠礼等跨文化兼容的促销策略，刺激购买决策。</w:t>
            </w:r>
          </w:p>
          <w:p w14:paraId="72FC66E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13）直播脚本策划：学习直播脚本的结构与要素，包括开场、产品介绍、互动环节、促销活动、结尾等部分的编写要点与技巧。了解如何根据直播主题和目标制定详细的直播脚本，合理安排直播流程与时间节点，确保直播内容丰富、有条理，能够有效引导观众完成购买行为。</w:t>
            </w:r>
          </w:p>
          <w:p w14:paraId="37317D2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14）单品脚本策划：针对单个商品的直播销售，讲解单品脚本的策划方法。包括如何提炼商品的核心卖点与优势，设计吸引人的商品介绍话术和展示方式，安排合理的促销节点与互动环节，以突出商品价值，激发观众购买欲望，提高单品的转化率和销售额。</w:t>
            </w:r>
          </w:p>
          <w:p w14:paraId="32C73D0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（15）商品讲解技巧与话术：学习在直播中讲解商品的技巧与方法，如FABE销售法则的应用、故事性讲解、对比分析等，让学生能够生动、形象、专业地介绍商品特点、功能、优势及使用方法。</w:t>
            </w:r>
          </w:p>
          <w:p w14:paraId="3AE5283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（16）商品展示技巧：讲解如何运用镜头语言和展示道具有效地展示商品，包括商品的外观、细节、使用过程等。</w:t>
            </w:r>
          </w:p>
          <w:p w14:paraId="19646B3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（17）直播观众互动：定义互动在留存与转化中的核心价值，训练评论区管理、提问引导、实时反馈等跨境直播互动基本功。</w:t>
            </w:r>
          </w:p>
          <w:p w14:paraId="52619BE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18）直播互动玩法：介绍各种直播互动玩法，如抽奖、红包、优惠券、秒杀等，分析不同互动玩法的适用场景和效果。学习如何根据直播内容和目标受众设计创意互动环节，吸引观众积极参与，提升直播间的人气和活跃度，促进观众与主播之间的情感连接，进而提高购买转化率。</w:t>
            </w:r>
          </w:p>
          <w:p w14:paraId="6ADE64C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19）购买行为转化：分析观众在直播间的购买决策过程，探讨影响购买转化的关键因素，如价格策略、促销活动、信任建立等。提供促进购买行为转化的方法与技巧，如限时优惠、赠品策略、饥饿营销等，了解如何在直播过程中把握销售机会，巧妙运用各种销售技巧和话术，引导观众完成购买行为，提高直播的销售转化率。</w:t>
            </w:r>
          </w:p>
          <w:p w14:paraId="7D99687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20）直播危机管理：解析跨境直播中可能出现的各类风险（如技术故障、主播失言、文化冲突、商品争议等），培养风险识别与预判能力，并训练制定应急预案、实时舆情监控与跨文化场景下的危机公关沟通技巧，保障直播安全与品牌声誉。</w:t>
            </w:r>
          </w:p>
          <w:p w14:paraId="5C636F2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21）各国文化与禁忌：系统解析全球主要目标市场的文化禁忌与宗教习俗，包括敏感手势、颜色象征、节日禁忌、社交礼仪等维度，培养跨境直播中的文化敏感性与内容规避能力，确保直播内容符合当地文化规范，避免无意冒犯并提升跨文化沟通有效性。</w:t>
            </w:r>
          </w:p>
          <w:p w14:paraId="1312B27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（22）直播付费推广：学习如何根据直播目标和预算制定合理的付费推广策略，选择合适的推广渠道和投放时间，优化推广效果，提高直播间的曝光量和流量导入，扩大直播活动的影响力和覆盖面。</w:t>
            </w:r>
          </w:p>
          <w:p w14:paraId="42D9672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（23）创建数字人：学习虚拟主播生成技术、驱动方式与多语言配音解决方案，探索数字人在24小时跨时区直播中的应用路径。</w:t>
            </w:r>
          </w:p>
          <w:p w14:paraId="062EB00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24）数字人话术：讲解数字人直播话术的核心设计逻辑与生成式AI驱动原理，重点阐述如何基于多语言数据库与文化语境库，构建符合目标市场表达习惯、规避文化禁忌的自动化话术体系，并通过实时互动数据监测与用户反馈分析，建立话术效果的量化评估与持续迭代机制，最终实现跨文化沟通的精准性与适应性。</w:t>
            </w:r>
          </w:p>
          <w:p w14:paraId="551548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（25）数字人直播脚本：针对虚拟主播特性，设计强视觉化、高互动性的脚本结构，整合AI应答逻辑与跨境营销话术库。</w:t>
            </w:r>
          </w:p>
          <w:p w14:paraId="0FA77B7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（26）直播复盘：了解直播结束后进行复盘的重要性与方法。学习如何收集和整理直播数据，包括观看人数、互动数据、销售数据等，分析直播过程中的优点与不足，总结经验教训。</w:t>
            </w:r>
          </w:p>
          <w:p w14:paraId="59CB095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27）直播数据分析：学习如何利用直播平台提供的数据分析工具，对直播数据进行采集、整理和分析，挖掘数据背后的信息和趋势，为直播策略调整、选品优化、内容改进等提供数据支持，实现数据驱动的直播运营决策。</w:t>
            </w:r>
          </w:p>
          <w:p w14:paraId="2C5862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28）直播电商法律法规：学习与电商直播相关的法律法规，如《电子商务法》《消费者权益保护法》《广告法》《网络直播营销管理办法（试行）》等。了解电商直播活动中常见的法律风险点，如商品质量责任、虚假宣传、知识产权保护、消费者个人信息保护等，提高法律意识和合规经营意识，确保电商直播业务在合法合规的框架内开展。</w:t>
            </w:r>
          </w:p>
          <w:p w14:paraId="7C58B0A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29）直播电商平台政策：解读各大直播电商平台的运营政策和规则，包括主播管理规范、商品发布规则、直播内容审核标准、营销活动政策等。了解平台的扶持政策和资源分配机制，学习如何遵守平台政策，充分利用平台资源，优化直播运营策略，提升在平台上的竞争力和影响力。</w:t>
            </w:r>
          </w:p>
          <w:p w14:paraId="63ADAF5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4、应提供合同期内免费更新服务</w:t>
            </w:r>
            <w:r>
              <w:rPr>
                <w:rFonts w:hint="eastAsia" w:ascii="宋体" w:hAnsi="宋体" w:eastAsia="宋体" w:cs="宋体"/>
                <w:i w:val="0"/>
                <w:iCs w:val="0"/>
                <w:color w:val="auto"/>
                <w:sz w:val="24"/>
                <w:szCs w:val="24"/>
                <w:highlight w:val="none"/>
                <w:u w:val="none"/>
                <w:lang w:eastAsia="zh-CN"/>
              </w:rPr>
              <w:t>，为教师进行智慧课程建设提供技术支持。</w:t>
            </w:r>
          </w:p>
          <w:p w14:paraId="7C8B247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为保证项目建设质量，投标人承诺：中标公示期间，若为第一中标候选人，将自带产品、软件系统等到招标人使用单位进行功能及参数核验。若虚假应标，愿承担相关法律和赔偿责任。（供应商提供承诺函，加盖公章，格式自拟）</w:t>
            </w:r>
          </w:p>
          <w:p w14:paraId="145E45E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default"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十、云台设备</w:t>
            </w:r>
          </w:p>
          <w:p w14:paraId="2550DFB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电池类型：锂电池</w:t>
            </w:r>
          </w:p>
          <w:p w14:paraId="0CF7742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存储介质：Mic-SD,内置内存</w:t>
            </w:r>
          </w:p>
          <w:p w14:paraId="346DE2F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防抖性能：三轴防抖</w:t>
            </w:r>
          </w:p>
          <w:p w14:paraId="48B441F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防水性能：不支持防水</w:t>
            </w:r>
          </w:p>
          <w:p w14:paraId="25AF6DB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视频分辨率：4k</w:t>
            </w:r>
          </w:p>
          <w:p w14:paraId="5747B17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自带容量：107GB</w:t>
            </w:r>
          </w:p>
          <w:p w14:paraId="01227CF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适用场景：Vlog</w:t>
            </w:r>
          </w:p>
          <w:p w14:paraId="430732C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翻转屏功能：支持翻转屏</w:t>
            </w:r>
          </w:p>
          <w:p w14:paraId="71F6AED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是否支持夜摄功能：夜摄功能</w:t>
            </w:r>
          </w:p>
          <w:p w14:paraId="0AD03A3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10、</w:t>
            </w:r>
            <w:r>
              <w:rPr>
                <w:rFonts w:hint="eastAsia" w:ascii="宋体" w:hAnsi="宋体" w:eastAsia="宋体" w:cs="宋体"/>
                <w:i w:val="0"/>
                <w:iCs w:val="0"/>
                <w:color w:val="auto"/>
                <w:kern w:val="0"/>
                <w:sz w:val="24"/>
                <w:szCs w:val="24"/>
                <w:highlight w:val="none"/>
                <w:u w:val="none"/>
                <w:lang w:val="en-US" w:eastAsia="zh-CN" w:bidi="ar"/>
              </w:rPr>
              <w:t>传感器尺寸：1/1英寸</w:t>
            </w:r>
          </w:p>
          <w:p w14:paraId="0598BE8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11、</w:t>
            </w:r>
            <w:r>
              <w:rPr>
                <w:rFonts w:hint="eastAsia" w:ascii="宋体" w:hAnsi="宋体" w:eastAsia="宋体" w:cs="宋体"/>
                <w:i w:val="0"/>
                <w:iCs w:val="0"/>
                <w:color w:val="auto"/>
                <w:kern w:val="0"/>
                <w:sz w:val="24"/>
                <w:szCs w:val="24"/>
                <w:highlight w:val="none"/>
                <w:u w:val="none"/>
                <w:lang w:val="en-US" w:eastAsia="zh-CN" w:bidi="ar"/>
              </w:rPr>
              <w:t>感光元件：CMOS</w:t>
            </w:r>
          </w:p>
          <w:p w14:paraId="55FCE25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12、</w:t>
            </w:r>
            <w:r>
              <w:rPr>
                <w:rFonts w:hint="eastAsia" w:ascii="宋体" w:hAnsi="宋体" w:eastAsia="宋体" w:cs="宋体"/>
                <w:i w:val="0"/>
                <w:iCs w:val="0"/>
                <w:color w:val="auto"/>
                <w:kern w:val="0"/>
                <w:sz w:val="24"/>
                <w:szCs w:val="24"/>
                <w:highlight w:val="none"/>
                <w:u w:val="none"/>
                <w:lang w:val="en-US" w:eastAsia="zh-CN" w:bidi="ar"/>
              </w:rPr>
              <w:t>显示屏尺寸(值)：2英寸</w:t>
            </w:r>
          </w:p>
          <w:p w14:paraId="0260C13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13、</w:t>
            </w:r>
            <w:r>
              <w:rPr>
                <w:rFonts w:hint="eastAsia" w:ascii="宋体" w:hAnsi="宋体" w:eastAsia="宋体" w:cs="宋体"/>
                <w:i w:val="0"/>
                <w:iCs w:val="0"/>
                <w:color w:val="auto"/>
                <w:kern w:val="0"/>
                <w:sz w:val="24"/>
                <w:szCs w:val="24"/>
                <w:highlight w:val="none"/>
                <w:u w:val="none"/>
                <w:lang w:val="en-US" w:eastAsia="zh-CN" w:bidi="ar"/>
              </w:rPr>
              <w:t>质保期：1年</w:t>
            </w:r>
          </w:p>
          <w:p w14:paraId="5BE0EC4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14、</w:t>
            </w:r>
            <w:r>
              <w:rPr>
                <w:rFonts w:hint="eastAsia" w:ascii="宋体" w:hAnsi="宋体" w:eastAsia="宋体" w:cs="宋体"/>
                <w:i w:val="0"/>
                <w:iCs w:val="0"/>
                <w:color w:val="auto"/>
                <w:kern w:val="0"/>
                <w:sz w:val="24"/>
                <w:szCs w:val="24"/>
                <w:highlight w:val="none"/>
                <w:u w:val="none"/>
                <w:lang w:val="en-US" w:eastAsia="zh-CN" w:bidi="ar"/>
              </w:rPr>
              <w:t>接口类型：USB</w:t>
            </w:r>
          </w:p>
          <w:p w14:paraId="5982C87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15、</w:t>
            </w:r>
            <w:r>
              <w:rPr>
                <w:rFonts w:hint="eastAsia" w:ascii="宋体" w:hAnsi="宋体" w:eastAsia="宋体" w:cs="宋体"/>
                <w:i w:val="0"/>
                <w:iCs w:val="0"/>
                <w:color w:val="auto"/>
                <w:kern w:val="0"/>
                <w:sz w:val="24"/>
                <w:szCs w:val="24"/>
                <w:highlight w:val="none"/>
                <w:u w:val="none"/>
                <w:lang w:val="en-US" w:eastAsia="zh-CN" w:bidi="ar"/>
              </w:rPr>
              <w:t>光学变焦倍数：2倍</w:t>
            </w:r>
          </w:p>
          <w:p w14:paraId="200082C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16、</w:t>
            </w:r>
            <w:r>
              <w:rPr>
                <w:rFonts w:hint="eastAsia" w:ascii="宋体" w:hAnsi="宋体" w:eastAsia="宋体" w:cs="宋体"/>
                <w:i w:val="0"/>
                <w:iCs w:val="0"/>
                <w:color w:val="auto"/>
                <w:kern w:val="0"/>
                <w:sz w:val="24"/>
                <w:szCs w:val="24"/>
                <w:highlight w:val="none"/>
                <w:u w:val="none"/>
                <w:lang w:val="en-US" w:eastAsia="zh-CN" w:bidi="ar"/>
              </w:rPr>
              <w:t>屏幕尺寸：2英寸</w:t>
            </w:r>
          </w:p>
          <w:p w14:paraId="7E3E24E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17、</w:t>
            </w:r>
            <w:r>
              <w:rPr>
                <w:rFonts w:hint="eastAsia" w:ascii="宋体" w:hAnsi="宋体" w:eastAsia="宋体" w:cs="宋体"/>
                <w:i w:val="0"/>
                <w:iCs w:val="0"/>
                <w:color w:val="auto"/>
                <w:kern w:val="0"/>
                <w:sz w:val="24"/>
                <w:szCs w:val="24"/>
                <w:highlight w:val="none"/>
                <w:u w:val="none"/>
                <w:lang w:val="en-US" w:eastAsia="zh-CN" w:bidi="ar"/>
              </w:rPr>
              <w:t>数码像素：800万以上</w:t>
            </w:r>
          </w:p>
          <w:p w14:paraId="223A75E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是否触摸屏：是</w:t>
            </w:r>
          </w:p>
          <w:p w14:paraId="6181F16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180度全景相机类型</w:t>
            </w:r>
          </w:p>
        </w:tc>
        <w:tc>
          <w:tcPr>
            <w:tcW w:w="0" w:type="auto"/>
            <w:tcBorders>
              <w:top w:val="nil"/>
              <w:left w:val="single" w:color="000000" w:sz="4" w:space="0"/>
              <w:bottom w:val="single" w:color="auto" w:sz="4" w:space="0"/>
              <w:right w:val="single" w:color="000000" w:sz="4" w:space="0"/>
            </w:tcBorders>
            <w:shd w:val="clear" w:color="auto" w:fill="FFFFFF"/>
            <w:vAlign w:val="center"/>
          </w:tcPr>
          <w:p w14:paraId="5E0D967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nil"/>
              <w:left w:val="single" w:color="000000" w:sz="4" w:space="0"/>
              <w:bottom w:val="single" w:color="auto" w:sz="4" w:space="0"/>
              <w:right w:val="single" w:color="000000" w:sz="4" w:space="0"/>
            </w:tcBorders>
            <w:shd w:val="clear" w:color="auto" w:fill="FFFFFF"/>
            <w:noWrap/>
            <w:vAlign w:val="center"/>
          </w:tcPr>
          <w:p w14:paraId="3935C85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5C10B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902F6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49FA2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电子商务物流与配送仿真实训平台（大赛用）</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0614C4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一、技术要求</w:t>
            </w:r>
          </w:p>
          <w:p w14:paraId="3CF20D9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系统须符合下述技术要求：</w:t>
            </w:r>
          </w:p>
          <w:p w14:paraId="647798D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1.系统需采用B/S架构设计，采用用户交互页面局部加载以及用户数据的异步加载，提升用户体验。</w:t>
            </w:r>
          </w:p>
          <w:p w14:paraId="56C6D0F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2.系统需基于JavaEE平台开发，需采用前后端分离架构，充分保证平台的可靠、灵活、安全性。</w:t>
            </w:r>
          </w:p>
          <w:p w14:paraId="677C1FE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3.系统WEB端需支持Edge、Firefox、Chrome、Safari等常见较新版本的浏览器访问。</w:t>
            </w:r>
          </w:p>
          <w:p w14:paraId="1D6FBC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4.系统服务端需采用容器化部署，需支持Kubernetes、Docker Compose等部署方式，充分保证服务的可用性，易恢复性及容灾能力。</w:t>
            </w:r>
          </w:p>
          <w:p w14:paraId="2AC4FEE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5.系统可以部署在国产服务器、国产操作系统、国产数据库平台之上。</w:t>
            </w:r>
          </w:p>
          <w:p w14:paraId="145F170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6.系统私有部署需支持OAuth2认证技术，可与客户已有用户体系集成。</w:t>
            </w:r>
          </w:p>
          <w:p w14:paraId="0A34720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7.提供60账号，可支持60人同时在线使用。</w:t>
            </w:r>
          </w:p>
          <w:p w14:paraId="785DB18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二、功能要求</w:t>
            </w:r>
          </w:p>
          <w:p w14:paraId="1E33F73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三维场景规划模块</w:t>
            </w:r>
          </w:p>
          <w:p w14:paraId="01264B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系统提供全面的仓储物流设备建模能力，支持搬运机器人、AGV拣选货架、电子拣选货架、充电桩设备、加工车间、辊筒输送机、机械臂、复合机器人等设备的精确布局与规划，实现真实物流环境的虚拟再现。</w:t>
            </w:r>
            <w:r>
              <w:rPr>
                <w:rFonts w:hint="eastAsia" w:ascii="宋体" w:hAnsi="宋体" w:eastAsia="宋体" w:cs="宋体"/>
                <w:i w:val="0"/>
                <w:iCs w:val="0"/>
                <w:color w:val="auto"/>
                <w:sz w:val="24"/>
                <w:szCs w:val="24"/>
                <w:highlight w:val="none"/>
                <w:u w:val="none"/>
              </w:rPr>
              <w:t>（本条参数为重要参数，需提供平台功能截图，未提供或不符合，则不得分）</w:t>
            </w:r>
          </w:p>
          <w:p w14:paraId="65B695F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（2）配备专业的三维视角控制系统，提供透视/正交视角自由切换功能，支持精确坐标系位置显示，便于进行三维空间精细化布局和设备定位，确保模拟环境与实际仓储空间的高度一致性。</w:t>
            </w:r>
          </w:p>
          <w:p w14:paraId="0DC281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（3）支持设备模型的批量创建、全选打组与批量参数修改功能，具备重命名和属性调整能力，提高规划效率，满足大型仓储物流系统的快速建模需求。</w:t>
            </w:r>
          </w:p>
          <w:p w14:paraId="666A778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仿真环境配置模块</w:t>
            </w:r>
          </w:p>
          <w:p w14:paraId="1D2D02F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（1）提供灵活的仿真时间管理系统，支持仿真运行时间单位选择、初始仿真时间设置和场景尺寸定义，满足不同规模和时间跨度的仿真环境创建需求，适应各类教学场景。</w:t>
            </w:r>
          </w:p>
          <w:p w14:paraId="789F62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（2）内置丰富的设备与网络资源库，支持快速创建和批量操作，实现设备与网络路径之间的智能关系绑定，确保物流路径规划的合理性和高效性。</w:t>
            </w:r>
          </w:p>
          <w:p w14:paraId="3E8CC3A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（3）提供直观的交互操作支持，包括点击创建、选中/批量选中、打组、移动/批量移动、旋转、连接、吸附、复制、粘贴、删除等功能，大幅提升用户建模体验和操作效率。</w:t>
            </w:r>
          </w:p>
          <w:p w14:paraId="77E4A6E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业务数据管理模块</w:t>
            </w:r>
          </w:p>
          <w:p w14:paraId="6BFC20C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（1）构建完整的订单管理系统，支持入库订单、出库订单和生产订单的信息录入与修改，包含任务编号、开始与预计完成时间、任务名称、种类、类目名称和数量等参数的精确配置。</w:t>
            </w:r>
          </w:p>
          <w:p w14:paraId="688EB3F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（2）提供专业的库存管理决策工具，支持储位规划、库存规划、安全库存设置、补货策略配置等功能，帮助学生掌握现代仓储管理的核心理念和方法。</w:t>
            </w:r>
          </w:p>
          <w:p w14:paraId="5DFFE1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▲（3）配备三维仿真场景下的任务监控面板，实时展示订单执行状态、库存变化和设备运行情况，提供直观的业务数据可视化呈现。</w:t>
            </w:r>
            <w:r>
              <w:rPr>
                <w:rFonts w:hint="eastAsia" w:ascii="宋体" w:hAnsi="宋体" w:eastAsia="宋体" w:cs="宋体"/>
                <w:i w:val="0"/>
                <w:iCs w:val="0"/>
                <w:color w:val="auto"/>
                <w:sz w:val="24"/>
                <w:szCs w:val="24"/>
                <w:highlight w:val="none"/>
                <w:u w:val="none"/>
              </w:rPr>
              <w:t>（本条参数为重要参数，需提供平台功能截图，未提供或不符合，则不得分）</w:t>
            </w:r>
          </w:p>
          <w:p w14:paraId="0BDDE19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生产工艺管理模块</w:t>
            </w:r>
          </w:p>
          <w:p w14:paraId="4469119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▲（1）支持完整的生产工艺流程设计，包括生产补料、成品移库、加工工艺流程的配置与优化，满足从原材料入库到成品出库的全流程模拟需求。</w:t>
            </w:r>
            <w:r>
              <w:rPr>
                <w:rFonts w:hint="eastAsia" w:ascii="宋体" w:hAnsi="宋体" w:eastAsia="宋体" w:cs="宋体"/>
                <w:i w:val="0"/>
                <w:iCs w:val="0"/>
                <w:color w:val="auto"/>
                <w:sz w:val="24"/>
                <w:szCs w:val="24"/>
                <w:highlight w:val="none"/>
                <w:u w:val="none"/>
              </w:rPr>
              <w:t>（本条参数为重要参数，需提供平台功能截图，未提供或不符合，则不得分）</w:t>
            </w:r>
          </w:p>
          <w:p w14:paraId="7517AC8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（2）提供精细化的库存控制功能，支持自定义储位初始库存、补货和移库触发点与数量的编辑，实现智能化的库存管理策略模拟。</w:t>
            </w:r>
          </w:p>
          <w:p w14:paraId="463F3C5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（3）配备资源实体属性参数调整系统，包括移动实体、存储实体、处理实体的参数配置，确保生产工艺模拟的准确性和真实性。</w:t>
            </w:r>
          </w:p>
          <w:p w14:paraId="4995ED7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仿真运行与分析模块</w:t>
            </w:r>
          </w:p>
          <w:p w14:paraId="076E7E3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（1）提供强大的仿真控制功能，支持仿真场景运行、时间倍速调整、运行起始/暂停控制和多视角切换，便于全面观察和分析仿真过程中的各类物流活动。</w:t>
            </w:r>
          </w:p>
          <w:p w14:paraId="0465AB6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（2）自动生成专业的仿真结果报告，包含仿真信息数据、订单分析数据、原材料仓分析数据、产线分析数据、场景规划图和任务信息及设备明细表，全面展示系统运行效果。 </w:t>
            </w:r>
          </w:p>
          <w:p w14:paraId="66D2ACB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▲（3）提供关键绩效指标分析，包括任务完成率、任务按时完成率、设备平均利用率、产能利用率等数据，为教学评估和系统优化提供科学依据，帮助学生理解物流系统优化的关键因素和方法。</w:t>
            </w:r>
            <w:r>
              <w:rPr>
                <w:rFonts w:hint="eastAsia" w:ascii="宋体" w:hAnsi="宋体" w:eastAsia="宋体" w:cs="宋体"/>
                <w:i w:val="0"/>
                <w:iCs w:val="0"/>
                <w:color w:val="auto"/>
                <w:sz w:val="24"/>
                <w:szCs w:val="24"/>
                <w:highlight w:val="none"/>
                <w:u w:val="none"/>
              </w:rPr>
              <w:t>（本条参数为重要参数，需提供平台功能截图，未提供或不符合，则不得分）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A0668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6DC680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r w14:paraId="21DD4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CFDB2B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4FAD0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color w:val="auto"/>
                <w:kern w:val="2"/>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电子商务综合实训资源包</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D358FB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课程主要含≥7个模块，涵盖知识点包括方案优化、采购、入库、出库、在库、配送、运输等；≥7个环节；≥34个技能点的内容。（投标文件中提供功能界面截图并加盖投标人公章，未提供截图或截图中不能体现参数功能要求，视为不满足该项参数要求。）</w:t>
            </w:r>
          </w:p>
          <w:p w14:paraId="56013E1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课程以仓运配为主线，侧重操作层面，融入真实企业案例及数据模拟，对各个理论及知识点的讲解除文字描述外，更多利用丰富多彩的图片、动画、PPT文档、图表以及视频等综合表达方式。</w:t>
            </w:r>
          </w:p>
          <w:p w14:paraId="5C4E841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课程资源类型包含课件、习题、教学案例、教学视频、教学动画、教学图片等组成。</w:t>
            </w:r>
          </w:p>
          <w:p w14:paraId="31CE652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教学课件：</w:t>
            </w:r>
          </w:p>
          <w:p w14:paraId="09DCDE7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（1）教学课件需与课程紧密结合，每节课内容均配套PPT，可配合教学使用，≥30个；</w:t>
            </w:r>
          </w:p>
          <w:p w14:paraId="3330D81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（2）教学课件整体要色调和谐，各元素搭配构图得当，背景和文字颜色有反差，文字修饰适度，字体、字号有层次；</w:t>
            </w:r>
          </w:p>
          <w:p w14:paraId="4353318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（3）教学课件要有灵活新颖的教学形式、教学对象要有针对性；</w:t>
            </w:r>
          </w:p>
          <w:p w14:paraId="7FE0AF7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（4）课件内容要生动，能吸引学生，调动学习兴趣；</w:t>
            </w:r>
          </w:p>
          <w:p w14:paraId="2D1E218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（5）课件需保持前后风格一致，课件排版设计美观；</w:t>
            </w:r>
          </w:p>
          <w:p w14:paraId="13E6470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动画视频：</w:t>
            </w:r>
          </w:p>
          <w:p w14:paraId="037AF92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（1）动画视频内容与教程内容联系紧密，重难点均配置短小精悍的教学动画或视频，数量不得少于25个。</w:t>
            </w:r>
          </w:p>
          <w:p w14:paraId="0768D2F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（2）内容设计符合教学内容；</w:t>
            </w:r>
          </w:p>
          <w:p w14:paraId="4DE31E9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（3）画面简洁清晰，界面友好，动画连续，节奏合适；</w:t>
            </w:r>
          </w:p>
          <w:p w14:paraId="796DBC1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（4）配音应标准，无噪音，快慢适度，采用MP4格式。</w:t>
            </w:r>
          </w:p>
          <w:p w14:paraId="38E1C1A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232EADD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①输出格式：MP4</w:t>
            </w:r>
          </w:p>
          <w:p w14:paraId="26EAC7F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②动画帧频：≥15帧/秒；</w:t>
            </w:r>
          </w:p>
          <w:p w14:paraId="569E5FA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③输出尺寸：≥1920*1080；</w:t>
            </w:r>
          </w:p>
          <w:p w14:paraId="048D105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④声音品质：≥比特率64KBPS，双声道。</w:t>
            </w:r>
          </w:p>
          <w:p w14:paraId="74CCA48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⑤码率：≥1024kbs</w:t>
            </w:r>
          </w:p>
          <w:p w14:paraId="7D36432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习题资源：针对课程的整体测评习题库，包括单选、多选、判断、简答等多题型形式，≥300道。</w:t>
            </w:r>
          </w:p>
          <w:p w14:paraId="4EEB89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案例资源：以浅显易懂的企业案例为背景设计案例集，案例资源≥10个。</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11438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33722D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424BC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357A83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E35EF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竞赛训练包</w:t>
            </w:r>
          </w:p>
        </w:tc>
        <w:tc>
          <w:tcPr>
            <w:tcW w:w="76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A744F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理论训练部分包含：供应链管理基础理论、《供应链管理师国家职业技能标准(2020年版)》内容，以及职业道德、计划管理、采购管理、生产管理、物流管理等核心知识点，往届大赛优秀方案，理解评分标准和得分要点。实训部分由任务书、数据集、任务课件、任务解析说明构成；主要任务以商贸物流为作业场景，主要任务包括需求预测处理、客户订单分析、库存计划处理；采购订单分析、供应商管理；运输与配送运营、仓储运营优化、智慧仓仿真运营与分析；实训包数据集数据结构须与配套实训软件保持一致，并可在配套实训软件中进行实操作业。包括仿真运营专项训练：模拟对抗赛，各小组分岗协作，在虚拟市场环境中完成融资贷款、市场竞标、供应商选择、采购计划编制、工厂选址、生产计划编制、仓储管理和物流配送等全流程决策。数据分析训练：基于运营数据，运用可视化工具制作多维度图表和核心指标仪表盘，撰写运营数据分析报告。采购谈判模拟：围绕真实企业案例，模拟采购谈判场景，训练供应商选择策略与谈判技巧。</w:t>
            </w:r>
          </w:p>
          <w:p w14:paraId="1BD1317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▲每个实训包须包含至少3套不同案例。</w:t>
            </w:r>
            <w:r>
              <w:rPr>
                <w:rFonts w:hint="eastAsia" w:ascii="宋体" w:hAnsi="宋体" w:eastAsia="宋体" w:cs="宋体"/>
                <w:i w:val="0"/>
                <w:iCs w:val="0"/>
                <w:color w:val="auto"/>
                <w:sz w:val="24"/>
                <w:szCs w:val="24"/>
                <w:highlight w:val="none"/>
                <w:u w:val="none"/>
              </w:rPr>
              <w:t>（本条参数为重要参数，需提供平台功能截图，未提供或不符合，则不得分）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6A54A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3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DD114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3BFB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3E10EE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362B6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Style w:val="206"/>
                <w:rFonts w:hint="eastAsia" w:ascii="宋体" w:hAnsi="宋体" w:eastAsia="宋体" w:cs="宋体"/>
                <w:color w:val="auto"/>
                <w:sz w:val="24"/>
                <w:szCs w:val="24"/>
                <w:highlight w:val="none"/>
                <w:lang w:val="en-US" w:eastAsia="zh-CN" w:bidi="ar"/>
              </w:rPr>
            </w:pPr>
            <w:r>
              <w:rPr>
                <w:rStyle w:val="206"/>
                <w:rFonts w:hint="eastAsia" w:ascii="宋体" w:hAnsi="宋体" w:eastAsia="宋体" w:cs="宋体"/>
                <w:color w:val="auto"/>
                <w:sz w:val="24"/>
                <w:szCs w:val="24"/>
                <w:highlight w:val="none"/>
                <w:lang w:val="en-US" w:eastAsia="zh-CN" w:bidi="ar"/>
              </w:rPr>
              <w:t>国际货运代理实战系统</w:t>
            </w:r>
          </w:p>
        </w:tc>
        <w:tc>
          <w:tcPr>
            <w:tcW w:w="76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71E5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主要用于了解和提高学生对于国际货运代理工作真实业务的整体开展和执行能力，通过专业的实战案例库解决多种业务模式下的业务难题。案例内容涵盖客户获取、报价计算、运输管理、费用计算、海运/空运操作、投诉处理、索赔处理等核心知识点,能够更好地让学生掌握货运代理知识。</w:t>
            </w:r>
          </w:p>
          <w:p w14:paraId="4934F33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2.系统基于B/S架构开发部署及应用灵活支持局域网或云端服务部署，系统核心模块包含知识快充模块、实战案例中心模块、趣味娱乐模块。</w:t>
            </w:r>
          </w:p>
          <w:p w14:paraId="1B0A4C1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3.将世界技能大赛货运代理赛项考核内容进行业务还原</w:t>
            </w:r>
          </w:p>
          <w:p w14:paraId="49B8054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客户咨询：主要训练货运代理公司客户关于运输过程中的咨询业务的处理，包括运输线路、运输方式、贸易术语以及相关单证等相关咨询。</w:t>
            </w:r>
          </w:p>
          <w:p w14:paraId="56A0B42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报价计算：侧重国际运输过程中相关报价业务处理，训练在不同贸易术语下，国际运输中相关费用的计算。</w:t>
            </w:r>
          </w:p>
          <w:p w14:paraId="5BD6EC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工作计划与组织管理：主要训练相关运输业务的组织与安排，包括订舱、拖车计划安排、卡车计划安排以及会议安排等。</w:t>
            </w:r>
          </w:p>
          <w:p w14:paraId="1D4E1A8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客户沟通：主要训练与客户沟通的技能，涵盖货运代理业务中客户邮件沟通、以及现场沟通的技能。</w:t>
            </w:r>
          </w:p>
          <w:p w14:paraId="40A88A7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投诉与索赔处理：以海运以及空运业务客户投诉的常见案例为载体，主要训练货运代理业务中客户投诉、客户索赔等异常情况的处理。</w:t>
            </w:r>
          </w:p>
          <w:p w14:paraId="218171A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综合训练：将阿布扎比的考核试题进行模块化、单元化、任务化拆解，通过任务关卡设置和点评解析深入了解世界技能大赛考核试题的形式。</w:t>
            </w:r>
          </w:p>
          <w:p w14:paraId="16363B1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4.在线接受任务，引领式完成工作</w:t>
            </w:r>
          </w:p>
          <w:p w14:paraId="11A2F37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互动化训练模式，以任务引领式，将工作的流程转变为阶段性的实训任务，在完成实训的过程中，理解操作的规范，同时可以下载相关训练习题进行电脑上答题，答完题上传等。</w:t>
            </w:r>
          </w:p>
          <w:p w14:paraId="0950E27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5.教学支持</w:t>
            </w:r>
          </w:p>
          <w:p w14:paraId="587558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（1）满足世赛考核的实训要求</w:t>
            </w:r>
          </w:p>
          <w:p w14:paraId="12D616C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国际货运代理仿真实训系统完全按照世赛考核的大纲进行案例开发，训练的内容符合世界技能大赛的选拔要求，可以支持世赛的学习以及训练。训练任务≥10套。</w:t>
            </w:r>
          </w:p>
          <w:p w14:paraId="6EE83E0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（2）满足学校对于企业实习的需求</w:t>
            </w:r>
          </w:p>
          <w:p w14:paraId="4370F82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实现企业实习的需求，作为进入真正实操环境下实践的过渡。</w:t>
            </w:r>
          </w:p>
          <w:p w14:paraId="5A0B6FA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（3）在线实现学习+训练+游戏</w:t>
            </w:r>
          </w:p>
          <w:p w14:paraId="7E2D03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实训过程中，会呈现标准化作业流程，可以在实训的同时，了解规范，潜移默化中养成良好的工作习惯及相关物流方面知识点游戏。</w:t>
            </w:r>
          </w:p>
          <w:p w14:paraId="0AA258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94C15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41D4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59A20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A300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012" w:type="dxa"/>
            <w:tcBorders>
              <w:top w:val="single" w:color="auto" w:sz="4" w:space="0"/>
              <w:left w:val="single" w:color="auto" w:sz="4" w:space="0"/>
              <w:bottom w:val="single" w:color="auto" w:sz="4" w:space="0"/>
              <w:right w:val="single" w:color="auto" w:sz="4" w:space="0"/>
            </w:tcBorders>
            <w:shd w:val="clear" w:color="auto" w:fill="FFFFFF"/>
            <w:vAlign w:val="center"/>
          </w:tcPr>
          <w:p w14:paraId="0191C7A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跨境贸易业财税实战平台</w:t>
            </w:r>
          </w:p>
        </w:tc>
        <w:tc>
          <w:tcPr>
            <w:tcW w:w="76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83E6AE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一、平台技术参数指标</w:t>
            </w:r>
          </w:p>
          <w:p w14:paraId="3108FF3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（一）服务端:</w:t>
            </w:r>
          </w:p>
          <w:p w14:paraId="5C37903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1.每个微服务都是一个小而美的业务单元</w:t>
            </w:r>
          </w:p>
          <w:p w14:paraId="635C5C4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2.可以快速单独升级单个服务不影响系统使用</w:t>
            </w:r>
          </w:p>
          <w:p w14:paraId="229712C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3.通过Eureka注册并管理每个服务</w:t>
            </w:r>
          </w:p>
          <w:p w14:paraId="6CB6A6B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4.通过Zuul+Ribbon+Feign进行服务的负载均衡</w:t>
            </w:r>
          </w:p>
          <w:p w14:paraId="0BAAB90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5.通过配置中心Confifig集中配置服务</w:t>
            </w:r>
          </w:p>
          <w:p w14:paraId="14BA286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6.使用Druid进行高效管理数据库连接池</w:t>
            </w:r>
          </w:p>
          <w:p w14:paraId="2D21B7D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（二）客户端：</w:t>
            </w:r>
          </w:p>
          <w:p w14:paraId="52D238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1.使用 Javascript + AngularJS 开发</w:t>
            </w:r>
          </w:p>
          <w:p w14:paraId="585BCDC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2.采用 SPA(单页面)，整个系统只加载单个HTML 页面并在用户与应用程序交互时动态更新该页面。</w:t>
            </w:r>
          </w:p>
          <w:p w14:paraId="4726666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3.采用前端高速缓存，减少服务器开销</w:t>
            </w:r>
          </w:p>
          <w:p w14:paraId="37F77CC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4.采用CDN对静态资源进行加速</w:t>
            </w:r>
          </w:p>
          <w:p w14:paraId="2E30FC7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5.兼容主流浏览器，无需安装任何客户端及插件</w:t>
            </w:r>
          </w:p>
          <w:p w14:paraId="55E904E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二、跨境贸易账税实战平台</w:t>
            </w:r>
          </w:p>
          <w:p w14:paraId="5C4DCD3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跨境贸易账税实战平台专为外贸及跨境电商企业财务人员、相关从业者及财经院校学生设计的系统性、实战性综合培训平台。本课程紧密围绕国际贸易业务流程，深度融合最新政策法规、电子政务平台操作与前沿贸易模式，旨在系统培养学员掌握从基础理论到核心核算，再到合规风控的全链条专业能力。</w:t>
            </w:r>
          </w:p>
          <w:p w14:paraId="7487964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（一）平台首页</w:t>
            </w:r>
          </w:p>
          <w:p w14:paraId="18D31EF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▲首页直观展示全球主要进出口国家与地区地图，用户可点击任一国家，实时查看该国最新对外贸易政策。</w:t>
            </w:r>
          </w:p>
          <w:p w14:paraId="735402B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“研学视窗”板块集中呈现核心知识要点与重点政策解读，并动态展示合作院校学生的优秀实训成果、案例分析与实践报告。</w:t>
            </w:r>
          </w:p>
          <w:p w14:paraId="3EF0FCC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页面下方设有“实训单位选择”入口，学生可根据学习方向，自主进入“生产型企业”或“贸易型企业”，开展全流程账税实务操作训练。（本条参数为重要参数，需提供平台功能截图，未提供或不符合，则不得分）</w:t>
            </w:r>
          </w:p>
          <w:p w14:paraId="57CC990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(一)老师权限</w:t>
            </w:r>
          </w:p>
          <w:p w14:paraId="24F6FFC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1.学习中心-岗前训练</w:t>
            </w:r>
          </w:p>
          <w:p w14:paraId="54FD37C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老师端的岗前训练模块与学生端功能结构一致，主要包含以下三个部分：</w:t>
            </w:r>
          </w:p>
          <w:p w14:paraId="26BE53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（1）账务实操-岗前训练</w:t>
            </w:r>
          </w:p>
          <w:p w14:paraId="64C6A83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（2）纳税申报-岗前训练</w:t>
            </w:r>
          </w:p>
          <w:p w14:paraId="250DE01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（3）账税实训-岗前训练</w:t>
            </w:r>
          </w:p>
          <w:p w14:paraId="2C85956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2.任务发布—工作任务/工作考核</w:t>
            </w:r>
          </w:p>
          <w:p w14:paraId="538D81E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（1）老师可根据自己实际的授课进度对学生发布任务。设置任务/考核的开始时间到结束时间、标准用时、考核内容（内容根据条件筛选包含纳税人资质、企业准则、单位）、考核班级；</w:t>
            </w:r>
          </w:p>
          <w:p w14:paraId="0BB89ED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（2）老师可以按照时间范围、状态、类型查询，显系统将显示每次任务参与学生的总人数、平均成绩等关键统计信息。</w:t>
            </w:r>
          </w:p>
          <w:p w14:paraId="6E0CA08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3.统计查询</w:t>
            </w:r>
          </w:p>
          <w:p w14:paraId="5AA876A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（1）老师可根据地区、学校、班级、学生、入学年份、日期、成绩区间等多维度进行组合查询，对学生进行监督、管理；</w:t>
            </w:r>
          </w:p>
          <w:p w14:paraId="396C2D4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（2）查询结果支持导出，按照成绩、正确数、错误数等进行升降序排序；</w:t>
            </w:r>
          </w:p>
          <w:p w14:paraId="5315552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（3）选择学生的错题进行回看，可以有针对性的对单个学生的错误进行指导，也可对学生们共同的错误进行统一讲解。</w:t>
            </w:r>
          </w:p>
          <w:p w14:paraId="1D83339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（4）自我统计查询：老师可在统计表中查询自己的做题记录，对做错的、正确的、未做的可针对性查看。</w:t>
            </w:r>
          </w:p>
          <w:p w14:paraId="6AEE97B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（二）学生权限</w:t>
            </w:r>
          </w:p>
          <w:p w14:paraId="7E21520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学习中心-岗前训练</w:t>
            </w:r>
          </w:p>
          <w:p w14:paraId="7CF1357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账务实操-岗前训练</w:t>
            </w:r>
          </w:p>
          <w:p w14:paraId="3E25899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（1）点击首页的贸易型企业或生产型企业，选择具体单位后，学生可自主选择该单位的账期进行练习，可选账期范围限定在该单位的建账月份至当前月份之间，其他月份无法添加。</w:t>
            </w:r>
          </w:p>
          <w:p w14:paraId="528F157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（2）选择日期后，点击【账务实操】一键进入该单位的实训系统。随后，请按照系统指引，完成从整理扫描到登账结账的全流程账务处理。</w:t>
            </w:r>
          </w:p>
          <w:p w14:paraId="2E1715A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（3）票据录入提供两种灵活的录入方式：手工录入与表单录入。</w:t>
            </w:r>
          </w:p>
          <w:p w14:paraId="26D6F8F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手工录入：票据直接流转至凭证审核页面，用户可根据票据信息，手动录入凭证的借贷方科目与金额。</w:t>
            </w:r>
          </w:p>
          <w:p w14:paraId="20C2ACD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表单录入：用户根据票据内容选择对应的业务大类与具体业务类型，系统将依据表单信息自动生成匹配的会计凭证。</w:t>
            </w:r>
          </w:p>
          <w:p w14:paraId="4D0C7F0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（4）跨期费用模块是指需要分摊到多个会计期间的费用（如预付房租、长期待摊费用、预提费用等），软件通过自动化分摊规则，确保费用准确计入对应期间。</w:t>
            </w:r>
          </w:p>
          <w:p w14:paraId="78C548D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（5）无形资产模块用于管理企业拥有的非实物资产（如专利权、商标权、软件著作权等），支持其初始计量及后续摊销管理。</w:t>
            </w:r>
          </w:p>
          <w:p w14:paraId="387666B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（6）固定资产模块用于管理企业长期持有的实物资产（如设备、家具、车辆等），覆盖资产购入、折旧计提。</w:t>
            </w:r>
          </w:p>
          <w:p w14:paraId="775979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（7）凭证生成与审核：</w:t>
            </w:r>
          </w:p>
          <w:p w14:paraId="034C3CD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智能生成：根据表单录入的信息，系统自动生成完整凭证分录。</w:t>
            </w:r>
          </w:p>
          <w:p w14:paraId="1A11A8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手工录入：选取会计科目之后，录入金额栏位系统会自动抓取当月对应的外币汇率，并自动换算成人民币金额。</w:t>
            </w:r>
          </w:p>
          <w:p w14:paraId="4A910FE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对比纠偏：提供“参考答案”对比功能，支持用户核对并修改凭证。</w:t>
            </w:r>
          </w:p>
          <w:p w14:paraId="1CBA615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（8）一键结转：审核完成后，可便捷操作期末汇兑损益及收入成本费用的结转。</w:t>
            </w:r>
          </w:p>
          <w:p w14:paraId="56D8B89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账簿报表-查账（浏览账簿）：支持账簿的明细查询和汇总查询，包含基本三栏式、外币三栏式，选择年度后，各月的凭证汇总显示，双击任意一行显示凭证明细，双击某一行的明细对应凭证审核界面；点击凭证审核界面又可回到浏览账簿。</w:t>
            </w:r>
          </w:p>
          <w:p w14:paraId="4707011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（10）账簿报表-查账（科目余额表）：支持按照月度、季度、年度查看余额表。</w:t>
            </w:r>
          </w:p>
          <w:p w14:paraId="22BDC6D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（11）账簿报表-查账（外币余额表）：支持按照本币、外币查看余额表。</w:t>
            </w:r>
          </w:p>
          <w:p w14:paraId="4FAE637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（12）账簿报表-查账（智能用账）：</w:t>
            </w:r>
          </w:p>
          <w:p w14:paraId="2532F6A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①账簿查询：支持会计期间选择、科目代码选择、凭证号、摘要输入搜索（根据关键字搜索）、凭证号输入搜索、余额方向（无条件、借或贷、借、贷、平）、数值条件（借方金额、贷方金额）按照以上的任一或者多条件同时查询，显示搜索内容；支持多科目选择。</w:t>
            </w:r>
          </w:p>
          <w:p w14:paraId="0238B1A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②账目分析：支持会计期间选择、科目代码、科目名称、科目范围（仅指定科目、包括下一级子目、包括所有子目、仅最明细科目）、余额方向（无条件、借或贷、借、贷、平）。数值条件（年初结余方向、月初结余方向、期末结余方向、金额）。</w:t>
            </w:r>
          </w:p>
          <w:p w14:paraId="7357726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③账龄分析：过滤条件：截止日期、余额方向：借、贷、科目代码、科目名称、输出格式（显示的样式有：实际账龄、账龄结构）、起算依据（最后一次发生、最后一次借方发生、最后一次贷方发生、最后一次余额为零、最后一次方向变化）</w:t>
            </w:r>
          </w:p>
          <w:p w14:paraId="15AB351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④数据透析：针对包含有辅助分类项目的科目进行透析。</w:t>
            </w:r>
          </w:p>
          <w:p w14:paraId="7E83CB1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支持：会计期间、科目代码、科目名称、横向、纵向，统计对象包含：期初余额、借方发生额、贷方发生额、期末余额；期初数量、借方发生数量、贷方发生数量、期末数量。统计对象的内容为复选框。</w:t>
            </w:r>
          </w:p>
          <w:p w14:paraId="719BE5C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（13）账簿报表-报表：会计报表模块提供三大核心报表：资产负债表、利润表、现金流量表。用户可通过页签灵活切换。查询时， 选择目标月份后点击【取数】，系统将自动加载并展示对应期间的报表数据。</w:t>
            </w:r>
          </w:p>
          <w:p w14:paraId="2A76F4C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（14）附件资料可以看到单位当前月份的报税资料票据集合。</w:t>
            </w:r>
          </w:p>
          <w:p w14:paraId="7E16840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▲（15）币种汇率可以看到当月的第一个工作日的汇率和当天的汇率。（本条参数为重要参数，需提供平台功能截图，未提供或不符合，则不得分）</w:t>
            </w:r>
          </w:p>
          <w:p w14:paraId="10437BC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税务申报-岗前训练</w:t>
            </w:r>
          </w:p>
          <w:p w14:paraId="2B1F341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（1）点击首页的贸易型企业或生产型企业，选择具体单位后，学生可自主选择该单位的账期进行练习，可选账期范围限定在该单位的建账月份至当前月份之间，其他月份无法添加。</w:t>
            </w:r>
          </w:p>
          <w:p w14:paraId="6226C76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（2）选择日期后，点击【纳税申报】一键进入该单位的实训系统。随后，请按照系统指引，根据当前单位的企业类型完成对应的流程步骤。</w:t>
            </w:r>
          </w:p>
          <w:p w14:paraId="635CDA7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（3）币种汇率可以看到当月的第一个工作日汇率和当天的汇率。</w:t>
            </w:r>
          </w:p>
          <w:p w14:paraId="23CF641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（4）纳税申报，涵盖了贸易型企业和生产型企业这种两种业务类型。</w:t>
            </w:r>
          </w:p>
          <w:p w14:paraId="214A70F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 1）对于贸易型企业，在完成所有退税单据的整理后，需通过电子税务局对进项发票进行“退税勾选”。由于企业当月取得的票据并非全部用于出口退税，该功能模块专门用于筛选与出口退税相关的发票。此步骤完成后，在我要办税-出口退税管理，出口退税管理模块分为免抵退税申报和免退税申报两个子模块，如果该单位是贸易型企业选择免退税申报，并根据报关单、出口发票、采购发票等资料填写退税出口明细和退税进货明细，完成出口退税报表填报；（本条参数为重要参数，需提供平台功能截图，未提供或不符合，则不得分）</w:t>
            </w:r>
          </w:p>
          <w:p w14:paraId="5C38BE5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2）生产型企业选择免抵退税申报，并根据报关单、出口发票、采购发票等资料填写生产企业出口货物劳务免抵退税申报明细表和出口货物收汇情况表，完成出口货物报表填报。（本条参数为重要参数，需提供平台功能截图，未提供或不符合，则不得分）</w:t>
            </w:r>
          </w:p>
          <w:p w14:paraId="31C1CDA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（5）纳税申报，包含增值税、附加税（城建税、教育税附加、地方教育税附加）、企业所得税等多个税种；</w:t>
            </w:r>
          </w:p>
          <w:p w14:paraId="09B255C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（6）系统显示成绩，自动统计正确数和错误数。</w:t>
            </w:r>
          </w:p>
          <w:p w14:paraId="54745D1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做完之后点击提交，系统会显示成绩并对错误的凭证和税表进行标红。点击答案显示正确的凭证及税表数据，及时知道自己的错误点，加强对错误知识点的巩固。</w:t>
            </w:r>
          </w:p>
          <w:p w14:paraId="45116E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（7）按照时间区间，训练完成状态进行训练记录的查询。</w:t>
            </w:r>
          </w:p>
          <w:p w14:paraId="465DA2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账税实训-岗前训练</w:t>
            </w:r>
          </w:p>
          <w:p w14:paraId="2C7BEA9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（1）点击首页的贸易型企业或生产型企业，选择具体单位后，学生可自主选择该单位的账期进行练习，可选账期范围限定在该单位的建账月份至当前月份之间，其他月份无法添加。</w:t>
            </w:r>
          </w:p>
          <w:p w14:paraId="7D559F2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（2）选择日期后，点击【账务实操】一键进入该单位的实训系统。随后，请按照系统指引，完成从整理扫描到登账结账的全流程账务处理。</w:t>
            </w:r>
          </w:p>
          <w:p w14:paraId="5F79284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（3）票据录入提供两种灵活的录入方式：手工录入与表单录入。</w:t>
            </w:r>
          </w:p>
          <w:p w14:paraId="7C35646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手工录入：票据直接流转至凭证审核页面，用户可根据票据信息，手动录入凭证的借贷方科目与金额。</w:t>
            </w:r>
          </w:p>
          <w:p w14:paraId="65E9DB2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表单录入：用户根据票据内容选择对应的业务大类与具体业务类型，系统将依据表单信息自动生成匹配的会计凭证。</w:t>
            </w:r>
          </w:p>
          <w:p w14:paraId="2B5C33F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（4）跨期费用模块是指需要分摊到多个会计期间的费用（如预付房租、长期待摊费用、预提费用等），软件通过自动化分摊规则，确保费用准确计入对应期间。</w:t>
            </w:r>
          </w:p>
          <w:p w14:paraId="1DAC76D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（5）无形资产模块用于管理企业拥有的非实物资产（如专利权、商标权、软件著作权等），支持其初始计量及后续摊销管理。</w:t>
            </w:r>
          </w:p>
          <w:p w14:paraId="5C40F7B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（6）固定资产模块用于管理企业长期持有的实物资产（如设备、家具、车辆等），覆盖资产购入、折旧计提。</w:t>
            </w:r>
          </w:p>
          <w:p w14:paraId="3896C8B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（7）凭证生成与审核：</w:t>
            </w:r>
          </w:p>
          <w:p w14:paraId="00F4CFD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智能生成：根据表单录入的信息，系统自动生成完整凭证分录。</w:t>
            </w:r>
          </w:p>
          <w:p w14:paraId="189412B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手工录入：选取会计科目之后，录入金额栏位系统会自动抓取当月对应的外币汇率，并自动换算成人民币金额。</w:t>
            </w:r>
          </w:p>
          <w:p w14:paraId="08396A3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对比纠偏：提供“参考答案”对比功能，支持用户核对并修改凭证。</w:t>
            </w:r>
          </w:p>
          <w:p w14:paraId="2558F95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（8）一键结转：审核完成后，可便捷操作期末汇兑损益及收入成本费用的结转。</w:t>
            </w:r>
          </w:p>
          <w:p w14:paraId="259F519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账簿报表-查账（浏览账簿）：支持账簿的明细查询和汇总查询，包含基本三栏式、外币三栏式，选择年度后，各月的凭证汇总显示，双击任意一行显示凭证明细，双击某一行的明细对应凭证审核界面；点击凭证审核界面又可回到浏览账簿。</w:t>
            </w:r>
          </w:p>
          <w:p w14:paraId="319ED86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（10）账簿报表-查账（科目余额表）：支持按照月度、季度、年度查看余额表。</w:t>
            </w:r>
          </w:p>
          <w:p w14:paraId="4F34624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（11）账簿报表-查账（外币余额表）：支持按照本币、外币查看余额表。</w:t>
            </w:r>
          </w:p>
          <w:p w14:paraId="0C4ACDD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（12）账簿报表-查账（智能用账）：</w:t>
            </w:r>
          </w:p>
          <w:p w14:paraId="46A71B2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①账簿查询：支持会计期间选择、科目代码选择、凭证号、摘要输入搜索（根据关键字搜索）、凭证号输入搜索、余额方向（无条件、借或贷、借、贷、平）、数值条件（借方金额、贷方金额）按照以上的任一或者多条件同时查询，显示搜索内容；支持多科目选择。</w:t>
            </w:r>
          </w:p>
          <w:p w14:paraId="1F53257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②账目分析：支持会计期间选择、科目代码、科目名称、科目范围（仅指定科目、包括下一级子目、包括所有子目、仅最明细科目）、余额方向（无条件、借或贷、借、贷、平）。数值条件（年初结余方向、月初结余方向、期末结余方向、金额）。</w:t>
            </w:r>
          </w:p>
          <w:p w14:paraId="1A59B59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③账龄分析：过滤条件：截止日期、余额方向：借、贷、科目代码、科目名称、输出格式（显示的样式有：实际账龄、账龄结构）、起算依据（最后一次发生、最后一次借方发生、最后一次贷方发生、最后一次余额为零、最后一次方向变化）</w:t>
            </w:r>
          </w:p>
          <w:p w14:paraId="26D4C5A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④数据透析：针对包含有辅助分类项目的科目进行透析。</w:t>
            </w:r>
          </w:p>
          <w:p w14:paraId="07A61E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支持：会计期间、科目代码、科目名称、横向、纵向，统计对象包含：期初余额、借方发生额、贷方发生额、期末余额；期初数量、借方发生数量、贷方发生数量、期末数量。统计对象的内容为复选框。</w:t>
            </w:r>
          </w:p>
          <w:p w14:paraId="740F4A7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（13）账簿报表-报表：会计报表模块提供三大核心报表：资产负债表、利润表、现金流量表。用户可通过页签灵活切换。查询时， 选择目标月份后点击【取数】，系统将自动加载并展示对应期间的报表数据。</w:t>
            </w:r>
          </w:p>
          <w:p w14:paraId="08B8D88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（14）附件资料可以看到单位当前月份的报税资料票据集合。</w:t>
            </w:r>
          </w:p>
          <w:p w14:paraId="617A29A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（15）币种汇率可以看到当月的第一个工作日的汇率和当天的汇率。</w:t>
            </w:r>
          </w:p>
          <w:p w14:paraId="5B384D7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（16）纳税申报，涵盖了贸易型企业和生产型企业这种两种业务类型。  1）对于贸易型企业，在完成所有退税单据的整理后，需通过电子税务局对进项发票进行“退税勾选”。由于企业当月取得的票据并非全部用于出口退税，该功能模块专门用于筛选与出口退税相关的发票。此步骤完成后，在我要办税-出口退税管理，出口退税管理模块分为免抵退税申报和免退税申报两个子模块，如果该单位是贸易型企业选择免退税申报，并根据报关单、出口发票、采购发票等资料填写退税出口明细和退税进货明细，完成出口退税报表填报；2）生产型企业选择免抵退税申报，并根据报关单、出口发票、采购发票等资料填写生产企业出口货物劳务免抵退税申报明细表和出口货物收汇情况表，完成出口货物报表填报。</w:t>
            </w:r>
          </w:p>
          <w:p w14:paraId="550E05E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（17）纳税申报，包含增值税、附加税（城建税、教育税附加、地方教育税附加）、企业所得税等多个税种；</w:t>
            </w:r>
          </w:p>
          <w:p w14:paraId="06DB203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（18）系统显示成绩，自动统计正确数和错误数。</w:t>
            </w:r>
          </w:p>
          <w:p w14:paraId="0744FF5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做完之后点击提交，系统会显示成绩并对错误的凭证和税表进行标红。点击答案显示正确的凭证及税表数据，及时知道自己的错误点，加强对错误知识点的巩固。</w:t>
            </w:r>
          </w:p>
          <w:p w14:paraId="040ABD5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（19）按照时间区间，训练完成状态进行训练记录的查询。</w:t>
            </w:r>
          </w:p>
          <w:p w14:paraId="43204A6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2.工作任务/工作考核</w:t>
            </w:r>
          </w:p>
          <w:p w14:paraId="462FF3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（1）学生点击工作任务/考核，会显示老师总计发布的任务/考核数量，点击之后进入到任务/考核界面，根据单位属性经营范围等信息录入票据的业务信息，进行会计核算；</w:t>
            </w:r>
          </w:p>
          <w:p w14:paraId="4F68A578">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（2）系统会根据老师设置的时间开始倒计时，全部做完提交之后显示成绩、正确数、错误数和标准答案及错误点。</w:t>
            </w:r>
          </w:p>
          <w:p w14:paraId="329C075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三、成绩分析</w:t>
            </w:r>
          </w:p>
          <w:p w14:paraId="3BC9354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评价管理中心：要求平台支持学生查看学习中心成绩，内容包括教学进度、学习进度、学习进度详情、成绩统计分析。可按项目目录或课程资源类型查看学习内容的完成情况，可进一步查看各个项目下明细学习内容完成情况，包括但不限于课件浏览状态、视频学习完成状态、练习习题完成状态、实训完成状态；按课程项目目录统计出学生在各个项目中的得分以及正确率（单项百分制成绩）相关数据。</w:t>
            </w:r>
          </w:p>
          <w:p w14:paraId="059EC5A7">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学习报告：要求平台支持学生查看学习报告，报告内容包括在线学习时长、已学习项目个数、当前课程成绩得分与构成；并查看各个项目学习完成进度、成绩得分、班级平均分，查看各种题型成绩得分、班级平均分；了解教师评价与学习指导建议，并填写个人学习总结；报告支持下载为本地文件。</w:t>
            </w:r>
          </w:p>
          <w:p w14:paraId="79BD652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四、教学管理模块</w:t>
            </w:r>
          </w:p>
          <w:p w14:paraId="4DCD17E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课程备课：要求平台支持教师预览课程全部内容，以学生身份查看课件、微课视频教学资源；预览案例内容与案例配套的习题内容，并支持预览习题答案与解析；预览实验内容，让教师提前了解该章节内容的重点、难点。</w:t>
            </w:r>
          </w:p>
          <w:p w14:paraId="5A297A4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教学设置：要求平台支持教师根据教学计划，针对教学班设置课程内容锁定与开放状态，锁定下的项目学生无法进入学习；支持教师设置学习权限，分允许随时查看答案、不允许查看答案及提交后查看答案三种权限；支持教师根据课程考核方案，针对教学班设置项目分值权重，系统根据教师设置的项目权重对学生课程总成绩进行加权计算，便于教师灵活调整教学考核方案。（本条参数为重要参数，需提供平台功能截图，未提供或不符合，则不得分）</w:t>
            </w:r>
          </w:p>
          <w:p w14:paraId="596788D0">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3.学生做题重置：要求平台支持教师按项目与学习任务重置学生做题数据，允许学生重新答题或实验。</w:t>
            </w:r>
          </w:p>
          <w:p w14:paraId="2E5E938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课程资源管理：要求平台支持教师上传自己的课件：包括PDF文档和MP4视频；支持教师自行出题、上传随堂练习：包括单选、多选、判断、填空题型。（投标人需提供盖有CMA（中国计量认证）或CNAS（中国合格评定国家认可委员会认证）标志的软件测试报告复印件加盖投标人公章予以佐证，测试报告需能对应显示本条参数内容。）</w:t>
            </w:r>
          </w:p>
          <w:p w14:paraId="37D5F28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教学互动管理：要求平台支持下列功能（1）问卷调查：创建并设置问卷时间期限，添加单选、多选及简答类型问卷题目并发布，可实时查看问卷提交名单及问卷题目数据；（2）头脑风暴：创建并设置头脑风暴时间期限，录入头脑风暴主题并发布，可实时查看学生提交内容；（3）分组任务：创建并设置分组任务时间期限，设置分组学生并发布；（4）考勤打卡：创建并设置考勤时间期限，选择传统考勤、数字考勤、手势考勤及二维码考勤4种方式之一并发布，可实时查看学生出勤状态与考勤打卡时间；（5）班级公告：创建并设置公告内容，可选择实时发送或定时发送。</w:t>
            </w:r>
          </w:p>
          <w:p w14:paraId="3D11A9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成绩统计分析：要求平台支持下列功能（1）总成绩报告：展示课程教学基础信息，含实习周期、学生人数、参与人数、平均分及优秀率数据，通过图表统计班级学生成绩分布与分项目成绩分析；（2）学员成绩分析：支持通过列表统计学生各个项目得分、总分及排名；在实习报告中展示学习时长、学习项目个数、课程成绩得分与构成，按项目与题型两种维度显示成绩得分及班级平均分，并展示AI能力画像，通用学员知识点掌握情况，体现从基础素养到实践技能的各种能力评估结果；（3）项目成绩分析：支持通过列表统计各个项目平均成绩，树形菜单展开各个任务平均成绩；并追踪学生具体得分；（4）成绩统计导出：支持导出班级成绩分析报告与明细学生成绩单，并支持批量生成学生实习报告并下载。（投标人需提供盖有CMA（中国计量认证）或CNAS（中国合格评定国家认可委员会认证）标志的软件测试报告复印件加盖投标人公章予以佐证，测试报告需能对应显示本条参数内容。）</w:t>
            </w:r>
          </w:p>
          <w:p w14:paraId="535494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自定义创建教学成果驾驶舱：要求平台内嵌自主BI系统，提供课程项目、教学班学生、学生课程成绩数据源，支持教师利用BI系统对学生的学习情况展开多维度的教学分析，包括但不限于学习时间趋势分析、成绩分布分析；并支持通过将可视化图表添加进智能驾驶舱，同屏展示多维度分析图表。（投标人需提供盖有CMA（中国计量认证）或CNAS（中国合格评定国家认可委员会认证）标志的软件测试报告复印件加盖投标人公章予以佐证，测试报告需能对应显示本条参数内容。）</w:t>
            </w:r>
          </w:p>
          <w:p w14:paraId="1016AEF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五、AI智教模块（提供400万tokens用量）</w:t>
            </w:r>
          </w:p>
          <w:p w14:paraId="4146923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1.智能出题：</w:t>
            </w:r>
          </w:p>
          <w:p w14:paraId="5566499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支持左右双功能区操作，左侧为条件设置区，支持根据材料、题目或知识点三种出题方式，可灵活设置单选题、多选题、判断题、填空题和问答题的数量。难易程度选项包括简单、中等、困难和不限。右侧为AI出题结果展示区，用户可以一键复制所有题目内容，操作便捷高效。</w:t>
            </w:r>
          </w:p>
          <w:p w14:paraId="35354505">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2.智能课程设计：</w:t>
            </w:r>
          </w:p>
          <w:p w14:paraId="20B44FA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支持左右双功能区操作，左侧为条件设置区，根据课程名字、专业年级、课程定位内容触发AI大模型的精准学习过程，右侧为AI课程设计结果展示区，用户可以一键复制所有课程设计内容，也可以再次触发AI优化。</w:t>
            </w:r>
          </w:p>
          <w:p w14:paraId="271828BA">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3.智能教学大纲：</w:t>
            </w:r>
          </w:p>
          <w:p w14:paraId="79BA7C5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（1）要求平台根据课程名称、教学对象、课程对应毕业要求指标点、课程对应岗位职能和技术标准，AI生成包括课程目标、课程子目标、对应课程内容和对应毕业要求的表格内容。</w:t>
            </w:r>
          </w:p>
          <w:p w14:paraId="121B008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●（2）要求平台支持知识库中选择讲义，根据AI提取的章节内容、输入的教学方法和课程学时，AI生成包括教学目标、教学重点、教学难点、每一节教学内容、教学方法、教学评价、对应学时的每一章教学内容。</w:t>
            </w:r>
            <w:r>
              <w:rPr>
                <w:rFonts w:hint="eastAsia" w:cs="宋体"/>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7E3ED0FE">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要求平台根据从讲义中AI提取课程目标和输入考核方法，AI自动生成包括课程考核与课程目标对应关系、课程目标的考核占比与达成度分析、课程学习目标与评分标准的对应关系三个表格内容，并可导出为可编辑的Word文件。</w:t>
            </w:r>
          </w:p>
          <w:p w14:paraId="6908CC9C">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4.智能教案设计：</w:t>
            </w:r>
          </w:p>
          <w:p w14:paraId="182BCD14">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支持从知识库中选择讲义，通过AI的分解技术，自动解析教学课题和内容，同时根据教学对象、教学方法，AI生成包括知识基础、认知能力、学习特点、专业特性的学情分析，生成包括知识与技能、过程与方法、情感态度与价值观的教学目标，生成教学重难点、教学策略，生成教学资源、教学用具、教学环境、教学媒体教学准备内容。</w:t>
            </w:r>
            <w:r>
              <w:rPr>
                <w:rFonts w:hint="eastAsia" w:cs="宋体"/>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4D96FCB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（2）要求平台根据课程对应的课时、课堂导入、教学过程、课堂小结、课后作业内容，AI生成教学过程表格，内容包括环节、教学内容、教师活动、学生活动、设计意图 、时长、作业布置内容，生成包括成功之处、不足之处、改进策略的教学反思内容。</w:t>
            </w:r>
          </w:p>
          <w:p w14:paraId="3A56B51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5.智能教学PPT生成：</w:t>
            </w:r>
          </w:p>
          <w:p w14:paraId="4E16A1D1">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（1）要求平台支持根据输入制定内容主题、输入文本、上传文件、输入网址、导入大纲形式生成PPT大纲内容，支持在上方新增同级大纲内容或者删除大纲内容。</w:t>
            </w:r>
          </w:p>
          <w:p w14:paraId="329DFC89">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要求平台支持内置PPT模版，包括扁平简约、商务科技、文艺清新、卡通手绘、中国风、创意时尚、创意趣味风格，选择某个模版AI自动生成PPT内容，生成的PPT内容还支持线上再次编辑，添加标准字体或艺术字、插入各种形状的图形、插入图片、音乐、影片、条形图、饼状图、环形图、折线图，更换模版和主题、支持线上播放和导出PPT。</w:t>
            </w:r>
            <w:r>
              <w:rPr>
                <w:rFonts w:hint="eastAsia" w:cs="宋体"/>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6E50969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6.智能教学实训票据制作：</w:t>
            </w:r>
          </w:p>
          <w:p w14:paraId="6B0FCF5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rPr>
              <w:t>●</w:t>
            </w:r>
            <w:r>
              <w:rPr>
                <w:rFonts w:hint="eastAsia" w:ascii="宋体" w:hAnsi="宋体" w:eastAsia="宋体" w:cs="宋体"/>
                <w:i w:val="0"/>
                <w:iCs w:val="0"/>
                <w:color w:val="auto"/>
                <w:kern w:val="0"/>
                <w:sz w:val="24"/>
                <w:szCs w:val="24"/>
                <w:highlight w:val="none"/>
                <w:u w:val="none"/>
                <w:lang w:val="en-US" w:eastAsia="zh-CN" w:bidi="ar"/>
              </w:rPr>
              <w:t>（1）要求平台AI自动制单包含输入业务信息、选择单据类型、自动生成单据三个交互界面，引导用户利用AI生成经济业务对应的原始凭证，同时支持凭证一键截图功能，方便对生成的凭证进行使用。AI根据用户输入的经济业务内容，智能推荐对应的单据类型。推荐结果以图像形式排列，用户可查看并确认选择的单据类型。支持对推荐的单据类型进行修改，用户可通过删除键或新增键修改对应单据类型。</w:t>
            </w:r>
            <w:r>
              <w:rPr>
                <w:rFonts w:hint="eastAsia" w:cs="宋体"/>
                <w:i w:val="0"/>
                <w:iCs w:val="0"/>
                <w:color w:val="auto"/>
                <w:kern w:val="0"/>
                <w:sz w:val="24"/>
                <w:szCs w:val="24"/>
                <w:highlight w:val="none"/>
                <w:u w:val="none"/>
                <w:lang w:val="en-US" w:eastAsia="zh-CN" w:bidi="ar"/>
              </w:rPr>
              <w:t>（投标人须进行演示，演示内容必须基于已完成并可正常运行的正式系统。不得采用产品Demo、产品PPT、录制视频、图片、静态页面等其他方式进行演示）。</w:t>
            </w:r>
          </w:p>
          <w:p w14:paraId="5260300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（2）要求平台支持AI根据用户确认的单据类型和输入的经济业务信息，自动编制原始凭证。编制过程中，AI会对信息进行智能解析和格式化，确保单据内容的准确性和规范性。</w:t>
            </w:r>
          </w:p>
          <w:p w14:paraId="508A69B3">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要求平台AI生成单据类型包含出库单、付款申请书、固定资产验收单、入库单、收料单、银行电子回单、进账单、现金支票、银行单据回单、转账支票、电子发票（普通发票）、电子发票（增值税专用发票）、提现申请单、销售单单据类型。</w:t>
            </w:r>
          </w:p>
          <w:p w14:paraId="1DFFFC42">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7.智能财务分析：</w:t>
            </w:r>
          </w:p>
          <w:p w14:paraId="34704CD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要求平台支持AI行业财务分析，按三级行业分类，勾选单个或多个需要分析的财务指标，设置分析起止年份及统计信息维度，如最大值、最小值、均值、分位数，系统通过专业财务模型与算法，生成行业财务指标分析数据。</w:t>
            </w:r>
          </w:p>
          <w:p w14:paraId="76FAED16">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要求平台支持AI企业财务分析，通过三级行业分类筛选并选择某一个上市企业，设置分析起止年份及统计信息维度，系统通过财经大模型，生成深度解读财务分析报告；并支持历史分析报告查看及导出下载为本地文档。</w:t>
            </w:r>
          </w:p>
          <w:p w14:paraId="32AF357F">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配套服务：协同推动专业发展，提供不限次数人才培养方案修订指导和课程改革指导；为教师进行智慧课程建设提供技术支持。</w:t>
            </w:r>
          </w:p>
        </w:tc>
        <w:tc>
          <w:tcPr>
            <w:tcW w:w="280" w:type="dxa"/>
            <w:tcBorders>
              <w:top w:val="single" w:color="auto" w:sz="4" w:space="0"/>
              <w:left w:val="single" w:color="auto" w:sz="4" w:space="0"/>
              <w:bottom w:val="single" w:color="auto" w:sz="4" w:space="0"/>
              <w:right w:val="single" w:color="auto" w:sz="4" w:space="0"/>
            </w:tcBorders>
            <w:shd w:val="clear" w:color="auto" w:fill="FFFFFF"/>
            <w:vAlign w:val="center"/>
          </w:tcPr>
          <w:p w14:paraId="74D791EB">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2A704AD">
            <w:pPr>
              <w:keepNext w:val="0"/>
              <w:keepLines w:val="0"/>
              <w:pageBreakBefore w:val="0"/>
              <w:widowControl w:val="0"/>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Style w:val="206"/>
                <w:rFonts w:hint="eastAsia" w:ascii="宋体" w:hAnsi="宋体" w:eastAsia="宋体" w:cs="宋体"/>
                <w:color w:val="auto"/>
                <w:sz w:val="24"/>
                <w:szCs w:val="24"/>
                <w:highlight w:val="none"/>
                <w:lang w:val="en-US" w:eastAsia="zh-CN" w:bidi="ar"/>
              </w:rPr>
              <w:t xml:space="preserve">套 </w:t>
            </w:r>
          </w:p>
        </w:tc>
      </w:tr>
    </w:tbl>
    <w:p w14:paraId="13CD6546">
      <w:pPr>
        <w:rPr>
          <w:rFonts w:hint="eastAsia" w:ascii="宋体" w:hAnsi="宋体" w:eastAsia="宋体" w:cs="宋体"/>
          <w:color w:val="auto"/>
          <w:sz w:val="24"/>
          <w:szCs w:val="24"/>
          <w:highlight w:val="none"/>
        </w:rPr>
      </w:pPr>
    </w:p>
    <w:p w14:paraId="6E94DA8E">
      <w:pPr>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3.课程资源建设</w:t>
      </w:r>
    </w:p>
    <w:p w14:paraId="0D56F540">
      <w:pPr>
        <w:numPr>
          <w:ilvl w:val="0"/>
          <w:numId w:val="0"/>
        </w:numPr>
        <w:rPr>
          <w:rFonts w:hint="eastAsia" w:ascii="宋体" w:hAnsi="宋体" w:eastAsia="宋体" w:cs="宋体"/>
          <w:color w:val="auto"/>
          <w:sz w:val="24"/>
          <w:szCs w:val="24"/>
          <w:highlight w:val="none"/>
          <w:lang w:val="en-US" w:eastAsia="zh-CN"/>
        </w:rPr>
      </w:pPr>
    </w:p>
    <w:tbl>
      <w:tblPr>
        <w:tblStyle w:val="42"/>
        <w:tblW w:w="-114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3"/>
        <w:gridCol w:w="691"/>
        <w:gridCol w:w="7562"/>
        <w:gridCol w:w="454"/>
        <w:gridCol w:w="454"/>
      </w:tblGrid>
      <w:tr w14:paraId="62F5C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347E4">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E3B8BA">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7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8D0A">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规格、技术、功能等参数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FD50A">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3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3932">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r>
      <w:tr w14:paraId="7279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332DF923">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w:t>
            </w:r>
          </w:p>
        </w:tc>
        <w:tc>
          <w:tcPr>
            <w:tcW w:w="0" w:type="auto"/>
            <w:tcBorders>
              <w:top w:val="single" w:color="000000" w:sz="4" w:space="0"/>
              <w:left w:val="single" w:color="000000" w:sz="4" w:space="0"/>
              <w:bottom w:val="single" w:color="auto" w:sz="4" w:space="0"/>
              <w:right w:val="single" w:color="000000" w:sz="4" w:space="0"/>
            </w:tcBorders>
            <w:shd w:val="clear" w:color="auto" w:fill="FFFFFF"/>
            <w:vAlign w:val="center"/>
          </w:tcPr>
          <w:p w14:paraId="4DFDBAD0">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rPr>
              <w:t>智慧物流仓储规划设计</w:t>
            </w:r>
            <w:r>
              <w:rPr>
                <w:rFonts w:hint="eastAsia" w:ascii="宋体" w:hAnsi="宋体" w:eastAsia="宋体" w:cs="宋体"/>
                <w:i w:val="0"/>
                <w:iCs w:val="0"/>
                <w:color w:val="auto"/>
                <w:sz w:val="24"/>
                <w:szCs w:val="24"/>
                <w:highlight w:val="none"/>
                <w:u w:val="none"/>
                <w:lang w:val="en-US" w:eastAsia="zh-CN"/>
              </w:rPr>
              <w:t>》课程资源建设</w:t>
            </w:r>
          </w:p>
        </w:tc>
        <w:tc>
          <w:tcPr>
            <w:tcW w:w="7647"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63798A49">
            <w:pPr>
              <w:keepNext w:val="0"/>
              <w:keepLines w:val="0"/>
              <w:widowControl/>
              <w:suppressLineNumbers w:val="0"/>
              <w:snapToGrid w:val="0"/>
              <w:ind w:left="0" w:leftChars="0" w:right="0" w:rightChars="0" w:firstLine="0" w:firstLineChars="0"/>
              <w:jc w:val="left"/>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本课程主要是关于智慧仓规划与作业设计的内容，包括智慧仓选址、需求分析、设备配置、存储策略设计、配送路线设计等。智慧仓选址包括重心法、加权距离法等方法教学；智慧仓的需求分析包括仓库数据分析、仓库存储能力分析等；智慧仓设备配置包括货架、工作站、AGV、充电桩等设施设备的数量配置分析，以及设备效率分析等；存储策略设计包括安全库存、补货策略、经济订货批量等知识点教学；配送路线设计包括节约里程法、单纯线性规划等方法教学。</w:t>
            </w:r>
          </w:p>
          <w:p w14:paraId="501F751A">
            <w:pPr>
              <w:keepNext w:val="0"/>
              <w:keepLines w:val="0"/>
              <w:widowControl/>
              <w:suppressLineNumbers w:val="0"/>
              <w:snapToGrid w:val="0"/>
              <w:ind w:left="0" w:leftChars="0" w:right="0" w:rightChars="0" w:firstLine="0" w:firstLineChars="0"/>
              <w:jc w:val="left"/>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三、课程资源类型技术要求</w:t>
            </w:r>
          </w:p>
          <w:p w14:paraId="7DAAE8F0">
            <w:pPr>
              <w:keepNext w:val="0"/>
              <w:keepLines w:val="0"/>
              <w:widowControl/>
              <w:suppressLineNumbers w:val="0"/>
              <w:snapToGrid w:val="0"/>
              <w:ind w:left="0" w:leftChars="0" w:right="0" w:rightChars="0" w:firstLine="0" w:firstLineChars="0"/>
              <w:jc w:val="left"/>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3.1《智慧物流仓储规划设计课程》包含智慧仓储行业认知、智慧仓选址规划、智慧仓需求分析、智慧仓设备配置规划、智慧仓存储策略设计、智慧仓配送路线设计、智慧仓规划方案综合设计、智慧仓运营优化等9个项目教学内容。</w:t>
            </w:r>
          </w:p>
          <w:p w14:paraId="3A555DA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3.2教案格式要求：采用word文档格式（文件格式为.docx）保存，便于拓展修订。</w:t>
            </w:r>
          </w:p>
          <w:p w14:paraId="66588CB8">
            <w:pPr>
              <w:keepNext w:val="0"/>
              <w:keepLines w:val="0"/>
              <w:widowControl/>
              <w:suppressLineNumbers w:val="0"/>
              <w:snapToGrid w:val="0"/>
              <w:ind w:left="0" w:leftChars="0" w:right="0" w:rightChars="0" w:firstLine="0" w:firstLineChars="0"/>
              <w:jc w:val="left"/>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内容要求：</w:t>
            </w:r>
            <w:r>
              <w:rPr>
                <w:rFonts w:hint="eastAsia" w:ascii="宋体" w:hAnsi="宋体" w:eastAsia="宋体" w:cs="宋体"/>
                <w:color w:val="auto"/>
                <w:kern w:val="0"/>
                <w:sz w:val="24"/>
                <w:szCs w:val="24"/>
                <w:highlight w:val="none"/>
                <w:lang w:val="en-US" w:eastAsia="zh-CN" w:bidi="ar"/>
              </w:rPr>
              <w:t>包</w:t>
            </w:r>
            <w:r>
              <w:rPr>
                <w:rFonts w:hint="eastAsia" w:ascii="宋体" w:hAnsi="宋体" w:eastAsia="宋体" w:cs="宋体"/>
                <w:i w:val="0"/>
                <w:iCs w:val="0"/>
                <w:color w:val="auto"/>
                <w:sz w:val="24"/>
                <w:szCs w:val="24"/>
                <w:highlight w:val="none"/>
                <w:u w:val="none"/>
                <w:lang w:val="en-US" w:eastAsia="zh-CN"/>
              </w:rPr>
              <w:t>含（智慧仓储行业认知、智慧仓选址规划、智慧仓需求分析、智慧仓设备配置规划、智慧仓存储策略设计、智慧仓配送路线设计、智慧仓规划方案综合设计、智慧仓运营优化、课程综合实训）课程说明、学材分析、学习任务、教学资源、教学活动策划、教学过程、教学反思、教学评价、评价表等，突出实操任务设计与岗位能力培养。</w:t>
            </w:r>
          </w:p>
          <w:p w14:paraId="5D3754DB">
            <w:pPr>
              <w:keepNext w:val="0"/>
              <w:keepLines w:val="0"/>
              <w:widowControl/>
              <w:suppressLineNumbers w:val="0"/>
              <w:snapToGrid w:val="0"/>
              <w:ind w:left="0" w:leftChars="0" w:right="0" w:rightChars="0" w:firstLine="0" w:firstLineChars="0"/>
              <w:jc w:val="left"/>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3.3微课视频采用MP4格式。根据课程知识及技能点（如重心法计算、AGV设备配置、节约里程法应用等）录制微课短视频，时长控制在5-10分钟，所有短视频均能够通过移动端进行播放，支持学习进度记录，重点突出实操步骤与方法讲解。</w:t>
            </w:r>
          </w:p>
          <w:p w14:paraId="3389B47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3.4</w:t>
            </w:r>
            <w:r>
              <w:rPr>
                <w:rFonts w:hint="eastAsia" w:ascii="宋体" w:hAnsi="宋体" w:eastAsia="宋体" w:cs="宋体"/>
                <w:color w:val="auto"/>
                <w:sz w:val="24"/>
                <w:szCs w:val="24"/>
                <w:highlight w:val="none"/>
              </w:rPr>
              <w:t>PP</w:t>
            </w:r>
            <w:r>
              <w:rPr>
                <w:rFonts w:hint="eastAsia" w:ascii="宋体" w:hAnsi="宋体" w:eastAsia="宋体" w:cs="宋体"/>
                <w:i w:val="0"/>
                <w:iCs w:val="0"/>
                <w:color w:val="auto"/>
                <w:sz w:val="24"/>
                <w:szCs w:val="24"/>
                <w:highlight w:val="none"/>
                <w:u w:val="none"/>
                <w:lang w:val="en-US" w:eastAsia="zh-CN"/>
              </w:rPr>
              <w:t>T课件</w:t>
            </w:r>
          </w:p>
          <w:p w14:paraId="202FEDB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1）演示文稿（PPT）要求集文字、图形、图像、声音以及视频等多种媒体元素于一体，融入智慧仓实景图片、设备操作视频、计算案例动画等，一般不使用纯文字的演示文稿（PPT）。</w:t>
            </w:r>
          </w:p>
          <w:p w14:paraId="10CFCFC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2）页面设置要求符合高清格式比例，幻灯片大小为“全屏显示16：9”。</w:t>
            </w:r>
          </w:p>
          <w:p w14:paraId="77685699">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3）整体效果应风格统一、色彩协调、美观大方，贴合智慧物流行业特色。</w:t>
            </w:r>
          </w:p>
          <w:p w14:paraId="5014DC2D">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4）教学课件要有灵活新颖的教学形式、教学对象要有针对性，适配高职学生的学习特点，注重理论与实操结合。</w:t>
            </w:r>
          </w:p>
          <w:p w14:paraId="3DD4D75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5）课件内容要生动，融入行业真实案例与数据，能吸引学生，调动学习兴趣，强化岗位能力认知。</w:t>
            </w:r>
          </w:p>
          <w:p w14:paraId="112B606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3.5 案例视频：根据课程知识及技能点提供案例视频，选取行业内优秀智慧仓（如电商智慧仓、工业智慧仓）的规划设计、运营实操案例，所有视频均能够通过移动端进行播放，引导学生结合案例深化对知识点的理解与应用。</w:t>
            </w:r>
          </w:p>
          <w:p w14:paraId="5D45B62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3.6 拓展资源：根据课程知识及技能点提供拓展资源，学习材料的展现形式包括视频、文档、图片等，内容涵盖行业前沿技术、优秀规划案例、设备发展动态、行业标准更新等，拓宽学生的知识面与行业视野。</w:t>
            </w:r>
          </w:p>
          <w:p w14:paraId="5743815C">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3.7课程思政：根据课程内容，有机地融入思政元素，如智慧物流行业的社会责任、工匠精神、创新意识、绿色物流理念、诚信经营等，结合行业案例，增强专业课程思政的思想性、理论性和针对性，培养学生的职业素养与家国情怀。</w:t>
            </w:r>
          </w:p>
          <w:p w14:paraId="0E6BB71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3.8 课程案例：通过对一个含有问题在内的具体智慧仓规划设计情景的描述，引导学生对这些特殊情景进行讨论，每个案例都能突出一个鲜明的主题（如智慧仓选址优化、设备配置不合理解决方案、配送路线成本控制等），培养学生的问题分析与解决能力。</w:t>
            </w:r>
          </w:p>
          <w:p w14:paraId="6678E14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课程建设为教师提供用以辅助教学的材料，内容包括：教学大纲、课程标准、行业规范、核心公式手册、案例解析手册、实训指导手册等，助力教师高效开展教学工作。</w:t>
            </w:r>
          </w:p>
        </w:tc>
        <w:tc>
          <w:tcPr>
            <w:tcW w:w="0" w:type="auto"/>
            <w:tcBorders>
              <w:top w:val="nil"/>
              <w:left w:val="single" w:color="000000" w:sz="4" w:space="0"/>
              <w:bottom w:val="single" w:color="auto" w:sz="4" w:space="0"/>
              <w:right w:val="single" w:color="000000" w:sz="4" w:space="0"/>
            </w:tcBorders>
            <w:shd w:val="clear" w:color="auto" w:fill="FFFFFF"/>
            <w:vAlign w:val="center"/>
          </w:tcPr>
          <w:p w14:paraId="0D4DB620">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w:t>
            </w:r>
          </w:p>
        </w:tc>
        <w:tc>
          <w:tcPr>
            <w:tcW w:w="344" w:type="dxa"/>
            <w:tcBorders>
              <w:top w:val="nil"/>
              <w:left w:val="single" w:color="000000" w:sz="4" w:space="0"/>
              <w:bottom w:val="single" w:color="auto" w:sz="4" w:space="0"/>
              <w:right w:val="single" w:color="000000" w:sz="4" w:space="0"/>
            </w:tcBorders>
            <w:shd w:val="clear" w:color="auto" w:fill="FFFFFF"/>
            <w:noWrap/>
            <w:vAlign w:val="center"/>
          </w:tcPr>
          <w:p w14:paraId="6A320F19">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套</w:t>
            </w:r>
          </w:p>
        </w:tc>
      </w:tr>
      <w:tr w14:paraId="333D9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47B7E7">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011" w:type="dxa"/>
            <w:tcBorders>
              <w:top w:val="single" w:color="auto" w:sz="4" w:space="0"/>
              <w:left w:val="single" w:color="auto" w:sz="4" w:space="0"/>
              <w:bottom w:val="single" w:color="auto" w:sz="4" w:space="0"/>
              <w:right w:val="single" w:color="auto" w:sz="4" w:space="0"/>
            </w:tcBorders>
            <w:shd w:val="clear" w:color="auto" w:fill="FFFFFF"/>
            <w:vAlign w:val="center"/>
          </w:tcPr>
          <w:p w14:paraId="2618EDB6">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《物流市场营销》课程资源建设</w:t>
            </w:r>
          </w:p>
        </w:tc>
        <w:tc>
          <w:tcPr>
            <w:tcW w:w="7647"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0BF4B1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本课程以 M 快递企业的成立为背景，以发生在该快递企业的市场营销活动为线索，设计教学内容。课程以快递业务流程为主线，侧重操作层面，融入真实企业案例及数据模拟，对各个理论及知识点的讲解除文字描述外，更多利用丰富多彩的图片、动画模拟、PPT 文档、视频等综合表达方式。</w:t>
            </w:r>
          </w:p>
          <w:p w14:paraId="0FE3AE0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资源类型包含教学课件、电子教案、实训指导手册、教学动画、微课、教学视频、案例资源、配套教学挂图、试题资源、任务工单、实训游戏等。（投标文件中提供功能界面截图并加盖投标人公章，未提供截图或截图中不能体现参数功能要求，视为不满足该项参数要求。）</w:t>
            </w:r>
          </w:p>
          <w:p w14:paraId="5243DCE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教学课件</w:t>
            </w:r>
          </w:p>
          <w:p w14:paraId="2581D9D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教学课件需与课程紧密结合，每节课内容均配套 PPT，且与动画内容相辅相成，可配合教学使用，≥ 24 个；(2) 教学课件整体要色调和谐，各元素搭配构图得当，背景和文字颜色有反差，文字修饰适度，字体、字号有层次，课件比例为 16:9；(3) 教学课件要明确教学目标、突出重点难点、有灵活新颖的教学形式、教学对象要有针对性；(4) 课件内容生动，能吸引学生，调动学习兴趣；(5) 课件需保持前后风格一致；(6) PPT 课件内需明确知识点目标及技能目标。</w:t>
            </w:r>
          </w:p>
          <w:p w14:paraId="33C0F96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电子教案</w:t>
            </w:r>
          </w:p>
          <w:p w14:paraId="6E1D787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电子教案与教学课件相匹配，成 “点对点” 关系。(2) 按照教学目标、教学重难点、教学方法、教学手段、学生活动、新课导入、新课讲授、课堂小结和课后作业等教学环节编制，≥ 24 个。</w:t>
            </w:r>
          </w:p>
          <w:p w14:paraId="7ADD101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教学动画</w:t>
            </w:r>
          </w:p>
          <w:p w14:paraId="3229B5F9">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动画内容与教程内容联系紧密，重难点均配置短小精悍的教学动画，数量≥ 10 个，其中 8 个动画为同一系列情境，不同动画之间相互关联；(2) 动画设计风格生动、活泼，其中 8 个动画均以同一快递企业为背景；(3) 内容设计符合教学内容；(4) 画面简洁清晰，界面友好，动画连续，节奏合适；(5) 配音应标准，无噪音，快慢适度，采用 MP4 格式。</w:t>
            </w:r>
          </w:p>
          <w:p w14:paraId="4F2FC9D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351EEC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① 输出格式：MP4② 动画帧频：≥ 25 帧 / 秒；③ 输出尺寸：≥1920*1080；④ 声音品质：≥比特率 64KBPS ，双声道。⑤ 动画时长：2—5 分钟≥ 8 个，4 分钟以上≥ 3 个。</w:t>
            </w:r>
          </w:p>
          <w:p w14:paraId="3279BD1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企业视频</w:t>
            </w:r>
          </w:p>
          <w:p w14:paraId="2EA3E20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视频内容与课件内容联系紧密，≥ 20 个，其中企业管理人员采访视频≥ 8 个，大型企业视频≥ 4 个。</w:t>
            </w:r>
          </w:p>
          <w:p w14:paraId="6CDD21E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250D7F9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① 输出格式：MP4 ；② 动画帧频：≥25 帧 / 秒；③ 输出尺寸：≥1920*1080；④ 声音品质：≥比特率 64KBPS ，双声道。⑤ 微课时长：≥两个视频 25 分钟。</w:t>
            </w:r>
          </w:p>
          <w:p w14:paraId="004349F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实训指导手册</w:t>
            </w:r>
          </w:p>
          <w:p w14:paraId="385B5AC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与课件成 “点对点” 对应关系，引用大量丰富的企业真实案例作为背景、引导文等，供学生解读、分析。(2) 实训指导手册中穿插动画、视频，可通过扫描二维码的形式进行观看。(3) 按照实训目标、实训准备、实训内容、实训步骤、实训指导、实训评价等教学环节编制，集 “教、学、练、考、评” 为一体。实训任务≥ 20 个。（投标文件中提供功能界面截图并加盖投标人公章，未提供截图或截图中不能体现参数功能要求，视为不满足该项参数要求。）</w:t>
            </w:r>
          </w:p>
          <w:p w14:paraId="5DB555B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任务工单</w:t>
            </w:r>
          </w:p>
          <w:p w14:paraId="1EF8B4D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与实训指导手册成 “点对点” 对应关系。(2) 按照任务描述、任务实施、任务收获和建议、任务考核与评价等环节编制，任务工单≥ 20 个。</w:t>
            </w:r>
          </w:p>
          <w:p w14:paraId="1B58B24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实训游戏</w:t>
            </w:r>
          </w:p>
          <w:p w14:paraId="1712D10A">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技术框架系统采用前后端分离技术，后端采用 J2EE 开发技术，前端采用 HTML5 脚本语言，canvas 绘制动画。部分模块采用 UNITY3D 技术，加入实时数据校验等技术，最大程度提升用户体验。使用 MYSQL 数据库软件存储用户操作数据。</w:t>
            </w:r>
          </w:p>
          <w:p w14:paraId="20B9A2A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游戏平台概述创意学习平台通过将仓储中一些教学知识点，采用 “动画 + 答题 + 自动测评” 的模式，学习者观看动画完成自主学习任务，通过答题的方式检测学习效果，实现学习考评一体化。让学生通过游戏性学习，加快知识点吸收，减少传统课堂学习的排斥性。平台将物流营销中六个项目的教学知识点：市场营销发展、物流营销概念、市场营销调研步骤、物流营销调查实训、目标市场战略、物流市场分析、营销渠道的价值、营销策略、如何做好促销、定价方法和技巧、新项目策划实训、电话礼仪、服务满意度测评、客户忠诚度培养等，结合任务、动画教学等新颖教学模式，糅合基于实操的考核结果一起呈现给用户，让用户最大程度获得寓教于乐的学习效果。</w:t>
            </w:r>
          </w:p>
          <w:p w14:paraId="4D9102B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每个项目均配备≥ 2 个实训游戏，总数≥ 15 个。</w:t>
            </w:r>
          </w:p>
          <w:p w14:paraId="201D562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习题资源</w:t>
            </w:r>
          </w:p>
          <w:p w14:paraId="70C2F7D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针对课程的整体测评习题库，包括选择、判断、填空、简答、案例分析等多题型形式，≥ 31 套（题目总数≥ 1000 道）。</w:t>
            </w:r>
          </w:p>
          <w:p w14:paraId="0AA4DF5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案例资源</w:t>
            </w:r>
          </w:p>
          <w:p w14:paraId="61F2DA33">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以浅显易懂的小故事为背景设计的案例集，≥ 100 个。</w:t>
            </w:r>
          </w:p>
          <w:p w14:paraId="4A7C2E3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具体任务描述</w:t>
            </w:r>
          </w:p>
          <w:p w14:paraId="12A21F13">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认识物流服务营销</w:t>
            </w:r>
          </w:p>
          <w:p w14:paraId="6F656A7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经典案例导入，带领学习者了解市场营销的定义和历史，了解什么是服务营销，掌握物流服务营销的定义及特殊性。通过学习，让学习者能够清楚掌握现代营销的特点，掌握服务营销的层次和特点，能够清楚识别物流服务营销和其他服务营销的区别。包含知识点：(1) 市场营销概述(2) 服务营销概述(3) 物流服务营销</w:t>
            </w:r>
          </w:p>
          <w:p w14:paraId="58F5C6E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物流服务市场调研</w:t>
            </w:r>
          </w:p>
          <w:p w14:paraId="4B5B6BD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该项目以 M 快递企业的成立为背景，带领学习者了解物流市场调研的含义和基本要求，掌握物流市场调研的步骤，能够根据市场调研内容设计调查问卷，能够根据物流企业的调研目标，选择合适的物流市场调研方法。包含知识点：(1) 物流市场调研的步骤(2) 设计物流市场调查方案(3) 选择物流市场调查方法</w:t>
            </w:r>
          </w:p>
          <w:p w14:paraId="546BCDC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物流服务市场分析</w:t>
            </w:r>
          </w:p>
          <w:p w14:paraId="5E61502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该项目以 M 快递公司为背景，以 M 公司要发展、制定营销战略为线索，带领学习者分析物流服务市场，通过该项目的学习，学习者能够对物流企业的宏观环境、微观环境进行分析，判断物流市场的基本形势；能够根据物流企业的战略目标、企业状况、目标客户的特点来确定物流客户细分和物流客户竞争者的内容。包含知识点：(1) 分析物流企业的环境(2) 分析物流企业的客户(3) 分析物流企业的竞争者</w:t>
            </w:r>
          </w:p>
          <w:p w14:paraId="052A4AB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物流服务市场细分和定位</w:t>
            </w:r>
          </w:p>
          <w:p w14:paraId="56192EC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该项目以 M 快递公司为背景，以 M 公司要进行市场定位为线索，带领学习者掌握物流市场细分的概念、作用和条件，掌握物流目标市场的选择模式和策略，掌握物流市场定位的策略。通过学习，学习者能够选择合适的物流服务目标市场，对物流服务目标市场进行准确的定位。包含知识点：(1) 细分物流服务市场(2) 选择物流服务目标市场(3) 定位物流服务市场</w:t>
            </w:r>
          </w:p>
          <w:p w14:paraId="54D4EF59">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物流服务营销策略</w:t>
            </w:r>
          </w:p>
          <w:p w14:paraId="1F316C9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该项目以 M 快递公司为背景，以开发新产品制定营销策略为线索，带领学习者了解物流新产品开发的程序，了解物流企业产品定价技巧，了解物流企业分销渠道的类型，了解有形展示的效应、策略，了解物流服务内部营销的目标过程。通过该项目的学习，能够掌握常用的物流产品组合策略和品牌策略，掌握不同的定价方法，掌握分销渠道设置的评价标准，掌握物流环境设计的策略和方法，能够进行物流服务人员内部管理，能够撰写营销策略书。包含知识点：(1) 确定物流企业服务产品(2) 制定物流企业服务定价(3) 物流企业分销渠道(4) 制定促销策略(5) 物流有形展示(6) 物流服务内部营销(7) 物流服务营销策略书的编写</w:t>
            </w:r>
          </w:p>
          <w:p w14:paraId="4CFE0B9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物流客户关系维护</w:t>
            </w:r>
          </w:p>
          <w:p w14:paraId="1E581C19">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该项目以 M 快递公司为背景，以物流客户服务管理为线索，带领学习者了解物流客户服务的定义，了解物流客户满意度的意义，了解物流客户忠诚度。通过该项目的学习，能够清楚掌握物流客户服务的核心，能够进行物流客户满意度市场问卷表设计，能够进行物流客户满意度市场调研和实施，能够区别物流客户流失原因及进行相应处理。包含知识点：(1) 认识物流客户服务(2) 提高物流客户满意度(3) 维护物流客户忠诚度(4) 处理物流客户流失。</w:t>
            </w:r>
          </w:p>
        </w:tc>
        <w:tc>
          <w:tcPr>
            <w:tcW w:w="280" w:type="dxa"/>
            <w:tcBorders>
              <w:top w:val="single" w:color="auto" w:sz="4" w:space="0"/>
              <w:left w:val="single" w:color="auto" w:sz="4" w:space="0"/>
              <w:bottom w:val="single" w:color="auto" w:sz="4" w:space="0"/>
              <w:right w:val="single" w:color="auto" w:sz="4" w:space="0"/>
            </w:tcBorders>
            <w:shd w:val="clear" w:color="auto" w:fill="FFFFFF"/>
            <w:vAlign w:val="center"/>
          </w:tcPr>
          <w:p w14:paraId="3BEB3859">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4"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FBCFA5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bl>
    <w:p w14:paraId="15DC437D">
      <w:pPr>
        <w:numPr>
          <w:ilvl w:val="0"/>
          <w:numId w:val="0"/>
        </w:numPr>
        <w:ind w:leftChars="0"/>
        <w:rPr>
          <w:rFonts w:hint="eastAsia" w:ascii="宋体" w:hAnsi="宋体" w:eastAsia="宋体" w:cs="宋体"/>
          <w:color w:val="auto"/>
          <w:sz w:val="24"/>
          <w:szCs w:val="24"/>
          <w:highlight w:val="none"/>
          <w:lang w:val="en-US" w:eastAsia="zh-CN"/>
        </w:rPr>
      </w:pPr>
    </w:p>
    <w:p w14:paraId="68212B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4.基础配套建设</w:t>
      </w:r>
    </w:p>
    <w:tbl>
      <w:tblPr>
        <w:tblStyle w:val="42"/>
        <w:tblW w:w="82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8"/>
        <w:gridCol w:w="425"/>
        <w:gridCol w:w="7429"/>
        <w:gridCol w:w="426"/>
        <w:gridCol w:w="426"/>
      </w:tblGrid>
      <w:tr w14:paraId="1B176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AFBFC">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A7AEC6">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8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BDBD">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规格、技术、功能等参数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55486">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3AB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r>
      <w:tr w14:paraId="40FF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0F89320B">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w:t>
            </w:r>
          </w:p>
        </w:tc>
        <w:tc>
          <w:tcPr>
            <w:tcW w:w="0" w:type="auto"/>
            <w:tcBorders>
              <w:top w:val="single" w:color="000000" w:sz="4" w:space="0"/>
              <w:left w:val="single" w:color="000000" w:sz="4" w:space="0"/>
              <w:bottom w:val="single" w:color="auto" w:sz="4" w:space="0"/>
              <w:right w:val="single" w:color="000000" w:sz="4" w:space="0"/>
            </w:tcBorders>
            <w:shd w:val="clear" w:color="auto" w:fill="FFFFFF"/>
            <w:vAlign w:val="center"/>
          </w:tcPr>
          <w:p w14:paraId="0D12B775">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师资培训</w:t>
            </w:r>
          </w:p>
        </w:tc>
        <w:tc>
          <w:tcPr>
            <w:tcW w:w="8516"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2BD87D2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提供所涉及全部平台及系统的专项师资培训服务，培训内容严格对标对应方向岗位工作流程与典型工作任务，深度融入理论教学与企业真实任务实践，助力教师夯实岗位工作实践能力、提升双师型素养，着力提高双师型师资占比。同时，重点协助教师开展各类教学实训项目，提供全流程指导支持，助力实训项目高效落地、提质增效；积极配合教师开展技能大赛指导工作，针对性提供赛事技巧、项目打磨、实操演练等全方位帮扶，助力教师提升大赛指导能力，推动学生在各类技能赛事中取得优异成绩。</w:t>
            </w:r>
          </w:p>
        </w:tc>
        <w:tc>
          <w:tcPr>
            <w:tcW w:w="0" w:type="auto"/>
            <w:tcBorders>
              <w:top w:val="nil"/>
              <w:left w:val="single" w:color="000000" w:sz="4" w:space="0"/>
              <w:bottom w:val="single" w:color="auto" w:sz="4" w:space="0"/>
              <w:right w:val="single" w:color="000000" w:sz="4" w:space="0"/>
            </w:tcBorders>
            <w:shd w:val="clear" w:color="auto" w:fill="FFFFFF"/>
            <w:vAlign w:val="center"/>
          </w:tcPr>
          <w:p w14:paraId="57BAB809">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w:t>
            </w:r>
          </w:p>
        </w:tc>
        <w:tc>
          <w:tcPr>
            <w:tcW w:w="345" w:type="dxa"/>
            <w:tcBorders>
              <w:top w:val="nil"/>
              <w:left w:val="single" w:color="000000" w:sz="4" w:space="0"/>
              <w:bottom w:val="single" w:color="auto" w:sz="4" w:space="0"/>
              <w:right w:val="single" w:color="000000" w:sz="4" w:space="0"/>
            </w:tcBorders>
            <w:shd w:val="clear" w:color="auto" w:fill="FFFFFF"/>
            <w:noWrap/>
            <w:vAlign w:val="center"/>
          </w:tcPr>
          <w:p w14:paraId="6D6E82D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项</w:t>
            </w:r>
          </w:p>
        </w:tc>
      </w:tr>
      <w:tr w14:paraId="3DEF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7844745">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93A3CA">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文化墙建设</w:t>
            </w:r>
          </w:p>
        </w:tc>
        <w:tc>
          <w:tcPr>
            <w:tcW w:w="8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1FFD00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1.画面与内容制作</w:t>
            </w:r>
          </w:p>
          <w:p w14:paraId="7082FF5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1.1主题：实训室理念、专业特色、安全规范、工匠精神、学风建设等；</w:t>
            </w:r>
          </w:p>
          <w:p w14:paraId="4D23A9B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1.2工艺：UV 高清喷印、写真覆膜、亚克力立体字、雪弗板雕刻字；</w:t>
            </w:r>
          </w:p>
          <w:p w14:paraId="1CCAC364">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1.3色彩：符合校园 VI 色系，醒目、协调、不刺眼。</w:t>
            </w:r>
          </w:p>
          <w:p w14:paraId="33DBC4B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2.材质规格</w:t>
            </w:r>
          </w:p>
          <w:p w14:paraId="01F144F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2.1包含：超薄灯箱、亚克力字、雪弗板 / KD 板、升降吊架等；</w:t>
            </w:r>
          </w:p>
          <w:p w14:paraId="2762E86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2.2文化展板：铝型材边框 / 无边框设计，可更换内容；</w:t>
            </w:r>
          </w:p>
          <w:p w14:paraId="3450805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2.3背景造型：可做弧形、叠层造型，层次分明。</w:t>
            </w:r>
          </w:p>
          <w:p w14:paraId="57A1179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3.尺寸与安装</w:t>
            </w:r>
          </w:p>
          <w:p w14:paraId="67698D2D">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3.1尺寸根据墙面实际定制，整体比例协调；</w:t>
            </w:r>
          </w:p>
          <w:p w14:paraId="4FE1EC3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3.2安装方式：结构胶 + 螺丝加固，安全不掉落；</w:t>
            </w:r>
          </w:p>
          <w:p w14:paraId="09AF2DA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3.3水平垂直误差≤2mm，接缝严密。</w:t>
            </w:r>
          </w:p>
          <w:p w14:paraId="4B9CAFB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4.环保与耐用性</w:t>
            </w:r>
          </w:p>
          <w:p w14:paraId="3636ED6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4.1所有材料符合室内环保标准，无异味；</w:t>
            </w:r>
          </w:p>
          <w:p w14:paraId="2496745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4.2防晒、防潮、防褪色，正常使用≥5 年。</w:t>
            </w:r>
          </w:p>
          <w:p w14:paraId="269C518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5.内容模块（标配）</w:t>
            </w:r>
          </w:p>
          <w:p w14:paraId="2A5BD79C">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5.1实训室名称 / 专业标识</w:t>
            </w:r>
          </w:p>
          <w:p w14:paraId="1F74CA82">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5.2安全操作规程</w:t>
            </w:r>
          </w:p>
          <w:p w14:paraId="0EA0D7CD">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5.3实训目标与职业素养</w:t>
            </w:r>
          </w:p>
          <w:p w14:paraId="51AF007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5.4优秀成果展示区</w:t>
            </w:r>
          </w:p>
          <w:p w14:paraId="79895FE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top"/>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5.5名人名言/工匠精神标语</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05772F">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1</w:t>
            </w:r>
          </w:p>
        </w:tc>
        <w:tc>
          <w:tcPr>
            <w:tcW w:w="3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177F2D5">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项</w:t>
            </w:r>
          </w:p>
        </w:tc>
      </w:tr>
      <w:tr w14:paraId="38B6E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B8D5B">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80" w:type="dxa"/>
            <w:tcBorders>
              <w:top w:val="single" w:color="auto" w:sz="4" w:space="0"/>
              <w:left w:val="single" w:color="auto" w:sz="4" w:space="0"/>
              <w:bottom w:val="single" w:color="auto" w:sz="4" w:space="0"/>
              <w:right w:val="single" w:color="auto" w:sz="4" w:space="0"/>
            </w:tcBorders>
            <w:shd w:val="clear" w:color="auto" w:fill="FFFFFF"/>
            <w:vAlign w:val="center"/>
          </w:tcPr>
          <w:p w14:paraId="32C9FE90">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综合集成</w:t>
            </w:r>
          </w:p>
        </w:tc>
        <w:tc>
          <w:tcPr>
            <w:tcW w:w="8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DB576D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1.包含对现有所有设备（含以前设备）进行安装、调试、软硬件对接、培训；</w:t>
            </w:r>
          </w:p>
          <w:p w14:paraId="5C6C3B2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2.强弱电整改，采用国产知名主材，美观走线，点位及负荷满足设备使用需求。</w:t>
            </w:r>
          </w:p>
        </w:tc>
        <w:tc>
          <w:tcPr>
            <w:tcW w:w="280" w:type="dxa"/>
            <w:tcBorders>
              <w:top w:val="single" w:color="auto" w:sz="4" w:space="0"/>
              <w:left w:val="single" w:color="auto" w:sz="4" w:space="0"/>
              <w:bottom w:val="single" w:color="auto" w:sz="4" w:space="0"/>
              <w:right w:val="single" w:color="auto" w:sz="4" w:space="0"/>
            </w:tcBorders>
            <w:shd w:val="clear" w:color="auto" w:fill="FFFFFF"/>
            <w:vAlign w:val="center"/>
          </w:tcPr>
          <w:p w14:paraId="1BFC1C0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3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8A86840">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项</w:t>
            </w:r>
          </w:p>
        </w:tc>
      </w:tr>
    </w:tbl>
    <w:p w14:paraId="2727CBCD">
      <w:pPr>
        <w:adjustRightInd w:val="0"/>
        <w:snapToGrid w:val="0"/>
        <w:spacing w:line="360" w:lineRule="auto"/>
        <w:rPr>
          <w:rFonts w:hint="eastAsia"/>
          <w:bCs/>
          <w:color w:val="auto"/>
          <w:highlight w:val="none"/>
        </w:rPr>
      </w:pPr>
      <w:r>
        <w:rPr>
          <w:rFonts w:hint="eastAsia"/>
          <w:bCs/>
          <w:color w:val="auto"/>
          <w:highlight w:val="none"/>
        </w:rPr>
        <w:t>说明：</w:t>
      </w:r>
      <w:r>
        <w:rPr>
          <w:rFonts w:hint="eastAsia"/>
          <w:bCs/>
          <w:color w:val="auto"/>
          <w:highlight w:val="none"/>
          <w:lang w:eastAsia="zh-CN"/>
        </w:rPr>
        <w:t>（</w:t>
      </w:r>
      <w:r>
        <w:rPr>
          <w:rFonts w:hint="eastAsia"/>
          <w:bCs/>
          <w:color w:val="auto"/>
          <w:highlight w:val="none"/>
          <w:lang w:val="en-US" w:eastAsia="zh-CN"/>
        </w:rPr>
        <w:t>1</w:t>
      </w:r>
      <w:r>
        <w:rPr>
          <w:rFonts w:hint="eastAsia"/>
          <w:bCs/>
          <w:color w:val="auto"/>
          <w:highlight w:val="none"/>
          <w:lang w:eastAsia="zh-CN"/>
        </w:rPr>
        <w:t>）</w:t>
      </w:r>
      <w:r>
        <w:rPr>
          <w:rFonts w:hint="eastAsia"/>
          <w:bCs/>
          <w:color w:val="auto"/>
          <w:highlight w:val="none"/>
        </w:rPr>
        <w:t>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6A5362FE">
      <w:pPr>
        <w:adjustRightInd w:val="0"/>
        <w:snapToGrid w:val="0"/>
        <w:spacing w:line="360" w:lineRule="auto"/>
        <w:rPr>
          <w:rFonts w:hint="eastAsia"/>
          <w:bCs/>
          <w:color w:val="auto"/>
          <w:highlight w:val="none"/>
        </w:rPr>
      </w:pPr>
      <w:r>
        <w:rPr>
          <w:rFonts w:hint="eastAsia"/>
          <w:b/>
          <w:bCs w:val="0"/>
          <w:color w:val="auto"/>
          <w:highlight w:val="none"/>
          <w:lang w:eastAsia="zh-CN"/>
        </w:rPr>
        <w:t>（</w:t>
      </w:r>
      <w:r>
        <w:rPr>
          <w:rFonts w:hint="eastAsia"/>
          <w:b/>
          <w:bCs w:val="0"/>
          <w:color w:val="auto"/>
          <w:highlight w:val="none"/>
          <w:lang w:val="en-US" w:eastAsia="zh-CN"/>
        </w:rPr>
        <w:t>2</w:t>
      </w:r>
      <w:r>
        <w:rPr>
          <w:rFonts w:hint="eastAsia"/>
          <w:b/>
          <w:bCs w:val="0"/>
          <w:color w:val="auto"/>
          <w:highlight w:val="none"/>
          <w:lang w:eastAsia="zh-CN"/>
        </w:rPr>
        <w:t>）</w:t>
      </w:r>
      <w:r>
        <w:rPr>
          <w:rFonts w:hint="eastAsia"/>
          <w:b/>
          <w:bCs w:val="0"/>
          <w:color w:val="auto"/>
          <w:highlight w:val="none"/>
        </w:rPr>
        <w:t>以上技术参数标注“★”为</w:t>
      </w:r>
      <w:r>
        <w:rPr>
          <w:rFonts w:hint="eastAsia"/>
          <w:b/>
          <w:bCs w:val="0"/>
          <w:color w:val="auto"/>
          <w:highlight w:val="none"/>
          <w:lang w:val="en-US" w:eastAsia="zh-CN"/>
        </w:rPr>
        <w:t>实质性要求，投标人未响应的，视为无效标；</w:t>
      </w:r>
      <w:r>
        <w:rPr>
          <w:rFonts w:hint="eastAsia"/>
          <w:b/>
          <w:bCs w:val="0"/>
          <w:color w:val="auto"/>
          <w:highlight w:val="none"/>
        </w:rPr>
        <w:t>标注“▲”为重要参数，标注“●”为投标人须提供演示验证的参数。投标人未按上述要求逐项对应响应、未提供相关演示佐证的，评标时将按规定予以扣分。</w:t>
      </w:r>
    </w:p>
    <w:p w14:paraId="5F67334B">
      <w:pPr>
        <w:pStyle w:val="13"/>
        <w:spacing w:line="360" w:lineRule="auto"/>
        <w:ind w:left="48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（二）质量保证</w:t>
      </w:r>
    </w:p>
    <w:p w14:paraId="1527BBD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305DB053">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2.中标人应保证所供服务或开发的标的没有设计、质量或工艺上的缺陷。</w:t>
      </w:r>
    </w:p>
    <w:p w14:paraId="154220BE">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24EEE288">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（三）售后服务及要求</w:t>
      </w:r>
    </w:p>
    <w:p w14:paraId="7B75362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5AAB393A">
      <w:pPr>
        <w:adjustRightInd w:val="0"/>
        <w:snapToGrid w:val="0"/>
        <w:spacing w:line="360" w:lineRule="auto"/>
        <w:ind w:firstLine="480" w:firstLineChars="200"/>
        <w:rPr>
          <w:rFonts w:hint="eastAsia"/>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75BF55C9">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484AF9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1.投标人需对文件的真实性负责，</w:t>
      </w:r>
      <w:r>
        <w:rPr>
          <w:rFonts w:hint="eastAsia" w:ascii="宋体" w:hAnsi="宋体" w:eastAsia="宋体" w:cs="宋体"/>
          <w:i w:val="0"/>
          <w:iCs w:val="0"/>
          <w:color w:val="auto"/>
          <w:kern w:val="0"/>
          <w:sz w:val="24"/>
          <w:szCs w:val="24"/>
          <w:highlight w:val="none"/>
          <w:u w:val="none"/>
          <w:lang w:val="en-US" w:eastAsia="zh-CN" w:bidi="ar"/>
        </w:rPr>
        <w:t>采购人有权对成交候选供应商报价的每套软件产品进行功能测试，采购人依照招标文件技术要求及中标候选人响应文件进行测试，若测试不能达到需求，采购人有权按相关规定取消中标候选供应商资格，并确认排名列下一位的成交候选供应商为中标供应商，以此类推</w:t>
      </w:r>
      <w:r>
        <w:rPr>
          <w:rFonts w:hint="eastAsia" w:cs="宋体"/>
          <w:i w:val="0"/>
          <w:iCs w:val="0"/>
          <w:color w:val="auto"/>
          <w:kern w:val="0"/>
          <w:sz w:val="24"/>
          <w:szCs w:val="24"/>
          <w:highlight w:val="none"/>
          <w:u w:val="none"/>
          <w:lang w:val="en-US" w:eastAsia="zh-CN" w:bidi="ar"/>
        </w:rPr>
        <w:t>。</w:t>
      </w:r>
      <w:r>
        <w:rPr>
          <w:rFonts w:hint="eastAsia"/>
          <w:color w:val="auto"/>
          <w:highlight w:val="none"/>
        </w:rPr>
        <w:t>如果与投标文件中承诺或提供的资料不符，采购人将提请</w:t>
      </w:r>
      <w:r>
        <w:rPr>
          <w:rFonts w:hint="eastAsia"/>
          <w:color w:val="auto"/>
          <w:highlight w:val="none"/>
          <w:lang w:val="en-US" w:eastAsia="zh-CN"/>
        </w:rPr>
        <w:t>主管部门</w:t>
      </w:r>
      <w:r>
        <w:rPr>
          <w:rFonts w:hint="eastAsia"/>
          <w:color w:val="auto"/>
          <w:highlight w:val="none"/>
        </w:rPr>
        <w:t>认定该行为属于提供虚假材料谋取中标（成交）。同时，采购人将按照《中华人民共和国政府采购法》及其实施条例的规定，将该情况报送财政部门处理，由财政部门依法对其进行行政处罚。</w:t>
      </w:r>
    </w:p>
    <w:p w14:paraId="7F548809">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8F3BE19">
      <w:pPr>
        <w:pStyle w:val="3"/>
        <w:snapToGrid w:val="0"/>
        <w:ind w:firstLine="482" w:firstLineChars="200"/>
        <w:rPr>
          <w:rFonts w:hint="eastAsia"/>
          <w:color w:val="auto"/>
          <w:sz w:val="24"/>
          <w:szCs w:val="24"/>
          <w:highlight w:val="none"/>
        </w:rPr>
      </w:pPr>
      <w:bookmarkStart w:id="69" w:name="_Toc22058"/>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玉溪职业技术学院（云南省玉溪工业财贸学校）“双优”专业建设（1包）电子商务优质专业专业建设项目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w:t>
      </w:r>
      <w:r>
        <w:rPr>
          <w:rFonts w:hint="eastAsia"/>
          <w:bCs/>
          <w:color w:val="auto"/>
          <w:highlight w:val="none"/>
          <w:lang w:val="en-US" w:eastAsia="zh-CN"/>
        </w:rPr>
        <w:t>建设</w:t>
      </w:r>
      <w:r>
        <w:rPr>
          <w:rFonts w:hint="eastAsia"/>
          <w:bCs/>
          <w:color w:val="auto"/>
          <w:highlight w:val="none"/>
        </w:rPr>
        <w:t>地点：采购人指定地点。</w:t>
      </w:r>
    </w:p>
    <w:p w14:paraId="33380550">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default" w:eastAsia="宋体"/>
          <w:bCs/>
          <w:color w:val="auto"/>
          <w:highlight w:val="none"/>
          <w:lang w:val="en-US" w:eastAsia="zh-CN"/>
        </w:rPr>
      </w:pPr>
      <w:r>
        <w:rPr>
          <w:rFonts w:hint="eastAsia"/>
          <w:bCs/>
          <w:color w:val="auto"/>
          <w:highlight w:val="none"/>
          <w:lang w:val="en-US" w:eastAsia="zh-CN"/>
        </w:rPr>
        <w:t>5.质保期：自验收合格之日起，不低于三年</w:t>
      </w:r>
      <w:r>
        <w:rPr>
          <w:rFonts w:hint="eastAsia"/>
          <w:bCs/>
          <w:color w:val="auto"/>
          <w:highlight w:val="none"/>
          <w:lang w:eastAsia="zh-CN"/>
        </w:rPr>
        <w:t>。</w:t>
      </w:r>
      <w:r>
        <w:rPr>
          <w:rFonts w:hint="eastAsia"/>
          <w:bCs/>
          <w:color w:val="auto"/>
          <w:highlight w:val="none"/>
          <w:lang w:val="en-US" w:eastAsia="zh-CN"/>
        </w:rPr>
        <w:t>质保期内，按软件更新升级为当前最新版本。</w:t>
      </w:r>
    </w:p>
    <w:p w14:paraId="15A0D9FA">
      <w:pPr>
        <w:pStyle w:val="3"/>
        <w:snapToGrid w:val="0"/>
        <w:ind w:firstLine="482" w:firstLineChars="200"/>
        <w:rPr>
          <w:rFonts w:hint="eastAsia"/>
          <w:color w:val="auto"/>
          <w:sz w:val="24"/>
          <w:szCs w:val="24"/>
          <w:highlight w:val="none"/>
        </w:rPr>
      </w:pPr>
      <w:bookmarkStart w:id="70" w:name="_Toc4574"/>
      <w:r>
        <w:rPr>
          <w:rFonts w:hint="eastAsia"/>
          <w:color w:val="auto"/>
          <w:sz w:val="24"/>
          <w:szCs w:val="24"/>
          <w:highlight w:val="none"/>
        </w:rPr>
        <w:t>五、验收标准</w:t>
      </w:r>
      <w:bookmarkEnd w:id="70"/>
    </w:p>
    <w:p w14:paraId="56D6FBED">
      <w:pPr>
        <w:adjustRightInd w:val="0"/>
        <w:snapToGrid w:val="0"/>
        <w:spacing w:line="360" w:lineRule="auto"/>
        <w:ind w:firstLine="480" w:firstLineChars="200"/>
        <w:rPr>
          <w:rFonts w:hint="eastAsia"/>
          <w:bCs/>
          <w:color w:val="auto"/>
          <w:highlight w:val="none"/>
        </w:rPr>
      </w:pPr>
      <w:r>
        <w:rPr>
          <w:rFonts w:hint="eastAsia"/>
          <w:bCs/>
          <w:color w:val="auto"/>
          <w:highlight w:val="none"/>
        </w:rPr>
        <w:t>1.项目内部验收（即初验）：本项目完成项目建设后根据国家以及相关规定进行内部验收，</w:t>
      </w:r>
      <w:r>
        <w:rPr>
          <w:rFonts w:hint="eastAsia"/>
          <w:color w:val="auto"/>
          <w:highlight w:val="none"/>
        </w:rPr>
        <w:t>对成交供应商的每套软件产品依照招标文件技术要求</w:t>
      </w:r>
      <w:r>
        <w:rPr>
          <w:rFonts w:hint="eastAsia"/>
          <w:color w:val="auto"/>
          <w:highlight w:val="none"/>
          <w:lang w:val="en-US" w:eastAsia="zh-CN"/>
        </w:rPr>
        <w:t>逐项</w:t>
      </w:r>
      <w:r>
        <w:rPr>
          <w:rFonts w:hint="eastAsia"/>
          <w:color w:val="auto"/>
          <w:highlight w:val="none"/>
        </w:rPr>
        <w:t>进行功能测试</w:t>
      </w:r>
      <w:r>
        <w:rPr>
          <w:rFonts w:hint="eastAsia"/>
          <w:color w:val="auto"/>
          <w:highlight w:val="none"/>
          <w:lang w:eastAsia="zh-CN"/>
        </w:rPr>
        <w:t>，</w:t>
      </w:r>
      <w:r>
        <w:rPr>
          <w:rFonts w:hint="eastAsia"/>
          <w:bCs/>
          <w:color w:val="auto"/>
          <w:highlight w:val="none"/>
        </w:rPr>
        <w:t>内部验收合格后进入试运行阶段，试运行一段时间后根据甲方的使用情况和国家以及相关规定进行综合验收。</w:t>
      </w:r>
    </w:p>
    <w:p w14:paraId="108B951B">
      <w:pPr>
        <w:adjustRightInd w:val="0"/>
        <w:snapToGrid w:val="0"/>
        <w:spacing w:line="360" w:lineRule="auto"/>
        <w:ind w:firstLine="480" w:firstLineChars="200"/>
        <w:rPr>
          <w:rFonts w:hint="eastAsia"/>
          <w:bCs/>
          <w:color w:val="auto"/>
          <w:highlight w:val="none"/>
        </w:rPr>
      </w:pPr>
      <w:r>
        <w:rPr>
          <w:rFonts w:hint="eastAsia"/>
          <w:bCs/>
          <w:color w:val="auto"/>
          <w:highlight w:val="none"/>
        </w:rPr>
        <w:t>2.试运行：项目通过内部验收后，经甲方同意，系统将进入为期60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55E3F6C3">
      <w:pPr>
        <w:adjustRightInd w:val="0"/>
        <w:snapToGrid w:val="0"/>
        <w:spacing w:line="360" w:lineRule="auto"/>
        <w:ind w:firstLine="480" w:firstLineChars="200"/>
        <w:rPr>
          <w:rFonts w:hint="eastAsia"/>
          <w:bCs/>
          <w:color w:val="auto"/>
          <w:highlight w:val="none"/>
        </w:rPr>
      </w:pPr>
      <w:r>
        <w:rPr>
          <w:rFonts w:hint="eastAsia"/>
          <w:bCs/>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71" w:name="_Toc31884"/>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2"/>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6"/>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49081308"/>
      <w:bookmarkStart w:id="73" w:name="_Toc433100714"/>
      <w:bookmarkStart w:id="74" w:name="_Toc433100727"/>
      <w:bookmarkStart w:id="75" w:name="_Toc449081295"/>
      <w:bookmarkStart w:id="76" w:name="_Toc433100728"/>
      <w:bookmarkStart w:id="77" w:name="_Toc449081309"/>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90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03B44776">
      <w:pPr>
        <w:spacing w:line="360" w:lineRule="auto"/>
        <w:ind w:firstLine="480" w:firstLineChars="200"/>
        <w:rPr>
          <w:rFonts w:hint="eastAsia"/>
          <w:color w:val="auto"/>
          <w:highlight w:val="none"/>
        </w:rPr>
      </w:pPr>
      <w:r>
        <w:rPr>
          <w:rFonts w:hint="eastAsia"/>
          <w:color w:val="auto"/>
          <w:highlight w:val="none"/>
        </w:rPr>
        <w:t>乙方负责送货上门，乙方自行承担运输、装卸、安装、调试、培训等全部费用。在设备完成安装调试并经终验合格交付给甲方使用之前，设备及其配件、备品等任何物资发生毁损、灭失的责任和风险均由乙方承担，与甲方无关。</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2"/>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3AA17FF8">
      <w:pPr>
        <w:widowControl w:val="0"/>
        <w:autoSpaceDE w:val="0"/>
        <w:autoSpaceDN w:val="0"/>
        <w:adjustRightInd w:val="0"/>
        <w:spacing w:line="360" w:lineRule="auto"/>
        <w:ind w:firstLine="480" w:firstLineChars="200"/>
        <w:rPr>
          <w:rFonts w:hint="default" w:eastAsia="宋体"/>
          <w:color w:val="auto"/>
          <w:highlight w:val="none"/>
          <w:lang w:val="en-US" w:eastAsia="zh-CN"/>
        </w:rPr>
      </w:pPr>
      <w:r>
        <w:rPr>
          <w:rFonts w:hint="eastAsia"/>
          <w:color w:val="auto"/>
          <w:highlight w:val="none"/>
          <w:lang w:val="en-US" w:eastAsia="zh-CN"/>
        </w:rPr>
        <w:t>4.</w:t>
      </w:r>
      <w:r>
        <w:rPr>
          <w:rFonts w:hint="eastAsia"/>
          <w:color w:val="auto"/>
          <w:highlight w:val="none"/>
        </w:rPr>
        <w:t>乙方应保证提供的</w:t>
      </w:r>
      <w:r>
        <w:rPr>
          <w:rFonts w:hint="eastAsia"/>
          <w:color w:val="auto"/>
          <w:highlight w:val="none"/>
          <w:lang w:val="en-US" w:eastAsia="zh-CN"/>
        </w:rPr>
        <w:t>软件为当前最新版本。</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1.乙方3年的质保期内提供免费</w:t>
      </w:r>
      <w:r>
        <w:rPr>
          <w:rFonts w:hint="eastAsia"/>
          <w:color w:val="auto"/>
          <w:highlight w:val="none"/>
          <w:lang w:val="en-US" w:eastAsia="zh-CN"/>
        </w:rPr>
        <w:t>升级</w:t>
      </w:r>
      <w:r>
        <w:rPr>
          <w:rFonts w:hint="eastAsia"/>
          <w:color w:val="auto"/>
          <w:highlight w:val="none"/>
        </w:rPr>
        <w:t>保修服务。质保期间内提供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214E2A8E">
      <w:pPr>
        <w:spacing w:line="360" w:lineRule="auto"/>
        <w:ind w:firstLine="480" w:firstLineChars="200"/>
        <w:jc w:val="both"/>
        <w:rPr>
          <w:rFonts w:hint="eastAsia"/>
          <w:color w:val="auto"/>
          <w:highlight w:val="none"/>
        </w:rPr>
      </w:pPr>
      <w:r>
        <w:rPr>
          <w:rFonts w:hint="eastAsia"/>
          <w:color w:val="auto"/>
          <w:highlight w:val="none"/>
        </w:rPr>
        <w:t>（1）项目内部验收（即初验）：本项目完成项目建设后根据国家以及相关规定进行内部验收，对成交供应商的每套软件产品依照招标文件技术要求</w:t>
      </w:r>
      <w:r>
        <w:rPr>
          <w:rFonts w:hint="eastAsia"/>
          <w:color w:val="auto"/>
          <w:highlight w:val="none"/>
          <w:lang w:val="en-US" w:eastAsia="zh-CN"/>
        </w:rPr>
        <w:t>逐项</w:t>
      </w:r>
      <w:r>
        <w:rPr>
          <w:rFonts w:hint="eastAsia"/>
          <w:color w:val="auto"/>
          <w:highlight w:val="none"/>
        </w:rPr>
        <w:t>进行功能测试，内部验收合格后进入试运行阶段，试运行一段时间后根据甲方的使用情况和国家以及相关规定进行综合验收。</w:t>
      </w:r>
    </w:p>
    <w:p w14:paraId="4EC3417B">
      <w:pPr>
        <w:spacing w:line="360" w:lineRule="auto"/>
        <w:ind w:firstLine="480" w:firstLineChars="200"/>
        <w:jc w:val="both"/>
        <w:rPr>
          <w:rFonts w:hint="eastAsia"/>
          <w:color w:val="auto"/>
          <w:highlight w:val="none"/>
        </w:rPr>
      </w:pPr>
      <w:r>
        <w:rPr>
          <w:rFonts w:hint="eastAsia"/>
          <w:color w:val="auto"/>
          <w:highlight w:val="none"/>
        </w:rPr>
        <w:t>（2）试运行：项目通过内部验收后，经甲方同意，系统将进入为期</w:t>
      </w:r>
      <w:r>
        <w:rPr>
          <w:rFonts w:hint="eastAsia"/>
          <w:color w:val="auto"/>
          <w:highlight w:val="none"/>
          <w:lang w:val="en-US" w:eastAsia="zh-CN"/>
        </w:rPr>
        <w:t>30</w:t>
      </w:r>
      <w:r>
        <w:rPr>
          <w:rFonts w:hint="eastAsia"/>
          <w:color w:val="auto"/>
          <w:highlight w:val="none"/>
        </w:rPr>
        <w:t>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33B3F8DB">
      <w:pPr>
        <w:spacing w:line="360" w:lineRule="auto"/>
        <w:ind w:firstLine="480" w:firstLineChars="200"/>
        <w:jc w:val="both"/>
        <w:rPr>
          <w:rFonts w:hint="eastAsia"/>
          <w:color w:val="auto"/>
          <w:highlight w:val="none"/>
        </w:rPr>
      </w:pPr>
      <w:r>
        <w:rPr>
          <w:rFonts w:hint="eastAsia"/>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1A5EB5FD">
      <w:pPr>
        <w:spacing w:line="360" w:lineRule="auto"/>
        <w:ind w:firstLine="480" w:firstLineChars="200"/>
        <w:jc w:val="both"/>
        <w:rPr>
          <w:rFonts w:hint="eastAsia"/>
          <w:b/>
          <w:bCs/>
          <w:color w:val="auto"/>
          <w:highlight w:val="none"/>
        </w:rPr>
      </w:pPr>
      <w:r>
        <w:rPr>
          <w:rFonts w:hint="eastAsia"/>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试运行</w:t>
      </w:r>
      <w:r>
        <w:rPr>
          <w:rFonts w:hint="eastAsia"/>
          <w:color w:val="auto"/>
          <w:highlight w:val="none"/>
          <w:u w:val="single"/>
          <w:lang w:val="en-US" w:eastAsia="zh-CN"/>
        </w:rPr>
        <w:t>结束</w:t>
      </w:r>
      <w:r>
        <w:rPr>
          <w:rFonts w:hint="eastAsia"/>
          <w:color w:val="auto"/>
          <w:highlight w:val="none"/>
          <w:u w:val="single"/>
        </w:rPr>
        <w:t>后</w:t>
      </w:r>
      <w:r>
        <w:rPr>
          <w:rFonts w:hint="eastAsia"/>
          <w:color w:val="auto"/>
          <w:highlight w:val="none"/>
          <w:u w:val="single"/>
          <w:lang w:val="en-US" w:eastAsia="zh-CN"/>
        </w:rPr>
        <w:t>7个工作日内</w:t>
      </w:r>
      <w:r>
        <w:rPr>
          <w:rFonts w:hint="eastAsia"/>
          <w:color w:val="auto"/>
          <w:highlight w:val="none"/>
          <w:u w:val="single"/>
          <w:lang w:eastAsia="zh-CN"/>
        </w:rPr>
        <w:t>，</w:t>
      </w:r>
      <w:r>
        <w:rPr>
          <w:rFonts w:hint="eastAsia"/>
          <w:color w:val="auto"/>
          <w:highlight w:val="none"/>
          <w:u w:val="single"/>
        </w:rPr>
        <w:t>根据甲方的使用情况和国家以及相关规定进行综合验收。</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2361F221">
      <w:pPr>
        <w:spacing w:line="360" w:lineRule="auto"/>
        <w:ind w:firstLine="482" w:firstLineChars="200"/>
        <w:jc w:val="both"/>
        <w:rPr>
          <w:rFonts w:hint="eastAsia"/>
          <w:b/>
          <w:bCs/>
          <w:color w:val="auto"/>
          <w:highlight w:val="none"/>
        </w:rPr>
      </w:pPr>
      <w:r>
        <w:rPr>
          <w:rFonts w:hint="eastAsia"/>
          <w:b/>
          <w:bCs/>
          <w:color w:val="auto"/>
          <w:highlight w:val="none"/>
        </w:rPr>
        <w:t>九、付款方式：</w:t>
      </w:r>
    </w:p>
    <w:p w14:paraId="56F9F507">
      <w:pPr>
        <w:spacing w:line="360" w:lineRule="auto"/>
        <w:ind w:firstLine="480" w:firstLineChars="200"/>
        <w:jc w:val="both"/>
        <w:rPr>
          <w:rFonts w:hint="eastAsia"/>
          <w:color w:val="auto"/>
          <w:highlight w:val="none"/>
        </w:rPr>
      </w:pPr>
      <w:r>
        <w:rPr>
          <w:rFonts w:hint="eastAsia"/>
          <w:color w:val="auto"/>
          <w:highlight w:val="none"/>
        </w:rPr>
        <w:t>1.履约保证金</w:t>
      </w:r>
    </w:p>
    <w:p w14:paraId="2FCFF54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履约保证金金额：成交总价的5%；</w:t>
      </w:r>
    </w:p>
    <w:p w14:paraId="7266E091">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履约保证金缴纳方式：以支票、汇票、本票或者金融机构、担保机构（四大银行或四大保险公司）出具的保函等非现金形式向甲方提供履约保证金。采购人开具同等金额收据；</w:t>
      </w:r>
    </w:p>
    <w:p w14:paraId="07B20528">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履约保证金缴纳时间：中标人应在收到中标通知书后在合同签定前5个工作日缴纳至采购人指定账户；</w:t>
      </w:r>
    </w:p>
    <w:p w14:paraId="1F4A590A">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履约保证金退还时间：项目最终验收合格后7个日历天内，采购人无息退还成交人合同履约保证金。履约保证金支付作为合同生效必要条件。</w:t>
      </w:r>
    </w:p>
    <w:p w14:paraId="0E04A63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2.签订合同后</w:t>
      </w:r>
      <w:r>
        <w:rPr>
          <w:rFonts w:hint="eastAsia"/>
          <w:color w:val="auto"/>
          <w:highlight w:val="none"/>
          <w:u w:val="single"/>
        </w:rPr>
        <w:t xml:space="preserve"> 7 </w:t>
      </w:r>
      <w:r>
        <w:rPr>
          <w:rFonts w:hint="eastAsia"/>
          <w:color w:val="auto"/>
          <w:highlight w:val="none"/>
          <w:u w:val="single"/>
          <w:lang w:val="en-US" w:eastAsia="zh-CN"/>
        </w:rPr>
        <w:t>个</w:t>
      </w:r>
      <w:r>
        <w:rPr>
          <w:rFonts w:hint="eastAsia"/>
          <w:color w:val="auto"/>
          <w:highlight w:val="none"/>
        </w:rPr>
        <w:t>工作日甲方付款30%，即</w:t>
      </w:r>
      <w:r>
        <w:rPr>
          <w:rFonts w:hint="eastAsia"/>
          <w:color w:val="auto"/>
          <w:highlight w:val="none"/>
          <w:u w:val="single"/>
          <w:lang w:val="en-US" w:eastAsia="zh-CN"/>
        </w:rPr>
        <w:t xml:space="preserve">       </w:t>
      </w:r>
      <w:r>
        <w:rPr>
          <w:rFonts w:hint="eastAsia"/>
          <w:color w:val="auto"/>
          <w:highlight w:val="none"/>
        </w:rPr>
        <w:t>元（大写:</w:t>
      </w:r>
      <w:r>
        <w:rPr>
          <w:rFonts w:hint="eastAsia"/>
          <w:color w:val="auto"/>
          <w:highlight w:val="none"/>
          <w:lang w:val="en-US" w:eastAsia="zh-CN"/>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 xml:space="preserve">乙方按甲方要求送达全部设备并完成安装及调试，验收合格后 7 </w:t>
      </w:r>
      <w:r>
        <w:rPr>
          <w:rFonts w:hint="eastAsia"/>
          <w:color w:val="auto"/>
          <w:highlight w:val="none"/>
          <w:lang w:val="en-US" w:eastAsia="zh-CN"/>
        </w:rPr>
        <w:t>个</w:t>
      </w:r>
      <w:r>
        <w:rPr>
          <w:rFonts w:hint="eastAsia"/>
          <w:color w:val="auto"/>
          <w:highlight w:val="none"/>
        </w:rPr>
        <w:t xml:space="preserve">工作日甲方付款至100%。          </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9598"/>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6"/>
          <w:szCs w:val="36"/>
          <w:highlight w:val="none"/>
          <w:u w:val="single"/>
          <w:lang w:eastAsia="zh-CN"/>
        </w:rPr>
      </w:pPr>
      <w:r>
        <w:rPr>
          <w:rFonts w:hint="eastAsia"/>
          <w:b/>
          <w:color w:val="auto"/>
          <w:sz w:val="36"/>
          <w:szCs w:val="36"/>
          <w:highlight w:val="none"/>
          <w:shd w:val="clear" w:color="auto" w:fill="FFFFFF"/>
          <w:lang w:eastAsia="zh-CN"/>
        </w:rPr>
        <w:t>玉溪职业技术学院（云南省玉溪工业财贸学校）“双优”专业建设（1包）电子商务优质专业专业建设项目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ZZGL-2026067H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17446082"/>
      <w:bookmarkStart w:id="80" w:name="_Toc23946"/>
      <w:bookmarkStart w:id="81" w:name="_Toc13820"/>
      <w:bookmarkStart w:id="82" w:name="_Toc5522"/>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350930019"/>
      <w:bookmarkStart w:id="84" w:name="_Toc354231820"/>
      <w:bookmarkStart w:id="85" w:name="_Toc350330519"/>
      <w:bookmarkStart w:id="86" w:name="_Toc351117903"/>
      <w:bookmarkStart w:id="87" w:name="_Toc352783562"/>
      <w:bookmarkStart w:id="88" w:name="_Toc277679098"/>
      <w:bookmarkStart w:id="89" w:name="_Toc350930234"/>
      <w:bookmarkStart w:id="90" w:name="_Toc355054077"/>
      <w:bookmarkStart w:id="91" w:name="_Toc76476014"/>
      <w:bookmarkStart w:id="92" w:name="_Toc74301071"/>
      <w:bookmarkStart w:id="93" w:name="_Toc114836186"/>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玉溪职业技术学院（云南省玉溪工业财贸学校）“双优”专业建设（1包）电子商务优质专业专业建设项目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ZZGL-2026067H</w:t>
      </w:r>
    </w:p>
    <w:tbl>
      <w:tblPr>
        <w:tblStyle w:val="43"/>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57D3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73B3BB68">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6E162DFA">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4"/>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2305"/>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2"/>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27162"/>
      <w:bookmarkStart w:id="97" w:name="_Toc124784413"/>
      <w:bookmarkStart w:id="98" w:name="_Toc15676"/>
      <w:bookmarkStart w:id="99" w:name="_Toc3346"/>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3"/>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3"/>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29442"/>
      <w:bookmarkStart w:id="102" w:name="_Toc6445"/>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16352"/>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24784415"/>
      <w:bookmarkStart w:id="106" w:name="_Toc19814"/>
      <w:bookmarkStart w:id="107" w:name="_Toc29093"/>
      <w:bookmarkStart w:id="108" w:name="_Toc13188"/>
      <w:r>
        <w:rPr>
          <w:rFonts w:hint="eastAsia"/>
          <w:b/>
          <w:bCs/>
          <w:color w:val="auto"/>
          <w:sz w:val="32"/>
          <w:szCs w:val="32"/>
          <w:highlight w:val="none"/>
        </w:rPr>
        <w:t>（二）投标保证金交纳凭证</w:t>
      </w:r>
      <w:bookmarkEnd w:id="105"/>
      <w:bookmarkEnd w:id="106"/>
      <w:bookmarkEnd w:id="107"/>
      <w:bookmarkEnd w:id="108"/>
    </w:p>
    <w:p w14:paraId="7D50D79D">
      <w:pPr>
        <w:pStyle w:val="127"/>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7"/>
        <w:spacing w:before="0" w:after="0" w:line="360" w:lineRule="auto"/>
        <w:ind w:firstLine="520" w:firstLineChars="200"/>
        <w:rPr>
          <w:rFonts w:hint="eastAsia"/>
          <w:color w:val="auto"/>
          <w:szCs w:val="24"/>
          <w:highlight w:val="none"/>
        </w:rPr>
      </w:pPr>
    </w:p>
    <w:p w14:paraId="5DD58449">
      <w:pPr>
        <w:pStyle w:val="127"/>
        <w:spacing w:before="0" w:after="0" w:line="360" w:lineRule="auto"/>
        <w:ind w:firstLine="520" w:firstLineChars="200"/>
        <w:rPr>
          <w:rFonts w:hint="eastAsia"/>
          <w:color w:val="auto"/>
          <w:szCs w:val="24"/>
          <w:highlight w:val="none"/>
        </w:rPr>
      </w:pPr>
    </w:p>
    <w:p w14:paraId="6340C6AC">
      <w:pPr>
        <w:pStyle w:val="127"/>
        <w:spacing w:before="0" w:after="0" w:line="360" w:lineRule="auto"/>
        <w:ind w:firstLine="520" w:firstLineChars="200"/>
        <w:rPr>
          <w:rFonts w:hint="eastAsia"/>
          <w:color w:val="auto"/>
          <w:szCs w:val="24"/>
          <w:highlight w:val="none"/>
        </w:rPr>
      </w:pPr>
    </w:p>
    <w:p w14:paraId="4712B2BD">
      <w:pPr>
        <w:pStyle w:val="127"/>
        <w:spacing w:before="0" w:after="0" w:line="360" w:lineRule="auto"/>
        <w:ind w:firstLine="520" w:firstLineChars="200"/>
        <w:rPr>
          <w:rFonts w:hint="eastAsia"/>
          <w:color w:val="auto"/>
          <w:szCs w:val="24"/>
          <w:highlight w:val="none"/>
        </w:rPr>
      </w:pPr>
    </w:p>
    <w:p w14:paraId="335FD8F9">
      <w:pPr>
        <w:pStyle w:val="127"/>
        <w:spacing w:before="0" w:after="0" w:line="360" w:lineRule="auto"/>
        <w:ind w:firstLine="520" w:firstLineChars="200"/>
        <w:rPr>
          <w:rFonts w:hint="eastAsia"/>
          <w:color w:val="auto"/>
          <w:szCs w:val="24"/>
          <w:highlight w:val="none"/>
        </w:rPr>
      </w:pPr>
    </w:p>
    <w:p w14:paraId="7F1399E7">
      <w:pPr>
        <w:pStyle w:val="127"/>
        <w:spacing w:before="0" w:after="0" w:line="360" w:lineRule="auto"/>
        <w:ind w:firstLine="520" w:firstLineChars="200"/>
        <w:rPr>
          <w:rFonts w:hint="eastAsia"/>
          <w:color w:val="auto"/>
          <w:szCs w:val="24"/>
          <w:highlight w:val="none"/>
        </w:rPr>
      </w:pPr>
    </w:p>
    <w:p w14:paraId="2E041DC4">
      <w:pPr>
        <w:pStyle w:val="127"/>
        <w:spacing w:before="0" w:after="0" w:line="360" w:lineRule="auto"/>
        <w:ind w:firstLine="520" w:firstLineChars="200"/>
        <w:rPr>
          <w:rFonts w:hint="eastAsia"/>
          <w:color w:val="auto"/>
          <w:szCs w:val="24"/>
          <w:highlight w:val="none"/>
        </w:rPr>
      </w:pPr>
    </w:p>
    <w:p w14:paraId="6EF6C2F0">
      <w:pPr>
        <w:pStyle w:val="127"/>
        <w:spacing w:before="0" w:after="0" w:line="360" w:lineRule="auto"/>
        <w:ind w:firstLine="520" w:firstLineChars="200"/>
        <w:rPr>
          <w:rFonts w:hint="eastAsia"/>
          <w:color w:val="auto"/>
          <w:szCs w:val="24"/>
          <w:highlight w:val="none"/>
        </w:rPr>
      </w:pPr>
    </w:p>
    <w:p w14:paraId="0BA1701F">
      <w:pPr>
        <w:pStyle w:val="127"/>
        <w:spacing w:before="0" w:after="0" w:line="360" w:lineRule="auto"/>
        <w:ind w:firstLine="520" w:firstLineChars="200"/>
        <w:rPr>
          <w:rFonts w:hint="eastAsia"/>
          <w:color w:val="auto"/>
          <w:szCs w:val="24"/>
          <w:highlight w:val="none"/>
        </w:rPr>
      </w:pPr>
    </w:p>
    <w:p w14:paraId="4B56FD59">
      <w:pPr>
        <w:pStyle w:val="127"/>
        <w:spacing w:before="0" w:after="0" w:line="360" w:lineRule="auto"/>
        <w:ind w:firstLine="520" w:firstLineChars="200"/>
        <w:rPr>
          <w:rFonts w:hint="eastAsia"/>
          <w:color w:val="auto"/>
          <w:szCs w:val="24"/>
          <w:highlight w:val="none"/>
        </w:rPr>
      </w:pPr>
    </w:p>
    <w:p w14:paraId="63421FFD">
      <w:pPr>
        <w:pStyle w:val="127"/>
        <w:spacing w:before="0" w:after="0" w:line="360" w:lineRule="auto"/>
        <w:ind w:firstLine="520" w:firstLineChars="200"/>
        <w:rPr>
          <w:rFonts w:hint="eastAsia"/>
          <w:color w:val="auto"/>
          <w:szCs w:val="24"/>
          <w:highlight w:val="none"/>
        </w:rPr>
      </w:pPr>
    </w:p>
    <w:p w14:paraId="7AD212E2">
      <w:pPr>
        <w:pStyle w:val="127"/>
        <w:spacing w:before="0" w:after="0" w:line="360" w:lineRule="auto"/>
        <w:ind w:firstLine="520" w:firstLineChars="200"/>
        <w:rPr>
          <w:rFonts w:hint="eastAsia"/>
          <w:color w:val="auto"/>
          <w:szCs w:val="24"/>
          <w:highlight w:val="none"/>
        </w:rPr>
      </w:pPr>
    </w:p>
    <w:p w14:paraId="682B7078">
      <w:pPr>
        <w:pStyle w:val="127"/>
        <w:spacing w:before="0" w:after="0" w:line="360" w:lineRule="auto"/>
        <w:ind w:firstLine="520" w:firstLineChars="200"/>
        <w:rPr>
          <w:rFonts w:hint="eastAsia"/>
          <w:color w:val="auto"/>
          <w:szCs w:val="24"/>
          <w:highlight w:val="none"/>
        </w:rPr>
      </w:pPr>
    </w:p>
    <w:p w14:paraId="65869BE9">
      <w:pPr>
        <w:pStyle w:val="127"/>
        <w:spacing w:before="0" w:after="0" w:line="360" w:lineRule="auto"/>
        <w:ind w:firstLine="520" w:firstLineChars="200"/>
        <w:rPr>
          <w:rFonts w:hint="eastAsia"/>
          <w:color w:val="auto"/>
          <w:szCs w:val="24"/>
          <w:highlight w:val="none"/>
        </w:rPr>
      </w:pPr>
    </w:p>
    <w:p w14:paraId="78181E32">
      <w:pPr>
        <w:pStyle w:val="127"/>
        <w:spacing w:before="0" w:after="0" w:line="360" w:lineRule="auto"/>
        <w:ind w:firstLine="520" w:firstLineChars="200"/>
        <w:rPr>
          <w:rFonts w:hint="eastAsia"/>
          <w:color w:val="auto"/>
          <w:szCs w:val="24"/>
          <w:highlight w:val="none"/>
        </w:rPr>
      </w:pPr>
    </w:p>
    <w:p w14:paraId="504B5B39">
      <w:pPr>
        <w:pStyle w:val="127"/>
        <w:spacing w:before="0" w:after="0" w:line="360" w:lineRule="auto"/>
        <w:ind w:firstLine="520" w:firstLineChars="200"/>
        <w:rPr>
          <w:rFonts w:hint="eastAsia"/>
          <w:color w:val="auto"/>
          <w:szCs w:val="24"/>
          <w:highlight w:val="none"/>
        </w:rPr>
      </w:pPr>
    </w:p>
    <w:p w14:paraId="75F78BAC">
      <w:pPr>
        <w:pStyle w:val="127"/>
        <w:spacing w:before="0" w:after="0" w:line="360" w:lineRule="auto"/>
        <w:ind w:firstLine="520" w:firstLineChars="200"/>
        <w:rPr>
          <w:rFonts w:hint="eastAsia"/>
          <w:color w:val="auto"/>
          <w:szCs w:val="24"/>
          <w:highlight w:val="none"/>
        </w:rPr>
      </w:pPr>
    </w:p>
    <w:p w14:paraId="34B629E4">
      <w:pPr>
        <w:pStyle w:val="127"/>
        <w:spacing w:before="0" w:after="0" w:line="360" w:lineRule="auto"/>
        <w:ind w:firstLine="520" w:firstLineChars="200"/>
        <w:rPr>
          <w:rFonts w:hint="eastAsia"/>
          <w:color w:val="auto"/>
          <w:szCs w:val="24"/>
          <w:highlight w:val="none"/>
        </w:rPr>
      </w:pPr>
    </w:p>
    <w:p w14:paraId="4B71D297">
      <w:pPr>
        <w:pStyle w:val="127"/>
        <w:spacing w:before="0" w:after="0" w:line="360" w:lineRule="auto"/>
        <w:ind w:firstLine="520" w:firstLineChars="200"/>
        <w:rPr>
          <w:rFonts w:hint="eastAsia"/>
          <w:color w:val="auto"/>
          <w:szCs w:val="24"/>
          <w:highlight w:val="none"/>
        </w:rPr>
      </w:pPr>
    </w:p>
    <w:p w14:paraId="68A8BEA0">
      <w:pPr>
        <w:pStyle w:val="127"/>
        <w:spacing w:before="0" w:after="0" w:line="360" w:lineRule="auto"/>
        <w:ind w:firstLine="520" w:firstLineChars="200"/>
        <w:rPr>
          <w:rFonts w:hint="eastAsia"/>
          <w:color w:val="auto"/>
          <w:szCs w:val="24"/>
          <w:highlight w:val="none"/>
        </w:rPr>
      </w:pPr>
    </w:p>
    <w:p w14:paraId="2CA5DCD0">
      <w:pPr>
        <w:pStyle w:val="127"/>
        <w:spacing w:before="0" w:after="0" w:line="360" w:lineRule="auto"/>
        <w:ind w:firstLine="520" w:firstLineChars="200"/>
        <w:rPr>
          <w:rFonts w:hint="eastAsia"/>
          <w:color w:val="auto"/>
          <w:szCs w:val="24"/>
          <w:highlight w:val="none"/>
        </w:rPr>
      </w:pPr>
    </w:p>
    <w:p w14:paraId="7214E57C">
      <w:pPr>
        <w:pStyle w:val="127"/>
        <w:spacing w:before="0" w:after="0" w:line="360" w:lineRule="auto"/>
        <w:ind w:firstLine="520" w:firstLineChars="200"/>
        <w:rPr>
          <w:rFonts w:hint="eastAsia"/>
          <w:color w:val="auto"/>
          <w:szCs w:val="24"/>
          <w:highlight w:val="none"/>
        </w:rPr>
      </w:pPr>
    </w:p>
    <w:p w14:paraId="26B4C2A8">
      <w:pPr>
        <w:pStyle w:val="127"/>
        <w:spacing w:before="0" w:after="0" w:line="360" w:lineRule="auto"/>
        <w:ind w:firstLine="520" w:firstLineChars="200"/>
        <w:rPr>
          <w:rFonts w:hint="eastAsia"/>
          <w:color w:val="auto"/>
          <w:szCs w:val="24"/>
          <w:highlight w:val="none"/>
        </w:rPr>
      </w:pPr>
    </w:p>
    <w:p w14:paraId="7F9C5D33">
      <w:pPr>
        <w:pStyle w:val="127"/>
        <w:spacing w:before="0" w:after="0" w:line="360" w:lineRule="auto"/>
        <w:ind w:firstLine="520" w:firstLineChars="200"/>
        <w:rPr>
          <w:rFonts w:hint="eastAsia"/>
          <w:color w:val="auto"/>
          <w:szCs w:val="24"/>
          <w:highlight w:val="none"/>
        </w:rPr>
      </w:pPr>
    </w:p>
    <w:p w14:paraId="2CB07A3F">
      <w:pPr>
        <w:pStyle w:val="127"/>
        <w:spacing w:before="0" w:after="0" w:line="360" w:lineRule="auto"/>
        <w:ind w:firstLine="520" w:firstLineChars="200"/>
        <w:rPr>
          <w:rFonts w:hint="eastAsia"/>
          <w:color w:val="auto"/>
          <w:szCs w:val="24"/>
          <w:highlight w:val="none"/>
        </w:rPr>
      </w:pPr>
    </w:p>
    <w:p w14:paraId="094E7B29">
      <w:pPr>
        <w:pStyle w:val="127"/>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124784416"/>
      <w:bookmarkStart w:id="110" w:name="_Toc2719"/>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玉溪职业技术学院（云南省玉溪工业财贸学校）“双优”专业建设（1包）电子商务优质专业专业建设项目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672"/>
      <w:bookmarkStart w:id="112" w:name="_Toc217446086"/>
      <w:bookmarkStart w:id="113" w:name="_Toc14503"/>
      <w:bookmarkStart w:id="114" w:name="_Toc124784417"/>
      <w:bookmarkStart w:id="115" w:name="_Toc15535"/>
      <w:bookmarkStart w:id="116" w:name="_Toc24809"/>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玉溪职业技术学院（云南省玉溪工业财贸学校）“双优”专业建设（1包）电子商务优质专业专业建设项目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3"/>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5"/>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5"/>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5"/>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5"/>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5"/>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5"/>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5"/>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5"/>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5"/>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5"/>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5"/>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5"/>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5"/>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5"/>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5"/>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5"/>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5"/>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5"/>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5"/>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5"/>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5"/>
              <w:jc w:val="center"/>
              <w:rPr>
                <w:b/>
                <w:bCs/>
                <w:snapToGrid w:val="0"/>
                <w:color w:val="auto"/>
                <w:highlight w:val="none"/>
              </w:rPr>
            </w:pPr>
          </w:p>
        </w:tc>
      </w:tr>
    </w:tbl>
    <w:p w14:paraId="50C0B7E3">
      <w:pPr>
        <w:pStyle w:val="105"/>
        <w:spacing w:line="360" w:lineRule="auto"/>
        <w:jc w:val="center"/>
        <w:rPr>
          <w:rFonts w:hint="eastAsia" w:hAnsi="宋体"/>
          <w:bCs/>
          <w:snapToGrid w:val="0"/>
          <w:color w:val="auto"/>
          <w:szCs w:val="24"/>
          <w:highlight w:val="none"/>
        </w:rPr>
      </w:pPr>
    </w:p>
    <w:p w14:paraId="0C5B68E4">
      <w:pPr>
        <w:pStyle w:val="105"/>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12423"/>
      <w:bookmarkStart w:id="118" w:name="_Toc3147"/>
      <w:bookmarkStart w:id="119" w:name="_Toc15581"/>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6"/>
        <w:ind w:firstLine="260"/>
        <w:rPr>
          <w:rFonts w:hint="eastAsia"/>
          <w:color w:val="auto"/>
          <w:sz w:val="24"/>
          <w:szCs w:val="24"/>
          <w:highlight w:val="none"/>
        </w:rPr>
      </w:pPr>
    </w:p>
    <w:p w14:paraId="4F0AB3A5">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6"/>
        <w:adjustRightInd w:val="0"/>
        <w:snapToGrid w:val="0"/>
        <w:spacing w:line="360" w:lineRule="auto"/>
        <w:ind w:firstLine="480" w:firstLineChars="200"/>
        <w:rPr>
          <w:rFonts w:hint="eastAsia" w:cs="仿宋"/>
          <w:color w:val="auto"/>
          <w:sz w:val="24"/>
          <w:szCs w:val="24"/>
          <w:highlight w:val="none"/>
        </w:rPr>
      </w:pPr>
    </w:p>
    <w:p w14:paraId="0C729A1E">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6"/>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6"/>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16457"/>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3DBF490E">
      <w:pPr>
        <w:spacing w:line="360" w:lineRule="auto"/>
        <w:ind w:firstLine="562"/>
        <w:rPr>
          <w:rFonts w:hint="eastAsia"/>
          <w:b/>
          <w:bCs/>
          <w:color w:val="auto"/>
          <w:sz w:val="28"/>
          <w:szCs w:val="28"/>
          <w:highlight w:val="none"/>
        </w:rPr>
      </w:pPr>
      <w:r>
        <w:rPr>
          <w:rFonts w:hint="eastAsia"/>
          <w:b/>
          <w:bCs/>
          <w:color w:val="auto"/>
          <w:sz w:val="28"/>
          <w:szCs w:val="28"/>
          <w:highlight w:val="none"/>
        </w:rPr>
        <w:t>（二）项目实施方案</w:t>
      </w:r>
    </w:p>
    <w:p w14:paraId="0235E56A">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质量承诺及其保证措施</w:t>
      </w:r>
    </w:p>
    <w:p w14:paraId="75056384">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售后服务方案及承诺</w:t>
      </w:r>
    </w:p>
    <w:p w14:paraId="6116762A">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培训承诺及方案</w:t>
      </w:r>
    </w:p>
    <w:p w14:paraId="2EDBFA8E">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节能产品</w:t>
      </w:r>
    </w:p>
    <w:p w14:paraId="649F1B9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rPr>
        <w:t>（</w:t>
      </w:r>
      <w:r>
        <w:rPr>
          <w:rFonts w:hint="eastAsia"/>
          <w:b/>
          <w:bCs/>
          <w:color w:val="auto"/>
          <w:sz w:val="28"/>
          <w:szCs w:val="28"/>
          <w:highlight w:val="none"/>
          <w:lang w:val="en-US" w:eastAsia="zh-CN"/>
        </w:rPr>
        <w:t>八</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2"/>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10EF5AA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2"/>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4"/>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27"/>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27"/>
      <w:framePr w:wrap="around" w:vAnchor="text" w:hAnchor="margin" w:xAlign="center" w:y="1"/>
      <w:rPr>
        <w:rStyle w:val="46"/>
      </w:rPr>
    </w:pPr>
    <w:r>
      <w:fldChar w:fldCharType="begin"/>
    </w:r>
    <w:r>
      <w:rPr>
        <w:rStyle w:val="46"/>
      </w:rPr>
      <w:instrText xml:space="preserve">PAGE  </w:instrText>
    </w:r>
    <w:r>
      <w:fldChar w:fldCharType="separate"/>
    </w:r>
    <w:r>
      <w:rPr>
        <w:rStyle w:val="46"/>
      </w:rPr>
      <w:t>38</w:t>
    </w:r>
    <w:r>
      <w:fldChar w:fldCharType="end"/>
    </w:r>
  </w:p>
  <w:p w14:paraId="174803B5">
    <w:pPr>
      <w:pStyle w:val="27"/>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27"/>
                            <w:rPr>
                              <w:rStyle w:val="46"/>
                              <w:sz w:val="21"/>
                            </w:rPr>
                          </w:pPr>
                          <w:r>
                            <w:rPr>
                              <w:sz w:val="21"/>
                            </w:rPr>
                            <w:fldChar w:fldCharType="begin"/>
                          </w:r>
                          <w:r>
                            <w:rPr>
                              <w:rStyle w:val="46"/>
                              <w:sz w:val="21"/>
                            </w:rPr>
                            <w:instrText xml:space="preserve">Page</w:instrText>
                          </w:r>
                          <w:r>
                            <w:rPr>
                              <w:sz w:val="21"/>
                            </w:rPr>
                            <w:fldChar w:fldCharType="separate"/>
                          </w:r>
                          <w:r>
                            <w:rPr>
                              <w:rStyle w:val="46"/>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27"/>
                      <w:rPr>
                        <w:rStyle w:val="46"/>
                        <w:sz w:val="21"/>
                      </w:rPr>
                    </w:pPr>
                    <w:r>
                      <w:rPr>
                        <w:sz w:val="21"/>
                      </w:rPr>
                      <w:fldChar w:fldCharType="begin"/>
                    </w:r>
                    <w:r>
                      <w:rPr>
                        <w:rStyle w:val="46"/>
                        <w:sz w:val="21"/>
                      </w:rPr>
                      <w:instrText xml:space="preserve">Page</w:instrText>
                    </w:r>
                    <w:r>
                      <w:rPr>
                        <w:sz w:val="21"/>
                      </w:rPr>
                      <w:fldChar w:fldCharType="separate"/>
                    </w:r>
                    <w:r>
                      <w:rPr>
                        <w:rStyle w:val="46"/>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27"/>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27"/>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27"/>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28"/>
      <w:pBdr>
        <w:bottom w:val="single" w:color="auto" w:sz="4" w:space="1"/>
      </w:pBdr>
    </w:pPr>
    <w:r>
      <w:rPr>
        <w:rFonts w:hint="eastAsia"/>
        <w:lang w:eastAsia="zh-CN"/>
      </w:rPr>
      <w:t>玉溪职业技术学院（云南省玉溪工业财贸学校）“双优”专业建设（1包）电子商务优质专业专业建设项目</w:t>
    </w:r>
    <w:r>
      <w:rPr>
        <w:rFonts w:hint="eastAsia"/>
      </w:rPr>
      <w:t xml:space="preserve">  </w:t>
    </w:r>
    <w:r>
      <w:rPr>
        <w:rFonts w:hint="eastAsia"/>
        <w:lang w:val="en-US" w:eastAsia="zh-CN"/>
      </w:rPr>
      <w:t xml:space="preserve"> </w:t>
    </w:r>
    <w:r>
      <w:rPr>
        <w:rFonts w:hint="eastAsia"/>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4"/>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19"/>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abstractNum w:abstractNumId="3">
    <w:nsid w:val="5AA98E06"/>
    <w:multiLevelType w:val="singleLevel"/>
    <w:tmpl w:val="5AA98E06"/>
    <w:lvl w:ilvl="0" w:tentative="0">
      <w:start w:val="24"/>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590097"/>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393DD0"/>
    <w:rsid w:val="05442A03"/>
    <w:rsid w:val="05880995"/>
    <w:rsid w:val="05917228"/>
    <w:rsid w:val="05A4100F"/>
    <w:rsid w:val="05B227CB"/>
    <w:rsid w:val="05BC2DF7"/>
    <w:rsid w:val="05BE041F"/>
    <w:rsid w:val="060F79FE"/>
    <w:rsid w:val="0621639E"/>
    <w:rsid w:val="06327CFF"/>
    <w:rsid w:val="063475BD"/>
    <w:rsid w:val="06755150"/>
    <w:rsid w:val="06BB17CD"/>
    <w:rsid w:val="06E17526"/>
    <w:rsid w:val="06F050B0"/>
    <w:rsid w:val="070A04C4"/>
    <w:rsid w:val="07196284"/>
    <w:rsid w:val="071A6E87"/>
    <w:rsid w:val="072639EB"/>
    <w:rsid w:val="0753678F"/>
    <w:rsid w:val="07612C77"/>
    <w:rsid w:val="07B049C8"/>
    <w:rsid w:val="07BC377A"/>
    <w:rsid w:val="08385AA5"/>
    <w:rsid w:val="085E67C4"/>
    <w:rsid w:val="087025D5"/>
    <w:rsid w:val="087C30FA"/>
    <w:rsid w:val="08F308CA"/>
    <w:rsid w:val="09201E98"/>
    <w:rsid w:val="09365D3D"/>
    <w:rsid w:val="095C2ADC"/>
    <w:rsid w:val="09926ADE"/>
    <w:rsid w:val="09A339CE"/>
    <w:rsid w:val="09AB2883"/>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0FFD42A5"/>
    <w:rsid w:val="10467EF2"/>
    <w:rsid w:val="104C60DD"/>
    <w:rsid w:val="105E54B6"/>
    <w:rsid w:val="10736D7D"/>
    <w:rsid w:val="109127D2"/>
    <w:rsid w:val="10945A92"/>
    <w:rsid w:val="10B16BE8"/>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6343B4"/>
    <w:rsid w:val="12742256"/>
    <w:rsid w:val="12787CDD"/>
    <w:rsid w:val="128F1F44"/>
    <w:rsid w:val="12A01831"/>
    <w:rsid w:val="12A72CD1"/>
    <w:rsid w:val="12BB3B36"/>
    <w:rsid w:val="12BB58E4"/>
    <w:rsid w:val="12BC3979"/>
    <w:rsid w:val="12CA11DC"/>
    <w:rsid w:val="12E84200"/>
    <w:rsid w:val="12F20456"/>
    <w:rsid w:val="130D3C66"/>
    <w:rsid w:val="13147343"/>
    <w:rsid w:val="13212776"/>
    <w:rsid w:val="134A6A7B"/>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A71130"/>
    <w:rsid w:val="15BB5BFB"/>
    <w:rsid w:val="160C28FB"/>
    <w:rsid w:val="16135A37"/>
    <w:rsid w:val="161916A5"/>
    <w:rsid w:val="161D0664"/>
    <w:rsid w:val="164E39A8"/>
    <w:rsid w:val="1666200B"/>
    <w:rsid w:val="16812F1E"/>
    <w:rsid w:val="16933E39"/>
    <w:rsid w:val="16972B79"/>
    <w:rsid w:val="16C66EA7"/>
    <w:rsid w:val="16F50155"/>
    <w:rsid w:val="17063D1F"/>
    <w:rsid w:val="174662BC"/>
    <w:rsid w:val="17930A6E"/>
    <w:rsid w:val="179BF24D"/>
    <w:rsid w:val="17C13E6F"/>
    <w:rsid w:val="17CC10F7"/>
    <w:rsid w:val="17D153FA"/>
    <w:rsid w:val="17DF0476"/>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322C47"/>
    <w:rsid w:val="1D446291"/>
    <w:rsid w:val="1D4E3CCA"/>
    <w:rsid w:val="1D88559D"/>
    <w:rsid w:val="1D927B8A"/>
    <w:rsid w:val="1DAC214C"/>
    <w:rsid w:val="1DCC64A9"/>
    <w:rsid w:val="1DE74171"/>
    <w:rsid w:val="1DE80AB5"/>
    <w:rsid w:val="1DF8224F"/>
    <w:rsid w:val="1E0908B0"/>
    <w:rsid w:val="1E220F0E"/>
    <w:rsid w:val="1E311388"/>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A871F0"/>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0D6BF6"/>
    <w:rsid w:val="231C38B5"/>
    <w:rsid w:val="232144AA"/>
    <w:rsid w:val="23353491"/>
    <w:rsid w:val="233742EF"/>
    <w:rsid w:val="233B28BD"/>
    <w:rsid w:val="23734944"/>
    <w:rsid w:val="237C6F57"/>
    <w:rsid w:val="239B12E1"/>
    <w:rsid w:val="23A15E53"/>
    <w:rsid w:val="23BF2D5B"/>
    <w:rsid w:val="23C93B55"/>
    <w:rsid w:val="23DA1943"/>
    <w:rsid w:val="23DF33FD"/>
    <w:rsid w:val="23F22B88"/>
    <w:rsid w:val="23F724F4"/>
    <w:rsid w:val="23F81101"/>
    <w:rsid w:val="24183C32"/>
    <w:rsid w:val="244D1012"/>
    <w:rsid w:val="246E6CA0"/>
    <w:rsid w:val="247E298F"/>
    <w:rsid w:val="24806EFC"/>
    <w:rsid w:val="24AD02DB"/>
    <w:rsid w:val="24B3176D"/>
    <w:rsid w:val="24C3669D"/>
    <w:rsid w:val="24CE7C0E"/>
    <w:rsid w:val="24FA538D"/>
    <w:rsid w:val="25380D08"/>
    <w:rsid w:val="254C46D1"/>
    <w:rsid w:val="25787F06"/>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7EE6091"/>
    <w:rsid w:val="281371BB"/>
    <w:rsid w:val="2846729E"/>
    <w:rsid w:val="286909E6"/>
    <w:rsid w:val="287E3E37"/>
    <w:rsid w:val="28A21930"/>
    <w:rsid w:val="28BF64BC"/>
    <w:rsid w:val="28FA6546"/>
    <w:rsid w:val="28FC05AD"/>
    <w:rsid w:val="28FF072E"/>
    <w:rsid w:val="290D6316"/>
    <w:rsid w:val="29275D33"/>
    <w:rsid w:val="29483920"/>
    <w:rsid w:val="294E0E09"/>
    <w:rsid w:val="29BB2216"/>
    <w:rsid w:val="2A0B4CC0"/>
    <w:rsid w:val="2A531D2F"/>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4A286E"/>
    <w:rsid w:val="2C7F752B"/>
    <w:rsid w:val="2C90143E"/>
    <w:rsid w:val="2CA6704A"/>
    <w:rsid w:val="2CB126E1"/>
    <w:rsid w:val="2CCE7F4F"/>
    <w:rsid w:val="2CD25C16"/>
    <w:rsid w:val="2CD47877"/>
    <w:rsid w:val="2CD74B1F"/>
    <w:rsid w:val="2CE133F4"/>
    <w:rsid w:val="2D0A79B7"/>
    <w:rsid w:val="2D2C3311"/>
    <w:rsid w:val="2D303048"/>
    <w:rsid w:val="2D550C81"/>
    <w:rsid w:val="2D5C6DC7"/>
    <w:rsid w:val="2D8D5C78"/>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7119AA"/>
    <w:rsid w:val="31713D26"/>
    <w:rsid w:val="318254C8"/>
    <w:rsid w:val="31B5579D"/>
    <w:rsid w:val="31EA5447"/>
    <w:rsid w:val="32186CC0"/>
    <w:rsid w:val="32291836"/>
    <w:rsid w:val="324E3C27"/>
    <w:rsid w:val="325F2B1C"/>
    <w:rsid w:val="326E6EE4"/>
    <w:rsid w:val="3271353A"/>
    <w:rsid w:val="32DB179F"/>
    <w:rsid w:val="32F0569E"/>
    <w:rsid w:val="331C3D26"/>
    <w:rsid w:val="33745A87"/>
    <w:rsid w:val="339629FD"/>
    <w:rsid w:val="339A3939"/>
    <w:rsid w:val="33C2044F"/>
    <w:rsid w:val="340D1254"/>
    <w:rsid w:val="34412275"/>
    <w:rsid w:val="344B7994"/>
    <w:rsid w:val="34847DD4"/>
    <w:rsid w:val="348722BC"/>
    <w:rsid w:val="3488219A"/>
    <w:rsid w:val="34CA2EE2"/>
    <w:rsid w:val="34E1614A"/>
    <w:rsid w:val="35017EB6"/>
    <w:rsid w:val="35060390"/>
    <w:rsid w:val="35610116"/>
    <w:rsid w:val="358640CC"/>
    <w:rsid w:val="35985A6C"/>
    <w:rsid w:val="35D02BA5"/>
    <w:rsid w:val="35DB4E2D"/>
    <w:rsid w:val="35FF490B"/>
    <w:rsid w:val="361B2A2D"/>
    <w:rsid w:val="368340BC"/>
    <w:rsid w:val="36915A38"/>
    <w:rsid w:val="369E36FF"/>
    <w:rsid w:val="36B73A87"/>
    <w:rsid w:val="36BD0622"/>
    <w:rsid w:val="36C3281C"/>
    <w:rsid w:val="36CF4BC9"/>
    <w:rsid w:val="36D8526C"/>
    <w:rsid w:val="36E27A5D"/>
    <w:rsid w:val="37225683"/>
    <w:rsid w:val="372C6501"/>
    <w:rsid w:val="373A6E70"/>
    <w:rsid w:val="37403D5B"/>
    <w:rsid w:val="37662085"/>
    <w:rsid w:val="377C6B83"/>
    <w:rsid w:val="377F1A6E"/>
    <w:rsid w:val="377F80C9"/>
    <w:rsid w:val="378C33A5"/>
    <w:rsid w:val="379B18CA"/>
    <w:rsid w:val="37A874D4"/>
    <w:rsid w:val="37C13D08"/>
    <w:rsid w:val="37C52C3A"/>
    <w:rsid w:val="37DF5369"/>
    <w:rsid w:val="37E4495C"/>
    <w:rsid w:val="37FB6669"/>
    <w:rsid w:val="38392FC7"/>
    <w:rsid w:val="3857047B"/>
    <w:rsid w:val="3861455A"/>
    <w:rsid w:val="386A4B2B"/>
    <w:rsid w:val="386D57C3"/>
    <w:rsid w:val="387F572F"/>
    <w:rsid w:val="38864AC9"/>
    <w:rsid w:val="388D1D44"/>
    <w:rsid w:val="38992830"/>
    <w:rsid w:val="389D428C"/>
    <w:rsid w:val="38E23DE0"/>
    <w:rsid w:val="38EB0A0B"/>
    <w:rsid w:val="38F31085"/>
    <w:rsid w:val="38F44DFD"/>
    <w:rsid w:val="38FE4B0D"/>
    <w:rsid w:val="390E2362"/>
    <w:rsid w:val="39194863"/>
    <w:rsid w:val="39243934"/>
    <w:rsid w:val="393873DF"/>
    <w:rsid w:val="395A2F8B"/>
    <w:rsid w:val="3994461D"/>
    <w:rsid w:val="39BA3D8E"/>
    <w:rsid w:val="39C419CC"/>
    <w:rsid w:val="39D72754"/>
    <w:rsid w:val="39E06CFB"/>
    <w:rsid w:val="39F01A68"/>
    <w:rsid w:val="39FF1067"/>
    <w:rsid w:val="3A0A7060"/>
    <w:rsid w:val="3A192AD7"/>
    <w:rsid w:val="3A1F2164"/>
    <w:rsid w:val="3A2101F6"/>
    <w:rsid w:val="3A48621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C084A"/>
    <w:rsid w:val="3C5F2D2F"/>
    <w:rsid w:val="3CB3130E"/>
    <w:rsid w:val="3CBC5735"/>
    <w:rsid w:val="3CD42B75"/>
    <w:rsid w:val="3CE36F49"/>
    <w:rsid w:val="3CFE3C20"/>
    <w:rsid w:val="3D086E36"/>
    <w:rsid w:val="3D433E68"/>
    <w:rsid w:val="3D572203"/>
    <w:rsid w:val="3D5C3C87"/>
    <w:rsid w:val="3D5F222C"/>
    <w:rsid w:val="3D7F55DD"/>
    <w:rsid w:val="3D8143F6"/>
    <w:rsid w:val="3DA60DBB"/>
    <w:rsid w:val="3DB46340"/>
    <w:rsid w:val="3E1A6B87"/>
    <w:rsid w:val="3E263CAA"/>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34479"/>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4A6219"/>
    <w:rsid w:val="44533E25"/>
    <w:rsid w:val="44647CC4"/>
    <w:rsid w:val="449A0F4E"/>
    <w:rsid w:val="449E56C4"/>
    <w:rsid w:val="44AF173A"/>
    <w:rsid w:val="44BE2808"/>
    <w:rsid w:val="44D12877"/>
    <w:rsid w:val="44D30B3E"/>
    <w:rsid w:val="44DF3370"/>
    <w:rsid w:val="44F1066F"/>
    <w:rsid w:val="44FA19ED"/>
    <w:rsid w:val="452059D0"/>
    <w:rsid w:val="45270B94"/>
    <w:rsid w:val="452A1C86"/>
    <w:rsid w:val="45463DAF"/>
    <w:rsid w:val="45595C53"/>
    <w:rsid w:val="45610E3B"/>
    <w:rsid w:val="45662578"/>
    <w:rsid w:val="458F2321"/>
    <w:rsid w:val="45BD3146"/>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9131272"/>
    <w:rsid w:val="49175104"/>
    <w:rsid w:val="492C0860"/>
    <w:rsid w:val="493D0932"/>
    <w:rsid w:val="496559DC"/>
    <w:rsid w:val="49720597"/>
    <w:rsid w:val="497D0CA1"/>
    <w:rsid w:val="49B760FE"/>
    <w:rsid w:val="49DA7102"/>
    <w:rsid w:val="49EF040C"/>
    <w:rsid w:val="4A084BAC"/>
    <w:rsid w:val="4A80162F"/>
    <w:rsid w:val="4A96711A"/>
    <w:rsid w:val="4A987CDE"/>
    <w:rsid w:val="4ABF69DE"/>
    <w:rsid w:val="4AD056CA"/>
    <w:rsid w:val="4AEC2AA6"/>
    <w:rsid w:val="4B1C7647"/>
    <w:rsid w:val="4B6D0F55"/>
    <w:rsid w:val="4B756271"/>
    <w:rsid w:val="4B9D671D"/>
    <w:rsid w:val="4BAF1EBA"/>
    <w:rsid w:val="4BE647E3"/>
    <w:rsid w:val="4BEA27BB"/>
    <w:rsid w:val="4C5329C8"/>
    <w:rsid w:val="4C6B0FD5"/>
    <w:rsid w:val="4C7622A1"/>
    <w:rsid w:val="4C8963BA"/>
    <w:rsid w:val="4CA37546"/>
    <w:rsid w:val="4CDF7E46"/>
    <w:rsid w:val="4D10656E"/>
    <w:rsid w:val="4D2770F7"/>
    <w:rsid w:val="4D291EF1"/>
    <w:rsid w:val="4D3708BE"/>
    <w:rsid w:val="4D4D1469"/>
    <w:rsid w:val="4D690FAF"/>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A454C"/>
    <w:rsid w:val="4E800AB3"/>
    <w:rsid w:val="4EA12ED9"/>
    <w:rsid w:val="4EB66985"/>
    <w:rsid w:val="4EC35BF5"/>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5F21EF"/>
    <w:rsid w:val="507FAE89"/>
    <w:rsid w:val="509129BD"/>
    <w:rsid w:val="509B4EE0"/>
    <w:rsid w:val="50A65D8D"/>
    <w:rsid w:val="50D55F02"/>
    <w:rsid w:val="50F32112"/>
    <w:rsid w:val="510B1D52"/>
    <w:rsid w:val="51144AB2"/>
    <w:rsid w:val="51234423"/>
    <w:rsid w:val="513A1E07"/>
    <w:rsid w:val="51442B5D"/>
    <w:rsid w:val="516F0EB8"/>
    <w:rsid w:val="51714F59"/>
    <w:rsid w:val="517D5E7F"/>
    <w:rsid w:val="5196726A"/>
    <w:rsid w:val="51BB2504"/>
    <w:rsid w:val="51CF7816"/>
    <w:rsid w:val="51E26E67"/>
    <w:rsid w:val="51EE4687"/>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FF60E1"/>
    <w:rsid w:val="540944D1"/>
    <w:rsid w:val="54224974"/>
    <w:rsid w:val="54260108"/>
    <w:rsid w:val="54336CC9"/>
    <w:rsid w:val="54576BED"/>
    <w:rsid w:val="546358C8"/>
    <w:rsid w:val="546926EB"/>
    <w:rsid w:val="54833275"/>
    <w:rsid w:val="54AC459A"/>
    <w:rsid w:val="54C65448"/>
    <w:rsid w:val="54D949F1"/>
    <w:rsid w:val="54E219D3"/>
    <w:rsid w:val="54E876E2"/>
    <w:rsid w:val="54FB77E7"/>
    <w:rsid w:val="553C751B"/>
    <w:rsid w:val="554448A3"/>
    <w:rsid w:val="554D2CF0"/>
    <w:rsid w:val="554E22D3"/>
    <w:rsid w:val="556744AB"/>
    <w:rsid w:val="55703C60"/>
    <w:rsid w:val="55707695"/>
    <w:rsid w:val="557551FF"/>
    <w:rsid w:val="55777BA0"/>
    <w:rsid w:val="5590350E"/>
    <w:rsid w:val="55BE0F68"/>
    <w:rsid w:val="55E24442"/>
    <w:rsid w:val="562A4684"/>
    <w:rsid w:val="56301712"/>
    <w:rsid w:val="564A5AA2"/>
    <w:rsid w:val="5696590F"/>
    <w:rsid w:val="56971AA4"/>
    <w:rsid w:val="56CB46AD"/>
    <w:rsid w:val="570C7680"/>
    <w:rsid w:val="571D213F"/>
    <w:rsid w:val="5726093E"/>
    <w:rsid w:val="573F2900"/>
    <w:rsid w:val="5770733F"/>
    <w:rsid w:val="57877110"/>
    <w:rsid w:val="578C4726"/>
    <w:rsid w:val="57923D07"/>
    <w:rsid w:val="57B97E77"/>
    <w:rsid w:val="57C318E1"/>
    <w:rsid w:val="57C96E2D"/>
    <w:rsid w:val="57DE5EB8"/>
    <w:rsid w:val="57EA380C"/>
    <w:rsid w:val="57EB6DD2"/>
    <w:rsid w:val="57EF0CA9"/>
    <w:rsid w:val="58240E03"/>
    <w:rsid w:val="58256BC2"/>
    <w:rsid w:val="587B71B7"/>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DF3168"/>
    <w:rsid w:val="61E8733B"/>
    <w:rsid w:val="61FD2BE4"/>
    <w:rsid w:val="62124AE1"/>
    <w:rsid w:val="623B6E88"/>
    <w:rsid w:val="62471840"/>
    <w:rsid w:val="62580741"/>
    <w:rsid w:val="625E694E"/>
    <w:rsid w:val="627C1498"/>
    <w:rsid w:val="62922CCD"/>
    <w:rsid w:val="62992710"/>
    <w:rsid w:val="62AC3ECF"/>
    <w:rsid w:val="62BD38E1"/>
    <w:rsid w:val="62C17915"/>
    <w:rsid w:val="62ED26F4"/>
    <w:rsid w:val="62F9596F"/>
    <w:rsid w:val="62FE04A2"/>
    <w:rsid w:val="63032F62"/>
    <w:rsid w:val="630755A9"/>
    <w:rsid w:val="63084806"/>
    <w:rsid w:val="635A392B"/>
    <w:rsid w:val="63730681"/>
    <w:rsid w:val="637D4ECB"/>
    <w:rsid w:val="639C1066"/>
    <w:rsid w:val="639C3F43"/>
    <w:rsid w:val="639E6557"/>
    <w:rsid w:val="63AC2B49"/>
    <w:rsid w:val="63AE0F7C"/>
    <w:rsid w:val="63BB2B83"/>
    <w:rsid w:val="63E10EDB"/>
    <w:rsid w:val="63F26F27"/>
    <w:rsid w:val="640C617F"/>
    <w:rsid w:val="644545DB"/>
    <w:rsid w:val="64480A16"/>
    <w:rsid w:val="644D32A0"/>
    <w:rsid w:val="648B1196"/>
    <w:rsid w:val="64E01E8E"/>
    <w:rsid w:val="651A0D6E"/>
    <w:rsid w:val="65247369"/>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B37C36"/>
    <w:rsid w:val="66CD6B09"/>
    <w:rsid w:val="673D3C4E"/>
    <w:rsid w:val="675363F3"/>
    <w:rsid w:val="67601C72"/>
    <w:rsid w:val="67790849"/>
    <w:rsid w:val="67827569"/>
    <w:rsid w:val="6787202D"/>
    <w:rsid w:val="67D76336"/>
    <w:rsid w:val="67DC5685"/>
    <w:rsid w:val="68006923"/>
    <w:rsid w:val="68037C35"/>
    <w:rsid w:val="68161E62"/>
    <w:rsid w:val="685272B7"/>
    <w:rsid w:val="68577B6F"/>
    <w:rsid w:val="68816696"/>
    <w:rsid w:val="68A2033A"/>
    <w:rsid w:val="68A80B56"/>
    <w:rsid w:val="68BC67C9"/>
    <w:rsid w:val="68BE72C2"/>
    <w:rsid w:val="68DD74D8"/>
    <w:rsid w:val="68DF11F7"/>
    <w:rsid w:val="68FD6097"/>
    <w:rsid w:val="68FF541F"/>
    <w:rsid w:val="691B6CFF"/>
    <w:rsid w:val="6956014B"/>
    <w:rsid w:val="6957654C"/>
    <w:rsid w:val="6957A84B"/>
    <w:rsid w:val="697531CB"/>
    <w:rsid w:val="69967613"/>
    <w:rsid w:val="69A2653C"/>
    <w:rsid w:val="69E82770"/>
    <w:rsid w:val="69E82BD0"/>
    <w:rsid w:val="69F14757"/>
    <w:rsid w:val="69F22593"/>
    <w:rsid w:val="6A171978"/>
    <w:rsid w:val="6A3A44B6"/>
    <w:rsid w:val="6A4D299E"/>
    <w:rsid w:val="6A5D4D8D"/>
    <w:rsid w:val="6A6644D7"/>
    <w:rsid w:val="6A753493"/>
    <w:rsid w:val="6A8B2FC3"/>
    <w:rsid w:val="6A8C64CA"/>
    <w:rsid w:val="6AAC482C"/>
    <w:rsid w:val="6AD2102D"/>
    <w:rsid w:val="6AD87D18"/>
    <w:rsid w:val="6AEA3242"/>
    <w:rsid w:val="6AF219AB"/>
    <w:rsid w:val="6AF777CB"/>
    <w:rsid w:val="6B3158B9"/>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3C3656"/>
    <w:rsid w:val="6D4B09C6"/>
    <w:rsid w:val="6D4F0278"/>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51A24"/>
    <w:rsid w:val="6E2D2550"/>
    <w:rsid w:val="6E7F77A8"/>
    <w:rsid w:val="6ED5494E"/>
    <w:rsid w:val="6EE60C59"/>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F755A4"/>
    <w:rsid w:val="71324EF7"/>
    <w:rsid w:val="71737A58"/>
    <w:rsid w:val="718A65D1"/>
    <w:rsid w:val="71922E29"/>
    <w:rsid w:val="71A32AFB"/>
    <w:rsid w:val="71F75E09"/>
    <w:rsid w:val="72203F91"/>
    <w:rsid w:val="72455590"/>
    <w:rsid w:val="7251199A"/>
    <w:rsid w:val="729F5AC3"/>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315237"/>
    <w:rsid w:val="75435E61"/>
    <w:rsid w:val="75575F1C"/>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DB2B7D"/>
    <w:rsid w:val="76E11454"/>
    <w:rsid w:val="76E94B74"/>
    <w:rsid w:val="770E6AAE"/>
    <w:rsid w:val="773B2BD1"/>
    <w:rsid w:val="774C7428"/>
    <w:rsid w:val="776B6C5F"/>
    <w:rsid w:val="77796312"/>
    <w:rsid w:val="777A3CCE"/>
    <w:rsid w:val="777E3EB8"/>
    <w:rsid w:val="777F80B3"/>
    <w:rsid w:val="77815E20"/>
    <w:rsid w:val="77832A4C"/>
    <w:rsid w:val="77943BD8"/>
    <w:rsid w:val="77953A1D"/>
    <w:rsid w:val="779D6099"/>
    <w:rsid w:val="77BC475C"/>
    <w:rsid w:val="77D05B9F"/>
    <w:rsid w:val="77D865E4"/>
    <w:rsid w:val="77DF20C2"/>
    <w:rsid w:val="77F35CA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5C0BA9"/>
    <w:rsid w:val="797319EC"/>
    <w:rsid w:val="798557B2"/>
    <w:rsid w:val="7985C1CB"/>
    <w:rsid w:val="798A3C76"/>
    <w:rsid w:val="798C0E79"/>
    <w:rsid w:val="79A722B9"/>
    <w:rsid w:val="79AC251D"/>
    <w:rsid w:val="79B02CAD"/>
    <w:rsid w:val="79BA0604"/>
    <w:rsid w:val="79C95D4D"/>
    <w:rsid w:val="79F3642F"/>
    <w:rsid w:val="7A2A11B1"/>
    <w:rsid w:val="7A5A7945"/>
    <w:rsid w:val="7A7E24D7"/>
    <w:rsid w:val="7A822729"/>
    <w:rsid w:val="7AFB5F2F"/>
    <w:rsid w:val="7B10790B"/>
    <w:rsid w:val="7B111C85"/>
    <w:rsid w:val="7B2B64DD"/>
    <w:rsid w:val="7B4306BE"/>
    <w:rsid w:val="7B473D7F"/>
    <w:rsid w:val="7B6E5F0B"/>
    <w:rsid w:val="7B716301"/>
    <w:rsid w:val="7B7CE564"/>
    <w:rsid w:val="7B931C78"/>
    <w:rsid w:val="7B9C51C9"/>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3F20B7"/>
    <w:rsid w:val="7D48349E"/>
    <w:rsid w:val="7D543CAC"/>
    <w:rsid w:val="7D5D42EC"/>
    <w:rsid w:val="7D8E0949"/>
    <w:rsid w:val="7D8E6B9B"/>
    <w:rsid w:val="7D970DFD"/>
    <w:rsid w:val="7D9D2EC1"/>
    <w:rsid w:val="7DBD1E1F"/>
    <w:rsid w:val="7DD6A077"/>
    <w:rsid w:val="7DEFCDC2"/>
    <w:rsid w:val="7DF86EF6"/>
    <w:rsid w:val="7DFC2364"/>
    <w:rsid w:val="7E2F1A24"/>
    <w:rsid w:val="7E775881"/>
    <w:rsid w:val="7E8A6E19"/>
    <w:rsid w:val="7EB20D47"/>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7"/>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2"/>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4"/>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79"/>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3"/>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
    <w:link w:val="101"/>
    <w:qFormat/>
    <w:uiPriority w:val="99"/>
    <w:rPr>
      <w:rFonts w:ascii="金山简黑体" w:hAnsi="金山简黑体" w:eastAsia="金山简黑体"/>
      <w:b/>
      <w:spacing w:val="-8"/>
      <w:sz w:val="44"/>
      <w:szCs w:val="20"/>
    </w:rPr>
  </w:style>
  <w:style w:type="paragraph" w:styleId="18">
    <w:name w:val="Body Text Indent"/>
    <w:basedOn w:val="1"/>
    <w:next w:val="19"/>
    <w:qFormat/>
    <w:uiPriority w:val="0"/>
    <w:pPr>
      <w:spacing w:line="200" w:lineRule="exact"/>
      <w:ind w:firstLine="301"/>
    </w:pPr>
    <w:rPr>
      <w:spacing w:val="-4"/>
      <w:sz w:val="18"/>
      <w:szCs w:val="20"/>
    </w:rPr>
  </w:style>
  <w:style w:type="paragraph" w:customStyle="1" w:styleId="19">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0">
    <w:name w:val="toc 5"/>
    <w:basedOn w:val="1"/>
    <w:next w:val="1"/>
    <w:semiHidden/>
    <w:qFormat/>
    <w:uiPriority w:val="0"/>
    <w:pPr>
      <w:ind w:left="840"/>
    </w:pPr>
    <w:rPr>
      <w:sz w:val="18"/>
      <w:szCs w:val="18"/>
    </w:rPr>
  </w:style>
  <w:style w:type="paragraph" w:styleId="21">
    <w:name w:val="toc 3"/>
    <w:basedOn w:val="1"/>
    <w:next w:val="1"/>
    <w:semiHidden/>
    <w:qFormat/>
    <w:uiPriority w:val="0"/>
    <w:pPr>
      <w:ind w:left="420"/>
    </w:pPr>
    <w:rPr>
      <w:i/>
      <w:iCs/>
      <w:sz w:val="20"/>
      <w:szCs w:val="20"/>
    </w:rPr>
  </w:style>
  <w:style w:type="paragraph" w:styleId="22">
    <w:name w:val="Plain Text"/>
    <w:basedOn w:val="1"/>
    <w:next w:val="12"/>
    <w:link w:val="62"/>
    <w:qFormat/>
    <w:uiPriority w:val="99"/>
    <w:pPr>
      <w:adjustRightInd w:val="0"/>
      <w:snapToGrid w:val="0"/>
      <w:spacing w:line="360" w:lineRule="auto"/>
      <w:jc w:val="center"/>
    </w:pPr>
    <w:rPr>
      <w:sz w:val="21"/>
      <w:szCs w:val="21"/>
    </w:rPr>
  </w:style>
  <w:style w:type="paragraph" w:styleId="23">
    <w:name w:val="toc 8"/>
    <w:basedOn w:val="1"/>
    <w:next w:val="1"/>
    <w:semiHidden/>
    <w:qFormat/>
    <w:uiPriority w:val="0"/>
    <w:pPr>
      <w:ind w:left="1470"/>
    </w:pPr>
    <w:rPr>
      <w:sz w:val="18"/>
      <w:szCs w:val="18"/>
    </w:rPr>
  </w:style>
  <w:style w:type="paragraph" w:styleId="24">
    <w:name w:val="Date"/>
    <w:basedOn w:val="1"/>
    <w:next w:val="1"/>
    <w:link w:val="141"/>
    <w:qFormat/>
    <w:uiPriority w:val="99"/>
    <w:rPr>
      <w:szCs w:val="20"/>
    </w:rPr>
  </w:style>
  <w:style w:type="paragraph" w:styleId="25">
    <w:name w:val="Body Text Indent 2"/>
    <w:basedOn w:val="1"/>
    <w:qFormat/>
    <w:uiPriority w:val="0"/>
    <w:pPr>
      <w:spacing w:after="120" w:line="480" w:lineRule="auto"/>
      <w:ind w:left="200" w:leftChars="200"/>
    </w:pPr>
  </w:style>
  <w:style w:type="paragraph" w:styleId="26">
    <w:name w:val="Balloon Text"/>
    <w:basedOn w:val="1"/>
    <w:qFormat/>
    <w:uiPriority w:val="0"/>
    <w:rPr>
      <w:sz w:val="18"/>
      <w:szCs w:val="18"/>
    </w:rPr>
  </w:style>
  <w:style w:type="paragraph" w:styleId="27">
    <w:name w:val="footer"/>
    <w:basedOn w:val="1"/>
    <w:link w:val="77"/>
    <w:qFormat/>
    <w:uiPriority w:val="99"/>
    <w:pPr>
      <w:tabs>
        <w:tab w:val="center" w:pos="4153"/>
        <w:tab w:val="right" w:pos="8306"/>
      </w:tabs>
      <w:snapToGrid w:val="0"/>
    </w:pPr>
    <w:rPr>
      <w:rFonts w:hAnsi="Calibri" w:cs="Times New Roman"/>
      <w:kern w:val="2"/>
      <w:sz w:val="18"/>
      <w:szCs w:val="20"/>
    </w:rPr>
  </w:style>
  <w:style w:type="paragraph" w:styleId="28">
    <w:name w:val="header"/>
    <w:basedOn w:val="1"/>
    <w:link w:val="80"/>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29">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0">
    <w:name w:val="toc 4"/>
    <w:basedOn w:val="1"/>
    <w:next w:val="1"/>
    <w:semiHidden/>
    <w:qFormat/>
    <w:uiPriority w:val="0"/>
    <w:pPr>
      <w:ind w:left="630"/>
    </w:pPr>
    <w:rPr>
      <w:sz w:val="18"/>
      <w:szCs w:val="18"/>
    </w:rPr>
  </w:style>
  <w:style w:type="paragraph" w:styleId="31">
    <w:name w:val="Subtitle"/>
    <w:basedOn w:val="1"/>
    <w:qFormat/>
    <w:uiPriority w:val="0"/>
    <w:rPr>
      <w:rFonts w:cs="Century"/>
      <w:lang w:eastAsia="en-US" w:bidi="he-IL"/>
    </w:rPr>
  </w:style>
  <w:style w:type="paragraph" w:styleId="32">
    <w:name w:val="toc 6"/>
    <w:basedOn w:val="1"/>
    <w:next w:val="1"/>
    <w:semiHidden/>
    <w:qFormat/>
    <w:uiPriority w:val="0"/>
    <w:pPr>
      <w:ind w:left="1050"/>
    </w:pPr>
    <w:rPr>
      <w:sz w:val="18"/>
      <w:szCs w:val="18"/>
    </w:rPr>
  </w:style>
  <w:style w:type="paragraph" w:styleId="33">
    <w:name w:val="Body Text Indent 3"/>
    <w:basedOn w:val="1"/>
    <w:qFormat/>
    <w:uiPriority w:val="0"/>
    <w:pPr>
      <w:spacing w:line="400" w:lineRule="exact"/>
      <w:ind w:left="360"/>
    </w:pPr>
  </w:style>
  <w:style w:type="paragraph" w:styleId="34">
    <w:name w:val="toc 2"/>
    <w:basedOn w:val="1"/>
    <w:next w:val="1"/>
    <w:qFormat/>
    <w:uiPriority w:val="39"/>
    <w:pPr>
      <w:ind w:left="210"/>
    </w:pPr>
    <w:rPr>
      <w:smallCaps/>
      <w:sz w:val="20"/>
      <w:szCs w:val="20"/>
    </w:rPr>
  </w:style>
  <w:style w:type="paragraph" w:styleId="35">
    <w:name w:val="toc 9"/>
    <w:basedOn w:val="1"/>
    <w:next w:val="1"/>
    <w:semiHidden/>
    <w:qFormat/>
    <w:uiPriority w:val="0"/>
    <w:pPr>
      <w:ind w:left="1680"/>
    </w:pPr>
    <w:rPr>
      <w:sz w:val="18"/>
      <w:szCs w:val="18"/>
    </w:rPr>
  </w:style>
  <w:style w:type="paragraph" w:styleId="36">
    <w:name w:val="Body Text 2"/>
    <w:basedOn w:val="1"/>
    <w:qFormat/>
    <w:uiPriority w:val="0"/>
    <w:rPr>
      <w:sz w:val="13"/>
      <w:szCs w:val="20"/>
    </w:rPr>
  </w:style>
  <w:style w:type="paragraph" w:styleId="37">
    <w:name w:val="HTML Preformatted"/>
    <w:basedOn w:val="1"/>
    <w:link w:val="202"/>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38">
    <w:name w:val="Normal (Web)"/>
    <w:basedOn w:val="1"/>
    <w:qFormat/>
    <w:uiPriority w:val="99"/>
    <w:pPr>
      <w:spacing w:before="100" w:beforeAutospacing="1" w:after="100" w:afterAutospacing="1"/>
    </w:pPr>
  </w:style>
  <w:style w:type="paragraph" w:styleId="39">
    <w:name w:val="Title"/>
    <w:basedOn w:val="1"/>
    <w:qFormat/>
    <w:uiPriority w:val="0"/>
    <w:pPr>
      <w:shd w:val="pct10" w:color="auto" w:fill="auto"/>
      <w:jc w:val="center"/>
    </w:pPr>
    <w:rPr>
      <w:rFonts w:cs="Century"/>
      <w:b/>
      <w:bCs/>
      <w:snapToGrid w:val="0"/>
      <w:sz w:val="32"/>
      <w:szCs w:val="32"/>
      <w:bdr w:val="single" w:color="auto" w:sz="4" w:space="0"/>
      <w:lang w:eastAsia="en-US" w:bidi="he-IL"/>
    </w:rPr>
  </w:style>
  <w:style w:type="paragraph" w:styleId="40">
    <w:name w:val="annotation subject"/>
    <w:basedOn w:val="15"/>
    <w:next w:val="15"/>
    <w:link w:val="64"/>
    <w:qFormat/>
    <w:uiPriority w:val="0"/>
    <w:rPr>
      <w:b/>
      <w:bCs/>
    </w:rPr>
  </w:style>
  <w:style w:type="paragraph" w:styleId="41">
    <w:name w:val="Body Text First Indent 2"/>
    <w:basedOn w:val="18"/>
    <w:next w:val="1"/>
    <w:qFormat/>
    <w:uiPriority w:val="99"/>
    <w:pPr>
      <w:spacing w:after="120" w:line="240" w:lineRule="auto"/>
      <w:ind w:left="420" w:leftChars="200" w:firstLine="420" w:firstLineChars="200"/>
    </w:pPr>
    <w:rPr>
      <w:szCs w:val="24"/>
    </w:rPr>
  </w:style>
  <w:style w:type="table" w:styleId="43">
    <w:name w:val="Table Grid"/>
    <w:basedOn w:val="4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rPr>
  </w:style>
  <w:style w:type="character" w:styleId="46">
    <w:name w:val="page number"/>
    <w:qFormat/>
    <w:uiPriority w:val="0"/>
  </w:style>
  <w:style w:type="character" w:styleId="47">
    <w:name w:val="FollowedHyperlink"/>
    <w:qFormat/>
    <w:uiPriority w:val="99"/>
    <w:rPr>
      <w:color w:val="555555"/>
      <w:u w:val="none"/>
    </w:rPr>
  </w:style>
  <w:style w:type="character" w:styleId="48">
    <w:name w:val="Emphasis"/>
    <w:qFormat/>
    <w:uiPriority w:val="20"/>
    <w:rPr>
      <w:i/>
    </w:rPr>
  </w:style>
  <w:style w:type="character" w:styleId="49">
    <w:name w:val="HTML Definition"/>
    <w:qFormat/>
    <w:uiPriority w:val="0"/>
  </w:style>
  <w:style w:type="character" w:styleId="50">
    <w:name w:val="HTML Acronym"/>
    <w:qFormat/>
    <w:uiPriority w:val="0"/>
  </w:style>
  <w:style w:type="character" w:styleId="51">
    <w:name w:val="HTML Variable"/>
    <w:qFormat/>
    <w:uiPriority w:val="0"/>
  </w:style>
  <w:style w:type="character" w:styleId="52">
    <w:name w:val="Hyperlink"/>
    <w:qFormat/>
    <w:uiPriority w:val="99"/>
    <w:rPr>
      <w:color w:val="000000"/>
      <w:sz w:val="18"/>
      <w:szCs w:val="18"/>
      <w:u w:val="none"/>
    </w:rPr>
  </w:style>
  <w:style w:type="character" w:styleId="53">
    <w:name w:val="HTML Code"/>
    <w:qFormat/>
    <w:uiPriority w:val="0"/>
    <w:rPr>
      <w:rFonts w:ascii="monospace" w:hAnsi="monospace" w:eastAsia="monospace" w:cs="monospace"/>
      <w:sz w:val="24"/>
      <w:szCs w:val="24"/>
    </w:rPr>
  </w:style>
  <w:style w:type="character" w:styleId="54">
    <w:name w:val="annotation reference"/>
    <w:qFormat/>
    <w:uiPriority w:val="0"/>
    <w:rPr>
      <w:sz w:val="21"/>
      <w:szCs w:val="21"/>
    </w:rPr>
  </w:style>
  <w:style w:type="character" w:styleId="55">
    <w:name w:val="HTML Cite"/>
    <w:qFormat/>
    <w:uiPriority w:val="0"/>
  </w:style>
  <w:style w:type="character" w:styleId="56">
    <w:name w:val="HTML Keyboard"/>
    <w:qFormat/>
    <w:uiPriority w:val="0"/>
    <w:rPr>
      <w:rFonts w:hint="default" w:ascii="monospace" w:hAnsi="monospace" w:eastAsia="monospace" w:cs="monospace"/>
      <w:sz w:val="24"/>
      <w:szCs w:val="24"/>
    </w:rPr>
  </w:style>
  <w:style w:type="character" w:styleId="57">
    <w:name w:val="HTML Sample"/>
    <w:qFormat/>
    <w:uiPriority w:val="0"/>
    <w:rPr>
      <w:rFonts w:hint="default" w:ascii="monospace" w:hAnsi="monospace" w:eastAsia="monospace" w:cs="monospace"/>
      <w:sz w:val="24"/>
      <w:szCs w:val="24"/>
    </w:rPr>
  </w:style>
  <w:style w:type="character" w:customStyle="1" w:styleId="58">
    <w:name w:val="orange"/>
    <w:qFormat/>
    <w:uiPriority w:val="0"/>
    <w:rPr>
      <w:color w:val="3FB58F"/>
    </w:rPr>
  </w:style>
  <w:style w:type="character" w:customStyle="1" w:styleId="59">
    <w:name w:val="style41"/>
    <w:qFormat/>
    <w:uiPriority w:val="0"/>
  </w:style>
  <w:style w:type="character" w:customStyle="1" w:styleId="60">
    <w:name w:val="t-tag"/>
    <w:qFormat/>
    <w:uiPriority w:val="0"/>
    <w:rPr>
      <w:color w:val="FFFFFF"/>
      <w:sz w:val="18"/>
      <w:szCs w:val="18"/>
      <w:shd w:val="clear" w:color="auto" w:fill="FE8833"/>
    </w:rPr>
  </w:style>
  <w:style w:type="character" w:customStyle="1" w:styleId="61">
    <w:name w:val="tip"/>
    <w:qFormat/>
    <w:uiPriority w:val="0"/>
    <w:rPr>
      <w:vanish/>
      <w:color w:val="FF0000"/>
      <w:sz w:val="18"/>
      <w:szCs w:val="18"/>
    </w:rPr>
  </w:style>
  <w:style w:type="character" w:customStyle="1" w:styleId="62">
    <w:name w:val="纯文本 字符"/>
    <w:link w:val="22"/>
    <w:qFormat/>
    <w:uiPriority w:val="99"/>
    <w:rPr>
      <w:rFonts w:ascii="宋体" w:hAnsi="宋体" w:cs="宋体"/>
      <w:sz w:val="21"/>
      <w:szCs w:val="21"/>
    </w:rPr>
  </w:style>
  <w:style w:type="character" w:customStyle="1" w:styleId="63">
    <w:name w:val="ui-bz-bg-hover1"/>
    <w:qFormat/>
    <w:uiPriority w:val="0"/>
  </w:style>
  <w:style w:type="character" w:customStyle="1" w:styleId="64">
    <w:name w:val="批注主题 字符"/>
    <w:link w:val="40"/>
    <w:qFormat/>
    <w:uiPriority w:val="0"/>
    <w:rPr>
      <w:b/>
      <w:bCs/>
      <w:kern w:val="2"/>
      <w:sz w:val="21"/>
      <w:szCs w:val="24"/>
    </w:rPr>
  </w:style>
  <w:style w:type="character" w:customStyle="1" w:styleId="65">
    <w:name w:val="no42"/>
    <w:qFormat/>
    <w:uiPriority w:val="0"/>
  </w:style>
  <w:style w:type="character" w:customStyle="1" w:styleId="66">
    <w:name w:val="f-star"/>
    <w:qFormat/>
    <w:uiPriority w:val="0"/>
    <w:rPr>
      <w:color w:val="999999"/>
      <w:sz w:val="21"/>
      <w:szCs w:val="21"/>
    </w:rPr>
  </w:style>
  <w:style w:type="character" w:customStyle="1" w:styleId="67">
    <w:name w:val="标题 1 字符"/>
    <w:link w:val="2"/>
    <w:qFormat/>
    <w:uiPriority w:val="0"/>
    <w:rPr>
      <w:rFonts w:eastAsia="黑体"/>
      <w:b/>
      <w:kern w:val="44"/>
      <w:sz w:val="28"/>
      <w:szCs w:val="20"/>
    </w:rPr>
  </w:style>
  <w:style w:type="character" w:customStyle="1" w:styleId="68">
    <w:name w:val="filelddbnamecss"/>
    <w:qFormat/>
    <w:uiPriority w:val="0"/>
  </w:style>
  <w:style w:type="character" w:customStyle="1" w:styleId="69">
    <w:name w:val="bds_nopic2"/>
    <w:qFormat/>
    <w:uiPriority w:val="0"/>
  </w:style>
  <w:style w:type="character" w:customStyle="1" w:styleId="70">
    <w:name w:val="no4"/>
    <w:qFormat/>
    <w:uiPriority w:val="0"/>
  </w:style>
  <w:style w:type="character" w:customStyle="1" w:styleId="71">
    <w:name w:val="grame"/>
    <w:qFormat/>
    <w:uiPriority w:val="0"/>
  </w:style>
  <w:style w:type="character" w:customStyle="1" w:styleId="72">
    <w:name w:val="标题 2 字符"/>
    <w:link w:val="3"/>
    <w:qFormat/>
    <w:uiPriority w:val="0"/>
    <w:rPr>
      <w:rFonts w:ascii="宋体" w:hAnsi="宋体"/>
      <w:b/>
      <w:sz w:val="28"/>
      <w:szCs w:val="28"/>
    </w:rPr>
  </w:style>
  <w:style w:type="character" w:customStyle="1" w:styleId="73">
    <w:name w:val="bds_nopic"/>
    <w:qFormat/>
    <w:uiPriority w:val="0"/>
  </w:style>
  <w:style w:type="character" w:customStyle="1" w:styleId="74">
    <w:name w:val="black1"/>
    <w:qFormat/>
    <w:uiPriority w:val="0"/>
    <w:rPr>
      <w:rFonts w:hint="default" w:ascii="ˎ̥" w:hAnsi="ˎ̥"/>
      <w:color w:val="333333"/>
      <w:sz w:val="18"/>
      <w:szCs w:val="18"/>
      <w:u w:val="none"/>
    </w:rPr>
  </w:style>
  <w:style w:type="character" w:customStyle="1" w:styleId="75">
    <w:name w:val="org_name2"/>
    <w:qFormat/>
    <w:uiPriority w:val="0"/>
  </w:style>
  <w:style w:type="character" w:customStyle="1" w:styleId="76">
    <w:name w:val="org_name"/>
    <w:qFormat/>
    <w:uiPriority w:val="0"/>
  </w:style>
  <w:style w:type="character" w:customStyle="1" w:styleId="77">
    <w:name w:val="页脚 字符"/>
    <w:link w:val="27"/>
    <w:qFormat/>
    <w:uiPriority w:val="99"/>
    <w:rPr>
      <w:rFonts w:ascii="宋体"/>
      <w:kern w:val="2"/>
      <w:sz w:val="18"/>
    </w:rPr>
  </w:style>
  <w:style w:type="character" w:customStyle="1" w:styleId="78">
    <w:name w:val="top-icon"/>
    <w:qFormat/>
    <w:uiPriority w:val="0"/>
  </w:style>
  <w:style w:type="character" w:customStyle="1" w:styleId="79">
    <w:name w:val="正文缩进 字符"/>
    <w:link w:val="13"/>
    <w:qFormat/>
    <w:uiPriority w:val="0"/>
    <w:rPr>
      <w:kern w:val="2"/>
      <w:sz w:val="21"/>
    </w:rPr>
  </w:style>
  <w:style w:type="character" w:customStyle="1" w:styleId="80">
    <w:name w:val="页眉 字符"/>
    <w:link w:val="28"/>
    <w:qFormat/>
    <w:uiPriority w:val="99"/>
    <w:rPr>
      <w:kern w:val="2"/>
      <w:sz w:val="18"/>
      <w:szCs w:val="18"/>
    </w:rPr>
  </w:style>
  <w:style w:type="character" w:customStyle="1" w:styleId="81">
    <w:name w:val="Char Char"/>
    <w:qFormat/>
    <w:uiPriority w:val="0"/>
    <w:rPr>
      <w:rFonts w:ascii="宋体" w:eastAsia="宋体"/>
      <w:kern w:val="2"/>
      <w:sz w:val="21"/>
      <w:lang w:val="en-US" w:eastAsia="zh-CN" w:bidi="ar-SA"/>
    </w:rPr>
  </w:style>
  <w:style w:type="character" w:customStyle="1" w:styleId="82">
    <w:name w:val="纯文本 Char"/>
    <w:qFormat/>
    <w:uiPriority w:val="0"/>
    <w:rPr>
      <w:rFonts w:ascii="宋体" w:eastAsia="宋体"/>
      <w:kern w:val="2"/>
      <w:sz w:val="21"/>
      <w:lang w:val="en-US" w:eastAsia="zh-CN" w:bidi="ar-SA"/>
    </w:rPr>
  </w:style>
  <w:style w:type="character" w:customStyle="1" w:styleId="83">
    <w:name w:val="正文缩进 Char"/>
    <w:qFormat/>
    <w:uiPriority w:val="0"/>
  </w:style>
  <w:style w:type="character" w:customStyle="1" w:styleId="84">
    <w:name w:val="my-notice1"/>
    <w:qFormat/>
    <w:uiPriority w:val="0"/>
  </w:style>
  <w:style w:type="character" w:customStyle="1" w:styleId="85">
    <w:name w:val="bds_more2"/>
    <w:qFormat/>
    <w:uiPriority w:val="0"/>
  </w:style>
  <w:style w:type="character" w:customStyle="1" w:styleId="86">
    <w:name w:val="ui-bz-bg-hover"/>
    <w:qFormat/>
    <w:uiPriority w:val="0"/>
    <w:rPr>
      <w:shd w:val="clear" w:color="auto" w:fill="000000"/>
    </w:rPr>
  </w:style>
  <w:style w:type="character" w:customStyle="1" w:styleId="87">
    <w:name w:val="bds_more"/>
    <w:qFormat/>
    <w:uiPriority w:val="0"/>
  </w:style>
  <w:style w:type="character" w:customStyle="1" w:styleId="88">
    <w:name w:val="bds_more1"/>
    <w:qFormat/>
    <w:uiPriority w:val="0"/>
    <w:rPr>
      <w:rFonts w:hint="eastAsia" w:ascii="宋体" w:hAnsi="宋体" w:eastAsia="宋体" w:cs="宋体"/>
    </w:rPr>
  </w:style>
  <w:style w:type="character" w:customStyle="1" w:styleId="89">
    <w:name w:val="tip6"/>
    <w:qFormat/>
    <w:uiPriority w:val="0"/>
    <w:rPr>
      <w:vanish/>
      <w:color w:val="FF0000"/>
      <w:sz w:val="18"/>
      <w:szCs w:val="18"/>
    </w:rPr>
  </w:style>
  <w:style w:type="character" w:customStyle="1" w:styleId="90">
    <w:name w:val="apple-converted-space"/>
    <w:qFormat/>
    <w:uiPriority w:val="0"/>
  </w:style>
  <w:style w:type="character" w:customStyle="1" w:styleId="91">
    <w:name w:val="no62"/>
    <w:qFormat/>
    <w:uiPriority w:val="0"/>
  </w:style>
  <w:style w:type="character" w:customStyle="1" w:styleId="92">
    <w:name w:val="orange6"/>
    <w:qFormat/>
    <w:uiPriority w:val="0"/>
    <w:rPr>
      <w:color w:val="3FB58F"/>
    </w:rPr>
  </w:style>
  <w:style w:type="character" w:customStyle="1" w:styleId="93">
    <w:name w:val="批注文字 字符"/>
    <w:link w:val="15"/>
    <w:qFormat/>
    <w:uiPriority w:val="99"/>
    <w:rPr>
      <w:kern w:val="2"/>
      <w:sz w:val="21"/>
      <w:szCs w:val="24"/>
    </w:rPr>
  </w:style>
  <w:style w:type="character" w:customStyle="1" w:styleId="94">
    <w:name w:val="no6"/>
    <w:qFormat/>
    <w:uiPriority w:val="0"/>
  </w:style>
  <w:style w:type="character" w:customStyle="1" w:styleId="95">
    <w:name w:val="no52"/>
    <w:qFormat/>
    <w:uiPriority w:val="0"/>
  </w:style>
  <w:style w:type="character" w:customStyle="1" w:styleId="96">
    <w:name w:val="my-class"/>
    <w:qFormat/>
    <w:uiPriority w:val="0"/>
  </w:style>
  <w:style w:type="character" w:customStyle="1" w:styleId="97">
    <w:name w:val="列出段落 Char"/>
    <w:link w:val="98"/>
    <w:qFormat/>
    <w:locked/>
    <w:uiPriority w:val="0"/>
    <w:rPr>
      <w:rFonts w:ascii="宋体" w:hAnsi="宋体" w:cs="宋体"/>
      <w:sz w:val="24"/>
      <w:szCs w:val="24"/>
    </w:rPr>
  </w:style>
  <w:style w:type="paragraph" w:customStyle="1" w:styleId="98">
    <w:name w:val="列出段落1"/>
    <w:basedOn w:val="1"/>
    <w:link w:val="97"/>
    <w:qFormat/>
    <w:uiPriority w:val="34"/>
    <w:pPr>
      <w:ind w:firstLine="420" w:firstLineChars="200"/>
    </w:pPr>
    <w:rPr>
      <w:rFonts w:cs="Times New Roman"/>
    </w:rPr>
  </w:style>
  <w:style w:type="character" w:customStyle="1" w:styleId="99">
    <w:name w:val="no72"/>
    <w:qFormat/>
    <w:uiPriority w:val="0"/>
  </w:style>
  <w:style w:type="character" w:customStyle="1" w:styleId="100">
    <w:name w:val="bds_nopic1"/>
    <w:qFormat/>
    <w:uiPriority w:val="0"/>
  </w:style>
  <w:style w:type="character" w:customStyle="1" w:styleId="101">
    <w:name w:val="正文文本 字符"/>
    <w:link w:val="17"/>
    <w:qFormat/>
    <w:uiPriority w:val="99"/>
    <w:rPr>
      <w:rFonts w:ascii="金山简黑体" w:hAnsi="金山简黑体" w:eastAsia="金山简黑体" w:cs="宋体"/>
      <w:b/>
      <w:spacing w:val="-8"/>
      <w:sz w:val="44"/>
    </w:rPr>
  </w:style>
  <w:style w:type="paragraph" w:customStyle="1" w:styleId="102">
    <w:name w:val="Default"/>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03">
    <w:name w:val="List Paragraph"/>
    <w:basedOn w:val="1"/>
    <w:qFormat/>
    <w:uiPriority w:val="34"/>
    <w:pPr>
      <w:ind w:firstLine="420" w:firstLineChars="200"/>
    </w:pPr>
    <w:rPr>
      <w:rFonts w:ascii="Calibri" w:hAnsi="Calibri"/>
      <w:szCs w:val="22"/>
    </w:rPr>
  </w:style>
  <w:style w:type="paragraph" w:customStyle="1" w:styleId="104">
    <w:name w:val="xl23"/>
    <w:next w:val="35"/>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5">
    <w:name w:val="1"/>
    <w:basedOn w:val="1"/>
    <w:next w:val="22"/>
    <w:qFormat/>
    <w:uiPriority w:val="0"/>
    <w:rPr>
      <w:rFonts w:hAnsi="Courier New"/>
      <w:szCs w:val="20"/>
    </w:rPr>
  </w:style>
  <w:style w:type="paragraph" w:customStyle="1" w:styleId="106">
    <w:name w:val="_Style 71"/>
    <w:basedOn w:val="1"/>
    <w:next w:val="103"/>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7">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8">
    <w:name w:val="z-窗体底端1"/>
    <w:basedOn w:val="1"/>
    <w:next w:val="1"/>
    <w:qFormat/>
    <w:uiPriority w:val="0"/>
    <w:pPr>
      <w:pBdr>
        <w:top w:val="single" w:color="auto" w:sz="6" w:space="1"/>
      </w:pBdr>
      <w:jc w:val="center"/>
    </w:pPr>
    <w:rPr>
      <w:rFonts w:ascii="Arial"/>
      <w:vanish/>
      <w:sz w:val="16"/>
    </w:rPr>
  </w:style>
  <w:style w:type="paragraph" w:customStyle="1" w:styleId="109">
    <w:name w:val="样式2"/>
    <w:basedOn w:val="3"/>
    <w:qFormat/>
    <w:uiPriority w:val="0"/>
    <w:pPr>
      <w:spacing w:line="440" w:lineRule="exact"/>
      <w:jc w:val="center"/>
    </w:pPr>
    <w:rPr>
      <w:b w:val="0"/>
      <w:sz w:val="32"/>
    </w:rPr>
  </w:style>
  <w:style w:type="paragraph" w:customStyle="1" w:styleId="110">
    <w:name w:val="p15"/>
    <w:basedOn w:val="1"/>
    <w:qFormat/>
    <w:uiPriority w:val="0"/>
    <w:pPr>
      <w:spacing w:before="100" w:beforeAutospacing="1" w:after="100" w:afterAutospacing="1"/>
    </w:pPr>
  </w:style>
  <w:style w:type="paragraph" w:customStyle="1" w:styleId="111">
    <w:name w:val="默认段落字体 Para Char"/>
    <w:basedOn w:val="1"/>
    <w:qFormat/>
    <w:uiPriority w:val="0"/>
    <w:pPr>
      <w:tabs>
        <w:tab w:val="left" w:pos="360"/>
      </w:tabs>
      <w:ind w:left="420" w:hanging="420"/>
    </w:pPr>
    <w:rPr>
      <w:szCs w:val="20"/>
    </w:rPr>
  </w:style>
  <w:style w:type="paragraph" w:customStyle="1" w:styleId="112">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3">
    <w:name w:val="z-窗体顶端1"/>
    <w:basedOn w:val="1"/>
    <w:next w:val="1"/>
    <w:qFormat/>
    <w:uiPriority w:val="0"/>
    <w:pPr>
      <w:pBdr>
        <w:bottom w:val="single" w:color="auto" w:sz="6" w:space="1"/>
      </w:pBdr>
      <w:jc w:val="center"/>
    </w:pPr>
    <w:rPr>
      <w:rFonts w:ascii="Arial"/>
      <w:vanish/>
      <w:sz w:val="16"/>
    </w:rPr>
  </w:style>
  <w:style w:type="paragraph" w:customStyle="1" w:styleId="114">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5">
    <w:name w:val="Char Char2"/>
    <w:basedOn w:val="14"/>
    <w:qFormat/>
    <w:uiPriority w:val="0"/>
    <w:pPr>
      <w:adjustRightInd w:val="0"/>
      <w:snapToGrid w:val="0"/>
      <w:spacing w:line="360" w:lineRule="auto"/>
    </w:pPr>
    <w:rPr>
      <w:rFonts w:ascii="Tahoma" w:hAnsi="Tahoma"/>
    </w:rPr>
  </w:style>
  <w:style w:type="paragraph" w:customStyle="1" w:styleId="116">
    <w:name w:val="Char Char1"/>
    <w:basedOn w:val="1"/>
    <w:qFormat/>
    <w:uiPriority w:val="0"/>
    <w:pPr>
      <w:tabs>
        <w:tab w:val="left" w:pos="360"/>
      </w:tabs>
    </w:pPr>
    <w:rPr>
      <w:szCs w:val="20"/>
    </w:rPr>
  </w:style>
  <w:style w:type="paragraph" w:customStyle="1" w:styleId="117">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8">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19">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0">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1">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2">
    <w:name w:val="style11"/>
    <w:basedOn w:val="1"/>
    <w:qFormat/>
    <w:uiPriority w:val="0"/>
    <w:pPr>
      <w:spacing w:before="100" w:beforeAutospacing="1" w:after="100" w:afterAutospacing="1"/>
    </w:pPr>
    <w:rPr>
      <w:sz w:val="18"/>
      <w:szCs w:val="18"/>
    </w:rPr>
  </w:style>
  <w:style w:type="paragraph" w:customStyle="1" w:styleId="123">
    <w:name w:val="p0"/>
    <w:basedOn w:val="1"/>
    <w:qFormat/>
    <w:uiPriority w:val="0"/>
    <w:pPr>
      <w:spacing w:before="100" w:beforeAutospacing="1" w:after="100" w:afterAutospacing="1"/>
    </w:pPr>
  </w:style>
  <w:style w:type="paragraph" w:customStyle="1" w:styleId="124">
    <w:name w:val="表格"/>
    <w:basedOn w:val="1"/>
    <w:qFormat/>
    <w:uiPriority w:val="0"/>
    <w:pPr>
      <w:tabs>
        <w:tab w:val="left" w:pos="1200"/>
      </w:tabs>
      <w:spacing w:line="500" w:lineRule="exact"/>
      <w:jc w:val="center"/>
    </w:pPr>
    <w:rPr>
      <w:szCs w:val="18"/>
    </w:rPr>
  </w:style>
  <w:style w:type="paragraph" w:customStyle="1" w:styleId="125">
    <w:name w:val="正文五号"/>
    <w:basedOn w:val="1"/>
    <w:qFormat/>
    <w:uiPriority w:val="0"/>
    <w:rPr>
      <w:rFonts w:hint="eastAsia" w:eastAsia="仿宋_GB2312"/>
      <w:szCs w:val="20"/>
    </w:rPr>
  </w:style>
  <w:style w:type="paragraph" w:customStyle="1" w:styleId="126">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7">
    <w:name w:val="表格文字"/>
    <w:basedOn w:val="1"/>
    <w:qFormat/>
    <w:uiPriority w:val="0"/>
    <w:pPr>
      <w:spacing w:before="25" w:after="25" w:line="300" w:lineRule="auto"/>
    </w:pPr>
    <w:rPr>
      <w:spacing w:val="10"/>
      <w:szCs w:val="20"/>
    </w:rPr>
  </w:style>
  <w:style w:type="paragraph" w:customStyle="1" w:styleId="128">
    <w:name w:val="正文1"/>
    <w:basedOn w:val="1"/>
    <w:next w:val="1"/>
    <w:qFormat/>
    <w:uiPriority w:val="0"/>
    <w:pPr>
      <w:spacing w:line="360" w:lineRule="auto"/>
      <w:ind w:firstLine="200" w:firstLineChars="200"/>
    </w:pPr>
  </w:style>
  <w:style w:type="paragraph" w:customStyle="1" w:styleId="129">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0">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1">
    <w:name w:val="小标题 2"/>
    <w:basedOn w:val="1"/>
    <w:qFormat/>
    <w:uiPriority w:val="0"/>
    <w:pPr>
      <w:autoSpaceDE w:val="0"/>
      <w:autoSpaceDN w:val="0"/>
      <w:adjustRightInd w:val="0"/>
    </w:pPr>
    <w:rPr>
      <w:rFonts w:ascii="黑体" w:eastAsia="黑体" w:cs="黑体"/>
    </w:rPr>
  </w:style>
  <w:style w:type="paragraph" w:customStyle="1" w:styleId="132">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3">
    <w:name w:val="Char Char Char"/>
    <w:basedOn w:val="1"/>
    <w:qFormat/>
    <w:uiPriority w:val="0"/>
    <w:pPr>
      <w:ind w:firstLine="200" w:firstLineChars="200"/>
    </w:pPr>
  </w:style>
  <w:style w:type="paragraph" w:customStyle="1" w:styleId="134">
    <w:name w:val="样式1"/>
    <w:basedOn w:val="3"/>
    <w:qFormat/>
    <w:uiPriority w:val="0"/>
  </w:style>
  <w:style w:type="paragraph" w:customStyle="1" w:styleId="135">
    <w:name w:val="ps-row-11"/>
    <w:basedOn w:val="1"/>
    <w:qFormat/>
    <w:uiPriority w:val="0"/>
    <w:pPr>
      <w:spacing w:before="100" w:beforeAutospacing="1" w:after="100" w:afterAutospacing="1"/>
    </w:pPr>
  </w:style>
  <w:style w:type="paragraph" w:customStyle="1" w:styleId="136">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7">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8">
    <w:name w:val="para"/>
    <w:basedOn w:val="1"/>
    <w:qFormat/>
    <w:uiPriority w:val="0"/>
    <w:pPr>
      <w:adjustRightInd w:val="0"/>
      <w:spacing w:before="160" w:line="360" w:lineRule="auto"/>
      <w:ind w:firstLine="425"/>
      <w:textAlignment w:val="baseline"/>
    </w:pPr>
    <w:rPr>
      <w:szCs w:val="20"/>
      <w:lang w:eastAsia="en-US"/>
    </w:rPr>
  </w:style>
  <w:style w:type="paragraph" w:customStyle="1" w:styleId="139">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0">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1">
    <w:name w:val="日期 字符"/>
    <w:basedOn w:val="44"/>
    <w:link w:val="24"/>
    <w:qFormat/>
    <w:uiPriority w:val="99"/>
    <w:rPr>
      <w:rFonts w:ascii="宋体" w:hAnsi="宋体" w:cs="宋体"/>
      <w:sz w:val="24"/>
    </w:rPr>
  </w:style>
  <w:style w:type="paragraph" w:customStyle="1" w:styleId="14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font51"/>
    <w:basedOn w:val="44"/>
    <w:qFormat/>
    <w:uiPriority w:val="0"/>
    <w:rPr>
      <w:rFonts w:hint="eastAsia" w:ascii="方正仿宋_GBK" w:hAnsi="方正仿宋_GBK" w:eastAsia="方正仿宋_GBK" w:cs="方正仿宋_GBK"/>
      <w:color w:val="000000"/>
      <w:sz w:val="24"/>
      <w:szCs w:val="24"/>
      <w:u w:val="none"/>
    </w:rPr>
  </w:style>
  <w:style w:type="character" w:customStyle="1" w:styleId="144">
    <w:name w:val="font71"/>
    <w:basedOn w:val="44"/>
    <w:qFormat/>
    <w:uiPriority w:val="0"/>
    <w:rPr>
      <w:rFonts w:hint="default" w:ascii="Times New Roman" w:hAnsi="Times New Roman" w:cs="Times New Roman"/>
      <w:color w:val="000000"/>
      <w:sz w:val="24"/>
      <w:szCs w:val="24"/>
      <w:u w:val="none"/>
    </w:rPr>
  </w:style>
  <w:style w:type="character" w:customStyle="1" w:styleId="145">
    <w:name w:val="font01"/>
    <w:basedOn w:val="44"/>
    <w:qFormat/>
    <w:uiPriority w:val="0"/>
    <w:rPr>
      <w:rFonts w:hint="eastAsia" w:ascii="方正黑体_GBK" w:hAnsi="方正黑体_GBK" w:eastAsia="方正黑体_GBK" w:cs="方正黑体_GBK"/>
      <w:color w:val="000000"/>
      <w:sz w:val="22"/>
      <w:szCs w:val="22"/>
      <w:u w:val="none"/>
    </w:rPr>
  </w:style>
  <w:style w:type="character" w:customStyle="1" w:styleId="146">
    <w:name w:val="font31"/>
    <w:basedOn w:val="44"/>
    <w:qFormat/>
    <w:uiPriority w:val="0"/>
    <w:rPr>
      <w:rFonts w:hint="default" w:ascii="Times New Roman" w:hAnsi="Times New Roman" w:cs="Times New Roman"/>
      <w:color w:val="000000"/>
      <w:sz w:val="22"/>
      <w:szCs w:val="22"/>
      <w:u w:val="none"/>
    </w:rPr>
  </w:style>
  <w:style w:type="character" w:customStyle="1" w:styleId="147">
    <w:name w:val="font11"/>
    <w:basedOn w:val="44"/>
    <w:qFormat/>
    <w:uiPriority w:val="0"/>
    <w:rPr>
      <w:rFonts w:hint="eastAsia" w:ascii="方正黑体_GBK" w:hAnsi="方正黑体_GBK" w:eastAsia="方正黑体_GBK" w:cs="方正黑体_GBK"/>
      <w:color w:val="000000"/>
      <w:sz w:val="24"/>
      <w:szCs w:val="24"/>
      <w:u w:val="none"/>
    </w:rPr>
  </w:style>
  <w:style w:type="paragraph" w:customStyle="1" w:styleId="148">
    <w:name w:val="Table Paragraph"/>
    <w:basedOn w:val="1"/>
    <w:qFormat/>
    <w:uiPriority w:val="0"/>
    <w:pPr>
      <w:widowControl w:val="0"/>
    </w:pPr>
    <w:rPr>
      <w:rFonts w:ascii="等线" w:hAnsi="等线" w:eastAsia="等线" w:cs="Times New Roman"/>
      <w:sz w:val="22"/>
      <w:szCs w:val="22"/>
    </w:rPr>
  </w:style>
  <w:style w:type="character" w:customStyle="1" w:styleId="149">
    <w:name w:val="font21"/>
    <w:basedOn w:val="44"/>
    <w:qFormat/>
    <w:uiPriority w:val="0"/>
    <w:rPr>
      <w:rFonts w:hint="eastAsia" w:ascii="宋体" w:hAnsi="宋体" w:eastAsia="宋体"/>
      <w:color w:val="000000"/>
      <w:sz w:val="20"/>
      <w:szCs w:val="20"/>
      <w:u w:val="none"/>
    </w:rPr>
  </w:style>
  <w:style w:type="character" w:customStyle="1" w:styleId="150">
    <w:name w:val="font41"/>
    <w:basedOn w:val="44"/>
    <w:qFormat/>
    <w:uiPriority w:val="0"/>
    <w:rPr>
      <w:rFonts w:hint="default" w:ascii="Times New Roman" w:hAnsi="Times New Roman" w:cs="Times New Roman"/>
      <w:color w:val="000000"/>
      <w:sz w:val="20"/>
      <w:szCs w:val="20"/>
      <w:u w:val="none"/>
    </w:rPr>
  </w:style>
  <w:style w:type="paragraph" w:customStyle="1" w:styleId="151">
    <w:name w:val="msonormal"/>
    <w:basedOn w:val="1"/>
    <w:qFormat/>
    <w:uiPriority w:val="0"/>
    <w:pPr>
      <w:spacing w:before="100" w:beforeAutospacing="1" w:after="100" w:afterAutospacing="1"/>
    </w:pPr>
  </w:style>
  <w:style w:type="paragraph" w:customStyle="1" w:styleId="152">
    <w:name w:val="font0"/>
    <w:basedOn w:val="1"/>
    <w:qFormat/>
    <w:uiPriority w:val="0"/>
    <w:pPr>
      <w:spacing w:before="100" w:beforeAutospacing="1" w:after="100" w:afterAutospacing="1"/>
    </w:pPr>
    <w:rPr>
      <w:color w:val="000000"/>
      <w:sz w:val="22"/>
      <w:szCs w:val="22"/>
    </w:rPr>
  </w:style>
  <w:style w:type="paragraph" w:customStyle="1" w:styleId="153">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4">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5">
    <w:name w:val="font3"/>
    <w:basedOn w:val="1"/>
    <w:qFormat/>
    <w:uiPriority w:val="0"/>
    <w:pPr>
      <w:spacing w:before="100" w:beforeAutospacing="1" w:after="100" w:afterAutospacing="1"/>
    </w:pPr>
    <w:rPr>
      <w:color w:val="000000"/>
      <w:sz w:val="20"/>
      <w:szCs w:val="20"/>
    </w:rPr>
  </w:style>
  <w:style w:type="paragraph" w:customStyle="1" w:styleId="156">
    <w:name w:val="font4"/>
    <w:basedOn w:val="1"/>
    <w:qFormat/>
    <w:uiPriority w:val="0"/>
    <w:pPr>
      <w:spacing w:before="100" w:beforeAutospacing="1" w:after="100" w:afterAutospacing="1"/>
    </w:pPr>
    <w:rPr>
      <w:b/>
      <w:bCs/>
      <w:color w:val="000000"/>
      <w:sz w:val="22"/>
      <w:szCs w:val="22"/>
    </w:rPr>
  </w:style>
  <w:style w:type="paragraph" w:customStyle="1" w:styleId="157">
    <w:name w:val="font5"/>
    <w:basedOn w:val="1"/>
    <w:qFormat/>
    <w:uiPriority w:val="0"/>
    <w:pPr>
      <w:spacing w:before="100" w:beforeAutospacing="1" w:after="100" w:afterAutospacing="1"/>
    </w:pPr>
    <w:rPr>
      <w:b/>
      <w:bCs/>
      <w:color w:val="000000"/>
      <w:sz w:val="20"/>
      <w:szCs w:val="20"/>
    </w:rPr>
  </w:style>
  <w:style w:type="paragraph" w:customStyle="1" w:styleId="158">
    <w:name w:val="font6"/>
    <w:basedOn w:val="1"/>
    <w:qFormat/>
    <w:uiPriority w:val="0"/>
    <w:pPr>
      <w:spacing w:before="100" w:beforeAutospacing="1" w:after="100" w:afterAutospacing="1"/>
    </w:pPr>
    <w:rPr>
      <w:color w:val="000000"/>
      <w:sz w:val="20"/>
      <w:szCs w:val="20"/>
    </w:rPr>
  </w:style>
  <w:style w:type="paragraph" w:customStyle="1" w:styleId="159">
    <w:name w:val="et4"/>
    <w:basedOn w:val="1"/>
    <w:qFormat/>
    <w:uiPriority w:val="0"/>
    <w:pPr>
      <w:spacing w:before="100" w:beforeAutospacing="1" w:after="100" w:afterAutospacing="1"/>
      <w:jc w:val="center"/>
    </w:pPr>
  </w:style>
  <w:style w:type="paragraph" w:customStyle="1" w:styleId="160">
    <w:name w:val="et5"/>
    <w:basedOn w:val="1"/>
    <w:qFormat/>
    <w:uiPriority w:val="0"/>
    <w:pPr>
      <w:spacing w:before="100" w:beforeAutospacing="1" w:after="100" w:afterAutospacing="1"/>
      <w:jc w:val="right"/>
    </w:pPr>
  </w:style>
  <w:style w:type="paragraph" w:customStyle="1" w:styleId="161">
    <w:name w:val="et6"/>
    <w:basedOn w:val="1"/>
    <w:qFormat/>
    <w:uiPriority w:val="0"/>
    <w:pPr>
      <w:spacing w:before="100" w:beforeAutospacing="1" w:after="100" w:afterAutospacing="1"/>
    </w:pPr>
    <w:rPr>
      <w:b/>
      <w:bCs/>
    </w:rPr>
  </w:style>
  <w:style w:type="paragraph" w:customStyle="1" w:styleId="162">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3">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4">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6">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7">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8">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69">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0">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2">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3">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4">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5">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8">
    <w:name w:val="font7"/>
    <w:basedOn w:val="1"/>
    <w:qFormat/>
    <w:uiPriority w:val="0"/>
    <w:pPr>
      <w:spacing w:before="100" w:beforeAutospacing="1" w:after="100" w:afterAutospacing="1"/>
    </w:pPr>
    <w:rPr>
      <w:b/>
      <w:bCs/>
      <w:color w:val="000000"/>
      <w:sz w:val="20"/>
      <w:szCs w:val="20"/>
    </w:rPr>
  </w:style>
  <w:style w:type="paragraph" w:customStyle="1" w:styleId="179">
    <w:name w:val="font8"/>
    <w:basedOn w:val="1"/>
    <w:qFormat/>
    <w:uiPriority w:val="0"/>
    <w:pPr>
      <w:spacing w:before="100" w:beforeAutospacing="1" w:after="100" w:afterAutospacing="1"/>
    </w:pPr>
    <w:rPr>
      <w:b/>
      <w:bCs/>
      <w:color w:val="000000"/>
      <w:sz w:val="20"/>
      <w:szCs w:val="20"/>
    </w:rPr>
  </w:style>
  <w:style w:type="paragraph" w:customStyle="1" w:styleId="180">
    <w:name w:val="font9"/>
    <w:basedOn w:val="1"/>
    <w:qFormat/>
    <w:uiPriority w:val="0"/>
    <w:pPr>
      <w:spacing w:before="100" w:beforeAutospacing="1" w:after="100" w:afterAutospacing="1"/>
    </w:pPr>
    <w:rPr>
      <w:color w:val="000000"/>
      <w:sz w:val="20"/>
      <w:szCs w:val="20"/>
    </w:rPr>
  </w:style>
  <w:style w:type="paragraph" w:customStyle="1" w:styleId="181">
    <w:name w:val="et7"/>
    <w:basedOn w:val="1"/>
    <w:qFormat/>
    <w:uiPriority w:val="0"/>
    <w:pPr>
      <w:spacing w:before="100" w:beforeAutospacing="1" w:after="100" w:afterAutospacing="1"/>
    </w:pPr>
    <w:rPr>
      <w:b/>
      <w:bCs/>
    </w:rPr>
  </w:style>
  <w:style w:type="paragraph" w:customStyle="1" w:styleId="182">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3">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5">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6">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89">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0">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1">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3">
    <w:name w:val="Table Normal"/>
    <w:basedOn w:val="42"/>
    <w:qFormat/>
    <w:uiPriority w:val="0"/>
    <w:rPr>
      <w:rFonts w:eastAsia="Times New Roman"/>
    </w:rPr>
    <w:tblPr>
      <w:tblCellMar>
        <w:left w:w="0" w:type="dxa"/>
        <w:right w:w="0" w:type="dxa"/>
      </w:tblCellMar>
    </w:tblPr>
  </w:style>
  <w:style w:type="character" w:customStyle="1" w:styleId="194">
    <w:name w:val="标题 4 字符"/>
    <w:basedOn w:val="44"/>
    <w:link w:val="5"/>
    <w:qFormat/>
    <w:uiPriority w:val="99"/>
    <w:rPr>
      <w:rFonts w:ascii="Arial" w:hAnsi="Arial" w:eastAsia="黑体" w:cs="宋体"/>
      <w:sz w:val="28"/>
    </w:rPr>
  </w:style>
  <w:style w:type="paragraph" w:customStyle="1" w:styleId="195">
    <w:name w:val="章标题"/>
    <w:basedOn w:val="1"/>
    <w:next w:val="192"/>
    <w:qFormat/>
    <w:uiPriority w:val="0"/>
    <w:pPr>
      <w:spacing w:beforeLines="100" w:afterLines="100"/>
      <w:jc w:val="both"/>
      <w:outlineLvl w:val="1"/>
    </w:pPr>
    <w:rPr>
      <w:rFonts w:ascii="黑体" w:hAnsi="Times New Roman" w:eastAsia="黑体" w:cs="Times New Roman"/>
      <w:sz w:val="21"/>
      <w:szCs w:val="21"/>
    </w:rPr>
  </w:style>
  <w:style w:type="paragraph" w:customStyle="1" w:styleId="196">
    <w:name w:val="一级条标题"/>
    <w:basedOn w:val="1"/>
    <w:next w:val="192"/>
    <w:qFormat/>
    <w:uiPriority w:val="0"/>
    <w:pPr>
      <w:outlineLvl w:val="2"/>
    </w:pPr>
    <w:rPr>
      <w:rFonts w:ascii="Times New Roman" w:hAnsi="Times New Roman" w:eastAsia="黑体" w:cs="Times New Roman"/>
      <w:sz w:val="21"/>
      <w:szCs w:val="21"/>
    </w:rPr>
  </w:style>
  <w:style w:type="paragraph" w:customStyle="1" w:styleId="197">
    <w:name w:val="正文图标题"/>
    <w:basedOn w:val="1"/>
    <w:next w:val="192"/>
    <w:qFormat/>
    <w:uiPriority w:val="0"/>
    <w:pPr>
      <w:spacing w:beforeLines="50" w:afterLines="50"/>
      <w:jc w:val="center"/>
    </w:pPr>
    <w:rPr>
      <w:rFonts w:ascii="黑体" w:hAnsi="Times New Roman" w:eastAsia="黑体" w:cs="Times New Roman"/>
      <w:sz w:val="21"/>
      <w:szCs w:val="21"/>
    </w:rPr>
  </w:style>
  <w:style w:type="paragraph" w:customStyle="1" w:styleId="198">
    <w:name w:val="正文表标题"/>
    <w:basedOn w:val="1"/>
    <w:next w:val="192"/>
    <w:qFormat/>
    <w:uiPriority w:val="0"/>
    <w:pPr>
      <w:spacing w:beforeLines="50" w:afterLines="50"/>
      <w:jc w:val="center"/>
    </w:pPr>
    <w:rPr>
      <w:rFonts w:ascii="黑体" w:hAnsi="Times New Roman" w:eastAsia="黑体" w:cs="Times New Roman"/>
      <w:sz w:val="21"/>
      <w:szCs w:val="21"/>
    </w:rPr>
  </w:style>
  <w:style w:type="paragraph" w:customStyle="1" w:styleId="199">
    <w:name w:val="二级条标题"/>
    <w:basedOn w:val="196"/>
    <w:next w:val="192"/>
    <w:qFormat/>
    <w:uiPriority w:val="0"/>
    <w:pPr>
      <w:spacing w:before="50" w:after="50"/>
      <w:outlineLvl w:val="3"/>
    </w:pPr>
  </w:style>
  <w:style w:type="paragraph" w:customStyle="1" w:styleId="200">
    <w:name w:val="三级条标题"/>
    <w:basedOn w:val="199"/>
    <w:next w:val="192"/>
    <w:qFormat/>
    <w:uiPriority w:val="0"/>
    <w:pPr>
      <w:outlineLvl w:val="4"/>
    </w:pPr>
  </w:style>
  <w:style w:type="paragraph" w:customStyle="1" w:styleId="201">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2">
    <w:name w:val="HTML 预设格式 字符"/>
    <w:basedOn w:val="44"/>
    <w:link w:val="37"/>
    <w:qFormat/>
    <w:uiPriority w:val="99"/>
    <w:rPr>
      <w:rFonts w:ascii="Arial" w:hAnsi="Arial" w:cs="Arial"/>
      <w:sz w:val="24"/>
      <w:szCs w:val="24"/>
    </w:rPr>
  </w:style>
  <w:style w:type="paragraph" w:customStyle="1" w:styleId="203">
    <w:name w:val="修订1"/>
    <w:hidden/>
    <w:unhideWhenUsed/>
    <w:qFormat/>
    <w:uiPriority w:val="99"/>
    <w:rPr>
      <w:rFonts w:ascii="宋体" w:hAnsi="宋体" w:eastAsia="宋体" w:cs="宋体"/>
      <w:sz w:val="24"/>
      <w:szCs w:val="24"/>
      <w:lang w:val="en-US" w:eastAsia="zh-CN" w:bidi="ar-SA"/>
    </w:rPr>
  </w:style>
  <w:style w:type="paragraph" w:customStyle="1" w:styleId="204">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5">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6">
    <w:name w:val="font61"/>
    <w:basedOn w:val="44"/>
    <w:qFormat/>
    <w:uiPriority w:val="0"/>
    <w:rPr>
      <w:rFonts w:hint="eastAsia" w:ascii="宋体" w:hAnsi="宋体" w:eastAsia="宋体"/>
      <w:b/>
      <w:bCs/>
      <w:color w:val="000000"/>
      <w:sz w:val="20"/>
      <w:szCs w:val="20"/>
      <w:u w:val="none"/>
    </w:rPr>
  </w:style>
  <w:style w:type="character" w:customStyle="1" w:styleId="207">
    <w:name w:val="font81"/>
    <w:basedOn w:val="44"/>
    <w:qFormat/>
    <w:uiPriority w:val="0"/>
    <w:rPr>
      <w:rFonts w:hint="default" w:ascii="Calibri" w:hAnsi="Calibri" w:cs="Calibri"/>
      <w:color w:val="000000"/>
      <w:sz w:val="22"/>
      <w:szCs w:val="22"/>
      <w:u w:val="none"/>
    </w:rPr>
  </w:style>
  <w:style w:type="character" w:customStyle="1" w:styleId="208">
    <w:name w:val="font91"/>
    <w:basedOn w:val="44"/>
    <w:qFormat/>
    <w:uiPriority w:val="0"/>
    <w:rPr>
      <w:rFonts w:ascii="Calibri" w:hAnsi="Calibri" w:cs="Calibri"/>
      <w:color w:val="000000"/>
      <w:sz w:val="20"/>
      <w:szCs w:val="20"/>
      <w:u w:val="none"/>
    </w:rPr>
  </w:style>
  <w:style w:type="character" w:customStyle="1" w:styleId="209">
    <w:name w:val="10"/>
    <w:basedOn w:val="44"/>
    <w:qFormat/>
    <w:uiPriority w:val="0"/>
    <w:rPr>
      <w:rFonts w:hint="default" w:ascii="Times New Roman" w:hAnsi="Times New Roman" w:cs="Times New Roman"/>
    </w:rPr>
  </w:style>
  <w:style w:type="character" w:customStyle="1" w:styleId="210">
    <w:name w:val="15"/>
    <w:basedOn w:val="44"/>
    <w:qFormat/>
    <w:uiPriority w:val="0"/>
    <w:rPr>
      <w:rFonts w:hint="default" w:ascii="Calibri" w:hAnsi="Calibri" w:cs="Calibri"/>
      <w:color w:val="000000"/>
      <w:sz w:val="20"/>
      <w:szCs w:val="20"/>
    </w:rPr>
  </w:style>
  <w:style w:type="character" w:customStyle="1" w:styleId="211">
    <w:name w:val="font161"/>
    <w:basedOn w:val="44"/>
    <w:qFormat/>
    <w:uiPriority w:val="0"/>
    <w:rPr>
      <w:rFonts w:hint="eastAsia" w:ascii="微软雅黑" w:hAnsi="微软雅黑" w:eastAsia="微软雅黑" w:cs="微软雅黑"/>
      <w:color w:val="FF0000"/>
      <w:sz w:val="16"/>
      <w:szCs w:val="16"/>
      <w:u w:val="none"/>
    </w:rPr>
  </w:style>
  <w:style w:type="character" w:customStyle="1" w:styleId="212">
    <w:name w:val="font171"/>
    <w:basedOn w:val="44"/>
    <w:qFormat/>
    <w:uiPriority w:val="0"/>
    <w:rPr>
      <w:rFonts w:hint="eastAsia" w:ascii="微软雅黑" w:hAnsi="微软雅黑" w:eastAsia="微软雅黑" w:cs="微软雅黑"/>
      <w:color w:val="4EA72E"/>
      <w:sz w:val="16"/>
      <w:szCs w:val="16"/>
      <w:u w:val="none"/>
    </w:rPr>
  </w:style>
  <w:style w:type="character" w:customStyle="1" w:styleId="213">
    <w:name w:val="font181"/>
    <w:basedOn w:val="44"/>
    <w:qFormat/>
    <w:uiPriority w:val="0"/>
    <w:rPr>
      <w:rFonts w:hint="eastAsia" w:ascii="微软雅黑" w:hAnsi="微软雅黑" w:eastAsia="微软雅黑" w:cs="微软雅黑"/>
      <w:color w:val="D86DCD"/>
      <w:sz w:val="16"/>
      <w:szCs w:val="16"/>
      <w:u w:val="none"/>
    </w:rPr>
  </w:style>
  <w:style w:type="character" w:customStyle="1" w:styleId="214">
    <w:name w:val="font101"/>
    <w:basedOn w:val="44"/>
    <w:qFormat/>
    <w:uiPriority w:val="0"/>
    <w:rPr>
      <w:rFonts w:hint="default" w:ascii="Times New Roman" w:hAnsi="Times New Roman" w:cs="Times New Roman"/>
      <w:color w:val="000000"/>
      <w:sz w:val="16"/>
      <w:szCs w:val="16"/>
      <w:u w:val="none"/>
    </w:rPr>
  </w:style>
  <w:style w:type="character" w:customStyle="1" w:styleId="215">
    <w:name w:val="font191"/>
    <w:basedOn w:val="44"/>
    <w:qFormat/>
    <w:uiPriority w:val="0"/>
    <w:rPr>
      <w:rFonts w:hint="eastAsia" w:ascii="宋体" w:hAnsi="宋体" w:eastAsia="宋体" w:cs="宋体"/>
      <w:color w:val="D86DCD"/>
      <w:sz w:val="16"/>
      <w:szCs w:val="16"/>
      <w:u w:val="none"/>
    </w:rPr>
  </w:style>
  <w:style w:type="character" w:customStyle="1" w:styleId="216">
    <w:name w:val="font201"/>
    <w:basedOn w:val="44"/>
    <w:qFormat/>
    <w:uiPriority w:val="0"/>
    <w:rPr>
      <w:rFonts w:hint="default" w:ascii="Times New Roman" w:hAnsi="Times New Roman" w:cs="Times New Roman"/>
      <w:color w:val="4EA72E"/>
      <w:sz w:val="16"/>
      <w:szCs w:val="16"/>
      <w:u w:val="none"/>
    </w:rPr>
  </w:style>
  <w:style w:type="character" w:customStyle="1" w:styleId="217">
    <w:name w:val="font212"/>
    <w:basedOn w:val="44"/>
    <w:qFormat/>
    <w:uiPriority w:val="0"/>
    <w:rPr>
      <w:rFonts w:hint="eastAsia" w:ascii="宋体" w:hAnsi="宋体" w:eastAsia="宋体" w:cs="宋体"/>
      <w:color w:val="FF0000"/>
      <w:sz w:val="16"/>
      <w:szCs w:val="16"/>
      <w:u w:val="none"/>
    </w:rPr>
  </w:style>
  <w:style w:type="character" w:customStyle="1" w:styleId="218">
    <w:name w:val="font221"/>
    <w:basedOn w:val="44"/>
    <w:qFormat/>
    <w:uiPriority w:val="0"/>
    <w:rPr>
      <w:rFonts w:hint="eastAsia" w:ascii="宋体" w:hAnsi="宋体" w:eastAsia="宋体" w:cs="宋体"/>
      <w:color w:val="4EA72E"/>
      <w:sz w:val="16"/>
      <w:szCs w:val="16"/>
      <w:u w:val="none"/>
    </w:rPr>
  </w:style>
  <w:style w:type="character" w:customStyle="1" w:styleId="219">
    <w:name w:val="font231"/>
    <w:basedOn w:val="44"/>
    <w:qFormat/>
    <w:uiPriority w:val="0"/>
    <w:rPr>
      <w:rFonts w:ascii="Cambria Math" w:hAnsi="Cambria Math" w:eastAsia="Cambria Math" w:cs="Cambria Math"/>
      <w:color w:val="4EA72E"/>
      <w:sz w:val="16"/>
      <w:szCs w:val="16"/>
      <w:u w:val="none"/>
    </w:rPr>
  </w:style>
  <w:style w:type="character" w:customStyle="1" w:styleId="220">
    <w:name w:val="font241"/>
    <w:basedOn w:val="44"/>
    <w:qFormat/>
    <w:uiPriority w:val="0"/>
    <w:rPr>
      <w:rFonts w:hint="default" w:ascii="Cambria Math" w:hAnsi="Cambria Math" w:eastAsia="Cambria Math" w:cs="Cambria Math"/>
      <w:color w:val="000000"/>
      <w:sz w:val="16"/>
      <w:szCs w:val="16"/>
      <w:u w:val="none"/>
    </w:rPr>
  </w:style>
  <w:style w:type="character" w:customStyle="1" w:styleId="221">
    <w:name w:val="font251"/>
    <w:basedOn w:val="44"/>
    <w:qFormat/>
    <w:uiPriority w:val="0"/>
    <w:rPr>
      <w:rFonts w:ascii="Segoe UI Symbol" w:hAnsi="Segoe UI Symbol" w:eastAsia="Segoe UI Symbol" w:cs="Segoe UI Symbol"/>
      <w:color w:val="000000"/>
      <w:sz w:val="16"/>
      <w:szCs w:val="16"/>
      <w:u w:val="none"/>
    </w:rPr>
  </w:style>
  <w:style w:type="character" w:customStyle="1" w:styleId="222">
    <w:name w:val="font261"/>
    <w:basedOn w:val="44"/>
    <w:qFormat/>
    <w:uiPriority w:val="0"/>
    <w:rPr>
      <w:rFonts w:hint="eastAsia" w:ascii="微软雅黑" w:hAnsi="微软雅黑" w:eastAsia="微软雅黑" w:cs="微软雅黑"/>
      <w:color w:val="00B050"/>
      <w:sz w:val="16"/>
      <w:szCs w:val="16"/>
      <w:u w:val="none"/>
    </w:rPr>
  </w:style>
  <w:style w:type="character" w:customStyle="1" w:styleId="223">
    <w:name w:val="font271"/>
    <w:basedOn w:val="44"/>
    <w:qFormat/>
    <w:uiPriority w:val="0"/>
    <w:rPr>
      <w:rFonts w:hint="eastAsia" w:ascii="微软雅黑" w:hAnsi="微软雅黑" w:eastAsia="微软雅黑" w:cs="微软雅黑"/>
      <w:color w:val="000000"/>
      <w:sz w:val="16"/>
      <w:szCs w:val="16"/>
      <w:u w:val="none"/>
    </w:rPr>
  </w:style>
  <w:style w:type="character" w:customStyle="1" w:styleId="224">
    <w:name w:val="font281"/>
    <w:basedOn w:val="44"/>
    <w:qFormat/>
    <w:uiPriority w:val="0"/>
    <w:rPr>
      <w:rFonts w:hint="eastAsia" w:ascii="微软雅黑" w:hAnsi="微软雅黑" w:eastAsia="微软雅黑" w:cs="微软雅黑"/>
      <w:strike/>
      <w:color w:val="000000"/>
      <w:sz w:val="16"/>
      <w:szCs w:val="16"/>
    </w:rPr>
  </w:style>
  <w:style w:type="paragraph" w:customStyle="1" w:styleId="225">
    <w:name w:val="msoplaintextcxspmiddle"/>
    <w:basedOn w:val="1"/>
    <w:qFormat/>
    <w:uiPriority w:val="0"/>
    <w:pPr>
      <w:spacing w:before="100" w:beforeAutospacing="1" w:after="100" w:afterAutospacing="1"/>
    </w:pPr>
  </w:style>
  <w:style w:type="paragraph" w:customStyle="1" w:styleId="226">
    <w:name w:val="样式 首行缩进:  0 字符"/>
    <w:basedOn w:val="1"/>
    <w:qFormat/>
    <w:uiPriority w:val="0"/>
    <w:pPr>
      <w:spacing w:line="360" w:lineRule="auto"/>
    </w:pPr>
  </w:style>
  <w:style w:type="paragraph" w:customStyle="1" w:styleId="227">
    <w:name w:val="正文文本 (2)1"/>
    <w:basedOn w:val="1"/>
    <w:qFormat/>
    <w:uiPriority w:val="99"/>
    <w:pPr>
      <w:shd w:val="clear" w:color="auto" w:fill="FFFFFF"/>
      <w:spacing w:line="240" w:lineRule="atLeast"/>
      <w:ind w:hanging="140"/>
    </w:pPr>
    <w:rPr>
      <w:sz w:val="22"/>
      <w:szCs w:val="22"/>
    </w:rPr>
  </w:style>
  <w:style w:type="paragraph" w:customStyle="1" w:styleId="228">
    <w:name w:val="Table Text"/>
    <w:basedOn w:val="1"/>
    <w:semiHidden/>
    <w:qFormat/>
    <w:uiPriority w:val="0"/>
    <w:rPr>
      <w:sz w:val="22"/>
      <w:szCs w:val="22"/>
      <w:lang w:eastAsia="en-US"/>
    </w:rPr>
  </w:style>
  <w:style w:type="paragraph" w:customStyle="1" w:styleId="229">
    <w:name w:val="正文内容"/>
    <w:basedOn w:val="1"/>
    <w:qFormat/>
    <w:uiPriority w:val="0"/>
    <w:pPr>
      <w:spacing w:line="460" w:lineRule="exact"/>
      <w:ind w:firstLine="200" w:firstLineChars="200"/>
    </w:pPr>
    <w:rPr>
      <w:rFonts w:eastAsia="微软雅黑"/>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112</Pages>
  <Words>18116</Words>
  <Characters>19740</Characters>
  <Lines>1324</Lines>
  <Paragraphs>1188</Paragraphs>
  <TotalTime>0</TotalTime>
  <ScaleCrop>false</ScaleCrop>
  <LinksUpToDate>false</LinksUpToDate>
  <CharactersWithSpaces>19902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2026-05-08T07:44:38Z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9217741681064CC599F787CEE1AF113F_13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