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2"/>
          <w:szCs w:val="32"/>
          <w:highlight w:val="none"/>
          <w:lang w:eastAsia="zh-CN"/>
        </w:rPr>
      </w:pPr>
      <w:r>
        <w:rPr>
          <w:rFonts w:hint="eastAsia" w:ascii="宋体" w:hAnsi="宋体" w:eastAsia="宋体"/>
          <w:color w:val="auto"/>
          <w:sz w:val="32"/>
          <w:szCs w:val="32"/>
          <w:highlight w:val="none"/>
          <w:lang w:eastAsia="zh-CN"/>
        </w:rPr>
        <w:t>玉溪职业技术学院（云南省玉溪工业财贸学校）“双优”专业建设（2包）机电技术应用优质专业电工电子技术实训室建设项目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ZZGL-2026068H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5"/>
        <w:rPr>
          <w:rFonts w:hint="eastAsia"/>
          <w:color w:val="auto"/>
          <w:sz w:val="28"/>
          <w:szCs w:val="28"/>
          <w:highlight w:val="none"/>
        </w:rPr>
      </w:pPr>
      <w:r>
        <w:rPr>
          <w:rFonts w:hint="eastAsia"/>
          <w:color w:val="auto"/>
          <w:sz w:val="28"/>
          <w:szCs w:val="28"/>
          <w:highlight w:val="none"/>
        </w:rPr>
        <w:t>目  录</w:t>
      </w:r>
    </w:p>
    <w:p w14:paraId="24DDFC5A">
      <w:pPr>
        <w:pStyle w:val="32"/>
        <w:tabs>
          <w:tab w:val="right" w:leader="dot" w:pos="9412"/>
          <w:tab w:val="clear" w:pos="9900"/>
        </w:tabs>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szCs w:val="24"/>
          <w:highlight w:val="none"/>
        </w:rPr>
        <w:instrText xml:space="preserve"> HYPERLINK \l _Toc23284 </w:instrText>
      </w:r>
      <w:r>
        <w:rPr>
          <w:szCs w:val="24"/>
          <w:highlight w:val="none"/>
        </w:rPr>
        <w:fldChar w:fldCharType="separate"/>
      </w:r>
      <w:r>
        <w:rPr>
          <w:rFonts w:hint="eastAsia" w:ascii="宋体" w:hAnsi="宋体" w:eastAsia="宋体"/>
          <w:bCs/>
          <w:szCs w:val="30"/>
          <w:highlight w:val="none"/>
        </w:rPr>
        <w:t>第一章  招标公告</w:t>
      </w:r>
      <w:r>
        <w:tab/>
      </w:r>
      <w:r>
        <w:fldChar w:fldCharType="begin"/>
      </w:r>
      <w:r>
        <w:instrText xml:space="preserve"> PAGEREF _Toc23284 \h </w:instrText>
      </w:r>
      <w:r>
        <w:fldChar w:fldCharType="separate"/>
      </w:r>
      <w:r>
        <w:t>1</w:t>
      </w:r>
      <w:r>
        <w:fldChar w:fldCharType="end"/>
      </w:r>
      <w:r>
        <w:rPr>
          <w:color w:val="auto"/>
          <w:szCs w:val="24"/>
          <w:highlight w:val="none"/>
        </w:rPr>
        <w:fldChar w:fldCharType="end"/>
      </w:r>
    </w:p>
    <w:p w14:paraId="4B3B642C">
      <w:pPr>
        <w:pStyle w:val="32"/>
        <w:tabs>
          <w:tab w:val="right" w:leader="dot" w:pos="9412"/>
          <w:tab w:val="clear" w:pos="9900"/>
        </w:tabs>
      </w:pPr>
      <w:r>
        <w:rPr>
          <w:bCs/>
          <w:color w:val="auto"/>
          <w:szCs w:val="24"/>
          <w:highlight w:val="none"/>
        </w:rPr>
        <w:fldChar w:fldCharType="begin"/>
      </w:r>
      <w:r>
        <w:rPr>
          <w:bCs/>
          <w:szCs w:val="24"/>
          <w:highlight w:val="none"/>
        </w:rPr>
        <w:instrText xml:space="preserve"> HYPERLINK \l _Toc31729 </w:instrText>
      </w:r>
      <w:r>
        <w:rPr>
          <w:bCs/>
          <w:szCs w:val="24"/>
          <w:highlight w:val="none"/>
        </w:rPr>
        <w:fldChar w:fldCharType="separate"/>
      </w:r>
      <w:r>
        <w:rPr>
          <w:rFonts w:hint="eastAsia" w:ascii="宋体" w:hAnsi="宋体" w:eastAsia="宋体"/>
          <w:szCs w:val="30"/>
          <w:highlight w:val="none"/>
        </w:rPr>
        <w:t>第二章  投标人须知</w:t>
      </w:r>
      <w:r>
        <w:tab/>
      </w:r>
      <w:r>
        <w:fldChar w:fldCharType="begin"/>
      </w:r>
      <w:r>
        <w:instrText xml:space="preserve"> PAGEREF _Toc31729 \h </w:instrText>
      </w:r>
      <w:r>
        <w:fldChar w:fldCharType="separate"/>
      </w:r>
      <w:r>
        <w:t>4</w:t>
      </w:r>
      <w:r>
        <w:fldChar w:fldCharType="end"/>
      </w:r>
      <w:r>
        <w:rPr>
          <w:bCs/>
          <w:color w:val="auto"/>
          <w:szCs w:val="24"/>
          <w:highlight w:val="none"/>
        </w:rPr>
        <w:fldChar w:fldCharType="end"/>
      </w:r>
    </w:p>
    <w:p w14:paraId="448122CB">
      <w:pPr>
        <w:pStyle w:val="37"/>
        <w:tabs>
          <w:tab w:val="right" w:leader="dot" w:pos="9412"/>
        </w:tabs>
      </w:pPr>
      <w:r>
        <w:rPr>
          <w:bCs/>
          <w:color w:val="auto"/>
          <w:szCs w:val="24"/>
          <w:highlight w:val="none"/>
        </w:rPr>
        <w:fldChar w:fldCharType="begin"/>
      </w:r>
      <w:r>
        <w:rPr>
          <w:bCs/>
          <w:szCs w:val="24"/>
          <w:highlight w:val="none"/>
        </w:rPr>
        <w:instrText xml:space="preserve"> HYPERLINK \l _Toc4751 </w:instrText>
      </w:r>
      <w:r>
        <w:rPr>
          <w:bCs/>
          <w:szCs w:val="24"/>
          <w:highlight w:val="none"/>
        </w:rPr>
        <w:fldChar w:fldCharType="separate"/>
      </w:r>
      <w:r>
        <w:rPr>
          <w:rFonts w:hint="eastAsia"/>
          <w:highlight w:val="none"/>
        </w:rPr>
        <w:t>投标人须知前附表</w:t>
      </w:r>
      <w:r>
        <w:tab/>
      </w:r>
      <w:r>
        <w:fldChar w:fldCharType="begin"/>
      </w:r>
      <w:r>
        <w:instrText xml:space="preserve"> PAGEREF _Toc4751 \h </w:instrText>
      </w:r>
      <w:r>
        <w:fldChar w:fldCharType="separate"/>
      </w:r>
      <w:r>
        <w:t>4</w:t>
      </w:r>
      <w:r>
        <w:fldChar w:fldCharType="end"/>
      </w:r>
      <w:r>
        <w:rPr>
          <w:bCs/>
          <w:color w:val="auto"/>
          <w:szCs w:val="24"/>
          <w:highlight w:val="none"/>
        </w:rPr>
        <w:fldChar w:fldCharType="end"/>
      </w:r>
    </w:p>
    <w:p w14:paraId="08539F64">
      <w:pPr>
        <w:pStyle w:val="37"/>
        <w:tabs>
          <w:tab w:val="right" w:leader="dot" w:pos="9412"/>
        </w:tabs>
      </w:pPr>
      <w:r>
        <w:rPr>
          <w:bCs/>
          <w:color w:val="auto"/>
          <w:szCs w:val="24"/>
          <w:highlight w:val="none"/>
        </w:rPr>
        <w:fldChar w:fldCharType="begin"/>
      </w:r>
      <w:r>
        <w:rPr>
          <w:bCs/>
          <w:szCs w:val="24"/>
          <w:highlight w:val="none"/>
        </w:rPr>
        <w:instrText xml:space="preserve"> HYPERLINK \l _Toc5419 </w:instrText>
      </w:r>
      <w:r>
        <w:rPr>
          <w:bCs/>
          <w:szCs w:val="24"/>
          <w:highlight w:val="none"/>
        </w:rPr>
        <w:fldChar w:fldCharType="separate"/>
      </w:r>
      <w:r>
        <w:rPr>
          <w:rFonts w:hint="eastAsia"/>
          <w:highlight w:val="none"/>
        </w:rPr>
        <w:t>一、总  则</w:t>
      </w:r>
      <w:r>
        <w:tab/>
      </w:r>
      <w:r>
        <w:fldChar w:fldCharType="begin"/>
      </w:r>
      <w:r>
        <w:instrText xml:space="preserve"> PAGEREF _Toc5419 \h </w:instrText>
      </w:r>
      <w:r>
        <w:fldChar w:fldCharType="separate"/>
      </w:r>
      <w:r>
        <w:t>7</w:t>
      </w:r>
      <w:r>
        <w:fldChar w:fldCharType="end"/>
      </w:r>
      <w:r>
        <w:rPr>
          <w:bCs/>
          <w:color w:val="auto"/>
          <w:szCs w:val="24"/>
          <w:highlight w:val="none"/>
        </w:rPr>
        <w:fldChar w:fldCharType="end"/>
      </w:r>
    </w:p>
    <w:p w14:paraId="100FBA80">
      <w:pPr>
        <w:pStyle w:val="37"/>
        <w:tabs>
          <w:tab w:val="right" w:leader="dot" w:pos="9412"/>
        </w:tabs>
      </w:pPr>
      <w:r>
        <w:rPr>
          <w:bCs/>
          <w:color w:val="auto"/>
          <w:szCs w:val="24"/>
          <w:highlight w:val="none"/>
        </w:rPr>
        <w:fldChar w:fldCharType="begin"/>
      </w:r>
      <w:r>
        <w:rPr>
          <w:bCs/>
          <w:szCs w:val="24"/>
          <w:highlight w:val="none"/>
        </w:rPr>
        <w:instrText xml:space="preserve"> HYPERLINK \l _Toc24673 </w:instrText>
      </w:r>
      <w:r>
        <w:rPr>
          <w:bCs/>
          <w:szCs w:val="24"/>
          <w:highlight w:val="none"/>
        </w:rPr>
        <w:fldChar w:fldCharType="separate"/>
      </w:r>
      <w:r>
        <w:rPr>
          <w:rFonts w:hint="eastAsia"/>
          <w:highlight w:val="none"/>
        </w:rPr>
        <w:t>二、招标文件</w:t>
      </w:r>
      <w:r>
        <w:tab/>
      </w:r>
      <w:r>
        <w:fldChar w:fldCharType="begin"/>
      </w:r>
      <w:r>
        <w:instrText xml:space="preserve"> PAGEREF _Toc24673 \h </w:instrText>
      </w:r>
      <w:r>
        <w:fldChar w:fldCharType="separate"/>
      </w:r>
      <w:r>
        <w:t>8</w:t>
      </w:r>
      <w:r>
        <w:fldChar w:fldCharType="end"/>
      </w:r>
      <w:r>
        <w:rPr>
          <w:bCs/>
          <w:color w:val="auto"/>
          <w:szCs w:val="24"/>
          <w:highlight w:val="none"/>
        </w:rPr>
        <w:fldChar w:fldCharType="end"/>
      </w:r>
    </w:p>
    <w:p w14:paraId="2CA1C65E">
      <w:pPr>
        <w:pStyle w:val="37"/>
        <w:tabs>
          <w:tab w:val="right" w:leader="dot" w:pos="9412"/>
        </w:tabs>
      </w:pPr>
      <w:r>
        <w:rPr>
          <w:bCs/>
          <w:color w:val="auto"/>
          <w:szCs w:val="24"/>
          <w:highlight w:val="none"/>
        </w:rPr>
        <w:fldChar w:fldCharType="begin"/>
      </w:r>
      <w:r>
        <w:rPr>
          <w:bCs/>
          <w:szCs w:val="24"/>
          <w:highlight w:val="none"/>
        </w:rPr>
        <w:instrText xml:space="preserve"> HYPERLINK \l _Toc21070 </w:instrText>
      </w:r>
      <w:r>
        <w:rPr>
          <w:bCs/>
          <w:szCs w:val="24"/>
          <w:highlight w:val="none"/>
        </w:rPr>
        <w:fldChar w:fldCharType="separate"/>
      </w:r>
      <w:r>
        <w:rPr>
          <w:rFonts w:hint="eastAsia"/>
          <w:highlight w:val="none"/>
        </w:rPr>
        <w:t>三、投标文件的编制</w:t>
      </w:r>
      <w:r>
        <w:tab/>
      </w:r>
      <w:r>
        <w:fldChar w:fldCharType="begin"/>
      </w:r>
      <w:r>
        <w:instrText xml:space="preserve"> PAGEREF _Toc21070 \h </w:instrText>
      </w:r>
      <w:r>
        <w:fldChar w:fldCharType="separate"/>
      </w:r>
      <w:r>
        <w:t>9</w:t>
      </w:r>
      <w:r>
        <w:fldChar w:fldCharType="end"/>
      </w:r>
      <w:r>
        <w:rPr>
          <w:bCs/>
          <w:color w:val="auto"/>
          <w:szCs w:val="24"/>
          <w:highlight w:val="none"/>
        </w:rPr>
        <w:fldChar w:fldCharType="end"/>
      </w:r>
    </w:p>
    <w:p w14:paraId="3002A0C2">
      <w:pPr>
        <w:pStyle w:val="37"/>
        <w:tabs>
          <w:tab w:val="right" w:leader="dot" w:pos="9412"/>
        </w:tabs>
      </w:pPr>
      <w:r>
        <w:rPr>
          <w:bCs/>
          <w:color w:val="auto"/>
          <w:szCs w:val="24"/>
          <w:highlight w:val="none"/>
        </w:rPr>
        <w:fldChar w:fldCharType="begin"/>
      </w:r>
      <w:r>
        <w:rPr>
          <w:bCs/>
          <w:szCs w:val="24"/>
          <w:highlight w:val="none"/>
        </w:rPr>
        <w:instrText xml:space="preserve"> HYPERLINK \l _Toc23502 </w:instrText>
      </w:r>
      <w:r>
        <w:rPr>
          <w:bCs/>
          <w:szCs w:val="24"/>
          <w:highlight w:val="none"/>
        </w:rPr>
        <w:fldChar w:fldCharType="separate"/>
      </w:r>
      <w:r>
        <w:rPr>
          <w:rFonts w:hint="eastAsia"/>
          <w:highlight w:val="none"/>
        </w:rPr>
        <w:t>四、投标文件的提交</w:t>
      </w:r>
      <w:r>
        <w:tab/>
      </w:r>
      <w:r>
        <w:fldChar w:fldCharType="begin"/>
      </w:r>
      <w:r>
        <w:instrText xml:space="preserve"> PAGEREF _Toc23502 \h </w:instrText>
      </w:r>
      <w:r>
        <w:fldChar w:fldCharType="separate"/>
      </w:r>
      <w:r>
        <w:t>11</w:t>
      </w:r>
      <w:r>
        <w:fldChar w:fldCharType="end"/>
      </w:r>
      <w:r>
        <w:rPr>
          <w:bCs/>
          <w:color w:val="auto"/>
          <w:szCs w:val="24"/>
          <w:highlight w:val="none"/>
        </w:rPr>
        <w:fldChar w:fldCharType="end"/>
      </w:r>
    </w:p>
    <w:p w14:paraId="03C07358">
      <w:pPr>
        <w:pStyle w:val="37"/>
        <w:tabs>
          <w:tab w:val="right" w:leader="dot" w:pos="9412"/>
        </w:tabs>
      </w:pPr>
      <w:r>
        <w:rPr>
          <w:bCs/>
          <w:color w:val="auto"/>
          <w:szCs w:val="24"/>
          <w:highlight w:val="none"/>
        </w:rPr>
        <w:fldChar w:fldCharType="begin"/>
      </w:r>
      <w:r>
        <w:rPr>
          <w:bCs/>
          <w:szCs w:val="24"/>
          <w:highlight w:val="none"/>
        </w:rPr>
        <w:instrText xml:space="preserve"> HYPERLINK \l _Toc21416 </w:instrText>
      </w:r>
      <w:r>
        <w:rPr>
          <w:bCs/>
          <w:szCs w:val="24"/>
          <w:highlight w:val="none"/>
        </w:rPr>
        <w:fldChar w:fldCharType="separate"/>
      </w:r>
      <w:r>
        <w:rPr>
          <w:rFonts w:hint="eastAsia"/>
          <w:highlight w:val="none"/>
        </w:rPr>
        <w:t>五、开标与评标</w:t>
      </w:r>
      <w:r>
        <w:tab/>
      </w:r>
      <w:r>
        <w:fldChar w:fldCharType="begin"/>
      </w:r>
      <w:r>
        <w:instrText xml:space="preserve"> PAGEREF _Toc21416 \h </w:instrText>
      </w:r>
      <w:r>
        <w:fldChar w:fldCharType="separate"/>
      </w:r>
      <w:r>
        <w:t>11</w:t>
      </w:r>
      <w:r>
        <w:fldChar w:fldCharType="end"/>
      </w:r>
      <w:r>
        <w:rPr>
          <w:bCs/>
          <w:color w:val="auto"/>
          <w:szCs w:val="24"/>
          <w:highlight w:val="none"/>
        </w:rPr>
        <w:fldChar w:fldCharType="end"/>
      </w:r>
    </w:p>
    <w:p w14:paraId="77A25989">
      <w:pPr>
        <w:pStyle w:val="37"/>
        <w:tabs>
          <w:tab w:val="right" w:leader="dot" w:pos="9412"/>
        </w:tabs>
      </w:pPr>
      <w:r>
        <w:rPr>
          <w:bCs/>
          <w:color w:val="auto"/>
          <w:szCs w:val="24"/>
          <w:highlight w:val="none"/>
        </w:rPr>
        <w:fldChar w:fldCharType="begin"/>
      </w:r>
      <w:r>
        <w:rPr>
          <w:bCs/>
          <w:szCs w:val="24"/>
          <w:highlight w:val="none"/>
        </w:rPr>
        <w:instrText xml:space="preserve"> HYPERLINK \l _Toc22649 </w:instrText>
      </w:r>
      <w:r>
        <w:rPr>
          <w:bCs/>
          <w:szCs w:val="24"/>
          <w:highlight w:val="none"/>
        </w:rPr>
        <w:fldChar w:fldCharType="separate"/>
      </w:r>
      <w:r>
        <w:rPr>
          <w:rFonts w:hint="eastAsia"/>
          <w:highlight w:val="none"/>
        </w:rPr>
        <w:t>六、中标结果</w:t>
      </w:r>
      <w:r>
        <w:tab/>
      </w:r>
      <w:r>
        <w:fldChar w:fldCharType="begin"/>
      </w:r>
      <w:r>
        <w:instrText xml:space="preserve"> PAGEREF _Toc22649 \h </w:instrText>
      </w:r>
      <w:r>
        <w:fldChar w:fldCharType="separate"/>
      </w:r>
      <w:r>
        <w:t>13</w:t>
      </w:r>
      <w:r>
        <w:fldChar w:fldCharType="end"/>
      </w:r>
      <w:r>
        <w:rPr>
          <w:bCs/>
          <w:color w:val="auto"/>
          <w:szCs w:val="24"/>
          <w:highlight w:val="none"/>
        </w:rPr>
        <w:fldChar w:fldCharType="end"/>
      </w:r>
    </w:p>
    <w:p w14:paraId="383F2784">
      <w:pPr>
        <w:pStyle w:val="37"/>
        <w:tabs>
          <w:tab w:val="right" w:leader="dot" w:pos="9412"/>
        </w:tabs>
      </w:pPr>
      <w:r>
        <w:rPr>
          <w:bCs/>
          <w:color w:val="auto"/>
          <w:szCs w:val="24"/>
          <w:highlight w:val="none"/>
        </w:rPr>
        <w:fldChar w:fldCharType="begin"/>
      </w:r>
      <w:r>
        <w:rPr>
          <w:bCs/>
          <w:szCs w:val="24"/>
          <w:highlight w:val="none"/>
        </w:rPr>
        <w:instrText xml:space="preserve"> HYPERLINK \l _Toc18589 </w:instrText>
      </w:r>
      <w:r>
        <w:rPr>
          <w:bCs/>
          <w:szCs w:val="24"/>
          <w:highlight w:val="none"/>
        </w:rPr>
        <w:fldChar w:fldCharType="separate"/>
      </w:r>
      <w:r>
        <w:rPr>
          <w:rFonts w:hint="eastAsia"/>
          <w:highlight w:val="none"/>
        </w:rPr>
        <w:t>七、其他事项</w:t>
      </w:r>
      <w:r>
        <w:tab/>
      </w:r>
      <w:r>
        <w:fldChar w:fldCharType="begin"/>
      </w:r>
      <w:r>
        <w:instrText xml:space="preserve"> PAGEREF _Toc18589 \h </w:instrText>
      </w:r>
      <w:r>
        <w:fldChar w:fldCharType="separate"/>
      </w:r>
      <w:r>
        <w:t>14</w:t>
      </w:r>
      <w:r>
        <w:fldChar w:fldCharType="end"/>
      </w:r>
      <w:r>
        <w:rPr>
          <w:bCs/>
          <w:color w:val="auto"/>
          <w:szCs w:val="24"/>
          <w:highlight w:val="none"/>
        </w:rPr>
        <w:fldChar w:fldCharType="end"/>
      </w:r>
    </w:p>
    <w:p w14:paraId="5D41D19E">
      <w:pPr>
        <w:pStyle w:val="32"/>
        <w:tabs>
          <w:tab w:val="right" w:leader="dot" w:pos="9412"/>
          <w:tab w:val="clear" w:pos="9900"/>
        </w:tabs>
      </w:pPr>
      <w:r>
        <w:rPr>
          <w:bCs/>
          <w:color w:val="auto"/>
          <w:szCs w:val="24"/>
          <w:highlight w:val="none"/>
        </w:rPr>
        <w:fldChar w:fldCharType="begin"/>
      </w:r>
      <w:r>
        <w:rPr>
          <w:bCs/>
          <w:szCs w:val="24"/>
          <w:highlight w:val="none"/>
        </w:rPr>
        <w:instrText xml:space="preserve"> HYPERLINK \l _Toc29015 </w:instrText>
      </w:r>
      <w:r>
        <w:rPr>
          <w:bCs/>
          <w:szCs w:val="24"/>
          <w:highlight w:val="none"/>
        </w:rPr>
        <w:fldChar w:fldCharType="separate"/>
      </w:r>
      <w:r>
        <w:rPr>
          <w:rFonts w:hint="eastAsia" w:ascii="宋体" w:hAnsi="宋体" w:eastAsia="宋体"/>
          <w:bCs/>
          <w:szCs w:val="30"/>
          <w:highlight w:val="none"/>
        </w:rPr>
        <w:t>第三章  评标方法（综合评分法）</w:t>
      </w:r>
      <w:r>
        <w:tab/>
      </w:r>
      <w:r>
        <w:fldChar w:fldCharType="begin"/>
      </w:r>
      <w:r>
        <w:instrText xml:space="preserve"> PAGEREF _Toc29015 \h </w:instrText>
      </w:r>
      <w:r>
        <w:fldChar w:fldCharType="separate"/>
      </w:r>
      <w:r>
        <w:t>18</w:t>
      </w:r>
      <w:r>
        <w:fldChar w:fldCharType="end"/>
      </w:r>
      <w:r>
        <w:rPr>
          <w:bCs/>
          <w:color w:val="auto"/>
          <w:szCs w:val="24"/>
          <w:highlight w:val="none"/>
        </w:rPr>
        <w:fldChar w:fldCharType="end"/>
      </w:r>
    </w:p>
    <w:p w14:paraId="17668490">
      <w:pPr>
        <w:pStyle w:val="32"/>
        <w:tabs>
          <w:tab w:val="right" w:leader="dot" w:pos="9412"/>
          <w:tab w:val="clear" w:pos="9900"/>
        </w:tabs>
      </w:pPr>
      <w:r>
        <w:rPr>
          <w:bCs/>
          <w:color w:val="auto"/>
          <w:szCs w:val="24"/>
          <w:highlight w:val="none"/>
        </w:rPr>
        <w:fldChar w:fldCharType="begin"/>
      </w:r>
      <w:r>
        <w:rPr>
          <w:bCs/>
          <w:szCs w:val="24"/>
          <w:highlight w:val="none"/>
        </w:rPr>
        <w:instrText xml:space="preserve"> HYPERLINK \l _Toc27877 </w:instrText>
      </w:r>
      <w:r>
        <w:rPr>
          <w:bCs/>
          <w:szCs w:val="24"/>
          <w:highlight w:val="none"/>
        </w:rPr>
        <w:fldChar w:fldCharType="separate"/>
      </w:r>
      <w:r>
        <w:rPr>
          <w:rFonts w:hint="eastAsia" w:ascii="宋体" w:hAnsi="宋体" w:eastAsia="宋体"/>
          <w:bCs/>
          <w:szCs w:val="30"/>
          <w:highlight w:val="none"/>
        </w:rPr>
        <w:t>第四章  采购需求</w:t>
      </w:r>
      <w:r>
        <w:tab/>
      </w:r>
      <w:r>
        <w:fldChar w:fldCharType="begin"/>
      </w:r>
      <w:r>
        <w:instrText xml:space="preserve"> PAGEREF _Toc27877 \h </w:instrText>
      </w:r>
      <w:r>
        <w:fldChar w:fldCharType="separate"/>
      </w:r>
      <w:r>
        <w:t>27</w:t>
      </w:r>
      <w:r>
        <w:fldChar w:fldCharType="end"/>
      </w:r>
      <w:r>
        <w:rPr>
          <w:bCs/>
          <w:color w:val="auto"/>
          <w:szCs w:val="24"/>
          <w:highlight w:val="none"/>
        </w:rPr>
        <w:fldChar w:fldCharType="end"/>
      </w:r>
    </w:p>
    <w:p w14:paraId="71BD2F6A">
      <w:pPr>
        <w:pStyle w:val="37"/>
        <w:tabs>
          <w:tab w:val="right" w:leader="dot" w:pos="9412"/>
        </w:tabs>
      </w:pPr>
      <w:r>
        <w:rPr>
          <w:bCs/>
          <w:color w:val="auto"/>
          <w:szCs w:val="24"/>
          <w:highlight w:val="none"/>
        </w:rPr>
        <w:fldChar w:fldCharType="begin"/>
      </w:r>
      <w:r>
        <w:rPr>
          <w:bCs/>
          <w:szCs w:val="24"/>
          <w:highlight w:val="none"/>
        </w:rPr>
        <w:instrText xml:space="preserve"> HYPERLINK \l _Toc13687 </w:instrText>
      </w:r>
      <w:r>
        <w:rPr>
          <w:bCs/>
          <w:szCs w:val="24"/>
          <w:highlight w:val="none"/>
        </w:rPr>
        <w:fldChar w:fldCharType="separate"/>
      </w:r>
      <w:r>
        <w:rPr>
          <w:rFonts w:hint="eastAsia"/>
          <w:szCs w:val="24"/>
          <w:highlight w:val="none"/>
        </w:rPr>
        <w:t>一、采购标的项目概况，以及为落实政府采购政策需满足的要求</w:t>
      </w:r>
      <w:r>
        <w:tab/>
      </w:r>
      <w:r>
        <w:fldChar w:fldCharType="begin"/>
      </w:r>
      <w:r>
        <w:instrText xml:space="preserve"> PAGEREF _Toc13687 \h </w:instrText>
      </w:r>
      <w:r>
        <w:fldChar w:fldCharType="separate"/>
      </w:r>
      <w:r>
        <w:t>27</w:t>
      </w:r>
      <w:r>
        <w:fldChar w:fldCharType="end"/>
      </w:r>
      <w:r>
        <w:rPr>
          <w:bCs/>
          <w:color w:val="auto"/>
          <w:szCs w:val="24"/>
          <w:highlight w:val="none"/>
        </w:rPr>
        <w:fldChar w:fldCharType="end"/>
      </w:r>
    </w:p>
    <w:p w14:paraId="6D0D4595">
      <w:pPr>
        <w:pStyle w:val="37"/>
        <w:tabs>
          <w:tab w:val="right" w:leader="dot" w:pos="9412"/>
        </w:tabs>
      </w:pPr>
      <w:r>
        <w:rPr>
          <w:bCs/>
          <w:color w:val="auto"/>
          <w:szCs w:val="24"/>
          <w:highlight w:val="none"/>
        </w:rPr>
        <w:fldChar w:fldCharType="begin"/>
      </w:r>
      <w:r>
        <w:rPr>
          <w:bCs/>
          <w:szCs w:val="24"/>
          <w:highlight w:val="none"/>
        </w:rPr>
        <w:instrText xml:space="preserve"> HYPERLINK \l _Toc5314 </w:instrText>
      </w:r>
      <w:r>
        <w:rPr>
          <w:bCs/>
          <w:szCs w:val="24"/>
          <w:highlight w:val="none"/>
        </w:rPr>
        <w:fldChar w:fldCharType="separate"/>
      </w:r>
      <w:r>
        <w:rPr>
          <w:rFonts w:hint="eastAsia"/>
          <w:szCs w:val="24"/>
          <w:highlight w:val="none"/>
        </w:rPr>
        <w:t>二、执行的国家相关标准、行业标准、地方标准或者其他标准、规范</w:t>
      </w:r>
      <w:r>
        <w:tab/>
      </w:r>
      <w:r>
        <w:fldChar w:fldCharType="begin"/>
      </w:r>
      <w:r>
        <w:instrText xml:space="preserve"> PAGEREF _Toc5314 \h </w:instrText>
      </w:r>
      <w:r>
        <w:fldChar w:fldCharType="separate"/>
      </w:r>
      <w:r>
        <w:t>27</w:t>
      </w:r>
      <w:r>
        <w:fldChar w:fldCharType="end"/>
      </w:r>
      <w:r>
        <w:rPr>
          <w:bCs/>
          <w:color w:val="auto"/>
          <w:szCs w:val="24"/>
          <w:highlight w:val="none"/>
        </w:rPr>
        <w:fldChar w:fldCharType="end"/>
      </w:r>
    </w:p>
    <w:p w14:paraId="2519829B">
      <w:pPr>
        <w:pStyle w:val="37"/>
        <w:tabs>
          <w:tab w:val="right" w:leader="dot" w:pos="9412"/>
        </w:tabs>
      </w:pPr>
      <w:r>
        <w:rPr>
          <w:bCs/>
          <w:color w:val="auto"/>
          <w:szCs w:val="24"/>
          <w:highlight w:val="none"/>
        </w:rPr>
        <w:fldChar w:fldCharType="begin"/>
      </w:r>
      <w:r>
        <w:rPr>
          <w:bCs/>
          <w:szCs w:val="24"/>
          <w:highlight w:val="none"/>
        </w:rPr>
        <w:instrText xml:space="preserve"> HYPERLINK \l _Toc19411 </w:instrText>
      </w:r>
      <w:r>
        <w:rPr>
          <w:bCs/>
          <w:szCs w:val="24"/>
          <w:highlight w:val="none"/>
        </w:rPr>
        <w:fldChar w:fldCharType="separate"/>
      </w:r>
      <w:r>
        <w:rPr>
          <w:rFonts w:hint="eastAsia"/>
          <w:szCs w:val="24"/>
          <w:highlight w:val="none"/>
        </w:rPr>
        <w:t>三、采购标的的采购内容及要求</w:t>
      </w:r>
      <w:r>
        <w:tab/>
      </w:r>
      <w:r>
        <w:fldChar w:fldCharType="begin"/>
      </w:r>
      <w:r>
        <w:instrText xml:space="preserve"> PAGEREF _Toc19411 \h </w:instrText>
      </w:r>
      <w:r>
        <w:fldChar w:fldCharType="separate"/>
      </w:r>
      <w:r>
        <w:t>27</w:t>
      </w:r>
      <w:r>
        <w:fldChar w:fldCharType="end"/>
      </w:r>
      <w:r>
        <w:rPr>
          <w:bCs/>
          <w:color w:val="auto"/>
          <w:szCs w:val="24"/>
          <w:highlight w:val="none"/>
        </w:rPr>
        <w:fldChar w:fldCharType="end"/>
      </w:r>
    </w:p>
    <w:p w14:paraId="551A4738">
      <w:pPr>
        <w:pStyle w:val="37"/>
        <w:tabs>
          <w:tab w:val="right" w:leader="dot" w:pos="9412"/>
        </w:tabs>
      </w:pPr>
      <w:r>
        <w:rPr>
          <w:bCs/>
          <w:color w:val="auto"/>
          <w:szCs w:val="24"/>
          <w:highlight w:val="none"/>
        </w:rPr>
        <w:fldChar w:fldCharType="begin"/>
      </w:r>
      <w:r>
        <w:rPr>
          <w:bCs/>
          <w:szCs w:val="24"/>
          <w:highlight w:val="none"/>
        </w:rPr>
        <w:instrText xml:space="preserve"> HYPERLINK \l _Toc26617 </w:instrText>
      </w:r>
      <w:r>
        <w:rPr>
          <w:bCs/>
          <w:szCs w:val="24"/>
          <w:highlight w:val="none"/>
        </w:rPr>
        <w:fldChar w:fldCharType="separate"/>
      </w:r>
      <w:r>
        <w:rPr>
          <w:rFonts w:hint="eastAsia"/>
          <w:szCs w:val="24"/>
          <w:highlight w:val="none"/>
        </w:rPr>
        <w:t>四、采购标的的数量、采购项目服务期限及交货地点</w:t>
      </w:r>
      <w:r>
        <w:tab/>
      </w:r>
      <w:r>
        <w:fldChar w:fldCharType="begin"/>
      </w:r>
      <w:r>
        <w:instrText xml:space="preserve"> PAGEREF _Toc26617 \h </w:instrText>
      </w:r>
      <w:r>
        <w:fldChar w:fldCharType="separate"/>
      </w:r>
      <w:r>
        <w:t>47</w:t>
      </w:r>
      <w:r>
        <w:fldChar w:fldCharType="end"/>
      </w:r>
      <w:r>
        <w:rPr>
          <w:bCs/>
          <w:color w:val="auto"/>
          <w:szCs w:val="24"/>
          <w:highlight w:val="none"/>
        </w:rPr>
        <w:fldChar w:fldCharType="end"/>
      </w:r>
    </w:p>
    <w:p w14:paraId="15BFEE02">
      <w:pPr>
        <w:pStyle w:val="37"/>
        <w:tabs>
          <w:tab w:val="right" w:leader="dot" w:pos="9412"/>
        </w:tabs>
      </w:pPr>
      <w:r>
        <w:rPr>
          <w:bCs/>
          <w:color w:val="auto"/>
          <w:szCs w:val="24"/>
          <w:highlight w:val="none"/>
        </w:rPr>
        <w:fldChar w:fldCharType="begin"/>
      </w:r>
      <w:r>
        <w:rPr>
          <w:bCs/>
          <w:szCs w:val="24"/>
          <w:highlight w:val="none"/>
        </w:rPr>
        <w:instrText xml:space="preserve"> HYPERLINK \l _Toc20203 </w:instrText>
      </w:r>
      <w:r>
        <w:rPr>
          <w:bCs/>
          <w:szCs w:val="24"/>
          <w:highlight w:val="none"/>
        </w:rPr>
        <w:fldChar w:fldCharType="separate"/>
      </w:r>
      <w:r>
        <w:rPr>
          <w:rFonts w:hint="eastAsia"/>
          <w:szCs w:val="24"/>
          <w:highlight w:val="none"/>
        </w:rPr>
        <w:t>五、验收标准</w:t>
      </w:r>
      <w:r>
        <w:tab/>
      </w:r>
      <w:r>
        <w:fldChar w:fldCharType="begin"/>
      </w:r>
      <w:r>
        <w:instrText xml:space="preserve"> PAGEREF _Toc20203 \h </w:instrText>
      </w:r>
      <w:r>
        <w:fldChar w:fldCharType="separate"/>
      </w:r>
      <w:r>
        <w:t>47</w:t>
      </w:r>
      <w:r>
        <w:fldChar w:fldCharType="end"/>
      </w:r>
      <w:r>
        <w:rPr>
          <w:bCs/>
          <w:color w:val="auto"/>
          <w:szCs w:val="24"/>
          <w:highlight w:val="none"/>
        </w:rPr>
        <w:fldChar w:fldCharType="end"/>
      </w:r>
    </w:p>
    <w:p w14:paraId="160DE849">
      <w:pPr>
        <w:pStyle w:val="32"/>
        <w:tabs>
          <w:tab w:val="right" w:leader="dot" w:pos="9412"/>
          <w:tab w:val="clear" w:pos="9900"/>
        </w:tabs>
      </w:pPr>
      <w:r>
        <w:rPr>
          <w:bCs/>
          <w:color w:val="auto"/>
          <w:szCs w:val="24"/>
          <w:highlight w:val="none"/>
        </w:rPr>
        <w:fldChar w:fldCharType="begin"/>
      </w:r>
      <w:r>
        <w:rPr>
          <w:bCs/>
          <w:szCs w:val="24"/>
          <w:highlight w:val="none"/>
        </w:rPr>
        <w:instrText xml:space="preserve"> HYPERLINK \l _Toc10648 </w:instrText>
      </w:r>
      <w:r>
        <w:rPr>
          <w:bCs/>
          <w:szCs w:val="24"/>
          <w:highlight w:val="none"/>
        </w:rPr>
        <w:fldChar w:fldCharType="separate"/>
      </w:r>
      <w:r>
        <w:rPr>
          <w:rFonts w:hint="eastAsia" w:ascii="宋体" w:hAnsi="宋体" w:eastAsia="宋体"/>
          <w:bCs/>
          <w:szCs w:val="30"/>
          <w:highlight w:val="none"/>
        </w:rPr>
        <w:t>第五章  合同书样式及主要条款(此合同范本仅供参考)</w:t>
      </w:r>
      <w:r>
        <w:tab/>
      </w:r>
      <w:r>
        <w:fldChar w:fldCharType="begin"/>
      </w:r>
      <w:r>
        <w:instrText xml:space="preserve"> PAGEREF _Toc10648 \h </w:instrText>
      </w:r>
      <w:r>
        <w:fldChar w:fldCharType="separate"/>
      </w:r>
      <w:r>
        <w:t>49</w:t>
      </w:r>
      <w:r>
        <w:fldChar w:fldCharType="end"/>
      </w:r>
      <w:r>
        <w:rPr>
          <w:bCs/>
          <w:color w:val="auto"/>
          <w:szCs w:val="24"/>
          <w:highlight w:val="none"/>
        </w:rPr>
        <w:fldChar w:fldCharType="end"/>
      </w:r>
    </w:p>
    <w:p w14:paraId="5E89F54B">
      <w:pPr>
        <w:pStyle w:val="32"/>
        <w:tabs>
          <w:tab w:val="right" w:leader="dot" w:pos="9412"/>
          <w:tab w:val="clear" w:pos="9900"/>
        </w:tabs>
      </w:pPr>
      <w:r>
        <w:rPr>
          <w:bCs/>
          <w:color w:val="auto"/>
          <w:szCs w:val="24"/>
          <w:highlight w:val="none"/>
        </w:rPr>
        <w:fldChar w:fldCharType="begin"/>
      </w:r>
      <w:r>
        <w:rPr>
          <w:bCs/>
          <w:szCs w:val="24"/>
          <w:highlight w:val="none"/>
        </w:rPr>
        <w:instrText xml:space="preserve"> HYPERLINK \l _Toc26106 </w:instrText>
      </w:r>
      <w:r>
        <w:rPr>
          <w:bCs/>
          <w:szCs w:val="24"/>
          <w:highlight w:val="none"/>
        </w:rPr>
        <w:fldChar w:fldCharType="separate"/>
      </w:r>
      <w:r>
        <w:rPr>
          <w:rFonts w:hint="eastAsia" w:ascii="宋体" w:hAnsi="宋体" w:eastAsia="宋体"/>
          <w:bCs/>
          <w:highlight w:val="none"/>
        </w:rPr>
        <w:t>第六章  投标文件格式</w:t>
      </w:r>
      <w:r>
        <w:tab/>
      </w:r>
      <w:r>
        <w:fldChar w:fldCharType="begin"/>
      </w:r>
      <w:r>
        <w:instrText xml:space="preserve"> PAGEREF _Toc26106 \h </w:instrText>
      </w:r>
      <w:r>
        <w:fldChar w:fldCharType="separate"/>
      </w:r>
      <w:r>
        <w:t>55</w:t>
      </w:r>
      <w:r>
        <w:fldChar w:fldCharType="end"/>
      </w:r>
      <w:r>
        <w:rPr>
          <w:bCs/>
          <w:color w:val="auto"/>
          <w:szCs w:val="24"/>
          <w:highlight w:val="none"/>
        </w:rPr>
        <w:fldChar w:fldCharType="end"/>
      </w:r>
    </w:p>
    <w:p w14:paraId="2C1A4FB6">
      <w:pPr>
        <w:pStyle w:val="37"/>
        <w:tabs>
          <w:tab w:val="right" w:leader="dot" w:pos="9412"/>
        </w:tabs>
      </w:pPr>
      <w:r>
        <w:rPr>
          <w:bCs/>
          <w:color w:val="auto"/>
          <w:szCs w:val="24"/>
          <w:highlight w:val="none"/>
        </w:rPr>
        <w:fldChar w:fldCharType="begin"/>
      </w:r>
      <w:r>
        <w:rPr>
          <w:bCs/>
          <w:szCs w:val="24"/>
          <w:highlight w:val="none"/>
        </w:rPr>
        <w:instrText xml:space="preserve"> HYPERLINK \l _Toc6852 </w:instrText>
      </w:r>
      <w:r>
        <w:rPr>
          <w:bCs/>
          <w:szCs w:val="24"/>
          <w:highlight w:val="none"/>
        </w:rPr>
        <w:fldChar w:fldCharType="separate"/>
      </w:r>
      <w:r>
        <w:rPr>
          <w:rFonts w:hint="eastAsia" w:ascii="仿宋_BG2312"/>
          <w:shd w:val="clear" w:fill="FFFFFF"/>
        </w:rPr>
        <w:t xml:space="preserve">一、 </w:t>
      </w:r>
      <w:r>
        <w:rPr>
          <w:rFonts w:hint="eastAsia" w:ascii="仿宋_BG2312"/>
          <w:highlight w:val="none"/>
          <w:shd w:val="clear" w:color="auto" w:fill="FFFFFF"/>
        </w:rPr>
        <w:t>资格审查部分</w:t>
      </w:r>
      <w:r>
        <w:tab/>
      </w:r>
      <w:r>
        <w:fldChar w:fldCharType="begin"/>
      </w:r>
      <w:r>
        <w:instrText xml:space="preserve"> PAGEREF _Toc6852 \h </w:instrText>
      </w:r>
      <w:r>
        <w:fldChar w:fldCharType="separate"/>
      </w:r>
      <w:r>
        <w:t>57</w:t>
      </w:r>
      <w:r>
        <w:fldChar w:fldCharType="end"/>
      </w:r>
      <w:r>
        <w:rPr>
          <w:bCs/>
          <w:color w:val="auto"/>
          <w:szCs w:val="24"/>
          <w:highlight w:val="none"/>
        </w:rPr>
        <w:fldChar w:fldCharType="end"/>
      </w:r>
    </w:p>
    <w:p w14:paraId="5188C3F9">
      <w:pPr>
        <w:pStyle w:val="37"/>
        <w:tabs>
          <w:tab w:val="right" w:leader="dot" w:pos="9412"/>
        </w:tabs>
      </w:pPr>
      <w:r>
        <w:rPr>
          <w:bCs/>
          <w:color w:val="auto"/>
          <w:szCs w:val="24"/>
          <w:highlight w:val="none"/>
        </w:rPr>
        <w:fldChar w:fldCharType="begin"/>
      </w:r>
      <w:r>
        <w:rPr>
          <w:bCs/>
          <w:szCs w:val="24"/>
          <w:highlight w:val="none"/>
        </w:rPr>
        <w:instrText xml:space="preserve"> HYPERLINK \l _Toc4353 </w:instrText>
      </w:r>
      <w:r>
        <w:rPr>
          <w:bCs/>
          <w:szCs w:val="24"/>
          <w:highlight w:val="none"/>
        </w:rPr>
        <w:fldChar w:fldCharType="separate"/>
      </w:r>
      <w:r>
        <w:rPr>
          <w:rFonts w:hint="eastAsia"/>
          <w:highlight w:val="none"/>
        </w:rPr>
        <w:t>二、投标文件商务部分</w:t>
      </w:r>
      <w:r>
        <w:tab/>
      </w:r>
      <w:r>
        <w:fldChar w:fldCharType="begin"/>
      </w:r>
      <w:r>
        <w:instrText xml:space="preserve"> PAGEREF _Toc4353 \h </w:instrText>
      </w:r>
      <w:r>
        <w:fldChar w:fldCharType="separate"/>
      </w:r>
      <w:r>
        <w:t>62</w:t>
      </w:r>
      <w:r>
        <w:fldChar w:fldCharType="end"/>
      </w:r>
      <w:r>
        <w:rPr>
          <w:bCs/>
          <w:color w:val="auto"/>
          <w:szCs w:val="24"/>
          <w:highlight w:val="none"/>
        </w:rPr>
        <w:fldChar w:fldCharType="end"/>
      </w:r>
    </w:p>
    <w:p w14:paraId="67C3F9C4">
      <w:pPr>
        <w:pStyle w:val="37"/>
        <w:tabs>
          <w:tab w:val="right" w:leader="dot" w:pos="9412"/>
        </w:tabs>
      </w:pPr>
      <w:r>
        <w:rPr>
          <w:bCs/>
          <w:color w:val="auto"/>
          <w:szCs w:val="24"/>
          <w:highlight w:val="none"/>
        </w:rPr>
        <w:fldChar w:fldCharType="begin"/>
      </w:r>
      <w:r>
        <w:rPr>
          <w:bCs/>
          <w:szCs w:val="24"/>
          <w:highlight w:val="none"/>
        </w:rPr>
        <w:instrText xml:space="preserve"> HYPERLINK \l _Toc14634 </w:instrText>
      </w:r>
      <w:r>
        <w:rPr>
          <w:bCs/>
          <w:szCs w:val="24"/>
          <w:highlight w:val="none"/>
        </w:rPr>
        <w:fldChar w:fldCharType="separate"/>
      </w:r>
      <w:r>
        <w:rPr>
          <w:rFonts w:hint="eastAsia" w:ascii="仿宋_BG2312"/>
          <w:highlight w:val="none"/>
          <w:shd w:val="clear" w:color="auto" w:fill="FFFFFF"/>
        </w:rPr>
        <w:t>三、投标报价部分</w:t>
      </w:r>
      <w:r>
        <w:tab/>
      </w:r>
      <w:r>
        <w:fldChar w:fldCharType="begin"/>
      </w:r>
      <w:r>
        <w:instrText xml:space="preserve"> PAGEREF _Toc14634 \h </w:instrText>
      </w:r>
      <w:r>
        <w:fldChar w:fldCharType="separate"/>
      </w:r>
      <w:r>
        <w:t>68</w:t>
      </w:r>
      <w:r>
        <w:fldChar w:fldCharType="end"/>
      </w:r>
      <w:r>
        <w:rPr>
          <w:bCs/>
          <w:color w:val="auto"/>
          <w:szCs w:val="24"/>
          <w:highlight w:val="none"/>
        </w:rPr>
        <w:fldChar w:fldCharType="end"/>
      </w:r>
    </w:p>
    <w:p w14:paraId="0569A991">
      <w:pPr>
        <w:pStyle w:val="37"/>
        <w:tabs>
          <w:tab w:val="right" w:leader="dot" w:pos="9412"/>
        </w:tabs>
      </w:pPr>
      <w:r>
        <w:rPr>
          <w:bCs/>
          <w:color w:val="auto"/>
          <w:szCs w:val="24"/>
          <w:highlight w:val="none"/>
        </w:rPr>
        <w:fldChar w:fldCharType="begin"/>
      </w:r>
      <w:r>
        <w:rPr>
          <w:bCs/>
          <w:szCs w:val="24"/>
          <w:highlight w:val="none"/>
        </w:rPr>
        <w:instrText xml:space="preserve"> HYPERLINK \l _Toc1534 </w:instrText>
      </w:r>
      <w:r>
        <w:rPr>
          <w:bCs/>
          <w:szCs w:val="24"/>
          <w:highlight w:val="none"/>
        </w:rPr>
        <w:fldChar w:fldCharType="separate"/>
      </w:r>
      <w:r>
        <w:rPr>
          <w:rFonts w:hint="eastAsia" w:ascii="仿宋_BG2312"/>
          <w:highlight w:val="none"/>
          <w:shd w:val="clear" w:color="auto" w:fill="FFFFFF"/>
        </w:rPr>
        <w:t>四、投标文件技术部分</w:t>
      </w:r>
      <w:r>
        <w:tab/>
      </w:r>
      <w:r>
        <w:fldChar w:fldCharType="begin"/>
      </w:r>
      <w:r>
        <w:instrText xml:space="preserve"> PAGEREF _Toc1534 \h </w:instrText>
      </w:r>
      <w:r>
        <w:fldChar w:fldCharType="separate"/>
      </w:r>
      <w:r>
        <w:t>74</w:t>
      </w:r>
      <w:r>
        <w:fldChar w:fldCharType="end"/>
      </w:r>
      <w:r>
        <w:rPr>
          <w:bCs/>
          <w:color w:val="auto"/>
          <w:szCs w:val="24"/>
          <w:highlight w:val="none"/>
        </w:rPr>
        <w:fldChar w:fldCharType="end"/>
      </w:r>
    </w:p>
    <w:p w14:paraId="4899A2EC">
      <w:pPr>
        <w:pStyle w:val="37"/>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2"/>
        <w:spacing w:before="0"/>
        <w:ind w:left="0" w:firstLine="0"/>
        <w:jc w:val="center"/>
        <w:rPr>
          <w:rFonts w:hint="eastAsia" w:ascii="宋体" w:hAnsi="宋体" w:eastAsia="宋体"/>
          <w:bCs/>
          <w:color w:val="auto"/>
          <w:sz w:val="30"/>
          <w:szCs w:val="30"/>
          <w:highlight w:val="none"/>
        </w:rPr>
      </w:pPr>
      <w:bookmarkStart w:id="0" w:name="_Toc23284"/>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玉溪职业技术学院（云南省玉溪工业财贸学校）“双优”专业建设（2包）机电技术应用优质专业电工电子技术实训室建设项目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2"/>
            <w:bookmarkEnd w:id="2"/>
            <w:bookmarkStart w:id="3" w:name="_Hlt130408164"/>
            <w:bookmarkEnd w:id="3"/>
            <w:bookmarkStart w:id="4" w:name="_Hlt130408161"/>
            <w:bookmarkEnd w:id="4"/>
            <w:bookmarkStart w:id="5" w:name="_Hlt130408163"/>
            <w:bookmarkEnd w:id="5"/>
            <w:r>
              <w:rPr>
                <w:rFonts w:hint="eastAsia" w:ascii="宋体" w:hAnsi="宋体" w:cs="宋体"/>
                <w:color w:val="auto"/>
                <w:kern w:val="0"/>
                <w:sz w:val="24"/>
                <w:szCs w:val="24"/>
                <w:highlight w:val="none"/>
              </w:rPr>
              <w:t>并于2026年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ZZGL-2026068H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玉溪职业技术学院（云南省玉溪工业财贸学校）“双优”专业建设（2包）机电技术应用优质专业电工电子技术实训室建设项目</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59.0</w:t>
      </w:r>
      <w:r>
        <w:rPr>
          <w:rFonts w:hint="eastAsia"/>
          <w:color w:val="auto"/>
          <w:highlight w:val="none"/>
        </w:rPr>
        <w:t>0万元（人民币</w:t>
      </w:r>
      <w:r>
        <w:rPr>
          <w:rFonts w:hint="eastAsia"/>
          <w:color w:val="auto"/>
          <w:highlight w:val="none"/>
          <w:lang w:val="en-US" w:eastAsia="zh-CN"/>
        </w:rPr>
        <w:t>伍拾玖万元整</w:t>
      </w:r>
      <w:r>
        <w:rPr>
          <w:rFonts w:hint="eastAsia"/>
          <w:color w:val="auto"/>
          <w:highlight w:val="none"/>
        </w:rPr>
        <w:t>）；</w:t>
      </w:r>
    </w:p>
    <w:p w14:paraId="40CF021D">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玉溪职业技术学院（云南省玉溪工业财贸学校）“双优”专业建设（2包）机电技术应用优质专业电工电子技术实训室建设项目</w:t>
      </w:r>
      <w:r>
        <w:rPr>
          <w:rFonts w:hint="eastAsia"/>
          <w:color w:val="auto"/>
          <w:highlight w:val="none"/>
        </w:rPr>
        <w:t>，</w:t>
      </w:r>
      <w:r>
        <w:rPr>
          <w:rFonts w:hint="eastAsia"/>
          <w:color w:val="auto"/>
          <w:highlight w:val="none"/>
          <w:lang w:val="en-US" w:eastAsia="zh-CN"/>
        </w:rPr>
        <w:t>包括但不限于电子技术实验平台、自动控制原理实训设备、电力电子与调速综合实训平台、场地文化装饰建设等内容。</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5.合同履行期限：自合同签订之日起90日历天内完成设备安装调试，并投入使用。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6.建设地点：采购人指定地点。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snapToGrid w:val="0"/>
        <w:spacing w:line="360" w:lineRule="auto"/>
        <w:ind w:firstLine="480" w:firstLineChars="200"/>
        <w:contextualSpacing/>
        <w:rPr>
          <w:rFonts w:hint="eastAsia"/>
          <w:color w:val="auto"/>
          <w:highlight w:val="none"/>
          <w:shd w:val="clear" w:color="auto" w:fill="FFFFFF"/>
        </w:rPr>
      </w:pPr>
      <w:r>
        <w:rPr>
          <w:rFonts w:hint="eastAsia"/>
          <w:color w:val="auto"/>
          <w:highlight w:val="none"/>
          <w:shd w:val="clear" w:color="auto" w:fill="FFFFFF"/>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r>
        <w:rPr>
          <w:color w:val="auto"/>
          <w:highlight w:val="none"/>
          <w:shd w:val="clear" w:color="auto" w:fill="FFFFFF"/>
        </w:rPr>
        <w:t>。</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lang w:eastAsia="zh-CN"/>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752C414B">
      <w:pPr>
        <w:snapToGrid w:val="0"/>
        <w:spacing w:line="360" w:lineRule="auto"/>
        <w:ind w:firstLine="480" w:firstLineChars="200"/>
        <w:contextualSpacing/>
        <w:rPr>
          <w:rFonts w:hint="eastAsia" w:eastAsia="宋体"/>
          <w:color w:val="auto"/>
          <w:highlight w:val="none"/>
          <w:lang w:val="en-US" w:eastAsia="zh-CN"/>
        </w:rPr>
      </w:pPr>
      <w:r>
        <w:rPr>
          <w:rFonts w:hint="eastAsia"/>
          <w:color w:val="auto"/>
          <w:highlight w:val="none"/>
        </w:rPr>
        <w:t>联系人：朱</w:t>
      </w:r>
      <w:r>
        <w:rPr>
          <w:rFonts w:hint="eastAsia"/>
          <w:color w:val="auto"/>
          <w:highlight w:val="none"/>
          <w:lang w:val="en-US" w:eastAsia="zh-CN"/>
        </w:rPr>
        <w:t>老</w:t>
      </w:r>
      <w:bookmarkStart w:id="134" w:name="_GoBack"/>
      <w:bookmarkEnd w:id="134"/>
      <w:r>
        <w:rPr>
          <w:rFonts w:hint="eastAsia"/>
          <w:color w:val="auto"/>
          <w:highlight w:val="none"/>
          <w:lang w:val="en-US" w:eastAsia="zh-CN"/>
        </w:rPr>
        <w:t>师</w:t>
      </w:r>
    </w:p>
    <w:p w14:paraId="11FD9CF5">
      <w:pPr>
        <w:snapToGrid w:val="0"/>
        <w:spacing w:line="360" w:lineRule="auto"/>
        <w:ind w:firstLine="480" w:firstLineChars="200"/>
        <w:contextualSpacing/>
        <w:rPr>
          <w:rFonts w:hint="eastAsia"/>
          <w:color w:val="auto"/>
          <w:highlight w:val="none"/>
        </w:rPr>
      </w:pPr>
      <w:r>
        <w:rPr>
          <w:rFonts w:hint="eastAsia"/>
          <w:color w:val="auto"/>
          <w:highlight w:val="none"/>
        </w:rPr>
        <w:t>电  话：18987720338</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2"/>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31729"/>
      <w:r>
        <w:rPr>
          <w:rFonts w:hint="eastAsia" w:ascii="宋体" w:hAnsi="宋体" w:eastAsia="宋体"/>
          <w:color w:val="auto"/>
          <w:sz w:val="30"/>
          <w:szCs w:val="30"/>
          <w:highlight w:val="none"/>
        </w:rPr>
        <w:t>第二章  投标人须知</w:t>
      </w:r>
      <w:bookmarkEnd w:id="21"/>
    </w:p>
    <w:p w14:paraId="338F4028">
      <w:pPr>
        <w:pStyle w:val="3"/>
        <w:rPr>
          <w:rFonts w:hint="eastAsia"/>
          <w:color w:val="auto"/>
          <w:highlight w:val="none"/>
        </w:rPr>
      </w:pPr>
      <w:bookmarkStart w:id="22" w:name="_Toc4751"/>
      <w:bookmarkStart w:id="23" w:name="_Toc22781"/>
      <w:bookmarkStart w:id="24" w:name="_Toc1164"/>
      <w:bookmarkStart w:id="25" w:name="_Toc451172696"/>
      <w:r>
        <w:rPr>
          <w:rFonts w:hint="eastAsia"/>
          <w:color w:val="auto"/>
          <w:highlight w:val="none"/>
        </w:rPr>
        <w:t>投标人须知前附表</w:t>
      </w:r>
      <w:bookmarkEnd w:id="22"/>
      <w:bookmarkEnd w:id="23"/>
      <w:bookmarkEnd w:id="24"/>
      <w:bookmarkEnd w:id="25"/>
    </w:p>
    <w:tbl>
      <w:tblPr>
        <w:tblStyle w:val="44"/>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5"/>
              <w:rPr>
                <w:rFonts w:hint="eastAsia"/>
                <w:color w:val="auto"/>
                <w:highlight w:val="none"/>
              </w:rPr>
            </w:pPr>
            <w:bookmarkStart w:id="26" w:name="_Toc20781"/>
            <w:bookmarkStart w:id="27" w:name="_Toc26125"/>
            <w:r>
              <w:rPr>
                <w:color w:val="auto"/>
                <w:highlight w:val="none"/>
              </w:rPr>
              <w:t>条款号</w:t>
            </w:r>
          </w:p>
        </w:tc>
        <w:tc>
          <w:tcPr>
            <w:tcW w:w="1540" w:type="dxa"/>
            <w:vAlign w:val="center"/>
          </w:tcPr>
          <w:p w14:paraId="37C8C832">
            <w:pPr>
              <w:pStyle w:val="25"/>
              <w:rPr>
                <w:rFonts w:hint="eastAsia"/>
                <w:color w:val="auto"/>
                <w:highlight w:val="none"/>
              </w:rPr>
            </w:pPr>
            <w:r>
              <w:rPr>
                <w:color w:val="auto"/>
                <w:highlight w:val="none"/>
              </w:rPr>
              <w:t>条 款 名 称</w:t>
            </w:r>
          </w:p>
        </w:tc>
        <w:tc>
          <w:tcPr>
            <w:tcW w:w="7252" w:type="dxa"/>
            <w:vAlign w:val="center"/>
          </w:tcPr>
          <w:p w14:paraId="2CB50939">
            <w:pPr>
              <w:pStyle w:val="25"/>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5"/>
              <w:rPr>
                <w:rFonts w:hint="eastAsia"/>
                <w:color w:val="auto"/>
                <w:highlight w:val="none"/>
              </w:rPr>
            </w:pPr>
            <w:r>
              <w:rPr>
                <w:rFonts w:hint="eastAsia"/>
                <w:color w:val="auto"/>
                <w:highlight w:val="none"/>
              </w:rPr>
              <w:t>1</w:t>
            </w:r>
          </w:p>
        </w:tc>
        <w:tc>
          <w:tcPr>
            <w:tcW w:w="1540" w:type="dxa"/>
            <w:vAlign w:val="center"/>
          </w:tcPr>
          <w:p w14:paraId="40348C8F">
            <w:pPr>
              <w:pStyle w:val="25"/>
              <w:rPr>
                <w:rFonts w:hint="eastAsia"/>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5"/>
              <w:rPr>
                <w:rFonts w:hint="eastAsia"/>
                <w:color w:val="auto"/>
                <w:highlight w:val="none"/>
              </w:rPr>
            </w:pPr>
            <w:r>
              <w:rPr>
                <w:rFonts w:hint="eastAsia"/>
                <w:color w:val="auto"/>
                <w:highlight w:val="none"/>
              </w:rPr>
              <w:t>2</w:t>
            </w:r>
          </w:p>
        </w:tc>
        <w:tc>
          <w:tcPr>
            <w:tcW w:w="1540" w:type="dxa"/>
            <w:vAlign w:val="center"/>
          </w:tcPr>
          <w:p w14:paraId="19D19208">
            <w:pPr>
              <w:pStyle w:val="25"/>
              <w:rPr>
                <w:rFonts w:hint="eastAsia"/>
                <w:color w:val="auto"/>
                <w:highlight w:val="none"/>
              </w:rPr>
            </w:pPr>
            <w:r>
              <w:rPr>
                <w:rFonts w:hint="eastAsia"/>
                <w:color w:val="auto"/>
                <w:highlight w:val="none"/>
              </w:rPr>
              <w:t>采购代理机构</w:t>
            </w:r>
          </w:p>
        </w:tc>
        <w:tc>
          <w:tcPr>
            <w:tcW w:w="7252"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5"/>
              <w:rPr>
                <w:rFonts w:hint="eastAsia"/>
                <w:color w:val="auto"/>
                <w:highlight w:val="none"/>
              </w:rPr>
            </w:pPr>
            <w:r>
              <w:rPr>
                <w:rFonts w:hint="eastAsia"/>
                <w:color w:val="auto"/>
                <w:highlight w:val="none"/>
              </w:rPr>
              <w:t>3</w:t>
            </w:r>
          </w:p>
        </w:tc>
        <w:tc>
          <w:tcPr>
            <w:tcW w:w="1540" w:type="dxa"/>
            <w:vAlign w:val="center"/>
          </w:tcPr>
          <w:p w14:paraId="19CAA886">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0EAFCD16">
            <w:pPr>
              <w:pStyle w:val="121"/>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玉溪职业技术学院（云南省玉溪工业财贸学校）“双优”专业建设（2包）机电技术应用优质专业电工电子技术实训室建设项目</w:t>
            </w:r>
            <w:r>
              <w:rPr>
                <w:rFonts w:hint="eastAsia" w:ascii="宋体" w:hAnsi="宋体" w:eastAsia="宋体"/>
                <w:color w:val="auto"/>
                <w:sz w:val="21"/>
                <w:szCs w:val="21"/>
                <w:highlight w:val="none"/>
              </w:rPr>
              <w:t>；</w:t>
            </w:r>
          </w:p>
          <w:p w14:paraId="095B8582">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ZZGL-2026068H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5"/>
              <w:rPr>
                <w:rFonts w:hint="eastAsia"/>
                <w:color w:val="auto"/>
                <w:highlight w:val="none"/>
              </w:rPr>
            </w:pPr>
            <w:r>
              <w:rPr>
                <w:rFonts w:hint="eastAsia"/>
                <w:color w:val="auto"/>
                <w:highlight w:val="none"/>
              </w:rPr>
              <w:t>4</w:t>
            </w:r>
          </w:p>
        </w:tc>
        <w:tc>
          <w:tcPr>
            <w:tcW w:w="1540" w:type="dxa"/>
            <w:vAlign w:val="center"/>
          </w:tcPr>
          <w:p w14:paraId="23DAD93A">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1DCC52E0">
            <w:pPr>
              <w:pStyle w:val="121"/>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5"/>
              <w:rPr>
                <w:rFonts w:hint="eastAsia"/>
                <w:color w:val="auto"/>
                <w:highlight w:val="none"/>
              </w:rPr>
            </w:pPr>
            <w:r>
              <w:rPr>
                <w:rFonts w:hint="eastAsia"/>
                <w:color w:val="auto"/>
                <w:highlight w:val="none"/>
              </w:rPr>
              <w:t>5</w:t>
            </w:r>
          </w:p>
        </w:tc>
        <w:tc>
          <w:tcPr>
            <w:tcW w:w="1540" w:type="dxa"/>
            <w:vAlign w:val="center"/>
          </w:tcPr>
          <w:p w14:paraId="51459FDE">
            <w:pPr>
              <w:pStyle w:val="25"/>
              <w:rPr>
                <w:rFonts w:hint="eastAsia"/>
                <w:color w:val="auto"/>
                <w:highlight w:val="none"/>
              </w:rPr>
            </w:pPr>
            <w:r>
              <w:rPr>
                <w:rFonts w:hint="eastAsia"/>
                <w:color w:val="auto"/>
                <w:highlight w:val="none"/>
              </w:rPr>
              <w:t>采购需求</w:t>
            </w:r>
          </w:p>
        </w:tc>
        <w:tc>
          <w:tcPr>
            <w:tcW w:w="7252" w:type="dxa"/>
            <w:vAlign w:val="center"/>
          </w:tcPr>
          <w:p w14:paraId="7712F8B6">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玉溪职业技术学院（云南省玉溪工业财贸学校）“双优”专业建设（2包）机电技术应用优质专业电工电子技术实训室建设项目</w:t>
            </w:r>
            <w:r>
              <w:rPr>
                <w:rFonts w:hint="eastAsia"/>
                <w:bCs/>
                <w:color w:val="auto"/>
                <w:sz w:val="21"/>
                <w:szCs w:val="21"/>
                <w:highlight w:val="none"/>
              </w:rPr>
              <w:t>，包括但不限于电子技术实验平台、自动控制原理实训设备、电力电子与调速综合实训平台、场地文化装饰建设等内容。</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5"/>
              <w:rPr>
                <w:rFonts w:hint="eastAsia"/>
                <w:color w:val="auto"/>
                <w:highlight w:val="none"/>
              </w:rPr>
            </w:pPr>
            <w:r>
              <w:rPr>
                <w:rFonts w:hint="eastAsia"/>
                <w:color w:val="auto"/>
                <w:highlight w:val="none"/>
              </w:rPr>
              <w:t>6</w:t>
            </w:r>
          </w:p>
        </w:tc>
        <w:tc>
          <w:tcPr>
            <w:tcW w:w="1540" w:type="dxa"/>
            <w:vAlign w:val="center"/>
          </w:tcPr>
          <w:p w14:paraId="1E2569E7">
            <w:pPr>
              <w:pStyle w:val="25"/>
              <w:rPr>
                <w:rFonts w:hint="eastAsia"/>
                <w:color w:val="auto"/>
                <w:highlight w:val="none"/>
              </w:rPr>
            </w:pPr>
            <w:bookmarkStart w:id="28" w:name="_Hlk148635653"/>
            <w:r>
              <w:rPr>
                <w:rFonts w:hint="eastAsia"/>
                <w:color w:val="auto"/>
                <w:highlight w:val="none"/>
                <w:lang w:val="en-US" w:eastAsia="zh-CN"/>
              </w:rPr>
              <w:t>服务</w:t>
            </w:r>
            <w:r>
              <w:rPr>
                <w:rFonts w:hint="eastAsia"/>
                <w:color w:val="auto"/>
                <w:highlight w:val="none"/>
              </w:rPr>
              <w:t>地点</w:t>
            </w:r>
            <w:bookmarkEnd w:id="28"/>
          </w:p>
        </w:tc>
        <w:tc>
          <w:tcPr>
            <w:tcW w:w="7252"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5"/>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252"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5"/>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252"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5"/>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252" w:type="dxa"/>
            <w:vAlign w:val="center"/>
          </w:tcPr>
          <w:p w14:paraId="106FE756">
            <w:pPr>
              <w:pStyle w:val="128"/>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5"/>
              <w:rPr>
                <w:rFonts w:hint="eastAsia"/>
                <w:color w:val="auto"/>
                <w:highlight w:val="none"/>
              </w:rPr>
            </w:pPr>
            <w:r>
              <w:rPr>
                <w:rFonts w:hint="eastAsia"/>
                <w:color w:val="auto"/>
                <w:highlight w:val="none"/>
              </w:rPr>
              <w:t>10</w:t>
            </w:r>
          </w:p>
        </w:tc>
        <w:tc>
          <w:tcPr>
            <w:tcW w:w="1540" w:type="dxa"/>
            <w:vAlign w:val="center"/>
          </w:tcPr>
          <w:p w14:paraId="204E8C4D">
            <w:pPr>
              <w:pStyle w:val="25"/>
              <w:rPr>
                <w:rFonts w:hint="eastAsia"/>
                <w:color w:val="auto"/>
                <w:highlight w:val="none"/>
              </w:rPr>
            </w:pPr>
            <w:r>
              <w:rPr>
                <w:rFonts w:hint="eastAsia"/>
                <w:color w:val="auto"/>
                <w:highlight w:val="none"/>
              </w:rPr>
              <w:t>申请人的资格要求</w:t>
            </w:r>
          </w:p>
        </w:tc>
        <w:tc>
          <w:tcPr>
            <w:tcW w:w="7252"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5"/>
              <w:rPr>
                <w:rFonts w:hint="eastAsia"/>
                <w:color w:val="auto"/>
                <w:highlight w:val="none"/>
              </w:rPr>
            </w:pPr>
            <w:r>
              <w:rPr>
                <w:rFonts w:hint="eastAsia"/>
                <w:color w:val="auto"/>
                <w:highlight w:val="none"/>
              </w:rPr>
              <w:t>11</w:t>
            </w:r>
          </w:p>
        </w:tc>
        <w:tc>
          <w:tcPr>
            <w:tcW w:w="1540" w:type="dxa"/>
            <w:vAlign w:val="center"/>
          </w:tcPr>
          <w:p w14:paraId="3A618B61">
            <w:pPr>
              <w:pStyle w:val="25"/>
              <w:rPr>
                <w:rFonts w:hint="eastAsia"/>
                <w:color w:val="auto"/>
                <w:highlight w:val="none"/>
              </w:rPr>
            </w:pPr>
            <w:r>
              <w:rPr>
                <w:color w:val="auto"/>
                <w:highlight w:val="none"/>
              </w:rPr>
              <w:t>资格审查方式</w:t>
            </w:r>
          </w:p>
        </w:tc>
        <w:tc>
          <w:tcPr>
            <w:tcW w:w="7252" w:type="dxa"/>
            <w:vAlign w:val="center"/>
          </w:tcPr>
          <w:p w14:paraId="4B2CE9B8">
            <w:pPr>
              <w:pStyle w:val="25"/>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5"/>
              <w:rPr>
                <w:rFonts w:hint="eastAsia"/>
                <w:color w:val="auto"/>
                <w:highlight w:val="none"/>
              </w:rPr>
            </w:pPr>
            <w:r>
              <w:rPr>
                <w:rFonts w:hint="eastAsia"/>
                <w:color w:val="auto"/>
                <w:highlight w:val="none"/>
              </w:rPr>
              <w:t>12</w:t>
            </w:r>
          </w:p>
        </w:tc>
        <w:tc>
          <w:tcPr>
            <w:tcW w:w="1540" w:type="dxa"/>
            <w:vAlign w:val="center"/>
          </w:tcPr>
          <w:p w14:paraId="75913AAC">
            <w:pPr>
              <w:pStyle w:val="25"/>
              <w:rPr>
                <w:rFonts w:hint="eastAsia"/>
                <w:color w:val="auto"/>
                <w:highlight w:val="none"/>
              </w:rPr>
            </w:pPr>
            <w:r>
              <w:rPr>
                <w:color w:val="auto"/>
                <w:highlight w:val="none"/>
              </w:rPr>
              <w:t>对招标文件提出疑问或异议的截止时间及方式</w:t>
            </w:r>
          </w:p>
        </w:tc>
        <w:tc>
          <w:tcPr>
            <w:tcW w:w="7252" w:type="dxa"/>
            <w:vAlign w:val="center"/>
          </w:tcPr>
          <w:p w14:paraId="5F84BCD0">
            <w:pPr>
              <w:pStyle w:val="25"/>
              <w:jc w:val="left"/>
              <w:rPr>
                <w:rFonts w:hint="eastAsia"/>
                <w:color w:val="auto"/>
                <w:highlight w:val="none"/>
              </w:rPr>
            </w:pPr>
            <w:r>
              <w:rPr>
                <w:rFonts w:hint="eastAsia"/>
                <w:color w:val="auto"/>
                <w:highlight w:val="none"/>
              </w:rPr>
              <w:t>对招标文件提出疑问或异议的截止时间：</w:t>
            </w:r>
          </w:p>
          <w:p w14:paraId="024C59CC">
            <w:pPr>
              <w:pStyle w:val="25"/>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5"/>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5"/>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叁仟元整</w:t>
            </w:r>
            <w:r>
              <w:rPr>
                <w:rFonts w:hint="eastAsia"/>
                <w:b/>
                <w:bCs/>
                <w:color w:val="auto"/>
                <w:sz w:val="21"/>
                <w:szCs w:val="21"/>
                <w:highlight w:val="none"/>
              </w:rPr>
              <w:t>（小写：¥</w:t>
            </w:r>
            <w:r>
              <w:rPr>
                <w:rFonts w:hint="eastAsia"/>
                <w:b/>
                <w:bCs/>
                <w:color w:val="auto"/>
                <w:sz w:val="21"/>
                <w:szCs w:val="21"/>
                <w:highlight w:val="none"/>
                <w:lang w:val="en-US" w:eastAsia="zh-CN"/>
              </w:rPr>
              <w:t>3</w:t>
            </w:r>
            <w:r>
              <w:rPr>
                <w:rFonts w:hint="eastAsia"/>
                <w:b/>
                <w:bCs/>
                <w:color w:val="auto"/>
                <w:sz w:val="21"/>
                <w:szCs w:val="21"/>
                <w:highlight w:val="none"/>
              </w:rPr>
              <w:t>000.00 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5"/>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252" w:type="dxa"/>
            <w:vAlign w:val="center"/>
          </w:tcPr>
          <w:p w14:paraId="16928A5A">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0ED25852">
            <w:pPr>
              <w:adjustRightInd w:val="0"/>
              <w:snapToGrid w:val="0"/>
              <w:spacing w:line="360" w:lineRule="auto"/>
              <w:rPr>
                <w:rFonts w:hint="eastAsia"/>
                <w:color w:val="auto"/>
                <w:sz w:val="21"/>
                <w:szCs w:val="21"/>
                <w:highlight w:val="none"/>
              </w:rPr>
            </w:pPr>
            <w:r>
              <w:rPr>
                <w:rFonts w:hint="eastAsia"/>
                <w:color w:val="auto"/>
                <w:sz w:val="21"/>
                <w:szCs w:val="21"/>
                <w:highlight w:val="none"/>
              </w:rPr>
              <w:t>履约保证金账户信息：</w:t>
            </w:r>
          </w:p>
          <w:p w14:paraId="3692E90D">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526DCF4">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4930E716">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741E14E0">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5"/>
              <w:rPr>
                <w:rFonts w:hint="eastAsia"/>
                <w:color w:val="auto"/>
                <w:highlight w:val="none"/>
              </w:rPr>
            </w:pPr>
            <w:r>
              <w:rPr>
                <w:rFonts w:hint="eastAsia"/>
                <w:color w:val="auto"/>
                <w:highlight w:val="none"/>
              </w:rPr>
              <w:t>16</w:t>
            </w:r>
          </w:p>
        </w:tc>
        <w:tc>
          <w:tcPr>
            <w:tcW w:w="1540" w:type="dxa"/>
            <w:vAlign w:val="center"/>
          </w:tcPr>
          <w:p w14:paraId="2591E2B6">
            <w:pPr>
              <w:pStyle w:val="25"/>
              <w:rPr>
                <w:rFonts w:hint="eastAsia"/>
                <w:color w:val="auto"/>
                <w:highlight w:val="none"/>
              </w:rPr>
            </w:pPr>
            <w:r>
              <w:rPr>
                <w:color w:val="auto"/>
                <w:highlight w:val="none"/>
              </w:rPr>
              <w:t>投标有效期</w:t>
            </w:r>
          </w:p>
        </w:tc>
        <w:tc>
          <w:tcPr>
            <w:tcW w:w="7252" w:type="dxa"/>
            <w:vAlign w:val="center"/>
          </w:tcPr>
          <w:p w14:paraId="68B32D84">
            <w:pPr>
              <w:pStyle w:val="25"/>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5"/>
              <w:rPr>
                <w:rFonts w:hint="eastAsia"/>
                <w:color w:val="auto"/>
                <w:highlight w:val="none"/>
              </w:rPr>
            </w:pPr>
            <w:r>
              <w:rPr>
                <w:rFonts w:hint="eastAsia"/>
                <w:color w:val="auto"/>
                <w:highlight w:val="none"/>
              </w:rPr>
              <w:t>17</w:t>
            </w:r>
          </w:p>
        </w:tc>
        <w:tc>
          <w:tcPr>
            <w:tcW w:w="1540" w:type="dxa"/>
            <w:vAlign w:val="center"/>
          </w:tcPr>
          <w:p w14:paraId="0467C3BB">
            <w:pPr>
              <w:pStyle w:val="25"/>
              <w:rPr>
                <w:rFonts w:hint="eastAsia"/>
                <w:color w:val="auto"/>
                <w:highlight w:val="none"/>
              </w:rPr>
            </w:pPr>
            <w:r>
              <w:rPr>
                <w:rFonts w:hint="eastAsia"/>
                <w:color w:val="auto"/>
                <w:highlight w:val="none"/>
              </w:rPr>
              <w:t>投标</w:t>
            </w:r>
            <w:r>
              <w:rPr>
                <w:color w:val="auto"/>
                <w:highlight w:val="none"/>
              </w:rPr>
              <w:t>文件的签署</w:t>
            </w:r>
          </w:p>
        </w:tc>
        <w:tc>
          <w:tcPr>
            <w:tcW w:w="7252" w:type="dxa"/>
            <w:vAlign w:val="center"/>
          </w:tcPr>
          <w:p w14:paraId="1BCC8B77">
            <w:pPr>
              <w:pStyle w:val="25"/>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5"/>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5"/>
              <w:rPr>
                <w:rFonts w:hint="eastAsia"/>
                <w:color w:val="auto"/>
                <w:highlight w:val="none"/>
              </w:rPr>
            </w:pPr>
            <w:r>
              <w:rPr>
                <w:rFonts w:hint="eastAsia"/>
                <w:color w:val="auto"/>
                <w:highlight w:val="none"/>
              </w:rPr>
              <w:t>现场开标现场解密方式</w:t>
            </w:r>
          </w:p>
        </w:tc>
        <w:tc>
          <w:tcPr>
            <w:tcW w:w="7252"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5"/>
              <w:rPr>
                <w:rFonts w:hint="eastAsia"/>
                <w:color w:val="auto"/>
                <w:highlight w:val="none"/>
              </w:rPr>
            </w:pPr>
            <w:r>
              <w:rPr>
                <w:rFonts w:hint="eastAsia"/>
                <w:color w:val="auto"/>
                <w:highlight w:val="none"/>
              </w:rPr>
              <w:t>网上递交电子投标文件</w:t>
            </w:r>
          </w:p>
        </w:tc>
        <w:tc>
          <w:tcPr>
            <w:tcW w:w="7252"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日9时00分前（北京时间，下同）；</w:t>
            </w:r>
          </w:p>
          <w:p w14:paraId="260B4E72">
            <w:pPr>
              <w:pStyle w:val="25"/>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5"/>
              <w:rPr>
                <w:rFonts w:hint="eastAsia"/>
                <w:color w:val="auto"/>
                <w:highlight w:val="none"/>
              </w:rPr>
            </w:pPr>
            <w:r>
              <w:rPr>
                <w:rFonts w:hint="eastAsia"/>
                <w:color w:val="auto"/>
                <w:highlight w:val="none"/>
              </w:rPr>
              <w:t>21</w:t>
            </w:r>
          </w:p>
        </w:tc>
        <w:tc>
          <w:tcPr>
            <w:tcW w:w="1540" w:type="dxa"/>
            <w:vAlign w:val="center"/>
          </w:tcPr>
          <w:p w14:paraId="2F3FD9BC">
            <w:pPr>
              <w:pStyle w:val="25"/>
              <w:rPr>
                <w:rFonts w:hint="eastAsia"/>
                <w:color w:val="auto"/>
                <w:highlight w:val="none"/>
              </w:rPr>
            </w:pPr>
            <w:r>
              <w:rPr>
                <w:color w:val="auto"/>
                <w:highlight w:val="none"/>
              </w:rPr>
              <w:t>开标时间和地点</w:t>
            </w:r>
          </w:p>
        </w:tc>
        <w:tc>
          <w:tcPr>
            <w:tcW w:w="7252" w:type="dxa"/>
            <w:vAlign w:val="center"/>
          </w:tcPr>
          <w:p w14:paraId="3F90DDC2">
            <w:pPr>
              <w:pStyle w:val="25"/>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5"/>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5"/>
              <w:rPr>
                <w:rFonts w:hint="eastAsia"/>
                <w:color w:val="auto"/>
                <w:highlight w:val="none"/>
              </w:rPr>
            </w:pPr>
            <w:r>
              <w:rPr>
                <w:rFonts w:hint="eastAsia"/>
                <w:color w:val="auto"/>
                <w:highlight w:val="none"/>
              </w:rPr>
              <w:t>22</w:t>
            </w:r>
          </w:p>
        </w:tc>
        <w:tc>
          <w:tcPr>
            <w:tcW w:w="1540" w:type="dxa"/>
            <w:vAlign w:val="center"/>
          </w:tcPr>
          <w:p w14:paraId="739FBD42">
            <w:pPr>
              <w:pStyle w:val="25"/>
              <w:rPr>
                <w:rFonts w:hint="eastAsia"/>
                <w:color w:val="auto"/>
                <w:highlight w:val="none"/>
              </w:rPr>
            </w:pPr>
            <w:r>
              <w:rPr>
                <w:color w:val="auto"/>
                <w:highlight w:val="none"/>
              </w:rPr>
              <w:t>评标委员会的</w:t>
            </w:r>
          </w:p>
          <w:p w14:paraId="522C8E14">
            <w:pPr>
              <w:pStyle w:val="25"/>
              <w:rPr>
                <w:rFonts w:hint="eastAsia"/>
                <w:color w:val="auto"/>
                <w:highlight w:val="none"/>
              </w:rPr>
            </w:pPr>
            <w:r>
              <w:rPr>
                <w:color w:val="auto"/>
                <w:highlight w:val="none"/>
              </w:rPr>
              <w:t>组建</w:t>
            </w:r>
          </w:p>
        </w:tc>
        <w:tc>
          <w:tcPr>
            <w:tcW w:w="7252"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5"/>
              <w:rPr>
                <w:rFonts w:hint="eastAsia"/>
                <w:color w:val="auto"/>
                <w:highlight w:val="none"/>
              </w:rPr>
            </w:pPr>
            <w:r>
              <w:rPr>
                <w:rFonts w:hint="eastAsia"/>
                <w:color w:val="auto"/>
                <w:highlight w:val="none"/>
              </w:rPr>
              <w:t>23</w:t>
            </w:r>
          </w:p>
        </w:tc>
        <w:tc>
          <w:tcPr>
            <w:tcW w:w="1540" w:type="dxa"/>
            <w:vAlign w:val="center"/>
          </w:tcPr>
          <w:p w14:paraId="03177BE3">
            <w:pPr>
              <w:pStyle w:val="25"/>
              <w:rPr>
                <w:rFonts w:hint="eastAsia"/>
                <w:color w:val="auto"/>
                <w:highlight w:val="none"/>
              </w:rPr>
            </w:pPr>
            <w:r>
              <w:rPr>
                <w:color w:val="auto"/>
                <w:highlight w:val="none"/>
              </w:rPr>
              <w:t>评标方法</w:t>
            </w:r>
            <w:r>
              <w:rPr>
                <w:rFonts w:hint="eastAsia"/>
                <w:color w:val="auto"/>
                <w:highlight w:val="none"/>
              </w:rPr>
              <w:t>及标准</w:t>
            </w:r>
          </w:p>
        </w:tc>
        <w:tc>
          <w:tcPr>
            <w:tcW w:w="7252" w:type="dxa"/>
            <w:vAlign w:val="center"/>
          </w:tcPr>
          <w:p w14:paraId="36F86AD6">
            <w:pPr>
              <w:pStyle w:val="25"/>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252"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5"/>
              <w:rPr>
                <w:rFonts w:hint="eastAsia"/>
                <w:color w:val="auto"/>
                <w:highlight w:val="none"/>
              </w:rPr>
            </w:pPr>
            <w:r>
              <w:rPr>
                <w:rFonts w:hint="eastAsia"/>
                <w:color w:val="auto"/>
                <w:highlight w:val="none"/>
              </w:rPr>
              <w:t>26</w:t>
            </w:r>
          </w:p>
        </w:tc>
        <w:tc>
          <w:tcPr>
            <w:tcW w:w="1540" w:type="dxa"/>
            <w:vAlign w:val="center"/>
          </w:tcPr>
          <w:p w14:paraId="5DCC2151">
            <w:pPr>
              <w:pStyle w:val="25"/>
              <w:rPr>
                <w:rFonts w:hint="eastAsia"/>
                <w:color w:val="auto"/>
                <w:highlight w:val="none"/>
              </w:rPr>
            </w:pPr>
            <w:r>
              <w:rPr>
                <w:color w:val="auto"/>
                <w:highlight w:val="none"/>
              </w:rPr>
              <w:t>备选方案</w:t>
            </w:r>
          </w:p>
        </w:tc>
        <w:tc>
          <w:tcPr>
            <w:tcW w:w="7252" w:type="dxa"/>
            <w:vAlign w:val="center"/>
          </w:tcPr>
          <w:p w14:paraId="7B271ADB">
            <w:pPr>
              <w:pStyle w:val="25"/>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5"/>
              <w:rPr>
                <w:rFonts w:hint="eastAsia"/>
                <w:color w:val="auto"/>
                <w:highlight w:val="none"/>
              </w:rPr>
            </w:pPr>
            <w:r>
              <w:rPr>
                <w:rFonts w:hint="eastAsia"/>
                <w:color w:val="auto"/>
                <w:highlight w:val="none"/>
              </w:rPr>
              <w:t>27</w:t>
            </w:r>
          </w:p>
        </w:tc>
        <w:tc>
          <w:tcPr>
            <w:tcW w:w="8792"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5"/>
              <w:rPr>
                <w:rFonts w:hint="eastAsia"/>
                <w:color w:val="auto"/>
                <w:highlight w:val="none"/>
              </w:rPr>
            </w:pPr>
            <w:r>
              <w:rPr>
                <w:rFonts w:hint="eastAsia"/>
                <w:color w:val="auto"/>
                <w:highlight w:val="none"/>
              </w:rPr>
              <w:t>28</w:t>
            </w:r>
          </w:p>
        </w:tc>
        <w:tc>
          <w:tcPr>
            <w:tcW w:w="8792"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5"/>
              <w:rPr>
                <w:rFonts w:hint="eastAsia"/>
                <w:color w:val="auto"/>
                <w:highlight w:val="none"/>
              </w:rPr>
            </w:pPr>
            <w:r>
              <w:rPr>
                <w:rFonts w:hint="eastAsia"/>
                <w:color w:val="auto"/>
                <w:highlight w:val="none"/>
              </w:rPr>
              <w:t>29</w:t>
            </w:r>
          </w:p>
        </w:tc>
        <w:tc>
          <w:tcPr>
            <w:tcW w:w="8792" w:type="dxa"/>
            <w:gridSpan w:val="2"/>
            <w:vAlign w:val="center"/>
          </w:tcPr>
          <w:p w14:paraId="6EF54626">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6D5A7FA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9C2CEA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
                <w:color w:val="auto"/>
                <w:sz w:val="21"/>
                <w:szCs w:val="21"/>
                <w:highlight w:val="none"/>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w:t>
            </w:r>
            <w:r>
              <w:rPr>
                <w:rFonts w:hint="eastAsia" w:ascii="宋体" w:hAnsi="宋体" w:eastAsia="宋体" w:cs="宋体"/>
                <w:b/>
                <w:bCs/>
                <w:color w:val="auto"/>
                <w:sz w:val="21"/>
                <w:szCs w:val="21"/>
                <w:highlight w:val="none"/>
                <w:u w:val="single"/>
              </w:rPr>
              <w:t>工业</w:t>
            </w:r>
            <w:r>
              <w:rPr>
                <w:rFonts w:hint="eastAsia" w:ascii="宋体" w:hAnsi="宋体" w:eastAsia="宋体" w:cs="宋体"/>
                <w:b/>
                <w:bCs/>
                <w:color w:val="auto"/>
                <w:sz w:val="21"/>
                <w:szCs w:val="21"/>
                <w:highlight w:val="none"/>
              </w:rPr>
              <w:t>。</w:t>
            </w:r>
          </w:p>
        </w:tc>
      </w:tr>
    </w:tbl>
    <w:p w14:paraId="3C5034C3">
      <w:pPr>
        <w:pStyle w:val="3"/>
        <w:snapToGrid w:val="0"/>
        <w:rPr>
          <w:rFonts w:hint="eastAsia"/>
          <w:color w:val="auto"/>
          <w:highlight w:val="none"/>
        </w:rPr>
      </w:pPr>
      <w:bookmarkStart w:id="29" w:name="_Toc5419"/>
      <w:bookmarkStart w:id="30" w:name="_Toc45117269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6819816A">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18623"/>
      <w:bookmarkStart w:id="32" w:name="_Toc12844"/>
      <w:bookmarkStart w:id="33" w:name="_Toc451172698"/>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3"/>
        <w:snapToGrid w:val="0"/>
        <w:rPr>
          <w:rFonts w:hint="eastAsia"/>
          <w:color w:val="auto"/>
          <w:highlight w:val="none"/>
        </w:rPr>
      </w:pPr>
      <w:bookmarkStart w:id="34" w:name="_Toc24673"/>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3"/>
        <w:snapToGrid w:val="0"/>
        <w:rPr>
          <w:rFonts w:hint="eastAsia"/>
          <w:color w:val="auto"/>
          <w:highlight w:val="none"/>
        </w:rPr>
      </w:pPr>
      <w:bookmarkStart w:id="35" w:name="_Toc9491"/>
      <w:bookmarkStart w:id="36" w:name="_Toc21070"/>
      <w:bookmarkStart w:id="37" w:name="_Toc451172699"/>
      <w:bookmarkStart w:id="38" w:name="_Toc25751"/>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23723"/>
      <w:bookmarkStart w:id="40" w:name="_Toc3820"/>
      <w:bookmarkStart w:id="41" w:name="_Toc451172700"/>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3"/>
        <w:snapToGrid w:val="0"/>
        <w:rPr>
          <w:rFonts w:hint="eastAsia"/>
          <w:color w:val="auto"/>
          <w:highlight w:val="none"/>
        </w:rPr>
      </w:pPr>
      <w:bookmarkStart w:id="42" w:name="_Toc23502"/>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3"/>
        <w:snapToGrid w:val="0"/>
        <w:rPr>
          <w:rFonts w:hint="eastAsia"/>
          <w:color w:val="auto"/>
          <w:highlight w:val="none"/>
        </w:rPr>
      </w:pPr>
      <w:bookmarkStart w:id="43" w:name="_Toc20250"/>
      <w:bookmarkStart w:id="44" w:name="_Toc21416"/>
      <w:bookmarkStart w:id="45" w:name="_Toc451172701"/>
      <w:bookmarkStart w:id="46" w:name="_Toc31068"/>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3"/>
        <w:snapToGrid w:val="0"/>
        <w:rPr>
          <w:rFonts w:hint="eastAsia"/>
          <w:color w:val="auto"/>
          <w:highlight w:val="none"/>
        </w:rPr>
      </w:pPr>
      <w:bookmarkStart w:id="48" w:name="_Toc28503"/>
      <w:bookmarkStart w:id="49" w:name="_Toc451172702"/>
      <w:bookmarkStart w:id="50" w:name="_Toc13105"/>
      <w:bookmarkStart w:id="51" w:name="_Toc22649"/>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3"/>
        <w:snapToGrid w:val="0"/>
        <w:rPr>
          <w:rFonts w:hint="eastAsia"/>
          <w:color w:val="auto"/>
          <w:highlight w:val="none"/>
        </w:rPr>
      </w:pPr>
      <w:bookmarkStart w:id="52" w:name="_Toc7792"/>
      <w:bookmarkStart w:id="53" w:name="_Toc14838"/>
      <w:bookmarkStart w:id="54" w:name="_Toc451172703"/>
      <w:bookmarkStart w:id="55" w:name="_Toc18589"/>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2"/>
        <w:spacing w:before="0"/>
        <w:ind w:left="0" w:firstLine="562"/>
        <w:jc w:val="center"/>
        <w:rPr>
          <w:rFonts w:cs="Arial"/>
          <w:color w:val="auto"/>
          <w:highlight w:val="none"/>
        </w:rPr>
      </w:pPr>
      <w:r>
        <w:rPr>
          <w:color w:val="auto"/>
          <w:highlight w:val="none"/>
        </w:rPr>
        <w:br w:type="page"/>
      </w:r>
      <w:bookmarkStart w:id="56" w:name="_Toc29015"/>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4"/>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742A3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2B7E730D">
            <w:pPr>
              <w:adjustRightInd w:val="0"/>
              <w:snapToGrid w:val="0"/>
              <w:spacing w:line="360" w:lineRule="auto"/>
              <w:rPr>
                <w:rFonts w:hint="eastAsia"/>
                <w:color w:val="auto"/>
                <w:highlight w:val="none"/>
              </w:rPr>
            </w:pPr>
          </w:p>
        </w:tc>
        <w:tc>
          <w:tcPr>
            <w:tcW w:w="1736" w:type="dxa"/>
            <w:vAlign w:val="center"/>
          </w:tcPr>
          <w:p w14:paraId="0B56C855">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56438002">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6B62392B">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4520ACE5">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78B843D1">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31D982C8">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4"/>
        <w:tblW w:w="97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273"/>
        <w:gridCol w:w="6962"/>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273"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962"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427081174"/>
            <w:bookmarkStart w:id="61" w:name="_Toc10305053"/>
            <w:bookmarkStart w:id="62" w:name="_Toc4629729"/>
            <w:bookmarkStart w:id="63" w:name="_Toc2349844"/>
            <w:r>
              <w:rPr>
                <w:rFonts w:hint="eastAsia"/>
                <w:bCs/>
                <w:color w:val="auto"/>
                <w:highlight w:val="none"/>
              </w:rPr>
              <w:t>报价部分（30分）</w:t>
            </w:r>
          </w:p>
        </w:tc>
        <w:tc>
          <w:tcPr>
            <w:tcW w:w="8235" w:type="dxa"/>
            <w:gridSpan w:val="2"/>
            <w:tcBorders>
              <w:tl2br w:val="nil"/>
              <w:tr2bl w:val="nil"/>
            </w:tcBorders>
            <w:vAlign w:val="center"/>
          </w:tcPr>
          <w:p w14:paraId="4D7DB0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33284C5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58670CCB">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0CB9B0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5FA9CB23">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273" w:type="dxa"/>
            <w:vMerge w:val="restart"/>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22分</w:t>
            </w:r>
            <w:r>
              <w:rPr>
                <w:rFonts w:hint="eastAsia"/>
                <w:color w:val="auto"/>
                <w:highlight w:val="none"/>
                <w:lang w:eastAsia="zh-CN"/>
              </w:rPr>
              <w:t>）</w:t>
            </w:r>
          </w:p>
        </w:tc>
        <w:tc>
          <w:tcPr>
            <w:tcW w:w="6962" w:type="dxa"/>
            <w:tcBorders>
              <w:bottom w:val="single" w:color="auto" w:sz="4" w:space="0"/>
              <w:tl2br w:val="nil"/>
              <w:tr2bl w:val="nil"/>
            </w:tcBorders>
            <w:vAlign w:val="center"/>
          </w:tcPr>
          <w:p w14:paraId="025F74CC">
            <w:pPr>
              <w:pStyle w:val="143"/>
              <w:adjustRightInd w:val="0"/>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根据投标人提供的技术指标参数偏离表和技术支持资料，对照采购文件中标注“▲”技术参数进行评审。</w:t>
            </w:r>
          </w:p>
          <w:p w14:paraId="1DACA0BA">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1.重要技术参数响应（</w:t>
            </w:r>
            <w:r>
              <w:rPr>
                <w:rFonts w:hint="eastAsia" w:ascii="宋体" w:hAnsi="宋体"/>
                <w:b/>
                <w:bCs/>
                <w:color w:val="auto"/>
                <w:sz w:val="24"/>
                <w:szCs w:val="24"/>
                <w:highlight w:val="none"/>
                <w:lang w:val="en-US" w:eastAsia="zh-CN"/>
              </w:rPr>
              <w:t>13.5</w:t>
            </w:r>
            <w:r>
              <w:rPr>
                <w:rFonts w:hint="eastAsia" w:ascii="宋体" w:hAnsi="宋体"/>
                <w:b/>
                <w:bCs/>
                <w:color w:val="auto"/>
                <w:sz w:val="24"/>
                <w:szCs w:val="24"/>
                <w:highlight w:val="none"/>
              </w:rPr>
              <w:t>分）：</w:t>
            </w:r>
          </w:p>
          <w:p w14:paraId="7CFD3419">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采购文件第四章采购需求中参数配置标注“▲”项为重要技术参数，共</w:t>
            </w:r>
            <w:r>
              <w:rPr>
                <w:rFonts w:hint="eastAsia" w:ascii="宋体" w:hAnsi="宋体"/>
                <w:b/>
                <w:bCs/>
                <w:color w:val="auto"/>
                <w:sz w:val="24"/>
                <w:szCs w:val="24"/>
                <w:highlight w:val="none"/>
                <w:lang w:val="en-US" w:eastAsia="zh-CN"/>
              </w:rPr>
              <w:t>27</w:t>
            </w:r>
            <w:r>
              <w:rPr>
                <w:rFonts w:hint="eastAsia" w:ascii="宋体" w:hAnsi="宋体"/>
                <w:b/>
                <w:bCs/>
                <w:color w:val="auto"/>
                <w:sz w:val="24"/>
                <w:szCs w:val="24"/>
                <w:highlight w:val="none"/>
              </w:rPr>
              <w:t>项，供应商拟投产品的技术参数存在一项负偏离的，扣</w:t>
            </w:r>
            <w:r>
              <w:rPr>
                <w:rFonts w:hint="eastAsia" w:ascii="宋体" w:hAnsi="宋体"/>
                <w:b/>
                <w:bCs/>
                <w:color w:val="auto"/>
                <w:sz w:val="24"/>
                <w:szCs w:val="24"/>
                <w:highlight w:val="none"/>
                <w:lang w:val="en-US" w:eastAsia="zh-CN"/>
              </w:rPr>
              <w:t>0.5</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13.5</w:t>
            </w:r>
            <w:r>
              <w:rPr>
                <w:rFonts w:hint="eastAsia" w:ascii="宋体" w:hAnsi="宋体"/>
                <w:b/>
                <w:bCs/>
                <w:color w:val="auto"/>
                <w:sz w:val="24"/>
                <w:szCs w:val="24"/>
                <w:highlight w:val="none"/>
              </w:rPr>
              <w:t>分扣完为止，正偏离不加分。</w:t>
            </w:r>
          </w:p>
          <w:p w14:paraId="4FCF77EF">
            <w:pPr>
              <w:adjustRightInd w:val="0"/>
              <w:snapToGrid w:val="0"/>
              <w:spacing w:line="360" w:lineRule="auto"/>
              <w:rPr>
                <w:rFonts w:hint="eastAsia" w:cs="Times New Roman"/>
                <w:color w:val="auto"/>
                <w:highlight w:val="none"/>
              </w:rPr>
            </w:pPr>
            <w:r>
              <w:rPr>
                <w:rFonts w:hint="eastAsia" w:cs="Times New Roman"/>
                <w:color w:val="auto"/>
                <w:highlight w:val="none"/>
              </w:rPr>
              <w:t>注：证明材料包括 第四章 货物需求及技术要求的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1562E45">
            <w:pPr>
              <w:snapToGrid w:val="0"/>
              <w:spacing w:line="360" w:lineRule="auto"/>
              <w:contextualSpacing/>
              <w:rPr>
                <w:rFonts w:hint="eastAsia"/>
                <w:bCs/>
                <w:color w:val="auto"/>
                <w:highlight w:val="none"/>
              </w:rPr>
            </w:pPr>
            <w:r>
              <w:rPr>
                <w:rFonts w:hint="eastAsia" w:cs="Times New Roman"/>
                <w:color w:val="auto"/>
                <w:highlight w:val="none"/>
              </w:rPr>
              <w:t>因未附产品技术支持资料或说明导致评审小组会无法评审时，则视为不响应该项技术参数要求。</w:t>
            </w:r>
          </w:p>
        </w:tc>
      </w:tr>
      <w:tr w14:paraId="5BA9C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3D27ED60">
            <w:pPr>
              <w:snapToGrid w:val="0"/>
              <w:spacing w:line="360" w:lineRule="auto"/>
              <w:contextualSpacing/>
              <w:jc w:val="both"/>
              <w:rPr>
                <w:rFonts w:hint="eastAsia"/>
                <w:bCs/>
                <w:color w:val="auto"/>
                <w:highlight w:val="none"/>
              </w:rPr>
            </w:pPr>
          </w:p>
        </w:tc>
        <w:tc>
          <w:tcPr>
            <w:tcW w:w="1273" w:type="dxa"/>
            <w:vMerge w:val="continue"/>
            <w:tcBorders>
              <w:bottom w:val="single" w:color="auto" w:sz="4" w:space="0"/>
              <w:tl2br w:val="nil"/>
              <w:tr2bl w:val="nil"/>
            </w:tcBorders>
            <w:vAlign w:val="center"/>
          </w:tcPr>
          <w:p w14:paraId="6C85789A">
            <w:pPr>
              <w:adjustRightInd w:val="0"/>
              <w:snapToGrid w:val="0"/>
              <w:spacing w:line="360" w:lineRule="auto"/>
              <w:jc w:val="center"/>
              <w:rPr>
                <w:rFonts w:hint="eastAsia"/>
                <w:bCs/>
                <w:color w:val="auto"/>
                <w:highlight w:val="none"/>
              </w:rPr>
            </w:pPr>
          </w:p>
        </w:tc>
        <w:tc>
          <w:tcPr>
            <w:tcW w:w="6962" w:type="dxa"/>
            <w:tcBorders>
              <w:bottom w:val="single" w:color="auto" w:sz="4" w:space="0"/>
              <w:tl2br w:val="nil"/>
              <w:tr2bl w:val="nil"/>
            </w:tcBorders>
            <w:vAlign w:val="center"/>
          </w:tcPr>
          <w:p w14:paraId="4B98352C">
            <w:pPr>
              <w:adjustRightInd w:val="0"/>
              <w:snapToGrid w:val="0"/>
              <w:spacing w:line="360" w:lineRule="auto"/>
              <w:rPr>
                <w:rFonts w:hint="eastAsia" w:cs="Times New Roman"/>
                <w:b/>
                <w:bCs/>
                <w:color w:val="auto"/>
                <w:highlight w:val="none"/>
              </w:rPr>
            </w:pPr>
            <w:r>
              <w:rPr>
                <w:rFonts w:hint="eastAsia" w:cs="Times New Roman"/>
                <w:b/>
                <w:bCs/>
                <w:color w:val="auto"/>
                <w:highlight w:val="none"/>
              </w:rPr>
              <w:t>2.一般技术参数响应（</w:t>
            </w:r>
            <w:r>
              <w:rPr>
                <w:rFonts w:hint="eastAsia" w:cs="Times New Roman"/>
                <w:b/>
                <w:bCs/>
                <w:color w:val="auto"/>
                <w:highlight w:val="none"/>
                <w:lang w:val="en-US" w:eastAsia="zh-CN"/>
              </w:rPr>
              <w:t>8.5</w:t>
            </w:r>
            <w:r>
              <w:rPr>
                <w:rFonts w:hint="eastAsia" w:cs="Times New Roman"/>
                <w:b/>
                <w:bCs/>
                <w:color w:val="auto"/>
                <w:highlight w:val="none"/>
              </w:rPr>
              <w:t>分）</w:t>
            </w:r>
          </w:p>
          <w:p w14:paraId="617BCD6F">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采购文件第四章采购需求中参数配置未标注“▲”项为一般技术参数，</w:t>
            </w:r>
            <w:r>
              <w:rPr>
                <w:rFonts w:hint="eastAsia" w:ascii="宋体" w:hAnsi="宋体"/>
                <w:b/>
                <w:bCs/>
                <w:color w:val="auto"/>
                <w:sz w:val="24"/>
                <w:szCs w:val="24"/>
                <w:highlight w:val="none"/>
                <w:lang w:val="en-US" w:eastAsia="zh-CN"/>
              </w:rPr>
              <w:t>共170项，</w:t>
            </w:r>
            <w:r>
              <w:rPr>
                <w:rFonts w:hint="eastAsia" w:ascii="宋体" w:hAnsi="宋体"/>
                <w:b/>
                <w:bCs/>
                <w:color w:val="auto"/>
                <w:sz w:val="24"/>
                <w:szCs w:val="24"/>
                <w:highlight w:val="none"/>
              </w:rPr>
              <w:t>供应商拟投产品的技术参数存在一项负偏离的，扣0.</w:t>
            </w:r>
            <w:r>
              <w:rPr>
                <w:rFonts w:hint="eastAsia" w:ascii="宋体" w:hAnsi="宋体"/>
                <w:b/>
                <w:bCs/>
                <w:color w:val="auto"/>
                <w:sz w:val="24"/>
                <w:szCs w:val="24"/>
                <w:highlight w:val="none"/>
                <w:lang w:val="en-US" w:eastAsia="zh-CN"/>
              </w:rPr>
              <w:t>05</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8.5</w:t>
            </w:r>
            <w:r>
              <w:rPr>
                <w:rFonts w:hint="eastAsia" w:ascii="宋体" w:hAnsi="宋体"/>
                <w:b/>
                <w:bCs/>
                <w:color w:val="auto"/>
                <w:sz w:val="24"/>
                <w:szCs w:val="24"/>
                <w:highlight w:val="none"/>
              </w:rPr>
              <w:t>分扣完为止，正偏离不加分。</w:t>
            </w:r>
          </w:p>
          <w:p w14:paraId="1BDAAF40">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根据供应商所提供的《技术参数偏离表》及相关证明材料进行评审</w:t>
            </w:r>
            <w:r>
              <w:rPr>
                <w:rFonts w:hint="eastAsia" w:cs="Times New Roman"/>
                <w:color w:val="auto"/>
                <w:highlight w:val="none"/>
              </w:rPr>
              <w:t>。</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03F3574B">
            <w:pPr>
              <w:snapToGrid w:val="0"/>
              <w:spacing w:line="360" w:lineRule="auto"/>
              <w:contextualSpacing/>
              <w:jc w:val="both"/>
              <w:rPr>
                <w:rFonts w:hint="eastAsia"/>
                <w:bCs/>
                <w:color w:val="auto"/>
                <w:highlight w:val="none"/>
              </w:rPr>
            </w:pPr>
          </w:p>
        </w:tc>
        <w:tc>
          <w:tcPr>
            <w:tcW w:w="1273" w:type="dxa"/>
            <w:tcBorders>
              <w:bottom w:val="single" w:color="auto" w:sz="4" w:space="0"/>
              <w:tl2br w:val="nil"/>
              <w:tr2bl w:val="nil"/>
            </w:tcBorders>
            <w:vAlign w:val="center"/>
          </w:tcPr>
          <w:p w14:paraId="03E2A199">
            <w:pPr>
              <w:adjustRightInd w:val="0"/>
              <w:spacing w:line="360" w:lineRule="auto"/>
              <w:jc w:val="center"/>
              <w:rPr>
                <w:rFonts w:hint="default"/>
                <w:color w:val="auto"/>
                <w:highlight w:val="none"/>
                <w:lang w:val="en-US"/>
              </w:rPr>
            </w:pPr>
            <w:r>
              <w:rPr>
                <w:rFonts w:hint="eastAsia"/>
                <w:color w:val="auto"/>
                <w:highlight w:val="none"/>
                <w:lang w:val="en-US" w:eastAsia="zh-CN"/>
              </w:rPr>
              <w:t>项目技术整体实施方案（16分）</w:t>
            </w:r>
          </w:p>
        </w:tc>
        <w:tc>
          <w:tcPr>
            <w:tcW w:w="6962" w:type="dxa"/>
            <w:tcBorders>
              <w:bottom w:val="single" w:color="auto" w:sz="4" w:space="0"/>
              <w:tl2br w:val="nil"/>
              <w:tr2bl w:val="nil"/>
            </w:tcBorders>
            <w:shd w:val="clear" w:color="auto" w:fill="FFFFFF"/>
            <w:vAlign w:val="center"/>
          </w:tcPr>
          <w:p w14:paraId="227987C5">
            <w:pPr>
              <w:adjustRightInd w:val="0"/>
              <w:snapToGrid w:val="0"/>
              <w:spacing w:line="360" w:lineRule="auto"/>
              <w:rPr>
                <w:rFonts w:hint="eastAsia"/>
                <w:color w:val="auto"/>
                <w:highlight w:val="none"/>
              </w:rPr>
            </w:pPr>
            <w:r>
              <w:rPr>
                <w:rFonts w:hint="eastAsia"/>
                <w:color w:val="auto"/>
                <w:highlight w:val="none"/>
              </w:rPr>
              <w:t>根据投标人的项目技术整体实施方案进行综合评审，方案包括但不限于：</w:t>
            </w:r>
          </w:p>
          <w:p w14:paraId="50C495BB">
            <w:pPr>
              <w:adjustRightInd w:val="0"/>
              <w:snapToGrid w:val="0"/>
              <w:spacing w:line="360" w:lineRule="auto"/>
              <w:rPr>
                <w:rFonts w:hint="eastAsia" w:eastAsia="宋体"/>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总体技术方案</w:t>
            </w:r>
            <w:r>
              <w:rPr>
                <w:rFonts w:hint="eastAsia"/>
                <w:b/>
                <w:bCs/>
                <w:color w:val="auto"/>
                <w:highlight w:val="none"/>
                <w:lang w:eastAsia="zh-CN"/>
              </w:rPr>
              <w:t>；</w:t>
            </w:r>
          </w:p>
          <w:p w14:paraId="027328B9">
            <w:pPr>
              <w:adjustRightInd w:val="0"/>
              <w:snapToGrid w:val="0"/>
              <w:spacing w:line="360" w:lineRule="auto"/>
              <w:rPr>
                <w:rFonts w:hint="eastAsia"/>
                <w:b/>
                <w:bCs/>
                <w:color w:val="auto"/>
                <w:highlight w:val="none"/>
                <w:lang w:eastAsia="zh-CN"/>
              </w:rPr>
            </w:pPr>
            <w:r>
              <w:rPr>
                <w:rFonts w:hint="eastAsia"/>
                <w:b/>
                <w:bCs/>
                <w:color w:val="auto"/>
                <w:highlight w:val="none"/>
                <w:lang w:val="en-US" w:eastAsia="zh-CN"/>
              </w:rPr>
              <w:t>（2）</w:t>
            </w:r>
            <w:r>
              <w:rPr>
                <w:rFonts w:hint="eastAsia"/>
                <w:b/>
                <w:bCs/>
                <w:color w:val="auto"/>
                <w:highlight w:val="none"/>
              </w:rPr>
              <w:t>供货进度计划</w:t>
            </w:r>
            <w:r>
              <w:rPr>
                <w:rFonts w:hint="eastAsia"/>
                <w:b/>
                <w:bCs/>
                <w:color w:val="auto"/>
                <w:highlight w:val="none"/>
                <w:lang w:eastAsia="zh-CN"/>
              </w:rPr>
              <w:t>；</w:t>
            </w:r>
          </w:p>
          <w:p w14:paraId="1667454C">
            <w:pPr>
              <w:adjustRightInd w:val="0"/>
              <w:snapToGrid w:val="0"/>
              <w:spacing w:line="360" w:lineRule="auto"/>
              <w:rPr>
                <w:rFonts w:hint="eastAsia" w:eastAsia="宋体"/>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项目实施方案</w:t>
            </w:r>
            <w:r>
              <w:rPr>
                <w:rFonts w:hint="eastAsia"/>
                <w:b/>
                <w:bCs/>
                <w:color w:val="auto"/>
                <w:highlight w:val="none"/>
                <w:lang w:eastAsia="zh-CN"/>
              </w:rPr>
              <w:t>；</w:t>
            </w:r>
          </w:p>
          <w:p w14:paraId="79055978">
            <w:pPr>
              <w:adjustRightInd w:val="0"/>
              <w:snapToGrid w:val="0"/>
              <w:spacing w:line="360" w:lineRule="auto"/>
              <w:rPr>
                <w:rFonts w:hint="eastAsia"/>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4</w:t>
            </w:r>
            <w:r>
              <w:rPr>
                <w:rFonts w:hint="eastAsia"/>
                <w:b/>
                <w:bCs/>
                <w:color w:val="auto"/>
                <w:highlight w:val="none"/>
                <w:lang w:eastAsia="zh-CN"/>
              </w:rPr>
              <w:t>）</w:t>
            </w:r>
            <w:r>
              <w:rPr>
                <w:rFonts w:hint="eastAsia"/>
                <w:b/>
                <w:bCs/>
                <w:color w:val="auto"/>
                <w:highlight w:val="none"/>
              </w:rPr>
              <w:t>培训方案。</w:t>
            </w:r>
          </w:p>
          <w:p w14:paraId="6606124B">
            <w:pPr>
              <w:adjustRightInd w:val="0"/>
              <w:snapToGrid w:val="0"/>
              <w:spacing w:line="360" w:lineRule="auto"/>
              <w:rPr>
                <w:rFonts w:hint="eastAsia" w:ascii="宋体" w:hAnsi="宋体" w:eastAsia="宋体" w:cs="宋体"/>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4</w:t>
            </w:r>
            <w:r>
              <w:rPr>
                <w:rFonts w:hint="eastAsia"/>
                <w:color w:val="auto"/>
                <w:highlight w:val="none"/>
              </w:rPr>
              <w:t>项，经评定相关内容完整、设计、组织实施服务方案详细、全面，完全满足采购文件服务要求，在完整性、契合度、思路清晰、可实施性、专业性上强的得</w:t>
            </w:r>
            <w:r>
              <w:rPr>
                <w:rFonts w:hint="eastAsia"/>
                <w:color w:val="auto"/>
                <w:highlight w:val="none"/>
                <w:lang w:val="en-US" w:eastAsia="zh-CN"/>
              </w:rPr>
              <w:t>16</w:t>
            </w:r>
            <w:r>
              <w:rPr>
                <w:rFonts w:hint="eastAsia"/>
                <w:color w:val="auto"/>
                <w:highlight w:val="none"/>
              </w:rPr>
              <w:t>分；每缺少一项内容扣</w:t>
            </w:r>
            <w:r>
              <w:rPr>
                <w:rFonts w:hint="eastAsia"/>
                <w:color w:val="auto"/>
                <w:highlight w:val="none"/>
                <w:lang w:val="en-US" w:eastAsia="zh-CN"/>
              </w:rPr>
              <w:t>4</w:t>
            </w:r>
            <w:r>
              <w:rPr>
                <w:rFonts w:hint="eastAsia"/>
                <w:color w:val="auto"/>
                <w:highlight w:val="none"/>
              </w:rPr>
              <w:t>分；内容存在细微不足，方案略有瑕疵的扣1分；内容存在不足，存在疏漏、思路不清晰，可实施性较弱的扣2分，内容存在</w:t>
            </w:r>
            <w:r>
              <w:rPr>
                <w:rFonts w:hint="eastAsia"/>
                <w:color w:val="auto"/>
                <w:highlight w:val="none"/>
                <w:lang w:val="en-US" w:eastAsia="zh-CN"/>
              </w:rPr>
              <w:t>较大</w:t>
            </w:r>
            <w:r>
              <w:rPr>
                <w:rFonts w:hint="eastAsia"/>
                <w:color w:val="auto"/>
                <w:highlight w:val="none"/>
              </w:rPr>
              <w:t>不足，存在多处错误、逻辑混乱的，扣3分；扣完为止。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273" w:type="dxa"/>
            <w:tcBorders>
              <w:top w:val="single" w:color="auto" w:sz="4" w:space="0"/>
              <w:bottom w:val="single" w:color="auto" w:sz="4" w:space="0"/>
              <w:tl2br w:val="nil"/>
              <w:tr2bl w:val="nil"/>
            </w:tcBorders>
            <w:vAlign w:val="center"/>
          </w:tcPr>
          <w:p w14:paraId="1255F25C">
            <w:pPr>
              <w:adjustRightInd w:val="0"/>
              <w:spacing w:line="460" w:lineRule="exact"/>
              <w:jc w:val="center"/>
              <w:rPr>
                <w:rFonts w:hint="eastAsia" w:eastAsia="宋体"/>
                <w:bCs/>
                <w:color w:val="auto"/>
                <w:highlight w:val="none"/>
                <w:lang w:eastAsia="zh-CN"/>
              </w:rPr>
            </w:pPr>
            <w:r>
              <w:rPr>
                <w:rFonts w:hint="eastAsia" w:ascii="宋体" w:hAnsi="宋体"/>
                <w:color w:val="auto"/>
                <w:sz w:val="24"/>
                <w:szCs w:val="24"/>
                <w:highlight w:val="none"/>
              </w:rPr>
              <w:t>质量保证</w:t>
            </w:r>
            <w:r>
              <w:rPr>
                <w:rFonts w:hint="eastAsia" w:ascii="宋体" w:hAnsi="宋体"/>
                <w:color w:val="auto"/>
                <w:sz w:val="24"/>
                <w:szCs w:val="24"/>
                <w:highlight w:val="none"/>
                <w:lang w:val="en-US" w:eastAsia="zh-CN"/>
              </w:rPr>
              <w:t>方案</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w:t>
            </w:r>
            <w:r>
              <w:rPr>
                <w:rFonts w:hint="eastAsia" w:cs="宋体"/>
                <w:color w:val="auto"/>
                <w:sz w:val="24"/>
                <w:highlight w:val="none"/>
                <w:lang w:val="en-US" w:eastAsia="zh-CN"/>
              </w:rPr>
              <w:t>5</w:t>
            </w:r>
            <w:r>
              <w:rPr>
                <w:rFonts w:hint="eastAsia" w:ascii="宋体" w:hAnsi="宋体" w:cs="宋体"/>
                <w:color w:val="auto"/>
                <w:sz w:val="24"/>
                <w:highlight w:val="none"/>
                <w:lang w:val="en-US" w:eastAsia="zh-CN"/>
              </w:rPr>
              <w:t>分</w:t>
            </w:r>
            <w:r>
              <w:rPr>
                <w:rFonts w:hint="eastAsia" w:ascii="宋体" w:hAnsi="宋体" w:cs="宋体"/>
                <w:color w:val="auto"/>
                <w:sz w:val="24"/>
                <w:highlight w:val="none"/>
                <w:lang w:eastAsia="zh-CN"/>
              </w:rPr>
              <w:t>）</w:t>
            </w:r>
          </w:p>
        </w:tc>
        <w:tc>
          <w:tcPr>
            <w:tcW w:w="6962" w:type="dxa"/>
            <w:tcBorders>
              <w:top w:val="single" w:color="auto" w:sz="4" w:space="0"/>
              <w:bottom w:val="single" w:color="auto" w:sz="4" w:space="0"/>
              <w:tl2br w:val="nil"/>
              <w:tr2bl w:val="nil"/>
            </w:tcBorders>
            <w:shd w:val="clear" w:color="auto" w:fill="auto"/>
            <w:vAlign w:val="center"/>
          </w:tcPr>
          <w:p w14:paraId="5ECB4521">
            <w:pPr>
              <w:adjustRightInd w:val="0"/>
              <w:snapToGrid w:val="0"/>
              <w:spacing w:line="360" w:lineRule="auto"/>
              <w:rPr>
                <w:rFonts w:hint="eastAsia"/>
                <w:color w:val="auto"/>
                <w:highlight w:val="none"/>
              </w:rPr>
            </w:pPr>
            <w:r>
              <w:rPr>
                <w:rFonts w:hint="eastAsia"/>
                <w:color w:val="auto"/>
                <w:highlight w:val="none"/>
              </w:rPr>
              <w:t>根据投标人的质量保证</w:t>
            </w:r>
            <w:r>
              <w:rPr>
                <w:rFonts w:hint="eastAsia"/>
                <w:color w:val="auto"/>
                <w:highlight w:val="none"/>
                <w:lang w:val="en-US" w:eastAsia="zh-CN"/>
              </w:rPr>
              <w:t>方案</w:t>
            </w:r>
            <w:r>
              <w:rPr>
                <w:rFonts w:hint="eastAsia"/>
                <w:color w:val="auto"/>
                <w:highlight w:val="none"/>
              </w:rPr>
              <w:t>进行综合评审，方案包括但不限于：</w:t>
            </w:r>
          </w:p>
          <w:p w14:paraId="7EE6B4B1">
            <w:pPr>
              <w:adjustRightInd w:val="0"/>
              <w:snapToGrid w:val="0"/>
              <w:spacing w:line="360" w:lineRule="auto"/>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1</w:t>
            </w:r>
            <w:r>
              <w:rPr>
                <w:rFonts w:hint="eastAsia"/>
                <w:b/>
                <w:bCs/>
                <w:color w:val="auto"/>
                <w:highlight w:val="none"/>
                <w:lang w:eastAsia="zh-CN"/>
              </w:rPr>
              <w:t>）</w:t>
            </w:r>
            <w:r>
              <w:rPr>
                <w:rFonts w:hint="eastAsia"/>
                <w:b/>
                <w:bCs/>
                <w:color w:val="auto"/>
                <w:highlight w:val="none"/>
              </w:rPr>
              <w:t>供货质量保证措施</w:t>
            </w:r>
            <w:r>
              <w:rPr>
                <w:rFonts w:hint="eastAsia"/>
                <w:b/>
                <w:bCs/>
                <w:color w:val="auto"/>
                <w:highlight w:val="none"/>
                <w:lang w:eastAsia="zh-CN"/>
              </w:rPr>
              <w:t>；</w:t>
            </w:r>
          </w:p>
          <w:p w14:paraId="7A52D441">
            <w:pPr>
              <w:adjustRightInd w:val="0"/>
              <w:snapToGrid w:val="0"/>
              <w:spacing w:line="360" w:lineRule="auto"/>
              <w:rPr>
                <w:rFonts w:hint="eastAsia" w:eastAsia="宋体"/>
                <w:b/>
                <w:bCs/>
                <w:color w:val="auto"/>
                <w:highlight w:val="none"/>
                <w:lang w:val="en-US" w:eastAsia="zh-CN"/>
              </w:rPr>
            </w:pPr>
            <w:r>
              <w:rPr>
                <w:rFonts w:hint="eastAsia"/>
                <w:b/>
                <w:bCs/>
                <w:color w:val="auto"/>
                <w:highlight w:val="none"/>
                <w:lang w:val="en-US" w:eastAsia="zh-CN"/>
              </w:rPr>
              <w:t>（2）安装、</w:t>
            </w:r>
            <w:r>
              <w:rPr>
                <w:rFonts w:hint="eastAsia"/>
                <w:b/>
                <w:bCs/>
                <w:color w:val="auto"/>
                <w:highlight w:val="none"/>
              </w:rPr>
              <w:t>调试质量保证措施</w:t>
            </w:r>
            <w:r>
              <w:rPr>
                <w:rFonts w:hint="eastAsia"/>
                <w:b/>
                <w:bCs/>
                <w:color w:val="auto"/>
                <w:highlight w:val="none"/>
                <w:lang w:eastAsia="zh-CN"/>
              </w:rPr>
              <w:t>；</w:t>
            </w:r>
          </w:p>
          <w:p w14:paraId="6C427821">
            <w:pPr>
              <w:adjustRightInd w:val="0"/>
              <w:snapToGrid w:val="0"/>
              <w:spacing w:line="360" w:lineRule="auto"/>
              <w:rPr>
                <w:rFonts w:hint="eastAsia"/>
                <w:b/>
                <w:bCs/>
                <w:color w:val="auto"/>
                <w:highlight w:val="none"/>
                <w:lang w:eastAsia="zh-CN"/>
              </w:rPr>
            </w:pPr>
            <w:r>
              <w:rPr>
                <w:rFonts w:hint="eastAsia"/>
                <w:b/>
                <w:bCs/>
                <w:color w:val="auto"/>
                <w:highlight w:val="none"/>
                <w:lang w:eastAsia="zh-CN"/>
              </w:rPr>
              <w:t>（</w:t>
            </w:r>
            <w:r>
              <w:rPr>
                <w:rFonts w:hint="eastAsia"/>
                <w:b/>
                <w:bCs/>
                <w:color w:val="auto"/>
                <w:highlight w:val="none"/>
                <w:lang w:val="en-US" w:eastAsia="zh-CN"/>
              </w:rPr>
              <w:t>3</w:t>
            </w:r>
            <w:r>
              <w:rPr>
                <w:rFonts w:hint="eastAsia"/>
                <w:b/>
                <w:bCs/>
                <w:color w:val="auto"/>
                <w:highlight w:val="none"/>
                <w:lang w:eastAsia="zh-CN"/>
              </w:rPr>
              <w:t>）</w:t>
            </w:r>
            <w:r>
              <w:rPr>
                <w:rFonts w:hint="eastAsia"/>
                <w:b/>
                <w:bCs/>
                <w:color w:val="auto"/>
                <w:highlight w:val="none"/>
              </w:rPr>
              <w:t>质量违约承诺及处罚措施。</w:t>
            </w:r>
          </w:p>
          <w:p w14:paraId="083052FA">
            <w:pPr>
              <w:adjustRightInd w:val="0"/>
              <w:snapToGrid w:val="0"/>
              <w:spacing w:line="360" w:lineRule="auto"/>
              <w:rPr>
                <w:rFonts w:hint="eastAsia" w:ascii="宋体" w:hAnsi="宋体" w:eastAsia="宋体" w:cs="宋体"/>
                <w:bCs/>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3</w:t>
            </w:r>
            <w:r>
              <w:rPr>
                <w:rFonts w:hint="eastAsia"/>
                <w:color w:val="auto"/>
                <w:highlight w:val="none"/>
              </w:rPr>
              <w:t>项，经评定相关内容完整、质量保证措施方案、质量管理及控制详细、全面，完全满足采购文件服务要求，在完整性、契合度、思路清晰、可实施性、专业性上强的得</w:t>
            </w:r>
            <w:r>
              <w:rPr>
                <w:rFonts w:hint="eastAsia"/>
                <w:color w:val="auto"/>
                <w:highlight w:val="none"/>
                <w:lang w:val="en-US" w:eastAsia="zh-CN"/>
              </w:rPr>
              <w:t>15</w:t>
            </w:r>
            <w:r>
              <w:rPr>
                <w:rFonts w:hint="eastAsia"/>
                <w:color w:val="auto"/>
                <w:highlight w:val="none"/>
              </w:rPr>
              <w:t>分；每缺少一项内容扣</w:t>
            </w:r>
            <w:r>
              <w:rPr>
                <w:rFonts w:hint="eastAsia"/>
                <w:color w:val="auto"/>
                <w:highlight w:val="none"/>
                <w:lang w:val="en-US" w:eastAsia="zh-CN"/>
              </w:rPr>
              <w:t>5</w:t>
            </w:r>
            <w:r>
              <w:rPr>
                <w:rFonts w:hint="eastAsia"/>
                <w:color w:val="auto"/>
                <w:highlight w:val="none"/>
              </w:rPr>
              <w:t>分；内容存在细微不足，方案略有瑕疵的扣</w:t>
            </w:r>
            <w:r>
              <w:rPr>
                <w:rFonts w:hint="eastAsia"/>
                <w:color w:val="auto"/>
                <w:highlight w:val="none"/>
                <w:lang w:val="en-US" w:eastAsia="zh-CN"/>
              </w:rPr>
              <w:t>2</w:t>
            </w:r>
            <w:r>
              <w:rPr>
                <w:rFonts w:hint="eastAsia"/>
                <w:color w:val="auto"/>
                <w:highlight w:val="none"/>
              </w:rPr>
              <w:t>分；内容存在不足，存在疏漏、思路不清晰，可实施性较弱的扣</w:t>
            </w:r>
            <w:r>
              <w:rPr>
                <w:rFonts w:hint="eastAsia"/>
                <w:color w:val="auto"/>
                <w:highlight w:val="none"/>
                <w:lang w:val="en-US" w:eastAsia="zh-CN"/>
              </w:rPr>
              <w:t>3</w:t>
            </w:r>
            <w:r>
              <w:rPr>
                <w:rFonts w:hint="eastAsia"/>
                <w:color w:val="auto"/>
                <w:highlight w:val="none"/>
              </w:rPr>
              <w:t>分，内容存在</w:t>
            </w:r>
            <w:r>
              <w:rPr>
                <w:rFonts w:hint="eastAsia"/>
                <w:color w:val="auto"/>
                <w:highlight w:val="none"/>
                <w:lang w:val="en-US" w:eastAsia="zh-CN"/>
              </w:rPr>
              <w:t>较大</w:t>
            </w:r>
            <w:r>
              <w:rPr>
                <w:rFonts w:hint="eastAsia"/>
                <w:color w:val="auto"/>
                <w:highlight w:val="none"/>
              </w:rPr>
              <w:t>不足，存在多处错误、逻辑混乱的，扣</w:t>
            </w:r>
            <w:r>
              <w:rPr>
                <w:rFonts w:hint="eastAsia"/>
                <w:color w:val="auto"/>
                <w:highlight w:val="none"/>
                <w:lang w:val="en-US" w:eastAsia="zh-CN"/>
              </w:rPr>
              <w:t>4</w:t>
            </w:r>
            <w:r>
              <w:rPr>
                <w:rFonts w:hint="eastAsia"/>
                <w:color w:val="auto"/>
                <w:highlight w:val="none"/>
              </w:rPr>
              <w:t>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273" w:type="dxa"/>
            <w:tcBorders>
              <w:top w:val="single" w:color="auto" w:sz="4" w:space="0"/>
              <w:tl2br w:val="nil"/>
              <w:tr2bl w:val="nil"/>
            </w:tcBorders>
            <w:vAlign w:val="center"/>
          </w:tcPr>
          <w:p w14:paraId="252E7E2A">
            <w:pPr>
              <w:adjustRightInd w:val="0"/>
              <w:spacing w:line="480" w:lineRule="exact"/>
              <w:jc w:val="center"/>
              <w:rPr>
                <w:rFonts w:hint="eastAsia"/>
                <w:bCs/>
                <w:color w:val="auto"/>
                <w:highlight w:val="none"/>
              </w:rPr>
            </w:pPr>
            <w:r>
              <w:rPr>
                <w:rFonts w:hint="eastAsia" w:ascii="宋体" w:hAnsi="宋体"/>
                <w:color w:val="auto"/>
                <w:sz w:val="24"/>
                <w:szCs w:val="24"/>
                <w:highlight w:val="none"/>
              </w:rPr>
              <w:t>售后服务方案</w:t>
            </w:r>
            <w:r>
              <w:rPr>
                <w:rFonts w:hint="eastAsia" w:ascii="宋体" w:hAnsi="宋体" w:cs="宋体"/>
                <w:color w:val="auto"/>
                <w:sz w:val="24"/>
                <w:highlight w:val="none"/>
              </w:rPr>
              <w:t>（</w:t>
            </w:r>
            <w:r>
              <w:rPr>
                <w:rFonts w:hint="eastAsia" w:cs="宋体"/>
                <w:color w:val="auto"/>
                <w:sz w:val="24"/>
                <w:highlight w:val="none"/>
                <w:lang w:val="en-US" w:eastAsia="zh-CN"/>
              </w:rPr>
              <w:t>16</w:t>
            </w:r>
            <w:r>
              <w:rPr>
                <w:rFonts w:hint="eastAsia" w:ascii="宋体" w:hAnsi="宋体" w:cs="宋体"/>
                <w:color w:val="auto"/>
                <w:sz w:val="24"/>
                <w:highlight w:val="none"/>
              </w:rPr>
              <w:t>分）</w:t>
            </w:r>
          </w:p>
        </w:tc>
        <w:tc>
          <w:tcPr>
            <w:tcW w:w="6962" w:type="dxa"/>
            <w:tcBorders>
              <w:top w:val="single" w:color="auto" w:sz="4" w:space="0"/>
              <w:tl2br w:val="nil"/>
              <w:tr2bl w:val="nil"/>
            </w:tcBorders>
            <w:shd w:val="clear" w:color="auto" w:fill="FFFFFF"/>
            <w:vAlign w:val="center"/>
          </w:tcPr>
          <w:p w14:paraId="4A4F7380">
            <w:pPr>
              <w:adjustRightInd w:val="0"/>
              <w:snapToGrid w:val="0"/>
              <w:spacing w:line="360" w:lineRule="auto"/>
              <w:rPr>
                <w:rFonts w:hint="eastAsia"/>
                <w:color w:val="auto"/>
                <w:highlight w:val="none"/>
              </w:rPr>
            </w:pPr>
            <w:r>
              <w:rPr>
                <w:rFonts w:hint="eastAsia"/>
                <w:color w:val="auto"/>
                <w:highlight w:val="none"/>
              </w:rPr>
              <w:t>根据投标人的售后服务方案进行综合评审，方案包括但不限于：</w:t>
            </w:r>
          </w:p>
          <w:p w14:paraId="082A9AB0">
            <w:pPr>
              <w:adjustRightInd w:val="0"/>
              <w:snapToGrid w:val="0"/>
              <w:spacing w:line="360" w:lineRule="auto"/>
              <w:rPr>
                <w:rFonts w:hint="eastAsia"/>
                <w:b/>
                <w:bCs/>
                <w:color w:val="auto"/>
                <w:highlight w:val="none"/>
                <w:lang w:eastAsia="zh-CN"/>
              </w:rPr>
            </w:pPr>
            <w:r>
              <w:rPr>
                <w:rFonts w:hint="eastAsia"/>
                <w:b/>
                <w:bCs/>
                <w:color w:val="auto"/>
                <w:highlight w:val="none"/>
                <w:lang w:val="en-US" w:eastAsia="zh-CN"/>
              </w:rPr>
              <w:t>（1）售后方案保障措施；</w:t>
            </w:r>
          </w:p>
          <w:p w14:paraId="73420D49">
            <w:pPr>
              <w:adjustRightInd w:val="0"/>
              <w:snapToGrid w:val="0"/>
              <w:spacing w:line="360" w:lineRule="auto"/>
              <w:rPr>
                <w:rFonts w:hint="eastAsia"/>
                <w:b/>
                <w:bCs/>
                <w:color w:val="auto"/>
                <w:highlight w:val="none"/>
              </w:rPr>
            </w:pPr>
            <w:r>
              <w:rPr>
                <w:rFonts w:hint="eastAsia"/>
                <w:b/>
                <w:bCs/>
                <w:color w:val="auto"/>
                <w:highlight w:val="none"/>
                <w:lang w:val="en-US" w:eastAsia="zh-CN"/>
              </w:rPr>
              <w:t>（2）人员与培训</w:t>
            </w:r>
            <w:r>
              <w:rPr>
                <w:rFonts w:hint="eastAsia"/>
                <w:b/>
                <w:bCs/>
                <w:color w:val="auto"/>
                <w:highlight w:val="none"/>
              </w:rPr>
              <w:t>；</w:t>
            </w:r>
          </w:p>
          <w:p w14:paraId="654AEB73">
            <w:pPr>
              <w:adjustRightInd w:val="0"/>
              <w:snapToGrid w:val="0"/>
              <w:spacing w:line="360" w:lineRule="auto"/>
              <w:rPr>
                <w:rFonts w:hint="eastAsia" w:eastAsia="宋体"/>
                <w:b/>
                <w:bCs/>
                <w:color w:val="auto"/>
                <w:highlight w:val="none"/>
                <w:lang w:eastAsia="zh-CN"/>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服务响应时间（处理问题、质保期、响应时间等）</w:t>
            </w:r>
            <w:r>
              <w:rPr>
                <w:rFonts w:hint="eastAsia" w:cs="宋体"/>
                <w:b/>
                <w:bCs/>
                <w:color w:val="auto"/>
                <w:sz w:val="24"/>
                <w:szCs w:val="24"/>
                <w:highlight w:val="none"/>
                <w:lang w:eastAsia="zh-CN"/>
              </w:rPr>
              <w:t>；</w:t>
            </w:r>
          </w:p>
          <w:p w14:paraId="76B11523">
            <w:pPr>
              <w:adjustRightInd w:val="0"/>
              <w:snapToGrid w:val="0"/>
              <w:spacing w:line="360" w:lineRule="auto"/>
              <w:rPr>
                <w:rFonts w:hint="default" w:eastAsia="宋体"/>
                <w:b/>
                <w:bCs/>
                <w:color w:val="auto"/>
                <w:highlight w:val="none"/>
                <w:lang w:val="en-US" w:eastAsia="zh-CN"/>
              </w:rPr>
            </w:pPr>
            <w:r>
              <w:rPr>
                <w:rFonts w:hint="eastAsia"/>
                <w:b/>
                <w:bCs/>
                <w:color w:val="auto"/>
                <w:highlight w:val="none"/>
                <w:lang w:val="en-US" w:eastAsia="zh-CN"/>
              </w:rPr>
              <w:t>（4）质保期及售后服务违约承诺；</w:t>
            </w:r>
          </w:p>
          <w:p w14:paraId="354E3FD3">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color w:val="auto"/>
                <w:highlight w:val="none"/>
              </w:rPr>
              <w:t>以上</w:t>
            </w:r>
            <w:r>
              <w:rPr>
                <w:rFonts w:hint="eastAsia"/>
                <w:color w:val="auto"/>
                <w:highlight w:val="none"/>
                <w:lang w:val="en-US" w:eastAsia="zh-CN"/>
              </w:rPr>
              <w:t>4</w:t>
            </w:r>
            <w:r>
              <w:rPr>
                <w:rFonts w:hint="eastAsia"/>
                <w:color w:val="auto"/>
                <w:highlight w:val="none"/>
              </w:rPr>
              <w:t>项，经评定相关内容完整、售后服务方案、保障措施详实，方案科学、合理、可行，解决方案和保障措施详细具体，完全满足采购文件服务要求，在完整性、契合度、思路清晰、可实施性、专业性上强的得</w:t>
            </w:r>
            <w:r>
              <w:rPr>
                <w:rFonts w:hint="eastAsia"/>
                <w:color w:val="auto"/>
                <w:highlight w:val="none"/>
                <w:lang w:val="en-US" w:eastAsia="zh-CN"/>
              </w:rPr>
              <w:t>16</w:t>
            </w:r>
            <w:r>
              <w:rPr>
                <w:rFonts w:hint="eastAsia"/>
                <w:color w:val="auto"/>
                <w:highlight w:val="none"/>
              </w:rPr>
              <w:t>分；每缺少一项内容扣4分；内容存在细微不足，方案略有瑕疵的扣1分；内容存在不足，存在疏漏、思路不清晰，可实施性较弱的扣2分，内容存在</w:t>
            </w:r>
            <w:r>
              <w:rPr>
                <w:rFonts w:hint="eastAsia"/>
                <w:color w:val="auto"/>
                <w:highlight w:val="none"/>
                <w:lang w:val="en-US" w:eastAsia="zh-CN"/>
              </w:rPr>
              <w:t>较大</w:t>
            </w:r>
            <w:r>
              <w:rPr>
                <w:rFonts w:hint="eastAsia"/>
                <w:color w:val="auto"/>
                <w:highlight w:val="none"/>
              </w:rPr>
              <w:t>不足，存在多处错误、逻辑混乱的，扣3分；扣完为止。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47EC2331">
            <w:pPr>
              <w:snapToGrid w:val="0"/>
              <w:spacing w:line="360" w:lineRule="auto"/>
              <w:contextualSpacing/>
              <w:jc w:val="both"/>
              <w:rPr>
                <w:rFonts w:hint="eastAsia"/>
                <w:bCs/>
                <w:color w:val="auto"/>
                <w:highlight w:val="none"/>
              </w:rPr>
            </w:pPr>
          </w:p>
        </w:tc>
        <w:tc>
          <w:tcPr>
            <w:tcW w:w="1273" w:type="dxa"/>
            <w:tcBorders>
              <w:top w:val="single" w:color="auto" w:sz="4" w:space="0"/>
              <w:tl2br w:val="nil"/>
              <w:tr2bl w:val="nil"/>
            </w:tcBorders>
            <w:vAlign w:val="center"/>
          </w:tcPr>
          <w:p w14:paraId="6A80F2CE">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color w:val="auto"/>
                <w:highlight w:val="none"/>
                <w:lang w:val="en-US" w:eastAsia="zh-CN"/>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962" w:type="dxa"/>
            <w:tcBorders>
              <w:top w:val="single" w:color="auto" w:sz="4" w:space="0"/>
              <w:tl2br w:val="nil"/>
              <w:tr2bl w:val="nil"/>
            </w:tcBorders>
            <w:shd w:val="clear" w:color="auto" w:fill="auto"/>
            <w:vAlign w:val="center"/>
          </w:tcPr>
          <w:p w14:paraId="378C636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273" w:type="dxa"/>
            <w:tcBorders>
              <w:top w:val="single" w:color="auto" w:sz="4" w:space="0"/>
              <w:tl2br w:val="nil"/>
              <w:tr2bl w:val="nil"/>
            </w:tcBorders>
            <w:vAlign w:val="center"/>
          </w:tcPr>
          <w:p w14:paraId="535A5CF2">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962" w:type="dxa"/>
            <w:tcBorders>
              <w:top w:val="single" w:color="auto" w:sz="4" w:space="0"/>
              <w:tl2br w:val="nil"/>
              <w:tr2bl w:val="nil"/>
            </w:tcBorders>
            <w:shd w:val="clear" w:color="auto" w:fill="auto"/>
            <w:vAlign w:val="center"/>
          </w:tcPr>
          <w:p w14:paraId="70251025">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投标产品为环境标志产品并提供在有效期内的认证证书得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2"/>
        <w:keepNext/>
        <w:keepLines/>
        <w:pageBreakBefore w:val="0"/>
        <w:widowControl/>
        <w:kinsoku/>
        <w:wordWrap/>
        <w:overflowPunct/>
        <w:topLinePunct w:val="0"/>
        <w:autoSpaceDE/>
        <w:autoSpaceDN/>
        <w:bidi w:val="0"/>
        <w:adjustRightInd w:val="0"/>
        <w:snapToGrid/>
        <w:spacing w:before="0"/>
        <w:ind w:left="0" w:firstLine="0"/>
        <w:jc w:val="center"/>
        <w:textAlignment w:val="baseline"/>
        <w:rPr>
          <w:rFonts w:hint="eastAsia" w:ascii="宋体" w:hAnsi="宋体" w:eastAsia="宋体"/>
          <w:bCs/>
          <w:color w:val="auto"/>
          <w:sz w:val="30"/>
          <w:szCs w:val="30"/>
          <w:highlight w:val="none"/>
        </w:rPr>
      </w:pPr>
      <w:bookmarkStart w:id="64" w:name="_Toc27877"/>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3"/>
        <w:snapToGrid w:val="0"/>
        <w:ind w:firstLine="482" w:firstLineChars="200"/>
        <w:rPr>
          <w:rFonts w:hint="eastAsia"/>
          <w:color w:val="auto"/>
          <w:sz w:val="24"/>
          <w:szCs w:val="24"/>
          <w:highlight w:val="none"/>
        </w:rPr>
      </w:pPr>
      <w:bookmarkStart w:id="66" w:name="_Toc1368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玉溪职业技术学院（云南省玉溪工业财贸学校）“双优”专业建设（2包）机电技术应用优质专业电工电子技术实训室建设项目</w:t>
      </w:r>
      <w:r>
        <w:rPr>
          <w:rFonts w:hint="eastAsia"/>
          <w:bCs/>
          <w:color w:val="auto"/>
          <w:highlight w:val="none"/>
        </w:rPr>
        <w:t>，包括但不限于电子技术实验平台、自动控制原理实训设备、电力电子与调速综合实训平台、场地文化装饰建设等内容。</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3"/>
        <w:snapToGrid w:val="0"/>
        <w:ind w:firstLine="482" w:firstLineChars="200"/>
        <w:rPr>
          <w:rFonts w:hint="eastAsia"/>
          <w:color w:val="auto"/>
          <w:sz w:val="24"/>
          <w:szCs w:val="24"/>
          <w:highlight w:val="none"/>
        </w:rPr>
      </w:pPr>
      <w:bookmarkStart w:id="67" w:name="_Toc5314"/>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3"/>
        <w:snapToGrid w:val="0"/>
        <w:ind w:firstLine="482" w:firstLineChars="200"/>
        <w:rPr>
          <w:rFonts w:hint="eastAsia"/>
          <w:color w:val="auto"/>
          <w:sz w:val="24"/>
          <w:szCs w:val="24"/>
          <w:highlight w:val="none"/>
        </w:rPr>
      </w:pPr>
      <w:bookmarkStart w:id="68" w:name="_Toc19411"/>
      <w:r>
        <w:rPr>
          <w:rFonts w:hint="eastAsia"/>
          <w:color w:val="auto"/>
          <w:sz w:val="24"/>
          <w:szCs w:val="24"/>
          <w:highlight w:val="none"/>
        </w:rPr>
        <w:t>三、采购标的的采购内容及要求</w:t>
      </w:r>
      <w:bookmarkEnd w:id="68"/>
    </w:p>
    <w:p w14:paraId="137DFFFC">
      <w:pPr>
        <w:adjustRightInd w:val="0"/>
        <w:snapToGrid w:val="0"/>
        <w:spacing w:line="360" w:lineRule="auto"/>
        <w:ind w:firstLine="482" w:firstLineChars="200"/>
        <w:rPr>
          <w:rFonts w:hint="eastAsia"/>
          <w:b/>
          <w:bCs/>
          <w:color w:val="auto"/>
          <w:highlight w:val="none"/>
          <w:lang w:val="en-US" w:eastAsia="zh-CN"/>
        </w:rPr>
      </w:pPr>
      <w:r>
        <w:rPr>
          <w:rFonts w:hint="eastAsia"/>
          <w:b/>
          <w:bCs/>
          <w:color w:val="auto"/>
          <w:highlight w:val="none"/>
          <w:lang w:eastAsia="zh-CN"/>
        </w:rPr>
        <w:t>（</w:t>
      </w:r>
      <w:r>
        <w:rPr>
          <w:rFonts w:hint="eastAsia"/>
          <w:b/>
          <w:bCs/>
          <w:color w:val="auto"/>
          <w:highlight w:val="none"/>
          <w:lang w:val="en-US" w:eastAsia="zh-CN"/>
        </w:rPr>
        <w:t>一）采购清单</w:t>
      </w:r>
    </w:p>
    <w:tbl>
      <w:tblPr>
        <w:tblStyle w:val="44"/>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5046"/>
        <w:gridCol w:w="943"/>
        <w:gridCol w:w="2925"/>
      </w:tblGrid>
      <w:tr w14:paraId="15F1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48" w:type="dxa"/>
            <w:noWrap w:val="0"/>
            <w:vAlign w:val="center"/>
          </w:tcPr>
          <w:p w14:paraId="4208B977">
            <w:pPr>
              <w:jc w:val="center"/>
              <w:rPr>
                <w:rFonts w:hint="eastAsia" w:ascii="宋体" w:hAnsi="宋体"/>
                <w:color w:val="auto"/>
                <w:sz w:val="24"/>
                <w:szCs w:val="24"/>
                <w:highlight w:val="none"/>
              </w:rPr>
            </w:pPr>
            <w:r>
              <w:rPr>
                <w:rFonts w:hint="eastAsia" w:ascii="宋体" w:hAnsi="宋体"/>
                <w:color w:val="auto"/>
                <w:sz w:val="24"/>
                <w:szCs w:val="24"/>
                <w:highlight w:val="none"/>
              </w:rPr>
              <w:t>序号</w:t>
            </w:r>
          </w:p>
        </w:tc>
        <w:tc>
          <w:tcPr>
            <w:tcW w:w="5046" w:type="dxa"/>
            <w:noWrap w:val="0"/>
            <w:vAlign w:val="center"/>
          </w:tcPr>
          <w:p w14:paraId="47CC5AB7">
            <w:pPr>
              <w:jc w:val="center"/>
              <w:rPr>
                <w:rFonts w:hint="eastAsia" w:ascii="宋体" w:hAnsi="宋体"/>
                <w:color w:val="auto"/>
                <w:sz w:val="24"/>
                <w:szCs w:val="24"/>
                <w:highlight w:val="none"/>
              </w:rPr>
            </w:pPr>
            <w:r>
              <w:rPr>
                <w:rFonts w:hint="eastAsia" w:ascii="宋体" w:hAnsi="宋体"/>
                <w:color w:val="auto"/>
                <w:sz w:val="24"/>
                <w:szCs w:val="24"/>
                <w:highlight w:val="none"/>
              </w:rPr>
              <w:t>产品名称</w:t>
            </w:r>
          </w:p>
        </w:tc>
        <w:tc>
          <w:tcPr>
            <w:tcW w:w="943" w:type="dxa"/>
            <w:noWrap w:val="0"/>
            <w:vAlign w:val="center"/>
          </w:tcPr>
          <w:p w14:paraId="764636E8">
            <w:pPr>
              <w:jc w:val="center"/>
              <w:rPr>
                <w:rFonts w:hint="eastAsia" w:ascii="宋体" w:hAnsi="宋体"/>
                <w:color w:val="auto"/>
                <w:sz w:val="24"/>
                <w:szCs w:val="24"/>
                <w:highlight w:val="none"/>
              </w:rPr>
            </w:pPr>
            <w:r>
              <w:rPr>
                <w:rFonts w:hint="eastAsia" w:ascii="宋体" w:hAnsi="宋体"/>
                <w:color w:val="auto"/>
                <w:sz w:val="24"/>
                <w:szCs w:val="24"/>
                <w:highlight w:val="none"/>
              </w:rPr>
              <w:t>数量</w:t>
            </w:r>
          </w:p>
        </w:tc>
        <w:tc>
          <w:tcPr>
            <w:tcW w:w="2925" w:type="dxa"/>
            <w:noWrap w:val="0"/>
            <w:vAlign w:val="center"/>
          </w:tcPr>
          <w:p w14:paraId="59B86817">
            <w:pPr>
              <w:jc w:val="center"/>
              <w:rPr>
                <w:rFonts w:hint="eastAsia" w:ascii="宋体" w:hAnsi="宋体"/>
                <w:color w:val="auto"/>
                <w:sz w:val="24"/>
                <w:szCs w:val="24"/>
                <w:highlight w:val="none"/>
              </w:rPr>
            </w:pPr>
            <w:r>
              <w:rPr>
                <w:rFonts w:hint="eastAsia" w:ascii="宋体" w:hAnsi="宋体"/>
                <w:color w:val="auto"/>
                <w:sz w:val="24"/>
                <w:szCs w:val="24"/>
                <w:highlight w:val="none"/>
              </w:rPr>
              <w:t>备注</w:t>
            </w:r>
          </w:p>
        </w:tc>
      </w:tr>
      <w:tr w14:paraId="39B7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48" w:type="dxa"/>
            <w:noWrap w:val="0"/>
            <w:vAlign w:val="center"/>
          </w:tcPr>
          <w:p w14:paraId="133CAA73">
            <w:pPr>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5046" w:type="dxa"/>
            <w:noWrap w:val="0"/>
            <w:vAlign w:val="center"/>
          </w:tcPr>
          <w:p w14:paraId="671F4F71">
            <w:pPr>
              <w:jc w:val="center"/>
              <w:rPr>
                <w:rFonts w:ascii="宋体" w:hAnsi="宋体"/>
                <w:color w:val="auto"/>
                <w:sz w:val="24"/>
                <w:szCs w:val="24"/>
                <w:highlight w:val="none"/>
              </w:rPr>
            </w:pPr>
            <w:r>
              <w:rPr>
                <w:rFonts w:hint="eastAsia" w:ascii="宋体" w:hAnsi="宋体"/>
                <w:color w:val="auto"/>
                <w:sz w:val="24"/>
                <w:szCs w:val="24"/>
                <w:highlight w:val="none"/>
                <w:lang w:val="en-US" w:eastAsia="zh-CN"/>
              </w:rPr>
              <w:t>电子技术实验平台</w:t>
            </w:r>
          </w:p>
        </w:tc>
        <w:tc>
          <w:tcPr>
            <w:tcW w:w="943" w:type="dxa"/>
            <w:noWrap w:val="0"/>
            <w:vAlign w:val="center"/>
          </w:tcPr>
          <w:p w14:paraId="430FE148">
            <w:pPr>
              <w:jc w:val="center"/>
              <w:rPr>
                <w:rFonts w:ascii="宋体" w:hAnsi="宋体"/>
                <w:color w:val="auto"/>
                <w:sz w:val="24"/>
                <w:szCs w:val="24"/>
                <w:highlight w:val="none"/>
              </w:rPr>
            </w:pPr>
            <w:r>
              <w:rPr>
                <w:rFonts w:hint="eastAsia" w:ascii="宋体" w:hAnsi="宋体"/>
                <w:color w:val="auto"/>
                <w:sz w:val="24"/>
                <w:szCs w:val="24"/>
                <w:highlight w:val="none"/>
                <w:lang w:val="en-US" w:eastAsia="zh-CN"/>
              </w:rPr>
              <w:t>20</w:t>
            </w:r>
            <w:r>
              <w:rPr>
                <w:rFonts w:hint="eastAsia" w:ascii="宋体" w:hAnsi="宋体"/>
                <w:color w:val="auto"/>
                <w:sz w:val="24"/>
                <w:szCs w:val="24"/>
                <w:highlight w:val="none"/>
              </w:rPr>
              <w:t>套</w:t>
            </w:r>
          </w:p>
        </w:tc>
        <w:tc>
          <w:tcPr>
            <w:tcW w:w="2925" w:type="dxa"/>
            <w:noWrap w:val="0"/>
            <w:vAlign w:val="center"/>
          </w:tcPr>
          <w:p w14:paraId="56BFF016">
            <w:pPr>
              <w:jc w:val="center"/>
              <w:rPr>
                <w:rFonts w:hint="eastAsia" w:ascii="宋体" w:hAnsi="宋体"/>
                <w:color w:val="auto"/>
                <w:sz w:val="24"/>
                <w:szCs w:val="24"/>
                <w:highlight w:val="none"/>
              </w:rPr>
            </w:pPr>
            <w:r>
              <w:rPr>
                <w:rFonts w:hint="eastAsia" w:ascii="宋体" w:hAnsi="宋体"/>
                <w:color w:val="auto"/>
                <w:sz w:val="24"/>
                <w:szCs w:val="24"/>
                <w:highlight w:val="none"/>
              </w:rPr>
              <w:t>-</w:t>
            </w:r>
          </w:p>
        </w:tc>
      </w:tr>
      <w:tr w14:paraId="1D33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48" w:type="dxa"/>
            <w:noWrap w:val="0"/>
            <w:vAlign w:val="center"/>
          </w:tcPr>
          <w:p w14:paraId="3F033D4D">
            <w:pPr>
              <w:jc w:val="center"/>
              <w:rPr>
                <w:rFonts w:hint="eastAsia" w:ascii="宋体" w:hAnsi="宋体"/>
                <w:color w:val="auto"/>
                <w:sz w:val="24"/>
                <w:szCs w:val="24"/>
                <w:highlight w:val="none"/>
              </w:rPr>
            </w:pPr>
            <w:r>
              <w:rPr>
                <w:rFonts w:hint="eastAsia" w:ascii="宋体" w:hAnsi="宋体"/>
                <w:color w:val="auto"/>
                <w:sz w:val="24"/>
                <w:szCs w:val="24"/>
                <w:highlight w:val="none"/>
              </w:rPr>
              <w:t>2</w:t>
            </w:r>
          </w:p>
        </w:tc>
        <w:tc>
          <w:tcPr>
            <w:tcW w:w="5046" w:type="dxa"/>
            <w:noWrap w:val="0"/>
            <w:vAlign w:val="center"/>
          </w:tcPr>
          <w:p w14:paraId="7AAF9BC3">
            <w:pPr>
              <w:jc w:val="center"/>
              <w:rPr>
                <w:rFonts w:ascii="宋体" w:hAnsi="宋体"/>
                <w:color w:val="auto"/>
                <w:sz w:val="24"/>
                <w:szCs w:val="24"/>
                <w:highlight w:val="none"/>
              </w:rPr>
            </w:pPr>
            <w:r>
              <w:rPr>
                <w:rFonts w:hint="eastAsia" w:ascii="宋体" w:hAnsi="宋体"/>
                <w:color w:val="auto"/>
                <w:sz w:val="24"/>
                <w:szCs w:val="24"/>
                <w:highlight w:val="none"/>
                <w:lang w:val="en-US" w:eastAsia="zh-CN"/>
              </w:rPr>
              <w:t>自动控制原理实训设备</w:t>
            </w:r>
          </w:p>
        </w:tc>
        <w:tc>
          <w:tcPr>
            <w:tcW w:w="943" w:type="dxa"/>
            <w:noWrap w:val="0"/>
            <w:vAlign w:val="center"/>
          </w:tcPr>
          <w:p w14:paraId="218DC19F">
            <w:pPr>
              <w:jc w:val="center"/>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套</w:t>
            </w:r>
          </w:p>
        </w:tc>
        <w:tc>
          <w:tcPr>
            <w:tcW w:w="2925" w:type="dxa"/>
            <w:noWrap w:val="0"/>
            <w:vAlign w:val="center"/>
          </w:tcPr>
          <w:p w14:paraId="17FB10A0">
            <w:pPr>
              <w:jc w:val="center"/>
              <w:rPr>
                <w:rFonts w:hint="eastAsia" w:ascii="宋体" w:hAnsi="宋体"/>
                <w:color w:val="auto"/>
                <w:sz w:val="24"/>
                <w:szCs w:val="24"/>
                <w:highlight w:val="none"/>
              </w:rPr>
            </w:pPr>
            <w:r>
              <w:rPr>
                <w:rFonts w:hint="eastAsia" w:ascii="宋体" w:hAnsi="宋体"/>
                <w:color w:val="auto"/>
                <w:sz w:val="24"/>
                <w:szCs w:val="24"/>
                <w:highlight w:val="none"/>
              </w:rPr>
              <w:t>-</w:t>
            </w:r>
          </w:p>
        </w:tc>
      </w:tr>
      <w:tr w14:paraId="46D9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948" w:type="dxa"/>
            <w:noWrap w:val="0"/>
            <w:vAlign w:val="center"/>
          </w:tcPr>
          <w:p w14:paraId="3B8A8EE6">
            <w:pPr>
              <w:jc w:val="center"/>
              <w:rPr>
                <w:rFonts w:hint="eastAsia" w:ascii="宋体" w:hAnsi="宋体"/>
                <w:color w:val="auto"/>
                <w:sz w:val="24"/>
                <w:szCs w:val="24"/>
                <w:highlight w:val="none"/>
              </w:rPr>
            </w:pPr>
            <w:r>
              <w:rPr>
                <w:rFonts w:hint="eastAsia" w:ascii="宋体" w:hAnsi="宋体"/>
                <w:color w:val="auto"/>
                <w:sz w:val="24"/>
                <w:szCs w:val="24"/>
                <w:highlight w:val="none"/>
              </w:rPr>
              <w:t>3</w:t>
            </w:r>
          </w:p>
        </w:tc>
        <w:tc>
          <w:tcPr>
            <w:tcW w:w="5046" w:type="dxa"/>
            <w:noWrap w:val="0"/>
            <w:vAlign w:val="center"/>
          </w:tcPr>
          <w:p w14:paraId="692FBD3E">
            <w:pPr>
              <w:jc w:val="center"/>
              <w:rPr>
                <w:rFonts w:hint="eastAsia" w:ascii="宋体" w:hAnsi="宋体"/>
                <w:color w:val="auto"/>
                <w:sz w:val="24"/>
                <w:szCs w:val="24"/>
                <w:highlight w:val="none"/>
              </w:rPr>
            </w:pPr>
            <w:r>
              <w:rPr>
                <w:rFonts w:hint="eastAsia" w:ascii="宋体" w:hAnsi="宋体"/>
                <w:color w:val="auto"/>
                <w:sz w:val="24"/>
                <w:szCs w:val="24"/>
                <w:highlight w:val="none"/>
                <w:lang w:val="en-US" w:eastAsia="zh-CN"/>
              </w:rPr>
              <w:t>电力电子与调速综合实训平台</w:t>
            </w:r>
          </w:p>
        </w:tc>
        <w:tc>
          <w:tcPr>
            <w:tcW w:w="943" w:type="dxa"/>
            <w:noWrap w:val="0"/>
            <w:vAlign w:val="center"/>
          </w:tcPr>
          <w:p w14:paraId="33D3795A">
            <w:pPr>
              <w:jc w:val="center"/>
              <w:rPr>
                <w:rFonts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套</w:t>
            </w:r>
          </w:p>
        </w:tc>
        <w:tc>
          <w:tcPr>
            <w:tcW w:w="2925" w:type="dxa"/>
            <w:noWrap w:val="0"/>
            <w:vAlign w:val="center"/>
          </w:tcPr>
          <w:p w14:paraId="0DE9646D">
            <w:pPr>
              <w:jc w:val="center"/>
              <w:rPr>
                <w:rFonts w:hint="eastAsia" w:ascii="宋体" w:hAnsi="宋体"/>
                <w:color w:val="auto"/>
                <w:sz w:val="24"/>
                <w:szCs w:val="24"/>
                <w:highlight w:val="none"/>
              </w:rPr>
            </w:pPr>
            <w:r>
              <w:rPr>
                <w:rFonts w:hint="eastAsia" w:ascii="宋体" w:hAnsi="宋体"/>
                <w:color w:val="auto"/>
                <w:sz w:val="24"/>
                <w:szCs w:val="24"/>
                <w:highlight w:val="none"/>
              </w:rPr>
              <w:t>核心产品</w:t>
            </w:r>
          </w:p>
        </w:tc>
      </w:tr>
      <w:tr w14:paraId="3EE2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48" w:type="dxa"/>
            <w:noWrap w:val="0"/>
            <w:vAlign w:val="center"/>
          </w:tcPr>
          <w:p w14:paraId="611156D2">
            <w:pPr>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5046" w:type="dxa"/>
            <w:noWrap w:val="0"/>
            <w:vAlign w:val="center"/>
          </w:tcPr>
          <w:p w14:paraId="5D4A3E76">
            <w:pPr>
              <w:jc w:val="center"/>
              <w:rPr>
                <w:rFonts w:hint="eastAsia" w:ascii="宋体" w:hAnsi="宋体"/>
                <w:color w:val="auto"/>
                <w:sz w:val="24"/>
                <w:szCs w:val="24"/>
                <w:highlight w:val="none"/>
              </w:rPr>
            </w:pPr>
            <w:r>
              <w:rPr>
                <w:rFonts w:hint="eastAsia" w:ascii="宋体" w:hAnsi="宋体"/>
                <w:color w:val="auto"/>
                <w:sz w:val="24"/>
                <w:szCs w:val="24"/>
                <w:highlight w:val="none"/>
                <w:lang w:val="en-US" w:eastAsia="zh-CN"/>
              </w:rPr>
              <w:t>场地文化装饰建设</w:t>
            </w:r>
          </w:p>
        </w:tc>
        <w:tc>
          <w:tcPr>
            <w:tcW w:w="943" w:type="dxa"/>
            <w:noWrap w:val="0"/>
            <w:vAlign w:val="center"/>
          </w:tcPr>
          <w:p w14:paraId="34B8F0C5">
            <w:pPr>
              <w:jc w:val="center"/>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1项</w:t>
            </w:r>
          </w:p>
        </w:tc>
        <w:tc>
          <w:tcPr>
            <w:tcW w:w="2925" w:type="dxa"/>
            <w:noWrap w:val="0"/>
            <w:vAlign w:val="center"/>
          </w:tcPr>
          <w:p w14:paraId="093E7FC5">
            <w:pPr>
              <w:jc w:val="center"/>
              <w:rPr>
                <w:rFonts w:hint="eastAsia" w:ascii="宋体" w:hAnsi="宋体"/>
                <w:color w:val="auto"/>
                <w:sz w:val="24"/>
                <w:szCs w:val="24"/>
                <w:highlight w:val="none"/>
              </w:rPr>
            </w:pPr>
            <w:r>
              <w:rPr>
                <w:rFonts w:hint="eastAsia" w:ascii="宋体" w:hAnsi="宋体"/>
                <w:color w:val="auto"/>
                <w:sz w:val="24"/>
                <w:szCs w:val="24"/>
                <w:highlight w:val="none"/>
              </w:rPr>
              <w:t>-</w:t>
            </w:r>
          </w:p>
        </w:tc>
      </w:tr>
    </w:tbl>
    <w:p w14:paraId="167F540F">
      <w:pPr>
        <w:adjustRightInd w:val="0"/>
        <w:snapToGrid w:val="0"/>
        <w:spacing w:line="360" w:lineRule="auto"/>
        <w:ind w:firstLine="482" w:firstLineChars="200"/>
        <w:rPr>
          <w:rFonts w:hint="default"/>
          <w:b/>
          <w:bCs/>
          <w:color w:val="auto"/>
          <w:highlight w:val="none"/>
          <w:lang w:val="en-US"/>
        </w:rPr>
      </w:pPr>
      <w:r>
        <w:rPr>
          <w:rFonts w:hint="eastAsia"/>
          <w:b/>
          <w:bCs/>
          <w:color w:val="auto"/>
          <w:highlight w:val="none"/>
        </w:rPr>
        <w:t>（</w:t>
      </w:r>
      <w:r>
        <w:rPr>
          <w:rFonts w:hint="eastAsia"/>
          <w:b/>
          <w:bCs/>
          <w:color w:val="auto"/>
          <w:highlight w:val="none"/>
          <w:lang w:val="en-US" w:eastAsia="zh-CN"/>
        </w:rPr>
        <w:t>二</w:t>
      </w:r>
      <w:r>
        <w:rPr>
          <w:rFonts w:hint="eastAsia"/>
          <w:b/>
          <w:bCs/>
          <w:color w:val="auto"/>
          <w:highlight w:val="none"/>
        </w:rPr>
        <w:t>）</w:t>
      </w:r>
      <w:r>
        <w:rPr>
          <w:rFonts w:hint="eastAsia"/>
          <w:b/>
          <w:bCs/>
          <w:color w:val="auto"/>
          <w:highlight w:val="none"/>
          <w:lang w:val="en-US" w:eastAsia="zh-CN"/>
        </w:rPr>
        <w:t>技术需求</w:t>
      </w:r>
    </w:p>
    <w:tbl>
      <w:tblPr>
        <w:tblStyle w:val="45"/>
        <w:tblW w:w="9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7"/>
        <w:gridCol w:w="1325"/>
        <w:gridCol w:w="6872"/>
        <w:gridCol w:w="483"/>
        <w:gridCol w:w="500"/>
      </w:tblGrid>
      <w:tr w14:paraId="6AC9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57" w:type="dxa"/>
            <w:noWrap w:val="0"/>
            <w:vAlign w:val="center"/>
          </w:tcPr>
          <w:p w14:paraId="567D1CD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vertAlign w:val="baseline"/>
                <w:lang w:val="en-US" w:eastAsia="zh-CN"/>
              </w:rPr>
              <w:t>序号</w:t>
            </w:r>
          </w:p>
        </w:tc>
        <w:tc>
          <w:tcPr>
            <w:tcW w:w="1325" w:type="dxa"/>
            <w:noWrap w:val="0"/>
            <w:vAlign w:val="center"/>
          </w:tcPr>
          <w:p w14:paraId="7DE4ED2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vertAlign w:val="baseline"/>
                <w:lang w:val="en-US" w:eastAsia="zh-CN"/>
              </w:rPr>
              <w:t>设备名称</w:t>
            </w:r>
          </w:p>
        </w:tc>
        <w:tc>
          <w:tcPr>
            <w:tcW w:w="6872" w:type="dxa"/>
            <w:noWrap w:val="0"/>
            <w:vAlign w:val="center"/>
          </w:tcPr>
          <w:p w14:paraId="1C823E5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vertAlign w:val="baseline"/>
                <w:lang w:val="en-US" w:eastAsia="zh-CN"/>
              </w:rPr>
              <w:t>技术参数</w:t>
            </w:r>
          </w:p>
        </w:tc>
        <w:tc>
          <w:tcPr>
            <w:tcW w:w="483" w:type="dxa"/>
            <w:noWrap w:val="0"/>
            <w:vAlign w:val="center"/>
          </w:tcPr>
          <w:p w14:paraId="631E431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vertAlign w:val="baseline"/>
                <w:lang w:val="en-US" w:eastAsia="zh-CN"/>
              </w:rPr>
              <w:t>数量</w:t>
            </w:r>
          </w:p>
        </w:tc>
        <w:tc>
          <w:tcPr>
            <w:tcW w:w="500" w:type="dxa"/>
            <w:noWrap w:val="0"/>
            <w:vAlign w:val="center"/>
          </w:tcPr>
          <w:p w14:paraId="1B2DE3B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val="0"/>
                <w:color w:val="auto"/>
                <w:sz w:val="24"/>
                <w:szCs w:val="24"/>
                <w:highlight w:val="none"/>
                <w:vertAlign w:val="baseline"/>
                <w:lang w:val="en-US" w:eastAsia="zh-CN"/>
              </w:rPr>
              <w:t>单位</w:t>
            </w:r>
          </w:p>
        </w:tc>
      </w:tr>
      <w:tr w14:paraId="01B2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noWrap w:val="0"/>
            <w:vAlign w:val="center"/>
          </w:tcPr>
          <w:p w14:paraId="35F8D45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w:t>
            </w:r>
          </w:p>
        </w:tc>
        <w:tc>
          <w:tcPr>
            <w:tcW w:w="1325" w:type="dxa"/>
            <w:noWrap w:val="0"/>
            <w:vAlign w:val="center"/>
          </w:tcPr>
          <w:p w14:paraId="622FE0E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电子技术实验平台</w:t>
            </w:r>
          </w:p>
        </w:tc>
        <w:tc>
          <w:tcPr>
            <w:tcW w:w="6872" w:type="dxa"/>
            <w:noWrap w:val="0"/>
            <w:vAlign w:val="center"/>
          </w:tcPr>
          <w:p w14:paraId="1AAC374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一、技术指标</w:t>
            </w:r>
          </w:p>
          <w:p w14:paraId="698BB33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1.输入电源：单相三线AC220V±10% 50Hz</w:t>
            </w:r>
          </w:p>
          <w:p w14:paraId="0A3245B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2.装置容量：≤500VA</w:t>
            </w:r>
          </w:p>
          <w:p w14:paraId="77FFF95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3.外形尺寸：1380mm×720mm×1540mm（±10mm）</w:t>
            </w:r>
          </w:p>
          <w:p w14:paraId="1DEEE0D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4.安全保护：具有漏电保护功能，安全性符合相关国家标准</w:t>
            </w:r>
          </w:p>
          <w:p w14:paraId="22D767F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二、基本配置要求</w:t>
            </w:r>
          </w:p>
          <w:p w14:paraId="4B5F9E9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1.实验桌</w:t>
            </w:r>
          </w:p>
          <w:p w14:paraId="1BD1CA7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桌子台面板采用E1级三聚氰胺复面合成板，台面厚度不低于25mm；主体采用四个截面≧70×70mm圆弧形工业铝型材立柱为支撑，立柱端部可安装调节脚；铝型材通过左、右各2个C字形铝压成型构件联接，C字型联接件嵌入厂家LOGO。桌面板下设支撑框架，截面尺寸为30x30mm，承受力不小于300Kg。</w:t>
            </w:r>
          </w:p>
          <w:p w14:paraId="61A40B9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（2）实训模块区域分上下两层，框架由上中下左右五根工业铝型材组成，所有型材表面滑，无凹槽。台架侧面要求配置单相电源插座，用于外接仪器供电。</w:t>
            </w:r>
          </w:p>
          <w:p w14:paraId="3879663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color w:val="auto"/>
                <w:sz w:val="24"/>
                <w:szCs w:val="24"/>
                <w:highlight w:val="none"/>
                <w:vertAlign w:val="baseline"/>
                <w:lang w:val="en-US" w:eastAsia="zh-CN"/>
              </w:rPr>
              <w:t>（3）可移动储物柜：采用圆弧卷边冷冲压钣金一体成型，封闭式结构，不少于4层储物抽屉，表面静电喷涂。储物柜外形尺寸≥宽450×深550×高705（mm），总重量≥31kg；柜体四边圆弧设计：R=30mm，配有承重型卡扣式三节轨，精准定位，导轨承重量≥30kg，抽屉把手采用卡套式钣金卷边工艺，推拉更便捷，配色层次分明，抽屉采用联体锁设计，操作方便；底部配有4个万向带刹车脚轮。柜内空间根据磁吸式模块尺寸1：1存储，便于教师管理。（要求投标文件提供活动储物柜整体实物图和抽屉展开实物图，需体现抽屉内部空间根据磁吸式模块尺寸1：1开孔定点存储）</w:t>
            </w:r>
          </w:p>
          <w:p w14:paraId="5E86691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2.直流稳压电源1</w:t>
            </w:r>
          </w:p>
          <w:p w14:paraId="6579869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（1）机箱两端设有把手，面板采用2mm厚印制线路板制成，正面印有电路图形符号。</w:t>
            </w:r>
          </w:p>
          <w:p w14:paraId="022D51C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（2）单相三线电源输入，通过漏电保护器，接通总开关，并设有电源指示灯和保险丝。</w:t>
            </w:r>
          </w:p>
          <w:p w14:paraId="1FA63F7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（3）直流稳压电源：提供±5V/0.5A、±12V/0.5A四路固定输出，每路输出都具有短路保护、过载保护及自动恢复功能，有电源开关控制。</w:t>
            </w:r>
          </w:p>
          <w:p w14:paraId="47DD96B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（4）直流信号源1：可切换输出-5V～+5V/-1V～+1V，输出连续可调，通过调节多圈电位器旋钮可平滑地调节输出电压值。</w:t>
            </w:r>
          </w:p>
          <w:p w14:paraId="1AEBDD3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（4）直流信号源2：可切换输出-5V～+5V/-0.5V～+0.5V，输出连续可调，通过调节多圈电位器旋钮可平滑地调节输出电压值。</w:t>
            </w:r>
          </w:p>
          <w:p w14:paraId="6591A48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3.交直流电源</w:t>
            </w:r>
          </w:p>
          <w:p w14:paraId="1F618EF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（1）直流可调稳压源：提供0～30V连续可调稳压电源，三位半LED数字电压表指示输出电压，设有短路、过流软截止保护和自动恢复功能。</w:t>
            </w:r>
          </w:p>
          <w:p w14:paraId="7CB6248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（2）低压交流电源：提供0V、6V、10V、14V抽头各一路及中心抽头17V两路，每路输出均具有短路、过流保护及自动恢复保护功能。</w:t>
            </w:r>
          </w:p>
          <w:p w14:paraId="72A3E22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4.智能直流电压表和电流表</w:t>
            </w:r>
          </w:p>
          <w:p w14:paraId="19ADD0C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（1）直流电压表：采用柜装仪表，一体化设计，尺寸为91mm×44mm×96mm（</w:t>
            </w:r>
            <w:r>
              <w:rPr>
                <w:rFonts w:hint="eastAsia" w:ascii="宋体" w:hAnsi="宋体" w:eastAsia="宋体" w:cs="宋体"/>
                <w:bCs/>
                <w:color w:val="auto"/>
                <w:spacing w:val="-2"/>
                <w:sz w:val="24"/>
                <w:szCs w:val="24"/>
                <w:highlight w:val="none"/>
                <w:lang w:val="en-US" w:eastAsia="zh-CN"/>
              </w:rPr>
              <w:t>±5%）</w:t>
            </w:r>
            <w:r>
              <w:rPr>
                <w:rFonts w:hint="eastAsia" w:ascii="宋体" w:hAnsi="宋体" w:eastAsia="宋体" w:cs="宋体"/>
                <w:b w:val="0"/>
                <w:bCs/>
                <w:color w:val="auto"/>
                <w:sz w:val="24"/>
                <w:szCs w:val="24"/>
                <w:highlight w:val="none"/>
                <w:vertAlign w:val="baseline"/>
                <w:lang w:val="en-US" w:eastAsia="zh-CN"/>
              </w:rPr>
              <w:t>；测量范围0～200V，测量精度0.5级，具有量程自动转换功能。</w:t>
            </w:r>
          </w:p>
          <w:p w14:paraId="4AE0DC7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（2）直流电流表：采用柜装仪表，一体化设计，尺寸为91mm×44mm×96mm（</w:t>
            </w:r>
            <w:r>
              <w:rPr>
                <w:rFonts w:hint="eastAsia" w:ascii="宋体" w:hAnsi="宋体" w:eastAsia="宋体" w:cs="宋体"/>
                <w:bCs/>
                <w:color w:val="auto"/>
                <w:spacing w:val="-2"/>
                <w:sz w:val="24"/>
                <w:szCs w:val="24"/>
                <w:highlight w:val="none"/>
                <w:lang w:val="en-US" w:eastAsia="zh-CN"/>
              </w:rPr>
              <w:t>±5%）</w:t>
            </w:r>
            <w:r>
              <w:rPr>
                <w:rFonts w:hint="eastAsia" w:ascii="宋体" w:hAnsi="宋体" w:eastAsia="宋体" w:cs="宋体"/>
                <w:b w:val="0"/>
                <w:bCs/>
                <w:color w:val="auto"/>
                <w:sz w:val="24"/>
                <w:szCs w:val="24"/>
                <w:highlight w:val="none"/>
                <w:vertAlign w:val="baseline"/>
                <w:lang w:val="en-US" w:eastAsia="zh-CN"/>
              </w:rPr>
              <w:t>；测量范围0～2A，测量精度0.5级，具有量程自动转换功能。</w:t>
            </w:r>
          </w:p>
          <w:p w14:paraId="51E1E77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5.DDS数字信号发生器</w:t>
            </w:r>
          </w:p>
          <w:p w14:paraId="627A225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（1）机箱两端设有把手，面板采用2mm厚印制线路板制成。</w:t>
            </w:r>
          </w:p>
          <w:p w14:paraId="02852AF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（2）采用ARM内核单片机、不少于5寸触摸屏人机界面作控制系统，微控制器采用Cortex-M3内核，CPU最高速度≥72 MHz，高性能的DDS芯片。</w:t>
            </w:r>
          </w:p>
          <w:p w14:paraId="49CE361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（3）供电电源为AC220V±10％  50Hz，功率不高于10W，超静音设计。</w:t>
            </w:r>
          </w:p>
          <w:p w14:paraId="06FF2EC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（4）5寸触摸屏，分辨率不小于800*480，亮度最大300nit,可进行100级亮度调节，4线精密电阻式，触摸次数不小于100万次。</w:t>
            </w:r>
          </w:p>
          <w:p w14:paraId="06B2B89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（5）输出波形：正弦波、三角波、方波</w:t>
            </w:r>
          </w:p>
          <w:p w14:paraId="1160AEC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（6）输出频率范围：正弦波：1-2MHz，三角波：10-2MHz，方波：1-2MHz</w:t>
            </w:r>
          </w:p>
          <w:p w14:paraId="451E096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（7）输出波形幅度：最大大于17Vp-p，最小小于5mVp-p</w:t>
            </w:r>
          </w:p>
          <w:p w14:paraId="2C5B404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（8）频率设置：触摸按键设置，最小步进0.1Hz</w:t>
            </w:r>
          </w:p>
          <w:p w14:paraId="43BCF24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 xml:space="preserve">（9）幅度调节：精密电位器线性调节  </w:t>
            </w:r>
          </w:p>
          <w:p w14:paraId="42A7608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（10）幅度指示：显示输出波形的峰峰值，单位Vp-p、mVp-p自动切换</w:t>
            </w:r>
          </w:p>
          <w:p w14:paraId="2A2E6FD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（11）测频功能：能自动测量输入波形的频率，输入波形幅度小于20Vp-p，测频分辨率1Hz。</w:t>
            </w:r>
          </w:p>
          <w:p w14:paraId="5284397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6.直流稳压电源2</w:t>
            </w:r>
          </w:p>
          <w:p w14:paraId="359D0E8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（1）机箱两端设有把手，面板采用2mm厚印制线路板制成，正面印有电路图形符号。</w:t>
            </w:r>
          </w:p>
          <w:p w14:paraId="65422BE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（2）单相三线电源输入，通过漏电保护器，接通总开关，并设有电源指示灯和保险丝。</w:t>
            </w:r>
          </w:p>
          <w:p w14:paraId="369B09D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（3）直流稳压电源：提供±5V/0.5A、±15V/0.5A四路固定输出，每路输出都具有短路保护、过载保护及自动恢复功能，有电源开关控制；设有±5V、±15V电源短路报警、指示功能。</w:t>
            </w:r>
          </w:p>
          <w:p w14:paraId="74D6786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（4）设有输入指示和报警电路。</w:t>
            </w:r>
          </w:p>
          <w:p w14:paraId="62D5800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7.数字电路模块</w:t>
            </w:r>
          </w:p>
          <w:p w14:paraId="339C5A9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（1）机箱两端设有把手，面板采用2mm厚印制线路板制成，正面印有元器件图形符号及相应的连线。</w:t>
            </w:r>
          </w:p>
          <w:p w14:paraId="104C1D7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（2）三态逻辑测试笔：具有测定高电平、低、中、高阻态等。</w:t>
            </w:r>
          </w:p>
          <w:p w14:paraId="5313F49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（3）计数脉冲源：0.5Hz～300kHz输出连续可调；</w:t>
            </w:r>
          </w:p>
          <w:p w14:paraId="3F9B16D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（4）连续脉冲源：输出四路BCD码基频、二分频、四分频、八分频，基频输出频率分1Hz、1kHz、20kHz三档粗调，每档附近又可通过多圈电位器进行细调；</w:t>
            </w:r>
          </w:p>
          <w:p w14:paraId="3BC791E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（5）单次脉冲源（2路）：提供正负输出，有红、绿指示灯指示。</w:t>
            </w:r>
          </w:p>
          <w:p w14:paraId="7235A21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（6）提供十位逻辑电平输出、十位逻辑电平显示等。</w:t>
            </w:r>
          </w:p>
          <w:p w14:paraId="0E98FFC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8.实验模块单元固定板</w:t>
            </w:r>
          </w:p>
          <w:p w14:paraId="1E99A65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放置实验台最上层，每个实验模块单元固定板可放置两个实验模块，用于搭建实验电路，满足实验教学需要求。</w:t>
            </w:r>
          </w:p>
          <w:p w14:paraId="122BC7D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bCs w:val="0"/>
                <w:color w:val="auto"/>
                <w:sz w:val="24"/>
                <w:szCs w:val="24"/>
                <w:highlight w:val="none"/>
                <w:vertAlign w:val="baseline"/>
                <w:lang w:val="en-US" w:eastAsia="zh-CN"/>
              </w:rPr>
              <w:t>9.电子磁吸式实验模块</w:t>
            </w:r>
            <w:r>
              <w:rPr>
                <w:rFonts w:hint="eastAsia" w:ascii="宋体" w:hAnsi="宋体" w:eastAsia="宋体" w:cs="宋体"/>
                <w:b/>
                <w:bCs/>
                <w:color w:val="auto"/>
                <w:sz w:val="24"/>
                <w:szCs w:val="24"/>
                <w:highlight w:val="none"/>
                <w:lang w:val="en-US" w:eastAsia="zh-CN"/>
              </w:rPr>
              <w:t>（要求由透明盒及PCB板构成，盒体由透明有机工程塑料注塑而成，元件盒体一次性成型，尺寸200×120×25mm（±5mm）。具有示教功能，使用者能够观察到元件形状和接线方式；面板采用双层PCB设计，即下面层为元器件PCB，上面层为丝印层PCB标有电器原理图，上下两层板通过定制的接插件连接。模块集成透明盒+4只磁吸立柱，与底板可实现快速拆装，投标文件至少提供以下配置三种模块正反面实物图)</w:t>
            </w:r>
          </w:p>
          <w:p w14:paraId="0501034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实验模块包括单管/负反馈两级放大器、差动放大电路、场效应管放大器、射极跟随器、集成运放电路、集成直流稳压电源、三端可调集成稳压电路、串联型晶体管稳压电源、晶闸管可控整流电路、</w:t>
            </w:r>
            <w:bookmarkStart w:id="69" w:name="_Hlk164112108"/>
            <w:r>
              <w:rPr>
                <w:rFonts w:hint="eastAsia" w:ascii="宋体" w:hAnsi="宋体" w:eastAsia="宋体" w:cs="宋体"/>
                <w:b w:val="0"/>
                <w:bCs/>
                <w:color w:val="auto"/>
                <w:sz w:val="24"/>
                <w:szCs w:val="24"/>
                <w:highlight w:val="none"/>
                <w:vertAlign w:val="baseline"/>
                <w:lang w:val="en-US" w:eastAsia="zh-CN"/>
              </w:rPr>
              <w:t>TDA2030</w:t>
            </w:r>
            <w:bookmarkEnd w:id="69"/>
            <w:r>
              <w:rPr>
                <w:rFonts w:hint="eastAsia" w:ascii="宋体" w:hAnsi="宋体" w:eastAsia="宋体" w:cs="宋体"/>
                <w:b w:val="0"/>
                <w:bCs/>
                <w:color w:val="auto"/>
                <w:sz w:val="24"/>
                <w:szCs w:val="24"/>
                <w:highlight w:val="none"/>
                <w:vertAlign w:val="baseline"/>
                <w:lang w:val="en-US" w:eastAsia="zh-CN"/>
              </w:rPr>
              <w:t>功率放大电路、OCL功率放大器、丁类功率放大器、开关型稳压电路、晶体管开关特性、限幅器和钳位器、逻辑门电路特性参数测试、TTL集电极开路门与三态输出门的应用、全加器/译码器电路（含编码器）、序列信号发生器、集成电路计数器、触发器（含钟控RS、JK和D触发器）、集成芯片插座、元器件模块、自由布线模块等。</w:t>
            </w:r>
          </w:p>
          <w:p w14:paraId="6C4C6621">
            <w:pPr>
              <w:pStyle w:val="17"/>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rPr>
                <w:rFonts w:hint="eastAsia" w:ascii="宋体" w:hAnsi="宋体" w:eastAsia="宋体" w:cs="宋体"/>
                <w:b/>
                <w:bCs/>
                <w:color w:val="auto"/>
                <w:sz w:val="24"/>
                <w:szCs w:val="24"/>
                <w:highlight w:val="none"/>
                <w:shd w:val="clear" w:color="auto" w:fill="FFFFFF"/>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bCs/>
                <w:color w:val="auto"/>
                <w:sz w:val="24"/>
                <w:szCs w:val="24"/>
                <w:highlight w:val="none"/>
                <w:shd w:val="clear" w:color="auto" w:fill="FFFFFF"/>
                <w:lang w:val="en-US" w:eastAsia="zh-CN"/>
              </w:rPr>
              <w:t>10</w:t>
            </w:r>
            <w:r>
              <w:rPr>
                <w:rFonts w:hint="eastAsia" w:ascii="宋体" w:hAnsi="宋体" w:eastAsia="宋体" w:cs="宋体"/>
                <w:b/>
                <w:bCs/>
                <w:color w:val="auto"/>
                <w:sz w:val="24"/>
                <w:szCs w:val="24"/>
                <w:highlight w:val="none"/>
                <w:shd w:val="clear" w:color="auto" w:fill="FFFFFF"/>
              </w:rPr>
              <w:t>.数字化立体教材</w:t>
            </w:r>
          </w:p>
          <w:p w14:paraId="7B0FDB4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平台要求能够同时满足手机、平板和PC等电子设备访问，具有3D翻书效果，并有搜索、复制、放大、缩小、打印等功能，以及具有集成设备服务系统；集成的资源：集成与设备配套的实验指导书、集成《电工电子技术基础》国家级规划教材、集成电工电子教学课件、集成万用表应用训练仿真软件、集成安全教育仿真软件、集成电工实训仿真软件、集成电工技能与实训仿真教学软件（包含电工基本常识、电工仪表、照明电路、电机与变压器、低压电器、电动机控制、电工识图）、集成电子技能与实训仿真教学软件（包含电子产品制造技术、仪器仪表的使用、元器件识读、综合技能实训），以上集成资源需由一个统一的目录链接访问。(要求投标文件提供统一的目录链接主界面、集成资源的每个资源界面截图)</w:t>
            </w:r>
          </w:p>
          <w:p w14:paraId="411D77B8">
            <w:pPr>
              <w:pStyle w:val="17"/>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11.方凳（每套设备配置2个方凳）</w:t>
            </w:r>
          </w:p>
          <w:p w14:paraId="1A4C07B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（1）外形尺寸：360mm×260mm×450mm（±5mm），整体重量≥3.4Kg；</w:t>
            </w:r>
          </w:p>
          <w:p w14:paraId="69457D7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（2）凳框采用≥1.0mm厚的优质方钢管和优质冷轧钢板焊接而成，坚固耐用；</w:t>
            </w:r>
          </w:p>
          <w:p w14:paraId="542F73F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（3）采用钣金圆弧压边包边木面板工艺，造型独特，防止伤手，防护凳面；</w:t>
            </w:r>
          </w:p>
          <w:p w14:paraId="6DE2509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（4）凳框表面全自动脱脂、采用新技术新材料静电喷塑处理，防锈性能好，环保健康；</w:t>
            </w:r>
          </w:p>
          <w:p w14:paraId="7449005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（5）凳架采用黑色银粉工艺喷塑，整体效果非常有档次；</w:t>
            </w:r>
          </w:p>
          <w:p w14:paraId="04255DF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（6）凳面采用18mm厚的优质高密度复合板材，表面和边缘高温热压防火PVC，安全环保；</w:t>
            </w:r>
          </w:p>
          <w:p w14:paraId="541E5FD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（7）凳脚安装高分子树脂脚套，防滑耐磨损，保护地面。</w:t>
            </w:r>
          </w:p>
          <w:p w14:paraId="55FE27B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（8）耐干热：不低于3级；耐湿热：不低于3级；耐划痕：加载1.5N,表面无大于90%的连续划痕或表面花饰无破坏现象；耐磨性：表</w:t>
            </w:r>
            <w:r>
              <w:rPr>
                <w:rFonts w:hint="eastAsia" w:ascii="宋体" w:hAnsi="宋体" w:eastAsia="宋体" w:cs="宋体"/>
                <w:b w:val="0"/>
                <w:bCs w:val="0"/>
                <w:color w:val="auto"/>
                <w:sz w:val="24"/>
                <w:szCs w:val="24"/>
                <w:highlight w:val="none"/>
                <w:lang w:val="en-US" w:eastAsia="zh-CN"/>
              </w:rPr>
              <w:t>面磨350r后无露底现象；抗冲击：</w:t>
            </w:r>
            <w:r>
              <w:rPr>
                <w:rFonts w:hint="eastAsia" w:ascii="宋体" w:hAnsi="宋体" w:eastAsia="宋体" w:cs="宋体"/>
                <w:b w:val="0"/>
                <w:bCs w:val="0"/>
                <w:color w:val="auto"/>
                <w:sz w:val="24"/>
                <w:szCs w:val="24"/>
                <w:highlight w:val="none"/>
                <w:vertAlign w:val="baseline"/>
              </w:rPr>
              <w:t>冲击高度50mm，应不低于3级</w:t>
            </w:r>
            <w:r>
              <w:rPr>
                <w:rFonts w:hint="eastAsia" w:ascii="宋体" w:hAnsi="宋体" w:eastAsia="宋体" w:cs="宋体"/>
                <w:b w:val="0"/>
                <w:bCs w:val="0"/>
                <w:color w:val="auto"/>
                <w:sz w:val="24"/>
                <w:szCs w:val="24"/>
                <w:highlight w:val="none"/>
                <w:vertAlign w:val="baseline"/>
                <w:lang w:eastAsia="zh-CN"/>
              </w:rPr>
              <w:t>。（</w:t>
            </w:r>
            <w:r>
              <w:rPr>
                <w:rFonts w:hint="eastAsia" w:ascii="宋体" w:hAnsi="宋体" w:eastAsia="宋体" w:cs="宋体"/>
                <w:b w:val="0"/>
                <w:bCs w:val="0"/>
                <w:color w:val="auto"/>
                <w:sz w:val="24"/>
                <w:szCs w:val="24"/>
                <w:highlight w:val="none"/>
                <w:vertAlign w:val="baseline"/>
                <w:lang w:val="en-US" w:eastAsia="zh-CN"/>
              </w:rPr>
              <w:t>投标文件中需提供第三方检测机构出具的封面有“CMA”标识的检测报告原件的影印件或扫描件）</w:t>
            </w:r>
          </w:p>
          <w:p w14:paraId="262DDF2B">
            <w:pPr>
              <w:pStyle w:val="17"/>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12.智能化仪表综合管理平台</w:t>
            </w:r>
          </w:p>
          <w:p w14:paraId="753E4B3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（1）管理平台要求不限终端，支持电脑、平板、手机等。后台管理系统由多个页面功能，各页面类型及功能要求如下：</w:t>
            </w:r>
          </w:p>
          <w:p w14:paraId="2477646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1）“首页”页面：包含设备信息（总设备数量、总用户数量）、在线情况与通讯质量（饼状图）、短息服务、最近15天分类汇总，系统信息、登录信息。</w:t>
            </w:r>
          </w:p>
          <w:p w14:paraId="015546E7">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2）“系统基本设置”页面：包含厂家名称、手机APP开关阀允许、报警短信发送频率设置等。</w:t>
            </w:r>
          </w:p>
          <w:p w14:paraId="142B1AB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3）“授权配置”页面：包含名称、授权码、当前状态、接口请求次数、接口模式、数据同步模式、随机字符串、仪表型号、接口在线文档等。</w:t>
            </w:r>
          </w:p>
          <w:p w14:paraId="2E59466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4）“API请求记录”页面：包含操作ID、功能、请求地址、请求时间、调度截止时间、采集器号、表地址、通知地址、完成状态等。</w:t>
            </w:r>
          </w:p>
          <w:p w14:paraId="1965F6A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5）“订阅配置”页面：包含订阅状态、订阅地址、订阅事件类型、订阅数据类型、推送间隔、单次最大推送数量等；</w:t>
            </w:r>
          </w:p>
          <w:p w14:paraId="2AD839E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6）“订阅推送记录”页面：包含推送状态、推送地址、错误信息、推送用时、推送时间、更新时间等。</w:t>
            </w:r>
          </w:p>
          <w:p w14:paraId="72DD043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7）“用户管理”条目：包含个人信息（修改密码、登录名和密保、账号日志）、权限组管理、管理员等。</w:t>
            </w:r>
          </w:p>
          <w:p w14:paraId="57CAB98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8）“采集器和表设备”条目：包含采集器管理、表管理、添加采集、添加表等。</w:t>
            </w:r>
          </w:p>
          <w:p w14:paraId="55C4510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9）具有批量任务管理、数据和日志、报表查询等功能。</w:t>
            </w:r>
          </w:p>
          <w:p w14:paraId="322DF88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jc w:val="both"/>
              <w:textAlignment w:val="auto"/>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▲（2）投标文件要求提供管理平台相关页面截图，各截图须体现相关功能项内容。</w:t>
            </w:r>
          </w:p>
          <w:p w14:paraId="637B6694">
            <w:pPr>
              <w:pStyle w:val="17"/>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三、需满足以下实验项目</w:t>
            </w:r>
          </w:p>
          <w:p w14:paraId="101B165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1.模拟电路</w:t>
            </w:r>
          </w:p>
          <w:p w14:paraId="7A356BA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（1）晶体管共射极单管放大器</w:t>
            </w:r>
          </w:p>
          <w:p w14:paraId="6E71157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（2）场效应管放大器</w:t>
            </w:r>
          </w:p>
          <w:p w14:paraId="0351E1B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（3）射极跟随器</w:t>
            </w:r>
          </w:p>
          <w:p w14:paraId="774D98E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（4）负反馈放大电路</w:t>
            </w:r>
          </w:p>
          <w:p w14:paraId="76EEB05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（5）差动放大器</w:t>
            </w:r>
          </w:p>
          <w:p w14:paraId="3DEF671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（6）模拟运算电路</w:t>
            </w:r>
          </w:p>
          <w:p w14:paraId="2453092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（7）有源滤波器</w:t>
            </w:r>
          </w:p>
          <w:p w14:paraId="20937D5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（8）电压比较器</w:t>
            </w:r>
          </w:p>
          <w:p w14:paraId="553CD18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（9）波形发生器</w:t>
            </w:r>
          </w:p>
          <w:p w14:paraId="193E9D6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（10）RC正弦波振荡电路</w:t>
            </w:r>
          </w:p>
          <w:p w14:paraId="12295A3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（11）LC振荡电路</w:t>
            </w:r>
          </w:p>
          <w:p w14:paraId="577631F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（12）OCL 功率放大器</w:t>
            </w:r>
          </w:p>
          <w:p w14:paraId="6C66B51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（13）TDA2030集成功率放大器</w:t>
            </w:r>
          </w:p>
          <w:p w14:paraId="3B3E9C6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（14）丁类功率放大器</w:t>
            </w:r>
          </w:p>
          <w:p w14:paraId="6C0231D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（15）串联型晶体管稳压电源</w:t>
            </w:r>
          </w:p>
          <w:p w14:paraId="2B3F07E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（16）线性集成直流稳压电源</w:t>
            </w:r>
          </w:p>
          <w:p w14:paraId="2C2014F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（17）三端可调集成稳压电路</w:t>
            </w:r>
          </w:p>
          <w:p w14:paraId="65D244D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（18）晶闸管可控整流电路</w:t>
            </w:r>
          </w:p>
          <w:p w14:paraId="4EA6D90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（19）开关型稳压电路</w:t>
            </w:r>
          </w:p>
          <w:p w14:paraId="71E07F8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2.数字电路</w:t>
            </w:r>
          </w:p>
          <w:p w14:paraId="4C88B79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（1）晶体管开关特性、限幅器和钳位器</w:t>
            </w:r>
          </w:p>
          <w:p w14:paraId="33F8884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（2）TTL集成逻辑门电路特性参数测试</w:t>
            </w:r>
          </w:p>
          <w:p w14:paraId="6090025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（3）CMOS集成逻辑门电路特性参数测试</w:t>
            </w:r>
          </w:p>
          <w:p w14:paraId="0FB7F1C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（4）TTL集电极开路门与三态输出门的应用</w:t>
            </w:r>
          </w:p>
          <w:p w14:paraId="1EC2E4B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（5）组合逻辑电路的分析与设计</w:t>
            </w:r>
          </w:p>
          <w:p w14:paraId="35CC10C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（6）译码器及其应用</w:t>
            </w:r>
          </w:p>
          <w:p w14:paraId="0388628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（7）数据选择器及其应用</w:t>
            </w:r>
          </w:p>
          <w:p w14:paraId="70AC57C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（8）触发器及其应用</w:t>
            </w:r>
          </w:p>
          <w:p w14:paraId="1EB0D4C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（9）计数器及其应用</w:t>
            </w:r>
          </w:p>
          <w:p w14:paraId="00DE80A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（10）移位寄存器及其应用</w:t>
            </w:r>
          </w:p>
          <w:p w14:paraId="5148438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（11）脉冲分配器及其应用</w:t>
            </w:r>
          </w:p>
          <w:p w14:paraId="1EB1483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（12）单稳态触发器</w:t>
            </w:r>
          </w:p>
          <w:p w14:paraId="61DC41E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（13）多谐振荡器</w:t>
            </w:r>
          </w:p>
          <w:p w14:paraId="27FFF20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（14）占空比可调的多谐振荡器</w:t>
            </w:r>
          </w:p>
          <w:p w14:paraId="6EEC2E6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（15）占空比与频率均可调的多谐振荡器</w:t>
            </w:r>
          </w:p>
          <w:p w14:paraId="2D7B193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（16）施密特触发器</w:t>
            </w:r>
          </w:p>
        </w:tc>
        <w:tc>
          <w:tcPr>
            <w:tcW w:w="483" w:type="dxa"/>
            <w:noWrap w:val="0"/>
            <w:vAlign w:val="center"/>
          </w:tcPr>
          <w:p w14:paraId="2C0D415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20</w:t>
            </w:r>
          </w:p>
        </w:tc>
        <w:tc>
          <w:tcPr>
            <w:tcW w:w="500" w:type="dxa"/>
            <w:noWrap w:val="0"/>
            <w:vAlign w:val="center"/>
          </w:tcPr>
          <w:p w14:paraId="4064AF3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套</w:t>
            </w:r>
          </w:p>
        </w:tc>
      </w:tr>
      <w:tr w14:paraId="03A6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noWrap w:val="0"/>
            <w:vAlign w:val="center"/>
          </w:tcPr>
          <w:p w14:paraId="24B3B82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w:t>
            </w:r>
          </w:p>
        </w:tc>
        <w:tc>
          <w:tcPr>
            <w:tcW w:w="1325" w:type="dxa"/>
            <w:noWrap w:val="0"/>
            <w:vAlign w:val="center"/>
          </w:tcPr>
          <w:p w14:paraId="39492C57">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自动控制原理实训设备</w:t>
            </w:r>
          </w:p>
        </w:tc>
        <w:tc>
          <w:tcPr>
            <w:tcW w:w="6872" w:type="dxa"/>
            <w:noWrap w:val="0"/>
            <w:vAlign w:val="center"/>
          </w:tcPr>
          <w:p w14:paraId="4463027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一、设备总体要求</w:t>
            </w:r>
          </w:p>
          <w:p w14:paraId="4766615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1.实验平台整体采用模块化结构形式，电源和仪器仪表全部采用独立挂箱式结构，各实验模块任务明确，操作、维护简便，也方便学校根据自身的教学要求，选择不同的实验配置，易于后期扩展升级。</w:t>
            </w:r>
          </w:p>
          <w:p w14:paraId="0C88D79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2.各电路实验模块独立，采用磁吸式设计，模块采用一次成型的高强度塑料外壳，面板采用PCB制作而成，表面印有电气线路图，可根据实验内容和技能训练的需要，自由搭建实验线路。</w:t>
            </w:r>
          </w:p>
          <w:p w14:paraId="676FC7A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二、技术性能要求</w:t>
            </w:r>
          </w:p>
          <w:p w14:paraId="3383076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1.输入电源：单相三线AC220V±10% 50Hz</w:t>
            </w:r>
          </w:p>
          <w:p w14:paraId="15EB5AD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2.装置容量：≤0.5kVA</w:t>
            </w:r>
          </w:p>
          <w:p w14:paraId="33BA14F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3.外形尺寸：1380mm×720mm×1540mm（±10mm）</w:t>
            </w:r>
          </w:p>
          <w:p w14:paraId="5A9BCB3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4.安全保护：设备具有过流、短路、漏电等多种保护功能</w:t>
            </w:r>
          </w:p>
          <w:p w14:paraId="09A1C9C3">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三、基本配置要求</w:t>
            </w:r>
          </w:p>
          <w:p w14:paraId="7FAB3B8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1.实验桌</w:t>
            </w:r>
          </w:p>
          <w:p w14:paraId="639C955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桌子台面板采用E1级三聚氰胺复面合成板，台面厚度不低于25mm；主体采用四个截面≧70×70mm圆弧形工业铝型材立柱为支撑，立柱端部可安装调节脚；铝型材通过左、右各2个C字形铝压成型构件联接，C字型联接件嵌入厂家LOGO。桌面板下设支撑框架，截面尺寸为30x30mm，承受力不小于300Kg。</w:t>
            </w:r>
          </w:p>
          <w:p w14:paraId="64B5051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（2）实训模块区域分上下两层，框架由上中下左右五根工业铝型材组成，所有型材表面滑，无凹槽。台架侧面要求配置单相电源插座，用于外接仪器供电。</w:t>
            </w:r>
          </w:p>
          <w:p w14:paraId="6E354F0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可移动储物柜：采用圆弧卷边冷冲压钣金一体成型，封闭式结构，不少于4层储物抽屉，表面静电喷涂。储物柜外形尺寸≥宽450×深550×高705（mm），总重量≥31kg；柜体四边圆弧设计：R=30mm，配有承重型卡扣式三节轨，精准定位，导轨承重量≥30kg，抽屉把手采用卡套式钣金卷边工艺，推拉更便捷，配色层次分明，抽屉采用联体锁设计，操作方便；底部配有4个万向带刹车脚轮。柜内空间根据磁吸式模块尺寸1：1开孔定点存储，便于教师管理。</w:t>
            </w:r>
          </w:p>
          <w:p w14:paraId="51F281D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（4）编程控制系统：CPU：不低于I5；显示器尺寸：≥23英寸；内存：≥8GB；机械硬盘：≥1TB；</w:t>
            </w:r>
          </w:p>
          <w:p w14:paraId="2354FC8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2.实验挂件</w:t>
            </w:r>
          </w:p>
          <w:p w14:paraId="7765A06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实验挂件采用铁质双层亚光密纹喷塑机箱，两端设有把手，采用2mm铝质面板，具体配置如下：</w:t>
            </w:r>
          </w:p>
          <w:p w14:paraId="6E6F5BC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（1）电源模块1件：采用单相三线制电源输入，经过漏电保护器输出，并设有电源指示及过流保护装置；0~20mA恒流源，开路电压≥12VDC，输出电流连续可调，具有短路保护功能；直流电源：±5V/0.5A、±15V/0.5A 及+24V/1.0A 五路，每路均有短路保护自恢复功能；阶跃信号发生器：提供实验时的阶跃给定信号，其输出电压范围为-5～+5V，正负档连续可调，按钮按下时输出阶跃信号，弹开时关闭。</w:t>
            </w:r>
          </w:p>
          <w:p w14:paraId="15FAC3B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智能仪表1件：1）智能直流电压表1只：测量范围0～200V，测量精度0.5级；有超量程告警、指示及切断总电源功能；可存储和查询实训数据。尺寸91mm×44mm×96mm（±5%）；2）智能直流电流表1只：测量范围0～2A，测量精度0.5级；有超量程告警、指示及切断总电源功能；可存储和查询实训数据。尺寸不大于91mm×44mm×96mm（±5%）；3）智能交流电压表1只：测量范围0～200V，测量精度0.5级；有超量程告警、指示及切断总电源功能；可存储和查询实训数据。尺寸不大于91mm×44mm×96mm（±5%）；</w:t>
            </w:r>
          </w:p>
          <w:p w14:paraId="5B09D11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信号源、函数信号发生器1件：低频函数信号发生器：由单片集成函数信号发生器专用芯片及外围电路组合而成，主要输出有正弦信号、三角波信号、方波信号、斜坡信号和抛物线信号。输出频率分为F1~F4四档调节。其中正弦、方波、三角波信号的频率范围≤ 0.1Hz～≥10kHz，输出波形幅度≥13Vp-p ；斜波和抛物在F1档有输出，最大输出均接近10Vp-p ；低频频率计：由单片机 89C2051 和六位共阴极 LED 数码管设计而成的，具有输入阻抗大和灵敏度高的优点。本频率计的分辨率为0.01Hz，测频范围为0.1Hz～≥9999.99Hz，灵敏度≤500mVp-p测频精度0.25%。</w:t>
            </w:r>
          </w:p>
          <w:p w14:paraId="7E678D70">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（4）USB采集卡1件：1)信号发生部分：具有2路单端模拟量输出，更新速率1S/s-100KS/s，两通道独立，AO FIFO≥1024个数据点，输出阻抗≤200mΩ，压摆率0.7V/μs。输出正弦波、方波、斜波、抛物波等多种波形，幅度为-10V～+10V可调；2)信号采集部分：具有8路单端模拟量输入、4路差分模拟输入，转换精度为12bit，输入范围为-10V～+10V。最大总采样率100KSa/s，输入阻抗＞1GΩ，模拟带宽10KHz，转换类型为逐次比较性；3)具有一个计数器端口C（32bit）；4)DI通道≥6通道，具有电气隔离功能，隔离方式2500Vrms光耦隔离，所有端口支持反接保护，输入电压范围0-24V；5)DO通道≥6通道，具有电气隔离功能，隔离方式2500Vrms光耦隔离，输出方式为集电极上拉输出。</w:t>
            </w:r>
          </w:p>
          <w:p w14:paraId="63BD3F1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（5）实验模块磁吸底板1套：提供1套实验模块的磁吸平台。</w:t>
            </w:r>
          </w:p>
          <w:p w14:paraId="30BFA9B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3.磁吸实验模块（模块由透明盒及PCB板构成，盒体由透明有机工程塑料注塑而成，实验模块采用统一尺寸：120×200mm（±5mm），PCB板的顶层标有电器原理图，具有示教功能，使用者能够观察到元件形状和接线方式。模块集成4只磁吸立柱，与底板可实现快速拆装）</w:t>
            </w:r>
          </w:p>
          <w:p w14:paraId="21FEE8C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（1）控制理论实验模块</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1308"/>
              <w:gridCol w:w="3969"/>
              <w:gridCol w:w="791"/>
            </w:tblGrid>
            <w:tr w14:paraId="781C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1D2333E1">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序号</w:t>
                  </w:r>
                </w:p>
              </w:tc>
              <w:tc>
                <w:tcPr>
                  <w:tcW w:w="984" w:type="pct"/>
                  <w:noWrap w:val="0"/>
                  <w:vAlign w:val="center"/>
                </w:tcPr>
                <w:p w14:paraId="27DEFC5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名称</w:t>
                  </w:r>
                </w:p>
              </w:tc>
              <w:tc>
                <w:tcPr>
                  <w:tcW w:w="2986" w:type="pct"/>
                  <w:noWrap w:val="0"/>
                  <w:vAlign w:val="center"/>
                </w:tcPr>
                <w:p w14:paraId="6A58BB89">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技术参数及功能</w:t>
                  </w:r>
                </w:p>
              </w:tc>
              <w:tc>
                <w:tcPr>
                  <w:tcW w:w="595" w:type="pct"/>
                  <w:noWrap w:val="0"/>
                  <w:vAlign w:val="center"/>
                </w:tcPr>
                <w:p w14:paraId="78E10FB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数量</w:t>
                  </w:r>
                </w:p>
              </w:tc>
            </w:tr>
            <w:tr w14:paraId="53AF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648CE31A">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84" w:type="pct"/>
                  <w:noWrap w:val="0"/>
                  <w:vAlign w:val="center"/>
                </w:tcPr>
                <w:p w14:paraId="1156CD4D">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zh-CN"/>
                    </w:rPr>
                  </w:pPr>
                  <w:r>
                    <w:rPr>
                      <w:rFonts w:hint="eastAsia" w:ascii="宋体" w:hAnsi="宋体" w:eastAsia="宋体" w:cs="宋体"/>
                      <w:bCs/>
                      <w:color w:val="auto"/>
                      <w:spacing w:val="-2"/>
                      <w:sz w:val="24"/>
                      <w:szCs w:val="24"/>
                      <w:highlight w:val="none"/>
                    </w:rPr>
                    <w:t>典型环节的电路模拟</w:t>
                  </w:r>
                </w:p>
              </w:tc>
              <w:tc>
                <w:tcPr>
                  <w:tcW w:w="2986" w:type="pct"/>
                  <w:noWrap w:val="0"/>
                  <w:vAlign w:val="center"/>
                </w:tcPr>
                <w:p w14:paraId="0A060D3A">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0D305BE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27A0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593AD780">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84" w:type="pct"/>
                  <w:noWrap w:val="0"/>
                  <w:vAlign w:val="center"/>
                </w:tcPr>
                <w:p w14:paraId="58CC239E">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二阶和高阶系统时域分析</w:t>
                  </w:r>
                </w:p>
              </w:tc>
              <w:tc>
                <w:tcPr>
                  <w:tcW w:w="2986" w:type="pct"/>
                  <w:noWrap w:val="0"/>
                  <w:vAlign w:val="center"/>
                </w:tcPr>
                <w:p w14:paraId="3F185F9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185DDDD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0EE0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10D795AD">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84" w:type="pct"/>
                  <w:noWrap w:val="0"/>
                  <w:vAlign w:val="center"/>
                </w:tcPr>
                <w:p w14:paraId="3E441466">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线性定常系数的稳态误差</w:t>
                  </w:r>
                </w:p>
              </w:tc>
              <w:tc>
                <w:tcPr>
                  <w:tcW w:w="2986" w:type="pct"/>
                  <w:noWrap w:val="0"/>
                  <w:vAlign w:val="center"/>
                </w:tcPr>
                <w:p w14:paraId="53775595">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343DE7C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2250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12D31D39">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84" w:type="pct"/>
                  <w:noWrap w:val="0"/>
                  <w:vAlign w:val="center"/>
                </w:tcPr>
                <w:p w14:paraId="50C5288A">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线性系统的根轨迹分析</w:t>
                  </w:r>
                </w:p>
              </w:tc>
              <w:tc>
                <w:tcPr>
                  <w:tcW w:w="2986" w:type="pct"/>
                  <w:noWrap w:val="0"/>
                  <w:vAlign w:val="center"/>
                </w:tcPr>
                <w:p w14:paraId="47B131FF">
                  <w:pPr>
                    <w:keepNext w:val="0"/>
                    <w:keepLines w:val="0"/>
                    <w:pageBreakBefore w:val="0"/>
                    <w:widowControl w:val="0"/>
                    <w:kinsoku/>
                    <w:wordWrap w:val="0"/>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23702E35">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6B37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616059DA">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55B46976">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典型环节和系统的频率特性</w:t>
                  </w:r>
                </w:p>
              </w:tc>
              <w:tc>
                <w:tcPr>
                  <w:tcW w:w="2986" w:type="pct"/>
                  <w:noWrap w:val="0"/>
                  <w:vAlign w:val="center"/>
                </w:tcPr>
                <w:p w14:paraId="4A6FABF9">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69F505F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7C3D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0F00AB04">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764134C3">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线性定常系数的串联校正</w:t>
                  </w:r>
                </w:p>
              </w:tc>
              <w:tc>
                <w:tcPr>
                  <w:tcW w:w="2986" w:type="pct"/>
                  <w:noWrap w:val="0"/>
                  <w:vAlign w:val="center"/>
                </w:tcPr>
                <w:p w14:paraId="4810DD97">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2F453D1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0B578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15B33029">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25348E87">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典型非线性环节的静态特性</w:t>
                  </w:r>
                </w:p>
              </w:tc>
              <w:tc>
                <w:tcPr>
                  <w:tcW w:w="2986" w:type="pct"/>
                  <w:noWrap w:val="0"/>
                  <w:vAlign w:val="center"/>
                </w:tcPr>
                <w:p w14:paraId="0D2BAE53">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14FE276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7D2E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041B3445">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1F0D3F56">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非线性系统的描述函数发非线性系统的相平面分析法</w:t>
                  </w:r>
                </w:p>
              </w:tc>
              <w:tc>
                <w:tcPr>
                  <w:tcW w:w="2986" w:type="pct"/>
                  <w:noWrap w:val="0"/>
                  <w:vAlign w:val="center"/>
                </w:tcPr>
                <w:p w14:paraId="28D074E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21485D2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4BC5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7B97677F">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6523AB24">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控制系统极点的任意配置</w:t>
                  </w:r>
                </w:p>
              </w:tc>
              <w:tc>
                <w:tcPr>
                  <w:tcW w:w="2986" w:type="pct"/>
                  <w:noWrap w:val="0"/>
                  <w:vAlign w:val="center"/>
                </w:tcPr>
                <w:p w14:paraId="4EBECC3F">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3F1C259A">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74401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5CA0C9BA">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67FC1057">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具有内部模型的状态反馈控制系统</w:t>
                  </w:r>
                </w:p>
              </w:tc>
              <w:tc>
                <w:tcPr>
                  <w:tcW w:w="2986" w:type="pct"/>
                  <w:noWrap w:val="0"/>
                  <w:vAlign w:val="center"/>
                </w:tcPr>
                <w:p w14:paraId="7DBC6A17">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448D069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4DE0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5FA34898">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7CEE1D91">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状态观测器及其应用</w:t>
                  </w:r>
                </w:p>
              </w:tc>
              <w:tc>
                <w:tcPr>
                  <w:tcW w:w="2986" w:type="pct"/>
                  <w:noWrap w:val="0"/>
                  <w:vAlign w:val="center"/>
                </w:tcPr>
                <w:p w14:paraId="2B4E084E">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0E46B0BE">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r w14:paraId="5BAD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3" w:type="pct"/>
                  <w:noWrap w:val="0"/>
                  <w:vAlign w:val="center"/>
                </w:tcPr>
                <w:p w14:paraId="17707A6D">
                  <w:pPr>
                    <w:keepNext w:val="0"/>
                    <w:keepLines w:val="0"/>
                    <w:pageBreakBefore w:val="0"/>
                    <w:widowControl w:val="0"/>
                    <w:numPr>
                      <w:ilvl w:val="0"/>
                      <w:numId w:val="3"/>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84" w:type="pct"/>
                  <w:noWrap w:val="0"/>
                  <w:vAlign w:val="center"/>
                </w:tcPr>
                <w:p w14:paraId="430E0AD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离散控制系统的分析</w:t>
                  </w:r>
                </w:p>
              </w:tc>
              <w:tc>
                <w:tcPr>
                  <w:tcW w:w="2986" w:type="pct"/>
                  <w:noWrap w:val="0"/>
                  <w:vAlign w:val="center"/>
                </w:tcPr>
                <w:p w14:paraId="1DD0B05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595" w:type="pct"/>
                  <w:noWrap w:val="0"/>
                  <w:vAlign w:val="center"/>
                </w:tcPr>
                <w:p w14:paraId="5B720465">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bl>
          <w:p w14:paraId="2E04C66E">
            <w:pPr>
              <w:keepNext w:val="0"/>
              <w:keepLines w:val="0"/>
              <w:pageBreakBefore w:val="0"/>
              <w:numPr>
                <w:ilvl w:val="0"/>
                <w:numId w:val="0"/>
              </w:numPr>
              <w:kinsoku/>
              <w:overflowPunct/>
              <w:topLinePunct w:val="0"/>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rPr>
              <w:t>计算机控制技术实验模块</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
              <w:gridCol w:w="1220"/>
              <w:gridCol w:w="3839"/>
              <w:gridCol w:w="1004"/>
            </w:tblGrid>
            <w:tr w14:paraId="10EA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6F69AFB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序号</w:t>
                  </w:r>
                </w:p>
              </w:tc>
              <w:tc>
                <w:tcPr>
                  <w:tcW w:w="918" w:type="pct"/>
                  <w:noWrap w:val="0"/>
                  <w:vAlign w:val="center"/>
                </w:tcPr>
                <w:p w14:paraId="5AF3EB2E">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名称</w:t>
                  </w:r>
                </w:p>
              </w:tc>
              <w:tc>
                <w:tcPr>
                  <w:tcW w:w="2888" w:type="pct"/>
                  <w:noWrap w:val="0"/>
                  <w:vAlign w:val="center"/>
                </w:tcPr>
                <w:p w14:paraId="6285AD5A">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技术参数及功能</w:t>
                  </w:r>
                </w:p>
              </w:tc>
              <w:tc>
                <w:tcPr>
                  <w:tcW w:w="755" w:type="pct"/>
                  <w:noWrap w:val="0"/>
                  <w:vAlign w:val="center"/>
                </w:tcPr>
                <w:p w14:paraId="66751C85">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数量</w:t>
                  </w:r>
                </w:p>
              </w:tc>
            </w:tr>
            <w:tr w14:paraId="0275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519C2696">
                  <w:pPr>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18" w:type="pct"/>
                  <w:noWrap w:val="0"/>
                  <w:vAlign w:val="center"/>
                </w:tcPr>
                <w:p w14:paraId="009B53E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zh-CN"/>
                    </w:rPr>
                  </w:pPr>
                  <w:r>
                    <w:rPr>
                      <w:rFonts w:hint="eastAsia" w:ascii="宋体" w:hAnsi="宋体" w:eastAsia="宋体" w:cs="宋体"/>
                      <w:bCs/>
                      <w:color w:val="auto"/>
                      <w:spacing w:val="-2"/>
                      <w:sz w:val="24"/>
                      <w:szCs w:val="24"/>
                      <w:highlight w:val="none"/>
                    </w:rPr>
                    <w:t>微控制器模块</w:t>
                  </w:r>
                </w:p>
              </w:tc>
              <w:tc>
                <w:tcPr>
                  <w:tcW w:w="2888" w:type="pct"/>
                  <w:noWrap w:val="0"/>
                  <w:vAlign w:val="center"/>
                </w:tcPr>
                <w:p w14:paraId="2B4D0974">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使用单片机</w:t>
                  </w:r>
                  <w:r>
                    <w:rPr>
                      <w:rFonts w:hint="eastAsia" w:ascii="宋体" w:hAnsi="宋体" w:eastAsia="宋体" w:cs="宋体"/>
                      <w:color w:val="auto"/>
                      <w:kern w:val="0"/>
                      <w:sz w:val="24"/>
                      <w:szCs w:val="24"/>
                      <w:highlight w:val="none"/>
                      <w:lang w:val="en-US" w:eastAsia="zh-CN"/>
                    </w:rPr>
                    <w:t>进行控制</w:t>
                  </w:r>
                  <w:r>
                    <w:rPr>
                      <w:rFonts w:hint="eastAsia" w:ascii="宋体" w:hAnsi="宋体" w:eastAsia="宋体" w:cs="宋体"/>
                      <w:color w:val="auto"/>
                      <w:kern w:val="0"/>
                      <w:sz w:val="24"/>
                      <w:szCs w:val="24"/>
                      <w:highlight w:val="none"/>
                    </w:rPr>
                    <w:t>，可在线编程；具有2路A/D和2路D/A转换功能，转换精度12位，输入输出电压范围-10V～+10V；具有10个DIO端口，其中包括2个外</w:t>
                  </w:r>
                  <w:r>
                    <w:rPr>
                      <w:rFonts w:hint="eastAsia" w:ascii="宋体" w:hAnsi="宋体" w:eastAsia="宋体" w:cs="宋体"/>
                      <w:color w:val="auto"/>
                      <w:kern w:val="0"/>
                      <w:sz w:val="24"/>
                      <w:szCs w:val="24"/>
                      <w:highlight w:val="none"/>
                      <w:lang w:val="en-US" w:eastAsia="zh-CN"/>
                    </w:rPr>
                    <w:t>部</w:t>
                  </w:r>
                  <w:r>
                    <w:rPr>
                      <w:rFonts w:hint="eastAsia" w:ascii="宋体" w:hAnsi="宋体" w:eastAsia="宋体" w:cs="宋体"/>
                      <w:color w:val="auto"/>
                      <w:kern w:val="0"/>
                      <w:sz w:val="24"/>
                      <w:szCs w:val="24"/>
                      <w:highlight w:val="none"/>
                    </w:rPr>
                    <w:t>中断端口。</w:t>
                  </w:r>
                </w:p>
              </w:tc>
              <w:tc>
                <w:tcPr>
                  <w:tcW w:w="755" w:type="pct"/>
                  <w:noWrap w:val="0"/>
                  <w:vAlign w:val="center"/>
                </w:tcPr>
                <w:p w14:paraId="73230907">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70E67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0C520705">
                  <w:pPr>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18" w:type="pct"/>
                  <w:noWrap w:val="0"/>
                  <w:vAlign w:val="center"/>
                </w:tcPr>
                <w:p w14:paraId="16C384B5">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计算机控制基础实验模块</w:t>
                  </w:r>
                </w:p>
              </w:tc>
              <w:tc>
                <w:tcPr>
                  <w:tcW w:w="2888" w:type="pct"/>
                  <w:noWrap w:val="0"/>
                  <w:vAlign w:val="center"/>
                </w:tcPr>
                <w:p w14:paraId="47D739A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755" w:type="pct"/>
                  <w:noWrap w:val="0"/>
                  <w:vAlign w:val="center"/>
                </w:tcPr>
                <w:p w14:paraId="194DE53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268E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3F8E5B96">
                  <w:pPr>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18" w:type="pct"/>
                  <w:noWrap w:val="0"/>
                  <w:vAlign w:val="center"/>
                </w:tcPr>
                <w:p w14:paraId="58C7B26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解耦控制算法研究</w:t>
                  </w:r>
                </w:p>
              </w:tc>
              <w:tc>
                <w:tcPr>
                  <w:tcW w:w="2888" w:type="pct"/>
                  <w:noWrap w:val="0"/>
                  <w:vAlign w:val="center"/>
                </w:tcPr>
                <w:p w14:paraId="14168DCD">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755" w:type="pct"/>
                  <w:noWrap w:val="0"/>
                  <w:vAlign w:val="center"/>
                </w:tcPr>
                <w:p w14:paraId="375FAC4C">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5CF6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5B139632">
                  <w:pPr>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918" w:type="pct"/>
                  <w:noWrap w:val="0"/>
                  <w:vAlign w:val="center"/>
                </w:tcPr>
                <w:p w14:paraId="3D931372">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模糊控制系统</w:t>
                  </w:r>
                </w:p>
              </w:tc>
              <w:tc>
                <w:tcPr>
                  <w:tcW w:w="2888" w:type="pct"/>
                  <w:noWrap w:val="0"/>
                  <w:vAlign w:val="center"/>
                </w:tcPr>
                <w:p w14:paraId="4EC3558F">
                  <w:pPr>
                    <w:keepNext w:val="0"/>
                    <w:keepLines w:val="0"/>
                    <w:pageBreakBefore w:val="0"/>
                    <w:widowControl w:val="0"/>
                    <w:kinsoku/>
                    <w:wordWrap w:val="0"/>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755" w:type="pct"/>
                  <w:noWrap w:val="0"/>
                  <w:vAlign w:val="center"/>
                </w:tcPr>
                <w:p w14:paraId="31EF6028">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54DD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7" w:type="pct"/>
                  <w:noWrap w:val="0"/>
                  <w:vAlign w:val="center"/>
                </w:tcPr>
                <w:p w14:paraId="2D04C365">
                  <w:pPr>
                    <w:keepNext w:val="0"/>
                    <w:keepLines w:val="0"/>
                    <w:pageBreakBefore w:val="0"/>
                    <w:widowControl w:val="0"/>
                    <w:numPr>
                      <w:ilvl w:val="0"/>
                      <w:numId w:val="4"/>
                    </w:numPr>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p>
              </w:tc>
              <w:tc>
                <w:tcPr>
                  <w:tcW w:w="918" w:type="pct"/>
                  <w:noWrap w:val="0"/>
                  <w:vAlign w:val="center"/>
                </w:tcPr>
                <w:p w14:paraId="0AFA2E6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单神经元控制系统</w:t>
                  </w:r>
                </w:p>
              </w:tc>
              <w:tc>
                <w:tcPr>
                  <w:tcW w:w="2888" w:type="pct"/>
                  <w:noWrap w:val="0"/>
                  <w:vAlign w:val="center"/>
                </w:tcPr>
                <w:p w14:paraId="46F513AB">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en-US" w:eastAsia="zh-CN"/>
                    </w:rPr>
                  </w:pPr>
                  <w:r>
                    <w:rPr>
                      <w:rFonts w:hint="eastAsia" w:ascii="宋体" w:hAnsi="宋体" w:eastAsia="宋体" w:cs="宋体"/>
                      <w:color w:val="auto"/>
                      <w:kern w:val="0"/>
                      <w:sz w:val="24"/>
                      <w:szCs w:val="24"/>
                      <w:highlight w:val="none"/>
                      <w:lang w:val="en-US" w:eastAsia="zh-CN"/>
                    </w:rPr>
                    <w:t>手动、</w:t>
                  </w:r>
                  <w:r>
                    <w:rPr>
                      <w:rFonts w:hint="eastAsia" w:ascii="宋体" w:hAnsi="宋体" w:eastAsia="宋体" w:cs="宋体"/>
                      <w:color w:val="auto"/>
                      <w:kern w:val="0"/>
                      <w:sz w:val="24"/>
                      <w:szCs w:val="24"/>
                      <w:highlight w:val="none"/>
                    </w:rPr>
                    <w:t>自动锁零电路；</w:t>
                  </w:r>
                  <w:r>
                    <w:rPr>
                      <w:rFonts w:hint="eastAsia" w:ascii="宋体" w:hAnsi="宋体" w:eastAsia="宋体" w:cs="宋体"/>
                      <w:color w:val="auto"/>
                      <w:kern w:val="0"/>
                      <w:sz w:val="24"/>
                      <w:szCs w:val="24"/>
                      <w:highlight w:val="none"/>
                      <w:lang w:val="en-US" w:eastAsia="zh-CN"/>
                    </w:rPr>
                    <w:t>专用</w:t>
                  </w:r>
                  <w:r>
                    <w:rPr>
                      <w:rFonts w:hint="eastAsia" w:ascii="宋体" w:hAnsi="宋体" w:eastAsia="宋体" w:cs="宋体"/>
                      <w:bCs/>
                      <w:color w:val="auto"/>
                      <w:spacing w:val="-2"/>
                      <w:sz w:val="24"/>
                      <w:szCs w:val="24"/>
                      <w:highlight w:val="none"/>
                    </w:rPr>
                    <w:t>单元电路主要由运放、电容、电阻、电位器</w:t>
                  </w:r>
                  <w:r>
                    <w:rPr>
                      <w:rFonts w:hint="eastAsia" w:ascii="宋体" w:hAnsi="宋体" w:eastAsia="宋体" w:cs="宋体"/>
                      <w:bCs/>
                      <w:color w:val="auto"/>
                      <w:spacing w:val="-2"/>
                      <w:sz w:val="24"/>
                      <w:szCs w:val="24"/>
                      <w:highlight w:val="none"/>
                      <w:lang w:val="en-US" w:eastAsia="zh-CN"/>
                    </w:rPr>
                    <w:t>等组成</w:t>
                  </w:r>
                  <w:r>
                    <w:rPr>
                      <w:rFonts w:hint="eastAsia" w:ascii="宋体" w:hAnsi="宋体" w:eastAsia="宋体" w:cs="宋体"/>
                      <w:bCs/>
                      <w:color w:val="auto"/>
                      <w:spacing w:val="-2"/>
                      <w:sz w:val="24"/>
                      <w:szCs w:val="24"/>
                      <w:highlight w:val="none"/>
                    </w:rPr>
                    <w:t>。</w:t>
                  </w:r>
                </w:p>
              </w:tc>
              <w:tc>
                <w:tcPr>
                  <w:tcW w:w="755" w:type="pct"/>
                  <w:noWrap w:val="0"/>
                  <w:vAlign w:val="center"/>
                </w:tcPr>
                <w:p w14:paraId="2CB8AD40">
                  <w:pPr>
                    <w:keepNext w:val="0"/>
                    <w:keepLines w:val="0"/>
                    <w:pageBreakBefore w:val="0"/>
                    <w:widowControl w:val="0"/>
                    <w:kinsoku/>
                    <w:wordWrap w:val="0"/>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1件</w:t>
                  </w:r>
                </w:p>
              </w:tc>
            </w:tr>
          </w:tbl>
          <w:p w14:paraId="19D897E0">
            <w:pPr>
              <w:keepNext w:val="0"/>
              <w:keepLines w:val="0"/>
              <w:pageBreakBefore w:val="0"/>
              <w:numPr>
                <w:ilvl w:val="0"/>
                <w:numId w:val="0"/>
              </w:numPr>
              <w:kinsoku/>
              <w:overflowPunct/>
              <w:topLinePunct w:val="0"/>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计算机控制系统应用实验</w:t>
            </w:r>
          </w:p>
          <w:tbl>
            <w:tblPr>
              <w:tblStyle w:val="4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901"/>
              <w:gridCol w:w="4155"/>
              <w:gridCol w:w="992"/>
            </w:tblGrid>
            <w:tr w14:paraId="0A0A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9" w:type="pct"/>
                  <w:noWrap w:val="0"/>
                  <w:vAlign w:val="center"/>
                </w:tcPr>
                <w:p w14:paraId="4612596B">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序号</w:t>
                  </w:r>
                </w:p>
              </w:tc>
              <w:tc>
                <w:tcPr>
                  <w:tcW w:w="678" w:type="pct"/>
                  <w:noWrap w:val="0"/>
                  <w:vAlign w:val="center"/>
                </w:tcPr>
                <w:p w14:paraId="5ECE4BC0">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名称</w:t>
                  </w:r>
                </w:p>
              </w:tc>
              <w:tc>
                <w:tcPr>
                  <w:tcW w:w="3125" w:type="pct"/>
                  <w:noWrap w:val="0"/>
                  <w:vAlign w:val="center"/>
                </w:tcPr>
                <w:p w14:paraId="6FACB832">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技术参数及功能</w:t>
                  </w:r>
                </w:p>
              </w:tc>
              <w:tc>
                <w:tcPr>
                  <w:tcW w:w="746" w:type="pct"/>
                  <w:noWrap w:val="0"/>
                  <w:vAlign w:val="center"/>
                </w:tcPr>
                <w:p w14:paraId="5C516A41">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数量</w:t>
                  </w:r>
                </w:p>
              </w:tc>
            </w:tr>
            <w:tr w14:paraId="27567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9" w:type="pct"/>
                  <w:noWrap w:val="0"/>
                  <w:vAlign w:val="center"/>
                </w:tcPr>
                <w:p w14:paraId="78ADB4E1">
                  <w:pPr>
                    <w:keepNext w:val="0"/>
                    <w:keepLines w:val="0"/>
                    <w:pageBreakBefore w:val="0"/>
                    <w:widowControl w:val="0"/>
                    <w:numPr>
                      <w:ilvl w:val="0"/>
                      <w:numId w:val="5"/>
                    </w:numPr>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678" w:type="pct"/>
                  <w:noWrap w:val="0"/>
                  <w:vAlign w:val="center"/>
                </w:tcPr>
                <w:p w14:paraId="719535FB">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lang w:val="zh-CN"/>
                    </w:rPr>
                  </w:pPr>
                  <w:r>
                    <w:rPr>
                      <w:rFonts w:hint="eastAsia" w:ascii="宋体" w:hAnsi="宋体" w:eastAsia="宋体" w:cs="宋体"/>
                      <w:bCs/>
                      <w:color w:val="auto"/>
                      <w:spacing w:val="-2"/>
                      <w:sz w:val="24"/>
                      <w:szCs w:val="24"/>
                      <w:highlight w:val="none"/>
                    </w:rPr>
                    <w:t>单闭环直流调速系统</w:t>
                  </w:r>
                </w:p>
              </w:tc>
              <w:tc>
                <w:tcPr>
                  <w:tcW w:w="3125" w:type="pct"/>
                  <w:noWrap w:val="0"/>
                  <w:vAlign w:val="center"/>
                </w:tcPr>
                <w:p w14:paraId="7FD607A0">
                  <w:pPr>
                    <w:pStyle w:val="100"/>
                    <w:keepNext w:val="0"/>
                    <w:keepLines w:val="0"/>
                    <w:pageBreakBefore w:val="0"/>
                    <w:widowControl w:val="0"/>
                    <w:kinsoku/>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(1)直流电机：供电电源DC24V，电流0.2A。直流电机配套有转动源转盘和转动源霍尔元件固定架用于转速检测。</w:t>
                  </w:r>
                </w:p>
                <w:p w14:paraId="61AC890C">
                  <w:pPr>
                    <w:pStyle w:val="230"/>
                    <w:keepNext w:val="0"/>
                    <w:keepLines w:val="0"/>
                    <w:pageBreakBefore w:val="0"/>
                    <w:widowControl w:val="0"/>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(2)电路主要采用SG3525芯片，具有功率放大功能，输入0～5V，输出0～24V，可配合实现转速控制。</w:t>
                  </w:r>
                </w:p>
                <w:p w14:paraId="37646EA5">
                  <w:pPr>
                    <w:pStyle w:val="230"/>
                    <w:keepNext w:val="0"/>
                    <w:keepLines w:val="0"/>
                    <w:pageBreakBefore w:val="0"/>
                    <w:widowControl w:val="0"/>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（3）转动盘上有6个磁铁，转动一圈输出6个脉冲，对应的频率÷6就是转速（r/s）。</w:t>
                  </w:r>
                </w:p>
                <w:p w14:paraId="638378A1">
                  <w:pPr>
                    <w:pStyle w:val="230"/>
                    <w:keepNext w:val="0"/>
                    <w:keepLines w:val="0"/>
                    <w:pageBreakBefore w:val="0"/>
                    <w:widowControl w:val="0"/>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(4)配套的上位机显示页面，能精确显示实时的控制曲线，显示实时的转速（r/s）。</w:t>
                  </w:r>
                </w:p>
              </w:tc>
              <w:tc>
                <w:tcPr>
                  <w:tcW w:w="746" w:type="pct"/>
                  <w:noWrap w:val="0"/>
                  <w:vAlign w:val="center"/>
                </w:tcPr>
                <w:p w14:paraId="138C160F">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3208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449" w:type="pct"/>
                  <w:noWrap w:val="0"/>
                  <w:vAlign w:val="center"/>
                </w:tcPr>
                <w:p w14:paraId="2C74CFDF">
                  <w:pPr>
                    <w:keepNext w:val="0"/>
                    <w:keepLines w:val="0"/>
                    <w:pageBreakBefore w:val="0"/>
                    <w:widowControl w:val="0"/>
                    <w:numPr>
                      <w:ilvl w:val="0"/>
                      <w:numId w:val="5"/>
                    </w:numPr>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678" w:type="pct"/>
                  <w:noWrap w:val="0"/>
                  <w:vAlign w:val="center"/>
                </w:tcPr>
                <w:p w14:paraId="23AF9C33">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步进电机控制系统</w:t>
                  </w:r>
                </w:p>
              </w:tc>
              <w:tc>
                <w:tcPr>
                  <w:tcW w:w="3125" w:type="pct"/>
                  <w:noWrap w:val="0"/>
                  <w:vAlign w:val="center"/>
                </w:tcPr>
                <w:p w14:paraId="2E0C1870">
                  <w:pPr>
                    <w:pStyle w:val="230"/>
                    <w:keepNext w:val="0"/>
                    <w:keepLines w:val="0"/>
                    <w:pageBreakBefore w:val="0"/>
                    <w:widowControl w:val="0"/>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(1)四相步进电机，步数48，步距角为7.5°，供电电源≤6.5V，采用ULN2003APG步进电机驱动芯片。有步进电机控制输入接口、刻度盘及指针，有LED灯指示输入电平状态。</w:t>
                  </w:r>
                </w:p>
                <w:p w14:paraId="79DFDC15">
                  <w:pPr>
                    <w:pStyle w:val="230"/>
                    <w:keepNext w:val="0"/>
                    <w:keepLines w:val="0"/>
                    <w:pageBreakBefore w:val="0"/>
                    <w:widowControl w:val="0"/>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(2)配套的上位机控制页面，控制模式有四相八拍、四相四拍，控制正、反转，控制步长可设置，单位ms。</w:t>
                  </w:r>
                </w:p>
              </w:tc>
              <w:tc>
                <w:tcPr>
                  <w:tcW w:w="746" w:type="pct"/>
                  <w:noWrap w:val="0"/>
                  <w:vAlign w:val="center"/>
                </w:tcPr>
                <w:p w14:paraId="7B5456A3">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r w14:paraId="1226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49" w:type="pct"/>
                  <w:noWrap w:val="0"/>
                  <w:vAlign w:val="center"/>
                </w:tcPr>
                <w:p w14:paraId="5941F995">
                  <w:pPr>
                    <w:keepNext w:val="0"/>
                    <w:keepLines w:val="0"/>
                    <w:pageBreakBefore w:val="0"/>
                    <w:widowControl w:val="0"/>
                    <w:numPr>
                      <w:ilvl w:val="0"/>
                      <w:numId w:val="5"/>
                    </w:numPr>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p>
              </w:tc>
              <w:tc>
                <w:tcPr>
                  <w:tcW w:w="678" w:type="pct"/>
                  <w:noWrap w:val="0"/>
                  <w:vAlign w:val="center"/>
                </w:tcPr>
                <w:p w14:paraId="59B21656">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textAlignment w:val="auto"/>
                    <w:outlineLvl w:val="9"/>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单闭环温度控制系统</w:t>
                  </w:r>
                </w:p>
              </w:tc>
              <w:tc>
                <w:tcPr>
                  <w:tcW w:w="3125" w:type="pct"/>
                  <w:noWrap w:val="0"/>
                  <w:vAlign w:val="center"/>
                </w:tcPr>
                <w:p w14:paraId="6031AA10">
                  <w:pPr>
                    <w:pStyle w:val="100"/>
                    <w:keepNext w:val="0"/>
                    <w:keepLines w:val="0"/>
                    <w:pageBreakBefore w:val="0"/>
                    <w:widowControl w:val="0"/>
                    <w:kinsoku/>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(1)温度传感器：PT100或其他材料的热电阻，测温范围-20℃～200℃ ,允许偏差B级，自带加热器，加热温度室温～100℃。温度变送器输出0～5V对应加热器温度为0～100℃</w:t>
                  </w:r>
                </w:p>
                <w:p w14:paraId="06935FF5">
                  <w:pPr>
                    <w:keepNext w:val="0"/>
                    <w:keepLines w:val="0"/>
                    <w:pageBreakBefore w:val="0"/>
                    <w:widowControl w:val="0"/>
                    <w:numPr>
                      <w:ilvl w:val="0"/>
                      <w:numId w:val="0"/>
                    </w:numPr>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(2)电路主要采用SG3525芯片，具有功率放大功能，输入0～5V，输出0～24V，可配合实现温度控制。</w:t>
                  </w:r>
                </w:p>
                <w:p w14:paraId="7F29C8AF">
                  <w:pPr>
                    <w:keepNext w:val="0"/>
                    <w:keepLines w:val="0"/>
                    <w:pageBreakBefore w:val="0"/>
                    <w:widowControl w:val="0"/>
                    <w:numPr>
                      <w:ilvl w:val="0"/>
                      <w:numId w:val="0"/>
                    </w:numPr>
                    <w:kinsoku/>
                    <w:overflowPunct/>
                    <w:topLinePunct w:val="0"/>
                    <w:bidi w:val="0"/>
                    <w:adjustRightInd w:val="0"/>
                    <w:snapToGrid w:val="0"/>
                    <w:spacing w:line="240" w:lineRule="auto"/>
                    <w:ind w:leftChars="0" w:firstLine="0" w:firstLineChars="0"/>
                    <w:jc w:val="both"/>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(3)配套的上位机显示页面，能精确显示实时的温度控制曲线，显示实时的温度（℃）。</w:t>
                  </w:r>
                </w:p>
              </w:tc>
              <w:tc>
                <w:tcPr>
                  <w:tcW w:w="746" w:type="pct"/>
                  <w:noWrap w:val="0"/>
                  <w:vAlign w:val="center"/>
                </w:tcPr>
                <w:p w14:paraId="5A20AF54">
                  <w:pPr>
                    <w:keepNext w:val="0"/>
                    <w:keepLines w:val="0"/>
                    <w:pageBreakBefore w:val="0"/>
                    <w:widowControl w:val="0"/>
                    <w:kinsoku/>
                    <w:overflowPunct/>
                    <w:topLinePunct w:val="0"/>
                    <w:autoSpaceDE w:val="0"/>
                    <w:autoSpaceDN w:val="0"/>
                    <w:bidi w:val="0"/>
                    <w:adjustRightInd w:val="0"/>
                    <w:snapToGrid w:val="0"/>
                    <w:spacing w:line="240" w:lineRule="auto"/>
                    <w:ind w:leftChars="0" w:firstLine="0" w:firstLineChars="0"/>
                    <w:jc w:val="center"/>
                    <w:textAlignment w:val="auto"/>
                    <w:outlineLvl w:val="9"/>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1件</w:t>
                  </w:r>
                </w:p>
              </w:tc>
            </w:tr>
          </w:tbl>
          <w:p w14:paraId="5A38404D">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4.上位机软件：</w:t>
            </w:r>
          </w:p>
          <w:p w14:paraId="2C637406">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（1）具有实验功能全、资源丰富、使用灵活、操作便捷、维护简单等优点。连上采集卡时“采集卡连接状态”指示灯闪烁状态，表示连接正常。</w:t>
            </w:r>
          </w:p>
          <w:p w14:paraId="7C3C3D3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该软件由LabVIEW编写，有16个控制理论实验界面、12个计算机控制实验界面和5个对象实验界面。软件中集成了虚拟示波器、信号发生器、Bode图、Nyquist图等多种功能。通过该软件，可以由数据采集卡输出阶跃信号(电平电压)、方波、正弦波、余弦波、斜波、抛物波、三角波、锯齿波。</w:t>
            </w:r>
          </w:p>
          <w:p w14:paraId="4B515CE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虚拟示波器默认显示两通道的波形，最多能同时显示4通道波形，可通过光标测量波形的时间和幅度，时间单位是“s”，幅度的单位是“V”。具有波形缩放功能，可选择x轴方向缩放、y轴方向缩放、xy轴方向缩放等。还可以通过鼠标的滚轮对显示的波形沿y轴位移。</w:t>
            </w:r>
          </w:p>
          <w:p w14:paraId="0195801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（4）实验电路窗口有对应实验的原理图，显示典型的电阻、电容值，计算的理论参考值等。</w:t>
            </w:r>
          </w:p>
          <w:p w14:paraId="17B56DD8">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（5）锁零选择“自动模式”时，由上位机软件控制锁零功能,锁零输出通道默认是通道5，也可以设置为另外的通道；锁零电平可以设置为高电平锁零或低电平锁零。</w:t>
            </w:r>
          </w:p>
          <w:p w14:paraId="130A1C4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6）还具有保存图片、生成实验报告、打印等功能，实验图片保存功能。保存图片类型为bmp格式；有生成实验报告功能，报告的格式是.doc格式，实验报告的名称和实验项目的名称一致，报告的内容包含日期信息，学员信息可以输入专业、姓名、学号等，报告包含当前实验的波形图片等。</w:t>
            </w:r>
          </w:p>
          <w:p w14:paraId="2B526F8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5.实验配件</w:t>
            </w:r>
          </w:p>
          <w:p w14:paraId="11D2AEB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提供实验指导书及实验导线，实验导线采用高可靠护套结构手枪插连接线（不存在任何触电的可能），里面采用无氧铜抽丝而成头发丝般细的多股线，达到超软目的，外包丁晴聚氯乙烯绝缘层，插头采用实芯铜质件外套铍轻铜弹片，接触优良。</w:t>
            </w:r>
          </w:p>
          <w:p w14:paraId="6ACFDC8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b/>
                <w:bCs w:val="0"/>
                <w:color w:val="auto"/>
                <w:sz w:val="24"/>
                <w:szCs w:val="24"/>
                <w:highlight w:val="none"/>
                <w:vertAlign w:val="baseline"/>
                <w:lang w:val="en-US" w:eastAsia="zh-CN"/>
              </w:rPr>
              <w:t>6.实验室设备助教管控系统，为便于管理和使用方便，要求以下模块功能全部集成在一个系统平台，不能为多系统拼凑而成（整个实验室配1套）</w:t>
            </w:r>
          </w:p>
          <w:p w14:paraId="0DF14AE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（1)支持查看仪器设备列表，数据类型不少于8种，至少包含设备名称、设备图片、设备状态、设备编号、操作员、规格型号、单位、设备种类。</w:t>
            </w:r>
          </w:p>
          <w:p w14:paraId="29BA6DD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支持仪器设备的预约，支持预约列表的查看，数据类型不少于7种，至少包含设备名称、设备图片、设备状态、设备编号、预约时间、预约理由、规格型号。支持对用户提交的预约申请进行操作，至少包含通过申请和拒绝申请两种操作类型；</w:t>
            </w:r>
          </w:p>
          <w:p w14:paraId="0D52B87A">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（3)支持查看设备维修列表，数据类型不少于8种，至少包含设备名称、设备图片、设备状态、设备编号、维修人、规格型号、维修工时、维修原因。支持对维修设备进行操作，至少包含完成维修的操作。</w:t>
            </w:r>
          </w:p>
          <w:p w14:paraId="72DC013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（4)支持查看厂家列表，数据类型不少于4种，至少包含厂家名称、链接、联系方式、地址等数据。</w:t>
            </w:r>
          </w:p>
          <w:p w14:paraId="5850B06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（5)微信小程序端不少于4个子项目，至少包含设备列表、设备预约、设备维修、设备报废。支持设备列表查看、预约列表查看、维修列表查看、报废列表查看；</w:t>
            </w:r>
          </w:p>
          <w:p w14:paraId="62D7F9EA">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（6）微信小程序支持查看实训室列表，数据类型不少于四种，至少包含实训中心名称、实训室名称、创建时间、使用状态。支持实训室的预约，支持对实训室下实训台多选的方式实现批量预约。</w:t>
            </w:r>
          </w:p>
          <w:p w14:paraId="1D34AEB6">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（7）考试设置模块支持查看实训室列表，数据类型不少于四种，至少包含实训中心名称、实训室名称、创建时间、考试状态。支持对实训室开始考试或结束考试。</w:t>
            </w:r>
          </w:p>
          <w:p w14:paraId="5C11258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8）考试设置模块融入智能AI技术，支持考试信息录入，至少包含考试名称、持续时间、语音提醒等信息的录入；考题管理包含题目类型、难度等级、归属题库、题目内容、题目解析等功能；AI一键出题，输入学科、知识点和技能的关键字，设置出题的数量，即可一键导入到题库。</w:t>
            </w:r>
          </w:p>
          <w:p w14:paraId="244E5946">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【（1）-（8）条款要求投标文件提供平台运行截图的证明】</w:t>
            </w:r>
          </w:p>
          <w:p w14:paraId="7830865A">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四、需满足以下实验项目</w:t>
            </w:r>
          </w:p>
          <w:p w14:paraId="0C40DAE3">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"_Toc436233454"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自控原理实验</w:t>
            </w:r>
            <w:r>
              <w:rPr>
                <w:rFonts w:hint="eastAsia" w:ascii="宋体" w:hAnsi="宋体" w:eastAsia="宋体" w:cs="宋体"/>
                <w:b w:val="0"/>
                <w:bCs/>
                <w:color w:val="auto"/>
                <w:sz w:val="24"/>
                <w:szCs w:val="24"/>
                <w:highlight w:val="none"/>
                <w:lang w:val="en-US" w:eastAsia="zh-CN"/>
              </w:rPr>
              <w:fldChar w:fldCharType="end"/>
            </w:r>
          </w:p>
          <w:p w14:paraId="59E0748E">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"_Toc436233456"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典型环节的电路模拟</w:t>
            </w:r>
            <w:r>
              <w:rPr>
                <w:rFonts w:hint="eastAsia" w:ascii="宋体" w:hAnsi="宋体" w:eastAsia="宋体" w:cs="宋体"/>
                <w:b w:val="0"/>
                <w:bCs/>
                <w:color w:val="auto"/>
                <w:sz w:val="24"/>
                <w:szCs w:val="24"/>
                <w:highlight w:val="none"/>
                <w:lang w:val="en-US" w:eastAsia="zh-CN"/>
              </w:rPr>
              <w:fldChar w:fldCharType="end"/>
            </w:r>
          </w:p>
          <w:p w14:paraId="27E8C1CC">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"_Toc436233457"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二阶系统的瞬态响应</w:t>
            </w:r>
            <w:r>
              <w:rPr>
                <w:rFonts w:hint="eastAsia" w:ascii="宋体" w:hAnsi="宋体" w:eastAsia="宋体" w:cs="宋体"/>
                <w:b w:val="0"/>
                <w:bCs/>
                <w:color w:val="auto"/>
                <w:sz w:val="24"/>
                <w:szCs w:val="24"/>
                <w:highlight w:val="none"/>
                <w:lang w:val="en-US" w:eastAsia="zh-CN"/>
              </w:rPr>
              <w:fldChar w:fldCharType="end"/>
            </w:r>
          </w:p>
          <w:p w14:paraId="12B7BE2C">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（3）高阶系统的瞬态响应和稳定性分析</w:t>
            </w:r>
          </w:p>
          <w:p w14:paraId="38179456">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（4）线性定常系统的稳态误差</w:t>
            </w:r>
          </w:p>
          <w:p w14:paraId="36194ED9">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（5）线性系统的根轨迹分析</w:t>
            </w:r>
          </w:p>
          <w:p w14:paraId="7A88FD79">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（6）典型环节和系统频率特性的</w:t>
            </w:r>
            <w:bookmarkStart w:id="70" w:name="_Hlt450160618"/>
            <w:r>
              <w:rPr>
                <w:rFonts w:hint="eastAsia" w:ascii="宋体" w:hAnsi="宋体" w:eastAsia="宋体" w:cs="宋体"/>
                <w:b w:val="0"/>
                <w:bCs/>
                <w:color w:val="auto"/>
                <w:sz w:val="24"/>
                <w:szCs w:val="24"/>
                <w:highlight w:val="none"/>
                <w:lang w:val="en-US" w:eastAsia="zh-CN"/>
              </w:rPr>
              <w:t>测</w:t>
            </w:r>
            <w:bookmarkEnd w:id="70"/>
            <w:r>
              <w:rPr>
                <w:rFonts w:hint="eastAsia" w:ascii="宋体" w:hAnsi="宋体" w:eastAsia="宋体" w:cs="宋体"/>
                <w:b w:val="0"/>
                <w:bCs/>
                <w:color w:val="auto"/>
                <w:sz w:val="24"/>
                <w:szCs w:val="24"/>
                <w:highlight w:val="none"/>
                <w:lang w:val="en-US" w:eastAsia="zh-CN"/>
              </w:rPr>
              <w:t>量</w:t>
            </w:r>
          </w:p>
          <w:p w14:paraId="554105A5">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"_Toc436233462"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线性定常系统的串联校正</w:t>
            </w:r>
            <w:r>
              <w:rPr>
                <w:rFonts w:hint="eastAsia" w:ascii="宋体" w:hAnsi="宋体" w:eastAsia="宋体" w:cs="宋体"/>
                <w:b w:val="0"/>
                <w:bCs/>
                <w:color w:val="auto"/>
                <w:sz w:val="24"/>
                <w:szCs w:val="24"/>
                <w:highlight w:val="none"/>
                <w:lang w:val="en-US" w:eastAsia="zh-CN"/>
              </w:rPr>
              <w:fldChar w:fldCharType="end"/>
            </w:r>
          </w:p>
          <w:p w14:paraId="5D78B13F">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"_Toc436233463"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典型非线性环</w:t>
            </w:r>
            <w:bookmarkStart w:id="71" w:name="_Hlt451527338"/>
            <w:r>
              <w:rPr>
                <w:rFonts w:hint="eastAsia" w:ascii="宋体" w:hAnsi="宋体" w:eastAsia="宋体" w:cs="宋体"/>
                <w:b w:val="0"/>
                <w:bCs/>
                <w:color w:val="auto"/>
                <w:sz w:val="24"/>
                <w:szCs w:val="24"/>
                <w:highlight w:val="none"/>
                <w:lang w:val="en-US" w:eastAsia="zh-CN"/>
              </w:rPr>
              <w:t>节</w:t>
            </w:r>
            <w:bookmarkEnd w:id="71"/>
            <w:r>
              <w:rPr>
                <w:rFonts w:hint="eastAsia" w:ascii="宋体" w:hAnsi="宋体" w:eastAsia="宋体" w:cs="宋体"/>
                <w:b w:val="0"/>
                <w:bCs/>
                <w:color w:val="auto"/>
                <w:sz w:val="24"/>
                <w:szCs w:val="24"/>
                <w:highlight w:val="none"/>
                <w:lang w:val="en-US" w:eastAsia="zh-CN"/>
              </w:rPr>
              <w:t>的静态特性</w:t>
            </w:r>
            <w:r>
              <w:rPr>
                <w:rFonts w:hint="eastAsia" w:ascii="宋体" w:hAnsi="宋体" w:eastAsia="宋体" w:cs="宋体"/>
                <w:b w:val="0"/>
                <w:bCs/>
                <w:color w:val="auto"/>
                <w:sz w:val="24"/>
                <w:szCs w:val="24"/>
                <w:highlight w:val="none"/>
                <w:lang w:val="en-US" w:eastAsia="zh-CN"/>
              </w:rPr>
              <w:fldChar w:fldCharType="end"/>
            </w:r>
          </w:p>
          <w:p w14:paraId="42E92020">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（9）</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"_Toc436233464"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非线性系统的描述函数法</w:t>
            </w:r>
            <w:r>
              <w:rPr>
                <w:rFonts w:hint="eastAsia" w:ascii="宋体" w:hAnsi="宋体" w:eastAsia="宋体" w:cs="宋体"/>
                <w:b w:val="0"/>
                <w:bCs/>
                <w:color w:val="auto"/>
                <w:sz w:val="24"/>
                <w:szCs w:val="24"/>
                <w:highlight w:val="none"/>
                <w:lang w:val="en-US" w:eastAsia="zh-CN"/>
              </w:rPr>
              <w:fldChar w:fldCharType="end"/>
            </w:r>
          </w:p>
          <w:p w14:paraId="738BBDC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（10）用相平面法分析</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"_Toc436233465"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非线性系统</w:t>
            </w:r>
            <w:r>
              <w:rPr>
                <w:rFonts w:hint="eastAsia" w:ascii="宋体" w:hAnsi="宋体" w:eastAsia="宋体" w:cs="宋体"/>
                <w:b w:val="0"/>
                <w:bCs/>
                <w:color w:val="auto"/>
                <w:sz w:val="24"/>
                <w:szCs w:val="24"/>
                <w:highlight w:val="none"/>
                <w:lang w:val="en-US" w:eastAsia="zh-CN"/>
              </w:rPr>
              <w:fldChar w:fldCharType="end"/>
            </w:r>
          </w:p>
          <w:p w14:paraId="7A06304F">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"_Toc436233466"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系统能控性与能观性分析</w:t>
            </w:r>
            <w:r>
              <w:rPr>
                <w:rFonts w:hint="eastAsia" w:ascii="宋体" w:hAnsi="宋体" w:eastAsia="宋体" w:cs="宋体"/>
                <w:b w:val="0"/>
                <w:bCs/>
                <w:color w:val="auto"/>
                <w:sz w:val="24"/>
                <w:szCs w:val="24"/>
                <w:highlight w:val="none"/>
                <w:lang w:val="en-US" w:eastAsia="zh-CN"/>
              </w:rPr>
              <w:fldChar w:fldCharType="end"/>
            </w:r>
          </w:p>
          <w:p w14:paraId="535088E8">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"_Toc436233467"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控制系</w:t>
            </w:r>
            <w:bookmarkStart w:id="72" w:name="_Hlt452395247"/>
            <w:bookmarkStart w:id="73" w:name="_Hlt452376504"/>
            <w:bookmarkStart w:id="74" w:name="_Hlt452376503"/>
            <w:bookmarkStart w:id="75" w:name="_Hlt452395246"/>
            <w:r>
              <w:rPr>
                <w:rFonts w:hint="eastAsia" w:ascii="宋体" w:hAnsi="宋体" w:eastAsia="宋体" w:cs="宋体"/>
                <w:b w:val="0"/>
                <w:bCs/>
                <w:color w:val="auto"/>
                <w:sz w:val="24"/>
                <w:szCs w:val="24"/>
                <w:highlight w:val="none"/>
                <w:lang w:val="en-US" w:eastAsia="zh-CN"/>
              </w:rPr>
              <w:t>统</w:t>
            </w:r>
            <w:bookmarkEnd w:id="72"/>
            <w:bookmarkEnd w:id="73"/>
            <w:bookmarkEnd w:id="74"/>
            <w:bookmarkEnd w:id="75"/>
            <w:r>
              <w:rPr>
                <w:rFonts w:hint="eastAsia" w:ascii="宋体" w:hAnsi="宋体" w:eastAsia="宋体" w:cs="宋体"/>
                <w:b w:val="0"/>
                <w:bCs/>
                <w:color w:val="auto"/>
                <w:sz w:val="24"/>
                <w:szCs w:val="24"/>
                <w:highlight w:val="none"/>
                <w:lang w:val="en-US" w:eastAsia="zh-CN"/>
              </w:rPr>
              <w:t>极点的任意配置</w:t>
            </w:r>
            <w:r>
              <w:rPr>
                <w:rFonts w:hint="eastAsia" w:ascii="宋体" w:hAnsi="宋体" w:eastAsia="宋体" w:cs="宋体"/>
                <w:b w:val="0"/>
                <w:bCs/>
                <w:color w:val="auto"/>
                <w:sz w:val="24"/>
                <w:szCs w:val="24"/>
                <w:highlight w:val="none"/>
                <w:lang w:val="en-US" w:eastAsia="zh-CN"/>
              </w:rPr>
              <w:fldChar w:fldCharType="end"/>
            </w:r>
          </w:p>
          <w:p w14:paraId="6567CD2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（13）</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"_Toc436233468"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具有内部模型的状态反馈控制系统</w:t>
            </w:r>
            <w:r>
              <w:rPr>
                <w:rFonts w:hint="eastAsia" w:ascii="宋体" w:hAnsi="宋体" w:eastAsia="宋体" w:cs="宋体"/>
                <w:b w:val="0"/>
                <w:bCs/>
                <w:color w:val="auto"/>
                <w:sz w:val="24"/>
                <w:szCs w:val="24"/>
                <w:highlight w:val="none"/>
                <w:lang w:val="en-US" w:eastAsia="zh-CN"/>
              </w:rPr>
              <w:fldChar w:fldCharType="end"/>
            </w:r>
          </w:p>
          <w:p w14:paraId="160BBA0A">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（14）</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"_Toc436233469"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状态观测器及其应用</w:t>
            </w:r>
            <w:r>
              <w:rPr>
                <w:rFonts w:hint="eastAsia" w:ascii="宋体" w:hAnsi="宋体" w:eastAsia="宋体" w:cs="宋体"/>
                <w:b w:val="0"/>
                <w:bCs/>
                <w:color w:val="auto"/>
                <w:sz w:val="24"/>
                <w:szCs w:val="24"/>
                <w:highlight w:val="none"/>
                <w:lang w:val="en-US" w:eastAsia="zh-CN"/>
              </w:rPr>
              <w:fldChar w:fldCharType="end"/>
            </w:r>
          </w:p>
          <w:p w14:paraId="7C28A21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（15）采样控制系统</w:t>
            </w:r>
            <w:bookmarkStart w:id="76" w:name="_Hlt450160635"/>
            <w:r>
              <w:rPr>
                <w:rFonts w:hint="eastAsia" w:ascii="宋体" w:hAnsi="宋体" w:eastAsia="宋体" w:cs="宋体"/>
                <w:b w:val="0"/>
                <w:bCs/>
                <w:color w:val="auto"/>
                <w:sz w:val="24"/>
                <w:szCs w:val="24"/>
                <w:highlight w:val="none"/>
                <w:lang w:val="en-US" w:eastAsia="zh-CN"/>
              </w:rPr>
              <w:t>的</w:t>
            </w:r>
            <w:bookmarkEnd w:id="76"/>
            <w:r>
              <w:rPr>
                <w:rFonts w:hint="eastAsia" w:ascii="宋体" w:hAnsi="宋体" w:eastAsia="宋体" w:cs="宋体"/>
                <w:b w:val="0"/>
                <w:bCs/>
                <w:color w:val="auto"/>
                <w:sz w:val="24"/>
                <w:szCs w:val="24"/>
                <w:highlight w:val="none"/>
                <w:lang w:val="en-US" w:eastAsia="zh-CN"/>
              </w:rPr>
              <w:t>分析</w:t>
            </w:r>
          </w:p>
          <w:p w14:paraId="153A5EA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（16）</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"_Toc436233471"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采样控制系统的动态校正</w:t>
            </w:r>
            <w:r>
              <w:rPr>
                <w:rFonts w:hint="eastAsia" w:ascii="宋体" w:hAnsi="宋体" w:eastAsia="宋体" w:cs="宋体"/>
                <w:b w:val="0"/>
                <w:bCs/>
                <w:color w:val="auto"/>
                <w:sz w:val="24"/>
                <w:szCs w:val="24"/>
                <w:highlight w:val="none"/>
                <w:lang w:val="en-US" w:eastAsia="zh-CN"/>
              </w:rPr>
              <w:fldChar w:fldCharType="end"/>
            </w:r>
          </w:p>
          <w:p w14:paraId="2C298E4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"_Toc436233472"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计算机控制技术基础实验</w:t>
            </w:r>
            <w:r>
              <w:rPr>
                <w:rFonts w:hint="eastAsia" w:ascii="宋体" w:hAnsi="宋体" w:eastAsia="宋体" w:cs="宋体"/>
                <w:b w:val="0"/>
                <w:bCs/>
                <w:color w:val="auto"/>
                <w:sz w:val="24"/>
                <w:szCs w:val="24"/>
                <w:highlight w:val="none"/>
                <w:lang w:val="en-US" w:eastAsia="zh-CN"/>
              </w:rPr>
              <w:fldChar w:fldCharType="end"/>
            </w:r>
          </w:p>
          <w:p w14:paraId="784E4C84">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（1）A/D与D/A转换</w:t>
            </w:r>
          </w:p>
          <w:p w14:paraId="359AEEBC">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"_Toc436233474"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数字滤波器</w:t>
            </w:r>
            <w:r>
              <w:rPr>
                <w:rFonts w:hint="eastAsia" w:ascii="宋体" w:hAnsi="宋体" w:eastAsia="宋体" w:cs="宋体"/>
                <w:b w:val="0"/>
                <w:bCs/>
                <w:color w:val="auto"/>
                <w:sz w:val="24"/>
                <w:szCs w:val="24"/>
                <w:highlight w:val="none"/>
                <w:lang w:val="en-US" w:eastAsia="zh-CN"/>
              </w:rPr>
              <w:fldChar w:fldCharType="end"/>
            </w:r>
          </w:p>
          <w:p w14:paraId="24300FD5">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"_Toc436233475"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离散化方法研究</w:t>
            </w:r>
            <w:r>
              <w:rPr>
                <w:rFonts w:hint="eastAsia" w:ascii="宋体" w:hAnsi="宋体" w:eastAsia="宋体" w:cs="宋体"/>
                <w:b w:val="0"/>
                <w:bCs/>
                <w:color w:val="auto"/>
                <w:sz w:val="24"/>
                <w:szCs w:val="24"/>
                <w:highlight w:val="none"/>
                <w:lang w:val="en-US" w:eastAsia="zh-CN"/>
              </w:rPr>
              <w:fldChar w:fldCharType="end"/>
            </w:r>
          </w:p>
          <w:p w14:paraId="73795DA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"_Toc436233476"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数字PID调节器算法的研究</w:t>
            </w:r>
            <w:r>
              <w:rPr>
                <w:rFonts w:hint="eastAsia" w:ascii="宋体" w:hAnsi="宋体" w:eastAsia="宋体" w:cs="宋体"/>
                <w:b w:val="0"/>
                <w:bCs/>
                <w:color w:val="auto"/>
                <w:sz w:val="24"/>
                <w:szCs w:val="24"/>
                <w:highlight w:val="none"/>
                <w:lang w:val="en-US" w:eastAsia="zh-CN"/>
              </w:rPr>
              <w:tab/>
            </w:r>
            <w:r>
              <w:rPr>
                <w:rFonts w:hint="eastAsia" w:ascii="宋体" w:hAnsi="宋体" w:eastAsia="宋体" w:cs="宋体"/>
                <w:b w:val="0"/>
                <w:bCs/>
                <w:color w:val="auto"/>
                <w:sz w:val="24"/>
                <w:szCs w:val="24"/>
                <w:highlight w:val="none"/>
                <w:lang w:val="en-US" w:eastAsia="zh-CN"/>
              </w:rPr>
              <w:fldChar w:fldCharType="end"/>
            </w:r>
          </w:p>
          <w:p w14:paraId="3B5D74E7">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"_Toc436233477"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串级控制算</w:t>
            </w:r>
            <w:bookmarkStart w:id="77" w:name="_Hlt452649898"/>
            <w:bookmarkStart w:id="78" w:name="_Hlt452649897"/>
            <w:r>
              <w:rPr>
                <w:rFonts w:hint="eastAsia" w:ascii="宋体" w:hAnsi="宋体" w:eastAsia="宋体" w:cs="宋体"/>
                <w:b w:val="0"/>
                <w:bCs/>
                <w:color w:val="auto"/>
                <w:sz w:val="24"/>
                <w:szCs w:val="24"/>
                <w:highlight w:val="none"/>
                <w:lang w:val="en-US" w:eastAsia="zh-CN"/>
              </w:rPr>
              <w:t>法</w:t>
            </w:r>
            <w:bookmarkEnd w:id="77"/>
            <w:bookmarkEnd w:id="78"/>
            <w:r>
              <w:rPr>
                <w:rFonts w:hint="eastAsia" w:ascii="宋体" w:hAnsi="宋体" w:eastAsia="宋体" w:cs="宋体"/>
                <w:b w:val="0"/>
                <w:bCs/>
                <w:color w:val="auto"/>
                <w:sz w:val="24"/>
                <w:szCs w:val="24"/>
                <w:highlight w:val="none"/>
                <w:lang w:val="en-US" w:eastAsia="zh-CN"/>
              </w:rPr>
              <w:t>的研究</w:t>
            </w:r>
            <w:r>
              <w:rPr>
                <w:rFonts w:hint="eastAsia" w:ascii="宋体" w:hAnsi="宋体" w:eastAsia="宋体" w:cs="宋体"/>
                <w:b w:val="0"/>
                <w:bCs/>
                <w:color w:val="auto"/>
                <w:sz w:val="24"/>
                <w:szCs w:val="24"/>
                <w:highlight w:val="none"/>
                <w:lang w:val="en-US" w:eastAsia="zh-CN"/>
              </w:rPr>
              <w:fldChar w:fldCharType="end"/>
            </w:r>
          </w:p>
          <w:p w14:paraId="0E4F6B67">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"_Toc436233478"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解耦控制算法的研究</w:t>
            </w:r>
            <w:r>
              <w:rPr>
                <w:rFonts w:hint="eastAsia" w:ascii="宋体" w:hAnsi="宋体" w:eastAsia="宋体" w:cs="宋体"/>
                <w:b w:val="0"/>
                <w:bCs/>
                <w:color w:val="auto"/>
                <w:sz w:val="24"/>
                <w:szCs w:val="24"/>
                <w:highlight w:val="none"/>
                <w:lang w:val="en-US" w:eastAsia="zh-CN"/>
              </w:rPr>
              <w:fldChar w:fldCharType="end"/>
            </w:r>
          </w:p>
          <w:p w14:paraId="6DBA6167">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"_Toc436233479"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最少拍控制算法研究</w:t>
            </w:r>
            <w:r>
              <w:rPr>
                <w:rFonts w:hint="eastAsia" w:ascii="宋体" w:hAnsi="宋体" w:eastAsia="宋体" w:cs="宋体"/>
                <w:b w:val="0"/>
                <w:bCs/>
                <w:color w:val="auto"/>
                <w:sz w:val="24"/>
                <w:szCs w:val="24"/>
                <w:highlight w:val="none"/>
                <w:lang w:val="en-US" w:eastAsia="zh-CN"/>
              </w:rPr>
              <w:fldChar w:fldCharType="end"/>
            </w:r>
          </w:p>
          <w:p w14:paraId="0346A9A5">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"_Toc436233480"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具有纯滞后系统的大林控制</w:t>
            </w:r>
            <w:r>
              <w:rPr>
                <w:rFonts w:hint="eastAsia" w:ascii="宋体" w:hAnsi="宋体" w:eastAsia="宋体" w:cs="宋体"/>
                <w:b w:val="0"/>
                <w:bCs/>
                <w:color w:val="auto"/>
                <w:sz w:val="24"/>
                <w:szCs w:val="24"/>
                <w:highlight w:val="none"/>
                <w:lang w:val="en-US" w:eastAsia="zh-CN"/>
              </w:rPr>
              <w:fldChar w:fldCharType="end"/>
            </w:r>
          </w:p>
          <w:p w14:paraId="74997BEB">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（9）</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"_Toc436233481"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线性离散系统的全状态反馈控制</w:t>
            </w:r>
            <w:r>
              <w:rPr>
                <w:rFonts w:hint="eastAsia" w:ascii="宋体" w:hAnsi="宋体" w:eastAsia="宋体" w:cs="宋体"/>
                <w:b w:val="0"/>
                <w:bCs/>
                <w:color w:val="auto"/>
                <w:sz w:val="24"/>
                <w:szCs w:val="24"/>
                <w:highlight w:val="none"/>
                <w:lang w:val="en-US" w:eastAsia="zh-CN"/>
              </w:rPr>
              <w:fldChar w:fldCharType="end"/>
            </w:r>
          </w:p>
          <w:p w14:paraId="5F4C857B">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"_Toc436233482"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模糊控制系统</w:t>
            </w:r>
            <w:r>
              <w:rPr>
                <w:rFonts w:hint="eastAsia" w:ascii="宋体" w:hAnsi="宋体" w:eastAsia="宋体" w:cs="宋体"/>
                <w:b w:val="0"/>
                <w:bCs/>
                <w:color w:val="auto"/>
                <w:sz w:val="24"/>
                <w:szCs w:val="24"/>
                <w:highlight w:val="none"/>
                <w:lang w:val="en-US" w:eastAsia="zh-CN"/>
              </w:rPr>
              <w:fldChar w:fldCharType="end"/>
            </w:r>
          </w:p>
          <w:p w14:paraId="3AC59BE3">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"_Toc436233483"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具有单神经元控制器的控制系统</w:t>
            </w:r>
            <w:r>
              <w:rPr>
                <w:rFonts w:hint="eastAsia" w:ascii="宋体" w:hAnsi="宋体" w:eastAsia="宋体" w:cs="宋体"/>
                <w:b w:val="0"/>
                <w:bCs/>
                <w:color w:val="auto"/>
                <w:sz w:val="24"/>
                <w:szCs w:val="24"/>
                <w:highlight w:val="none"/>
                <w:lang w:val="en-US" w:eastAsia="zh-CN"/>
              </w:rPr>
              <w:fldChar w:fldCharType="end"/>
            </w:r>
          </w:p>
          <w:p w14:paraId="5267EC98">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"_Toc436233484"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二次型状态调节器</w:t>
            </w:r>
            <w:r>
              <w:rPr>
                <w:rFonts w:hint="eastAsia" w:ascii="宋体" w:hAnsi="宋体" w:eastAsia="宋体" w:cs="宋体"/>
                <w:b w:val="0"/>
                <w:bCs/>
                <w:color w:val="auto"/>
                <w:sz w:val="24"/>
                <w:szCs w:val="24"/>
                <w:highlight w:val="none"/>
                <w:lang w:val="en-US" w:eastAsia="zh-CN"/>
              </w:rPr>
              <w:fldChar w:fldCharType="end"/>
            </w:r>
          </w:p>
          <w:p w14:paraId="3F39BE90">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3.计算机控制系统应用实验</w:t>
            </w:r>
          </w:p>
          <w:p w14:paraId="49825F99">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"_Toc436233485"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单闭环直流调速系统</w:t>
            </w:r>
            <w:r>
              <w:rPr>
                <w:rFonts w:hint="eastAsia" w:ascii="宋体" w:hAnsi="宋体" w:eastAsia="宋体" w:cs="宋体"/>
                <w:b w:val="0"/>
                <w:bCs/>
                <w:color w:val="auto"/>
                <w:sz w:val="24"/>
                <w:szCs w:val="24"/>
                <w:highlight w:val="none"/>
                <w:lang w:val="en-US" w:eastAsia="zh-CN"/>
              </w:rPr>
              <w:fldChar w:fldCharType="end"/>
            </w:r>
          </w:p>
          <w:p w14:paraId="10624902">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"_Toc436233486"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步进电机转速控制系统</w:t>
            </w:r>
            <w:r>
              <w:rPr>
                <w:rFonts w:hint="eastAsia" w:ascii="宋体" w:hAnsi="宋体" w:eastAsia="宋体" w:cs="宋体"/>
                <w:b w:val="0"/>
                <w:bCs/>
                <w:color w:val="auto"/>
                <w:sz w:val="24"/>
                <w:szCs w:val="24"/>
                <w:highlight w:val="none"/>
                <w:lang w:val="en-US" w:eastAsia="zh-CN"/>
              </w:rPr>
              <w:fldChar w:fldCharType="end"/>
            </w:r>
          </w:p>
          <w:p w14:paraId="5C7DC7EB">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fldChar w:fldCharType="begin"/>
            </w:r>
            <w:r>
              <w:rPr>
                <w:rFonts w:hint="eastAsia" w:ascii="宋体" w:hAnsi="宋体" w:eastAsia="宋体" w:cs="宋体"/>
                <w:b w:val="0"/>
                <w:bCs/>
                <w:color w:val="auto"/>
                <w:sz w:val="24"/>
                <w:szCs w:val="24"/>
                <w:highlight w:val="none"/>
                <w:lang w:val="en-US" w:eastAsia="zh-CN"/>
              </w:rPr>
              <w:instrText xml:space="preserve"> HYPERLINK \l "_Toc436233487" </w:instrText>
            </w:r>
            <w:r>
              <w:rPr>
                <w:rFonts w:hint="eastAsia" w:ascii="宋体" w:hAnsi="宋体" w:eastAsia="宋体" w:cs="宋体"/>
                <w:b w:val="0"/>
                <w:bCs/>
                <w:color w:val="auto"/>
                <w:sz w:val="24"/>
                <w:szCs w:val="24"/>
                <w:highlight w:val="none"/>
                <w:lang w:val="en-US" w:eastAsia="zh-CN"/>
              </w:rPr>
              <w:fldChar w:fldCharType="separate"/>
            </w:r>
            <w:r>
              <w:rPr>
                <w:rFonts w:hint="eastAsia" w:ascii="宋体" w:hAnsi="宋体" w:eastAsia="宋体" w:cs="宋体"/>
                <w:b w:val="0"/>
                <w:bCs/>
                <w:color w:val="auto"/>
                <w:sz w:val="24"/>
                <w:szCs w:val="24"/>
                <w:highlight w:val="none"/>
                <w:lang w:val="en-US" w:eastAsia="zh-CN"/>
              </w:rPr>
              <w:t>单闭环温度恒值控制系统</w:t>
            </w:r>
            <w:r>
              <w:rPr>
                <w:rFonts w:hint="eastAsia" w:ascii="宋体" w:hAnsi="宋体" w:eastAsia="宋体" w:cs="宋体"/>
                <w:b w:val="0"/>
                <w:bCs/>
                <w:color w:val="auto"/>
                <w:sz w:val="24"/>
                <w:szCs w:val="24"/>
                <w:highlight w:val="none"/>
                <w:lang w:val="en-US" w:eastAsia="zh-CN"/>
              </w:rPr>
              <w:fldChar w:fldCharType="end"/>
            </w:r>
          </w:p>
          <w:p w14:paraId="49F9F1D7">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4.基于MATLAB的仿真实验</w:t>
            </w:r>
          </w:p>
          <w:p w14:paraId="36AA156C">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（1）线性连续控制系统的仿真</w:t>
            </w:r>
          </w:p>
          <w:p w14:paraId="36722179">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（2）根轨迹的仿真</w:t>
            </w:r>
          </w:p>
          <w:p w14:paraId="41DCB499">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（3）线性系统频率响应的仿真</w:t>
            </w:r>
          </w:p>
          <w:p w14:paraId="541D7703">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（4）采样控制系统的仿真</w:t>
            </w:r>
          </w:p>
          <w:p w14:paraId="17B99B9F">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（5）串联校正的仿真</w:t>
            </w:r>
          </w:p>
          <w:p w14:paraId="26E597BE">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（6）非线性连续控制系统的仿真</w:t>
            </w:r>
          </w:p>
          <w:p w14:paraId="5FD4AF56">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（7）基于状态方程式的时间响应测试</w:t>
            </w:r>
          </w:p>
          <w:p w14:paraId="2C62ECA8">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（8）控制系统极点的任意配置</w:t>
            </w:r>
          </w:p>
          <w:p w14:paraId="5E6DE5FE">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（9）状态观测器设计及带观测器的闭环系响应测试</w:t>
            </w:r>
          </w:p>
          <w:p w14:paraId="5D992DE6">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lang w:val="en-US" w:eastAsia="zh-CN"/>
              </w:rPr>
              <w:t>（10）多变量解耦控制</w:t>
            </w:r>
          </w:p>
        </w:tc>
        <w:tc>
          <w:tcPr>
            <w:tcW w:w="483" w:type="dxa"/>
            <w:noWrap w:val="0"/>
            <w:vAlign w:val="center"/>
          </w:tcPr>
          <w:p w14:paraId="44B63034">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w:t>
            </w:r>
          </w:p>
        </w:tc>
        <w:tc>
          <w:tcPr>
            <w:tcW w:w="500" w:type="dxa"/>
            <w:noWrap w:val="0"/>
            <w:vAlign w:val="center"/>
          </w:tcPr>
          <w:p w14:paraId="6648D72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套</w:t>
            </w:r>
          </w:p>
        </w:tc>
      </w:tr>
      <w:tr w14:paraId="537F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noWrap w:val="0"/>
            <w:vAlign w:val="center"/>
          </w:tcPr>
          <w:p w14:paraId="7884FFEC">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w:t>
            </w:r>
          </w:p>
        </w:tc>
        <w:tc>
          <w:tcPr>
            <w:tcW w:w="1325" w:type="dxa"/>
            <w:noWrap w:val="0"/>
            <w:vAlign w:val="center"/>
          </w:tcPr>
          <w:p w14:paraId="244C884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电力电子与调速综合实训平台</w:t>
            </w:r>
          </w:p>
        </w:tc>
        <w:tc>
          <w:tcPr>
            <w:tcW w:w="6872" w:type="dxa"/>
            <w:noWrap w:val="0"/>
            <w:vAlign w:val="center"/>
          </w:tcPr>
          <w:p w14:paraId="62CCDE7D">
            <w:pPr>
              <w:pStyle w:val="17"/>
              <w:keepNext w:val="0"/>
              <w:keepLines w:val="0"/>
              <w:pageBreakBefore w:val="0"/>
              <w:widowControl/>
              <w:kinsoku/>
              <w:wordWrap/>
              <w:overflowPunct/>
              <w:topLinePunct w:val="0"/>
              <w:autoSpaceDE/>
              <w:autoSpaceDN/>
              <w:bidi w:val="0"/>
              <w:adjustRightInd w:val="0"/>
              <w:snapToGrid w:val="0"/>
              <w:spacing w:after="0" w:line="240" w:lineRule="auto"/>
              <w:ind w:leftChars="0" w:firstLine="0" w:firstLineChars="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一、技术指标要求</w:t>
            </w:r>
          </w:p>
          <w:p w14:paraId="1475926B">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设备整体采用模块化设计，所有工业器件全部</w:t>
            </w:r>
            <w:r>
              <w:rPr>
                <w:rFonts w:hint="eastAsia" w:ascii="宋体" w:hAnsi="宋体" w:eastAsia="宋体" w:cs="宋体"/>
                <w:color w:val="auto"/>
                <w:sz w:val="24"/>
                <w:szCs w:val="24"/>
                <w:highlight w:val="none"/>
                <w:lang w:val="en-US" w:eastAsia="zh-CN"/>
              </w:rPr>
              <w:t>开放</w:t>
            </w:r>
            <w:r>
              <w:rPr>
                <w:rFonts w:hint="eastAsia" w:ascii="宋体" w:hAnsi="宋体" w:eastAsia="宋体" w:cs="宋体"/>
                <w:color w:val="auto"/>
                <w:sz w:val="24"/>
                <w:szCs w:val="24"/>
                <w:highlight w:val="none"/>
              </w:rPr>
              <w:t>式安装，直观性强和便于后期更换与维修。根据不同课时，不同训练场景，可自由切换导线快速实训和工程现场接线实训。</w:t>
            </w:r>
          </w:p>
          <w:p w14:paraId="5704332C">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.输入电源：三相五线AC380V±10% 50Hz</w:t>
            </w:r>
          </w:p>
          <w:p w14:paraId="51A9C5C6">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.装置容量：≤1.5kVA</w:t>
            </w:r>
          </w:p>
          <w:p w14:paraId="7D4C4AD6">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.整体外形尺寸：</w:t>
            </w:r>
            <w:r>
              <w:rPr>
                <w:rFonts w:hint="eastAsia" w:ascii="宋体" w:hAnsi="宋体" w:eastAsia="宋体" w:cs="宋体"/>
                <w:color w:val="auto"/>
                <w:sz w:val="24"/>
                <w:szCs w:val="24"/>
                <w:highlight w:val="none"/>
                <w:lang w:val="en-US" w:eastAsia="zh-CN"/>
              </w:rPr>
              <w:t>L</w:t>
            </w:r>
            <w:r>
              <w:rPr>
                <w:rFonts w:hint="eastAsia" w:ascii="宋体" w:hAnsi="宋体" w:eastAsia="宋体" w:cs="宋体"/>
                <w:color w:val="auto"/>
                <w:sz w:val="24"/>
                <w:szCs w:val="24"/>
                <w:highlight w:val="none"/>
              </w:rPr>
              <w:t>1000mm×</w:t>
            </w:r>
            <w:r>
              <w:rPr>
                <w:rFonts w:hint="eastAsia" w:ascii="宋体" w:hAnsi="宋体" w:eastAsia="宋体" w:cs="宋体"/>
                <w:color w:val="auto"/>
                <w:sz w:val="24"/>
                <w:szCs w:val="24"/>
                <w:highlight w:val="none"/>
                <w:lang w:val="en-US" w:eastAsia="zh-CN"/>
              </w:rPr>
              <w:t>W</w:t>
            </w:r>
            <w:r>
              <w:rPr>
                <w:rFonts w:hint="eastAsia" w:ascii="宋体" w:hAnsi="宋体" w:eastAsia="宋体" w:cs="宋体"/>
                <w:color w:val="auto"/>
                <w:sz w:val="24"/>
                <w:szCs w:val="24"/>
                <w:highlight w:val="none"/>
              </w:rPr>
              <w:t>720mm×</w:t>
            </w:r>
            <w:r>
              <w:rPr>
                <w:rFonts w:hint="eastAsia" w:ascii="宋体" w:hAnsi="宋体" w:eastAsia="宋体" w:cs="宋体"/>
                <w:color w:val="auto"/>
                <w:sz w:val="24"/>
                <w:szCs w:val="24"/>
                <w:highlight w:val="none"/>
                <w:lang w:val="en-US" w:eastAsia="zh-CN"/>
              </w:rPr>
              <w:t>H</w:t>
            </w:r>
            <w:r>
              <w:rPr>
                <w:rFonts w:hint="eastAsia" w:ascii="宋体" w:hAnsi="宋体" w:eastAsia="宋体" w:cs="宋体"/>
                <w:color w:val="auto"/>
                <w:sz w:val="24"/>
                <w:szCs w:val="24"/>
                <w:highlight w:val="none"/>
              </w:rPr>
              <w:t>1850mm</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±10mm）</w:t>
            </w:r>
          </w:p>
          <w:p w14:paraId="41D08AB7">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.安全保护措施：设备具有隔离、过压、过流、接地、漏电等多种保护功能</w:t>
            </w:r>
          </w:p>
          <w:p w14:paraId="00E84B4F">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要求实训室具备以下功能（为便于操作，要求以下功能集成在一个平台，不接受多个软件拼凑而成）：</w:t>
            </w:r>
          </w:p>
          <w:p w14:paraId="33FA1FE7">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（1）实训教学管理</w:t>
            </w:r>
          </w:p>
          <w:p w14:paraId="4E718ED5">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1）实训方案管理：根据实训教学安排，创建对应的实训方案，并以列表形式呈现实训信息（如：方案标题、方案内容、实训目标、负责人、开始时间、结束时间等）。在线实训课程排课预约；</w:t>
            </w:r>
          </w:p>
          <w:p w14:paraId="547F66A7">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2）实训资源管理：可实现实训课程对应的实训资源管理，支持PPT、word、PDF等格式资源上传到资源库，以列表形式列出所选实训课程的课件资源信息（如：资源名称、资源类型、创建人、状态、创建时间等）可实现实训资源移动端查看，师生可在微信小程序点击查看相关资源；（要求投标提供以视频截图的形式作证功能参数）</w:t>
            </w:r>
          </w:p>
          <w:p w14:paraId="64B64960">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3）实训学生管理：可批量编辑一键导入学生信息。可实现实训课程对应的学生管理，并以列表形式呈现学生信息（如：学号、学生姓名、邮箱、手机、课程评分、创建时间等）；</w:t>
            </w:r>
          </w:p>
          <w:p w14:paraId="53A4DB52">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实训考勤：支持教师通过考勤二维码，学生可通过扫描考勤二维码和微信小程序完成考勤；支持按时间段查看学生考勤信息，并批量导出考勤报表（如工号、日期、姓名、部门、状态）；（要求投标提供以视频截图的形式作证功能参数）</w:t>
            </w:r>
          </w:p>
          <w:p w14:paraId="11A9FBF9">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（2）视频监控</w:t>
            </w:r>
          </w:p>
          <w:p w14:paraId="41EF7234">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1）配置云摄像头，视频中心模块不少于4个子项目，至少包含控制台、监控设备、节点管理、云端录像等子项目</w:t>
            </w:r>
          </w:p>
          <w:p w14:paraId="2016B4CF">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2）视频中心云端录像模块支持按日期、设备筛选查看设备录像列表，支持录像实时查看、下载。实时视频模块中不少于6个按钮和一个视频播放器，至少包含云台的上、下、左、右控制按钮，放大、缩小等。录像模块中至少包含日期选择器和录像列表。（要求投标提供以视频截图的形式作证功能参数）</w:t>
            </w:r>
          </w:p>
          <w:p w14:paraId="09DD3EB4">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（3）在线理论考核</w:t>
            </w:r>
          </w:p>
          <w:p w14:paraId="0BE14B3D">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试卷管理：提供单选、多选、判断等题型及答案解析的录入；组卷规则：可配置各类题型、分值，师生考试时候可根据所选题库中的题目组卷。难度等级包含较难与普通。可上传试题图片和填写试题解析。正确答案勾选、选取文件上传和答案解析。</w:t>
            </w:r>
          </w:p>
          <w:p w14:paraId="5C25C9F4">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2）AI智能组卷：系统支持将PDF、Word、ppt等多种格式的文件转换为自然语言，并支持根据得到的自然语言一键出题，且需支持多种题目类型的生成，至少包括单选题、多选题、判断题；生成的题目需支持一键导入到题库，方便教师组卷；组卷题目可以选择题库自定义题目数量，题目类型然后一键随机生成。（要求投标提供以视频截图的形式作证功能参数）</w:t>
            </w:r>
          </w:p>
          <w:p w14:paraId="77797E8C">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3）在线考试：可分享二维码，考生扫描登录考试和PC登录在线考试两种模式；支持一键excel导出考试明细，方便教师对考试成绩进行统计。（要求投标提供以视频截图的形式作证功能参数）</w:t>
            </w:r>
          </w:p>
          <w:p w14:paraId="27EC2F6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spacing w:val="-2"/>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lang w:val="en-US" w:eastAsia="zh-CN"/>
              </w:rPr>
              <w:t>7.满足赛训一体教学</w:t>
            </w:r>
          </w:p>
          <w:p w14:paraId="63020FA2">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应标设备应满足电气自动化类竞赛技术需求。提供“电机调速系统搭建与调试”任务试题+评分标准不少于3套</w:t>
            </w:r>
            <w:r>
              <w:rPr>
                <w:rFonts w:hint="eastAsia"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投标文件至少提供2套试题+评分标准佐证</w:t>
            </w:r>
            <w:r>
              <w:rPr>
                <w:rFonts w:hint="eastAsia" w:cs="宋体"/>
                <w:color w:val="auto"/>
                <w:sz w:val="24"/>
                <w:szCs w:val="24"/>
                <w:highlight w:val="none"/>
                <w:lang w:val="en-US" w:eastAsia="zh-CN"/>
              </w:rPr>
              <w:t>，同时提供赛项具体名称和佐证材料。</w:t>
            </w:r>
          </w:p>
          <w:p w14:paraId="245B47EF">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二、基本配置要求</w:t>
            </w:r>
          </w:p>
          <w:p w14:paraId="5369B4A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1.实验桌</w:t>
            </w:r>
          </w:p>
          <w:p w14:paraId="6B89E51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桌子台面板采用E1级三聚氰胺复面合成板，台面厚度不低于25mm；主体采用四个截面≧70×70mm圆弧形工业铝型材立柱为支撑，立柱端部可安装调节脚；铝型材通过左、右各2个C字形铝压成型构件联接，C字型联接件嵌入厂家LOGO。桌面板下设支撑框架，截面尺寸为30x30mm，承受力不小于300Kg。</w:t>
            </w:r>
          </w:p>
          <w:p w14:paraId="7B7BAD6B">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（2）实训模块区域分上下两层，框架由上中下左右五根工业铝型材组成，所有型材表面滑，无凹槽。台架侧面要求配置单相电源插座，用于外接仪器供电。</w:t>
            </w:r>
          </w:p>
          <w:p w14:paraId="4B9BE98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3）可移动储物柜：采用圆弧卷边冷冲压钣金一体成型，封闭式结构，不少于4层储物抽屉，表面静电喷涂。储物柜外形尺寸≥宽450×深550×高705（mm），总重量≥31kg；柜体四边圆弧设计：R=30mm，配有承重型卡扣式三节轨，精准定位，导轨承重量≥30kg，抽屉把手采用卡套式钣金卷边工艺，推拉更便捷，配色层次分明，抽屉采用联体锁设计，操作方便；底部配有4个万向带刹车脚轮。柜内空间根据磁吸式模块尺寸1：1开孔定点存储，便于教师管理。</w:t>
            </w:r>
          </w:p>
          <w:p w14:paraId="2136EA6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bCs/>
                <w:color w:val="auto"/>
                <w:spacing w:val="-2"/>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实验挂件采用铁质双层亚光密纹喷塑机箱，两端设有把手，采用2mm铝质面板，具体配置如下</w:t>
            </w:r>
            <w:r>
              <w:rPr>
                <w:rFonts w:hint="eastAsia" w:ascii="宋体" w:hAnsi="宋体" w:eastAsia="宋体" w:cs="宋体"/>
                <w:b/>
                <w:bCs/>
                <w:color w:val="auto"/>
                <w:sz w:val="24"/>
                <w:szCs w:val="24"/>
                <w:highlight w:val="none"/>
                <w:lang w:eastAsia="zh-CN"/>
              </w:rPr>
              <w:t>：</w:t>
            </w:r>
          </w:p>
          <w:p w14:paraId="39D03DE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1）三相交流电源单元1件</w:t>
            </w:r>
            <w:r>
              <w:rPr>
                <w:rFonts w:hint="eastAsia" w:ascii="宋体" w:hAnsi="宋体" w:eastAsia="宋体" w:cs="宋体"/>
                <w:b w:val="0"/>
                <w:bCs w:val="0"/>
                <w:color w:val="auto"/>
                <w:spacing w:val="-2"/>
                <w:sz w:val="24"/>
                <w:szCs w:val="24"/>
                <w:highlight w:val="none"/>
                <w:lang w:eastAsia="zh-CN"/>
              </w:rPr>
              <w:t>：提供一路三相380V交流电源输出，给同步变压器使用；一路经过隔离变压器的三相交流电源输出；此处设有过流保护装置，当相间、线间过电流及直接短路均能自动保护。提供</w:t>
            </w:r>
            <w:r>
              <w:rPr>
                <w:rFonts w:hint="eastAsia" w:ascii="宋体" w:hAnsi="宋体" w:eastAsia="宋体" w:cs="宋体"/>
                <w:b w:val="0"/>
                <w:bCs w:val="0"/>
                <w:color w:val="auto"/>
                <w:spacing w:val="-2"/>
                <w:sz w:val="24"/>
                <w:szCs w:val="24"/>
                <w:highlight w:val="none"/>
                <w:lang w:val="en-US" w:eastAsia="zh-CN"/>
              </w:rPr>
              <w:t>一路</w:t>
            </w:r>
            <w:r>
              <w:rPr>
                <w:rFonts w:hint="eastAsia" w:ascii="宋体" w:hAnsi="宋体" w:eastAsia="宋体" w:cs="宋体"/>
                <w:b w:val="0"/>
                <w:bCs w:val="0"/>
                <w:color w:val="auto"/>
                <w:spacing w:val="-2"/>
                <w:sz w:val="24"/>
                <w:szCs w:val="24"/>
                <w:highlight w:val="none"/>
                <w:lang w:eastAsia="zh-CN"/>
              </w:rPr>
              <w:t>220V/1A的隔离电源，供示波器使用。</w:t>
            </w:r>
            <w:r>
              <w:rPr>
                <w:rFonts w:hint="eastAsia" w:ascii="宋体" w:hAnsi="宋体" w:eastAsia="宋体" w:cs="宋体"/>
                <w:b w:val="0"/>
                <w:bCs w:val="0"/>
                <w:color w:val="auto"/>
                <w:spacing w:val="-2"/>
                <w:sz w:val="24"/>
                <w:szCs w:val="24"/>
                <w:highlight w:val="none"/>
                <w:lang w:val="en-US" w:eastAsia="zh-CN"/>
              </w:rPr>
              <w:t>提供</w:t>
            </w:r>
            <w:r>
              <w:rPr>
                <w:rFonts w:hint="eastAsia" w:ascii="宋体" w:hAnsi="宋体" w:eastAsia="宋体" w:cs="宋体"/>
                <w:b w:val="0"/>
                <w:bCs w:val="0"/>
                <w:color w:val="auto"/>
                <w:spacing w:val="-2"/>
                <w:sz w:val="24"/>
                <w:szCs w:val="24"/>
                <w:highlight w:val="none"/>
                <w:lang w:eastAsia="zh-CN"/>
              </w:rPr>
              <w:t>励磁直流220V电源。提供100mH、200mH、700mH电抗器,提供一路24V/3A直流电源。</w:t>
            </w:r>
          </w:p>
          <w:p w14:paraId="1373064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2）</w:t>
            </w:r>
            <w:r>
              <w:rPr>
                <w:rFonts w:hint="eastAsia" w:ascii="宋体" w:hAnsi="宋体" w:eastAsia="宋体" w:cs="宋体"/>
                <w:b w:val="0"/>
                <w:bCs w:val="0"/>
                <w:color w:val="auto"/>
                <w:sz w:val="24"/>
                <w:szCs w:val="24"/>
                <w:highlight w:val="none"/>
              </w:rPr>
              <w:t>指针式电压表1只</w:t>
            </w:r>
            <w:r>
              <w:rPr>
                <w:rFonts w:hint="eastAsia" w:ascii="宋体" w:hAnsi="宋体" w:eastAsia="宋体" w:cs="宋体"/>
                <w:b w:val="0"/>
                <w:bCs w:val="0"/>
                <w:color w:val="auto"/>
                <w:sz w:val="24"/>
                <w:szCs w:val="24"/>
                <w:highlight w:val="none"/>
                <w:lang w:eastAsia="zh-CN"/>
              </w:rPr>
              <w:t>：测量范围±300V、显示精度</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eastAsia="zh-CN"/>
              </w:rPr>
              <w:t>1.5级；仪表尺寸75×75mm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1295BDCB">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3）</w:t>
            </w:r>
            <w:r>
              <w:rPr>
                <w:rFonts w:hint="eastAsia" w:ascii="宋体" w:hAnsi="宋体" w:eastAsia="宋体" w:cs="宋体"/>
                <w:b w:val="0"/>
                <w:bCs w:val="0"/>
                <w:color w:val="auto"/>
                <w:sz w:val="24"/>
                <w:szCs w:val="24"/>
                <w:highlight w:val="none"/>
              </w:rPr>
              <w:t>指针式电流表1只</w:t>
            </w:r>
            <w:r>
              <w:rPr>
                <w:rFonts w:hint="eastAsia" w:ascii="宋体" w:hAnsi="宋体" w:eastAsia="宋体" w:cs="宋体"/>
                <w:b w:val="0"/>
                <w:bCs w:val="0"/>
                <w:color w:val="auto"/>
                <w:sz w:val="24"/>
                <w:szCs w:val="24"/>
                <w:highlight w:val="none"/>
                <w:lang w:eastAsia="zh-CN"/>
              </w:rPr>
              <w:t>：测量范围±3A、显示精度</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eastAsia="zh-CN"/>
              </w:rPr>
              <w:t>1.5级；仪表尺寸，75×75mm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5D9E3BD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4）</w:t>
            </w:r>
            <w:r>
              <w:rPr>
                <w:rFonts w:hint="eastAsia" w:ascii="宋体" w:hAnsi="宋体" w:eastAsia="宋体" w:cs="宋体"/>
                <w:b w:val="0"/>
                <w:bCs w:val="0"/>
                <w:color w:val="auto"/>
                <w:sz w:val="24"/>
                <w:szCs w:val="24"/>
                <w:highlight w:val="none"/>
              </w:rPr>
              <w:t>智能直流电流表</w:t>
            </w:r>
            <w:r>
              <w:rPr>
                <w:rFonts w:hint="eastAsia" w:ascii="宋体" w:hAnsi="宋体" w:eastAsia="宋体" w:cs="宋体"/>
                <w:b w:val="0"/>
                <w:bCs w:val="0"/>
                <w:color w:val="auto"/>
                <w:sz w:val="24"/>
                <w:szCs w:val="24"/>
                <w:highlight w:val="none"/>
                <w:lang w:val="en-US" w:eastAsia="zh-CN"/>
              </w:rPr>
              <w:t>1只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测量范围0～5A，测量精度0.5级</w:t>
            </w:r>
            <w:r>
              <w:rPr>
                <w:rFonts w:hint="eastAsia" w:ascii="宋体" w:hAnsi="宋体" w:eastAsia="宋体" w:cs="宋体"/>
                <w:b w:val="0"/>
                <w:bCs w:val="0"/>
                <w:color w:val="auto"/>
                <w:sz w:val="24"/>
                <w:szCs w:val="24"/>
                <w:highlight w:val="none"/>
                <w:lang w:eastAsia="zh-CN"/>
              </w:rPr>
              <w:t>；有超量程告警、指示及切断总电源功能；</w:t>
            </w:r>
            <w:r>
              <w:rPr>
                <w:rFonts w:hint="eastAsia" w:ascii="宋体" w:hAnsi="宋体" w:eastAsia="宋体" w:cs="宋体"/>
                <w:b w:val="0"/>
                <w:bCs w:val="0"/>
                <w:color w:val="auto"/>
                <w:sz w:val="24"/>
                <w:szCs w:val="24"/>
                <w:highlight w:val="none"/>
                <w:lang w:val="en-US" w:eastAsia="zh-CN"/>
              </w:rPr>
              <w:t>可存储和查询实训数据。</w:t>
            </w:r>
            <w:r>
              <w:rPr>
                <w:rFonts w:hint="eastAsia" w:ascii="宋体" w:hAnsi="宋体" w:eastAsia="宋体" w:cs="宋体"/>
                <w:b w:val="0"/>
                <w:bCs w:val="0"/>
                <w:color w:val="auto"/>
                <w:sz w:val="24"/>
                <w:szCs w:val="24"/>
                <w:highlight w:val="none"/>
                <w:lang w:eastAsia="zh-CN"/>
              </w:rPr>
              <w:t>尺寸不大于91mm×44mm×96mm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6106E8A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5）</w:t>
            </w:r>
            <w:r>
              <w:rPr>
                <w:rFonts w:hint="eastAsia" w:ascii="宋体" w:hAnsi="宋体" w:eastAsia="宋体" w:cs="宋体"/>
                <w:b w:val="0"/>
                <w:bCs w:val="0"/>
                <w:color w:val="auto"/>
                <w:sz w:val="24"/>
                <w:szCs w:val="24"/>
                <w:highlight w:val="none"/>
              </w:rPr>
              <w:t>智能直流电压表1只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测量范围0～500V，测量精度0.5级</w:t>
            </w:r>
            <w:r>
              <w:rPr>
                <w:rFonts w:hint="eastAsia" w:ascii="宋体" w:hAnsi="宋体" w:eastAsia="宋体" w:cs="宋体"/>
                <w:b w:val="0"/>
                <w:bCs w:val="0"/>
                <w:color w:val="auto"/>
                <w:sz w:val="24"/>
                <w:szCs w:val="24"/>
                <w:highlight w:val="none"/>
                <w:lang w:eastAsia="zh-CN"/>
              </w:rPr>
              <w:t>；有超量程告警、指示及切断总电源功能；</w:t>
            </w:r>
            <w:r>
              <w:rPr>
                <w:rFonts w:hint="eastAsia" w:ascii="宋体" w:hAnsi="宋体" w:eastAsia="宋体" w:cs="宋体"/>
                <w:b w:val="0"/>
                <w:bCs w:val="0"/>
                <w:color w:val="auto"/>
                <w:sz w:val="24"/>
                <w:szCs w:val="24"/>
                <w:highlight w:val="none"/>
                <w:lang w:val="en-US" w:eastAsia="zh-CN"/>
              </w:rPr>
              <w:t>可存储和查询实训数据。</w:t>
            </w:r>
            <w:r>
              <w:rPr>
                <w:rFonts w:hint="eastAsia" w:ascii="宋体" w:hAnsi="宋体" w:eastAsia="宋体" w:cs="宋体"/>
                <w:b w:val="0"/>
                <w:bCs w:val="0"/>
                <w:color w:val="auto"/>
                <w:sz w:val="24"/>
                <w:szCs w:val="24"/>
                <w:highlight w:val="none"/>
                <w:lang w:eastAsia="zh-CN"/>
              </w:rPr>
              <w:t>尺寸不大于91mm×44mm×96mm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44DB281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6）</w:t>
            </w:r>
            <w:r>
              <w:rPr>
                <w:rFonts w:hint="eastAsia" w:ascii="宋体" w:hAnsi="宋体" w:eastAsia="宋体" w:cs="宋体"/>
                <w:b w:val="0"/>
                <w:bCs w:val="0"/>
                <w:color w:val="auto"/>
                <w:sz w:val="24"/>
                <w:szCs w:val="24"/>
                <w:highlight w:val="none"/>
              </w:rPr>
              <w:t>智能交流电压表1只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测量范围0～500V，测量精度0.5级</w:t>
            </w:r>
            <w:r>
              <w:rPr>
                <w:rFonts w:hint="eastAsia" w:ascii="宋体" w:hAnsi="宋体" w:eastAsia="宋体" w:cs="宋体"/>
                <w:b w:val="0"/>
                <w:bCs w:val="0"/>
                <w:color w:val="auto"/>
                <w:sz w:val="24"/>
                <w:szCs w:val="24"/>
                <w:highlight w:val="none"/>
                <w:lang w:eastAsia="zh-CN"/>
              </w:rPr>
              <w:t>；有超量程告警、指示及切断总电源功能；</w:t>
            </w:r>
            <w:r>
              <w:rPr>
                <w:rFonts w:hint="eastAsia" w:ascii="宋体" w:hAnsi="宋体" w:eastAsia="宋体" w:cs="宋体"/>
                <w:b w:val="0"/>
                <w:bCs w:val="0"/>
                <w:color w:val="auto"/>
                <w:sz w:val="24"/>
                <w:szCs w:val="24"/>
                <w:highlight w:val="none"/>
                <w:lang w:val="en-US" w:eastAsia="zh-CN"/>
              </w:rPr>
              <w:t>可存储和查询实训数据。</w:t>
            </w:r>
            <w:r>
              <w:rPr>
                <w:rFonts w:hint="eastAsia" w:ascii="宋体" w:hAnsi="宋体" w:eastAsia="宋体" w:cs="宋体"/>
                <w:b w:val="0"/>
                <w:bCs w:val="0"/>
                <w:color w:val="auto"/>
                <w:sz w:val="24"/>
                <w:szCs w:val="24"/>
                <w:highlight w:val="none"/>
                <w:lang w:eastAsia="zh-CN"/>
              </w:rPr>
              <w:t>尺寸不大于91mm×44mm×96mm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6E228BD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7）</w:t>
            </w:r>
            <w:r>
              <w:rPr>
                <w:rFonts w:hint="eastAsia" w:ascii="宋体" w:hAnsi="宋体" w:eastAsia="宋体" w:cs="宋体"/>
                <w:b w:val="0"/>
                <w:bCs w:val="0"/>
                <w:color w:val="auto"/>
                <w:sz w:val="24"/>
                <w:szCs w:val="24"/>
                <w:highlight w:val="none"/>
              </w:rPr>
              <w:t>智能</w:t>
            </w:r>
            <w:r>
              <w:rPr>
                <w:rFonts w:hint="eastAsia" w:ascii="宋体" w:hAnsi="宋体" w:eastAsia="宋体" w:cs="宋体"/>
                <w:b w:val="0"/>
                <w:bCs w:val="0"/>
                <w:color w:val="auto"/>
                <w:sz w:val="24"/>
                <w:szCs w:val="24"/>
                <w:highlight w:val="none"/>
                <w:lang w:val="en-US" w:eastAsia="zh-CN"/>
              </w:rPr>
              <w:t>交</w:t>
            </w:r>
            <w:r>
              <w:rPr>
                <w:rFonts w:hint="eastAsia" w:ascii="宋体" w:hAnsi="宋体" w:eastAsia="宋体" w:cs="宋体"/>
                <w:b w:val="0"/>
                <w:bCs w:val="0"/>
                <w:color w:val="auto"/>
                <w:sz w:val="24"/>
                <w:szCs w:val="24"/>
                <w:highlight w:val="none"/>
              </w:rPr>
              <w:t>流电流表</w:t>
            </w:r>
            <w:r>
              <w:rPr>
                <w:rFonts w:hint="eastAsia" w:ascii="宋体" w:hAnsi="宋体" w:eastAsia="宋体" w:cs="宋体"/>
                <w:b w:val="0"/>
                <w:bCs w:val="0"/>
                <w:color w:val="auto"/>
                <w:sz w:val="24"/>
                <w:szCs w:val="24"/>
                <w:highlight w:val="none"/>
                <w:lang w:val="en-US" w:eastAsia="zh-CN"/>
              </w:rPr>
              <w:t>1只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测量范围0～5A，测量精度0.5级</w:t>
            </w:r>
            <w:r>
              <w:rPr>
                <w:rFonts w:hint="eastAsia" w:ascii="宋体" w:hAnsi="宋体" w:eastAsia="宋体" w:cs="宋体"/>
                <w:b w:val="0"/>
                <w:bCs w:val="0"/>
                <w:color w:val="auto"/>
                <w:sz w:val="24"/>
                <w:szCs w:val="24"/>
                <w:highlight w:val="none"/>
                <w:lang w:eastAsia="zh-CN"/>
              </w:rPr>
              <w:t>；有超量程告警、指示及切断总电源功能；</w:t>
            </w:r>
            <w:r>
              <w:rPr>
                <w:rFonts w:hint="eastAsia" w:ascii="宋体" w:hAnsi="宋体" w:eastAsia="宋体" w:cs="宋体"/>
                <w:b w:val="0"/>
                <w:bCs w:val="0"/>
                <w:color w:val="auto"/>
                <w:sz w:val="24"/>
                <w:szCs w:val="24"/>
                <w:highlight w:val="none"/>
                <w:lang w:val="en-US" w:eastAsia="zh-CN"/>
              </w:rPr>
              <w:t>可存储和查询实训数据。</w:t>
            </w:r>
            <w:r>
              <w:rPr>
                <w:rFonts w:hint="eastAsia" w:ascii="宋体" w:hAnsi="宋体" w:eastAsia="宋体" w:cs="宋体"/>
                <w:b w:val="0"/>
                <w:bCs w:val="0"/>
                <w:color w:val="auto"/>
                <w:sz w:val="24"/>
                <w:szCs w:val="24"/>
                <w:highlight w:val="none"/>
                <w:lang w:eastAsia="zh-CN"/>
              </w:rPr>
              <w:t>尺寸不大于91mm×44mm×96mm</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w:t>
            </w:r>
          </w:p>
          <w:p w14:paraId="0E9E739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8）可调电阻器、单相自耦调压器1件：提供阻值容量150W、0.5A、 0～900Ω/×1连续可调的瓷盘电阻1只，电阻接线端均已连接至面板上，可方便地组合串联、并联、串并联等多种方式使用，具有负载保护功能；提供容量0.5KVA的单相自耦调压器，电压调节范围0～250V，具有过载和短路保护功能。</w:t>
            </w:r>
          </w:p>
          <w:p w14:paraId="3B2B308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eastAsia="zh-CN"/>
              </w:rPr>
              <w:t>（</w:t>
            </w:r>
            <w:r>
              <w:rPr>
                <w:rFonts w:hint="eastAsia" w:ascii="宋体" w:hAnsi="宋体" w:eastAsia="宋体" w:cs="宋体"/>
                <w:b w:val="0"/>
                <w:bCs w:val="0"/>
                <w:color w:val="auto"/>
                <w:spacing w:val="-2"/>
                <w:sz w:val="24"/>
                <w:szCs w:val="24"/>
                <w:highlight w:val="none"/>
                <w:lang w:val="en-US" w:eastAsia="zh-CN"/>
              </w:rPr>
              <w:t>9）</w:t>
            </w:r>
            <w:r>
              <w:rPr>
                <w:rFonts w:hint="eastAsia" w:ascii="宋体" w:hAnsi="宋体" w:eastAsia="宋体" w:cs="宋体"/>
                <w:b w:val="0"/>
                <w:bCs w:val="0"/>
                <w:color w:val="auto"/>
                <w:sz w:val="24"/>
                <w:szCs w:val="24"/>
                <w:highlight w:val="none"/>
              </w:rPr>
              <w:t>三相芯式变压器</w:t>
            </w:r>
            <w:r>
              <w:rPr>
                <w:rFonts w:hint="eastAsia" w:ascii="宋体" w:hAnsi="宋体" w:eastAsia="宋体" w:cs="宋体"/>
                <w:b w:val="0"/>
                <w:bCs w:val="0"/>
                <w:color w:val="auto"/>
                <w:spacing w:val="-2"/>
                <w:sz w:val="24"/>
                <w:szCs w:val="24"/>
                <w:highlight w:val="none"/>
                <w:lang w:val="en-US" w:eastAsia="zh-CN"/>
              </w:rPr>
              <w:t>1件</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pacing w:val="-2"/>
                <w:sz w:val="24"/>
                <w:szCs w:val="24"/>
                <w:highlight w:val="none"/>
                <w:lang w:val="en-US" w:eastAsia="zh-CN"/>
              </w:rPr>
              <w:t>提供相电压127V/0.4A，63.6V/0.8A。</w:t>
            </w:r>
          </w:p>
          <w:p w14:paraId="1D5CF5E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bCs/>
                <w:color w:val="auto"/>
                <w:spacing w:val="-2"/>
                <w:sz w:val="24"/>
                <w:szCs w:val="24"/>
                <w:highlight w:val="none"/>
                <w:lang w:val="en-US" w:eastAsia="zh-CN"/>
              </w:rPr>
            </w:pPr>
            <w:r>
              <w:rPr>
                <w:rFonts w:hint="eastAsia" w:ascii="宋体" w:hAnsi="宋体" w:eastAsia="宋体" w:cs="宋体"/>
                <w:b/>
                <w:bCs/>
                <w:color w:val="auto"/>
                <w:spacing w:val="-2"/>
                <w:sz w:val="24"/>
                <w:szCs w:val="24"/>
                <w:highlight w:val="none"/>
                <w:lang w:val="en-US" w:eastAsia="zh-CN"/>
              </w:rPr>
              <w:t>3.</w:t>
            </w:r>
            <w:r>
              <w:rPr>
                <w:rFonts w:hint="eastAsia" w:ascii="宋体" w:hAnsi="宋体" w:eastAsia="宋体" w:cs="宋体"/>
                <w:b/>
                <w:bCs/>
                <w:color w:val="auto"/>
                <w:sz w:val="24"/>
                <w:szCs w:val="24"/>
                <w:highlight w:val="none"/>
              </w:rPr>
              <w:t>磁吸实验模块</w:t>
            </w:r>
            <w:r>
              <w:rPr>
                <w:rFonts w:hint="eastAsia" w:ascii="宋体" w:hAnsi="宋体" w:eastAsia="宋体" w:cs="宋体"/>
                <w:b/>
                <w:bCs/>
                <w:color w:val="auto"/>
                <w:spacing w:val="-2"/>
                <w:sz w:val="24"/>
                <w:szCs w:val="24"/>
                <w:highlight w:val="none"/>
                <w:lang w:val="en-US" w:eastAsia="zh-CN"/>
              </w:rPr>
              <w:t>组成</w:t>
            </w:r>
            <w:r>
              <w:rPr>
                <w:rFonts w:hint="eastAsia" w:ascii="宋体" w:hAnsi="宋体" w:eastAsia="宋体" w:cs="宋体"/>
                <w:b/>
                <w:bCs/>
                <w:color w:val="auto"/>
                <w:kern w:val="0"/>
                <w:sz w:val="24"/>
                <w:szCs w:val="24"/>
                <w:highlight w:val="none"/>
                <w:lang w:val="en-US" w:eastAsia="zh-CN"/>
              </w:rPr>
              <w:t>（模块由透明盒及PCB板构成，盒体由透明有机工程塑料注塑而成，具有示教功能，使用者能够观察到元件形状和接线方式，有利于教师讲解和学生认识；面板采用双层PCB设计，即下面层为元器件PCB，上面层为丝印层PCB标有电器原理图。模块集成4只磁吸立柱，与底板可实现快速拆装，</w:t>
            </w:r>
            <w:r>
              <w:rPr>
                <w:rFonts w:hint="eastAsia" w:ascii="宋体" w:hAnsi="宋体" w:eastAsia="宋体" w:cs="宋体"/>
                <w:b/>
                <w:bCs/>
                <w:color w:val="auto"/>
                <w:sz w:val="24"/>
                <w:szCs w:val="24"/>
                <w:highlight w:val="none"/>
                <w:lang w:val="en-US" w:eastAsia="zh-CN"/>
              </w:rPr>
              <w:t>投标文件至少提供以下配置三种</w:t>
            </w:r>
            <w:r>
              <w:rPr>
                <w:rFonts w:hint="eastAsia" w:ascii="宋体" w:hAnsi="宋体" w:eastAsia="宋体" w:cs="宋体"/>
                <w:b/>
                <w:bCs/>
                <w:color w:val="auto"/>
                <w:kern w:val="0"/>
                <w:sz w:val="24"/>
                <w:szCs w:val="24"/>
                <w:highlight w:val="none"/>
                <w:lang w:val="en-US" w:eastAsia="zh-CN"/>
              </w:rPr>
              <w:t>模块正反面实物图</w:t>
            </w:r>
            <w:r>
              <w:rPr>
                <w:rFonts w:hint="eastAsia" w:ascii="宋体" w:hAnsi="宋体" w:eastAsia="宋体" w:cs="宋体"/>
                <w:b/>
                <w:bCs/>
                <w:color w:val="auto"/>
                <w:sz w:val="24"/>
                <w:szCs w:val="24"/>
                <w:highlight w:val="none"/>
                <w:lang w:val="en-US" w:eastAsia="zh-CN"/>
              </w:rPr>
              <w:t>）。</w:t>
            </w:r>
          </w:p>
          <w:p w14:paraId="4E6DF75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val="en-US" w:eastAsia="zh-CN"/>
              </w:rPr>
              <w:t>（1）可调电容模块1个：提供3个可调电容C1～C3，可选0.1、0.3、0.5、0.7、0.9μF电容，每个可调电容单独可调电容为0.47、1、2、4μF。</w:t>
            </w:r>
          </w:p>
          <w:p w14:paraId="2B84259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pacing w:val="-2"/>
                <w:sz w:val="24"/>
                <w:szCs w:val="24"/>
                <w:highlight w:val="none"/>
                <w:lang w:val="en-US" w:eastAsia="zh-CN"/>
              </w:rPr>
              <w:t>（2）</w:t>
            </w:r>
            <w:r>
              <w:rPr>
                <w:rFonts w:hint="eastAsia" w:ascii="宋体" w:hAnsi="宋体" w:eastAsia="宋体" w:cs="宋体"/>
                <w:b w:val="0"/>
                <w:bCs w:val="0"/>
                <w:color w:val="auto"/>
                <w:sz w:val="24"/>
                <w:szCs w:val="24"/>
                <w:highlight w:val="none"/>
              </w:rPr>
              <w:t>可调电阻</w:t>
            </w:r>
            <w:r>
              <w:rPr>
                <w:rFonts w:hint="eastAsia" w:ascii="宋体" w:hAnsi="宋体" w:eastAsia="宋体" w:cs="宋体"/>
                <w:b w:val="0"/>
                <w:bCs w:val="0"/>
                <w:color w:val="auto"/>
                <w:spacing w:val="-2"/>
                <w:sz w:val="24"/>
                <w:szCs w:val="24"/>
                <w:highlight w:val="none"/>
                <w:lang w:val="en-US" w:eastAsia="zh-CN"/>
              </w:rPr>
              <w:t>模块1个：</w:t>
            </w:r>
            <w:r>
              <w:rPr>
                <w:rFonts w:hint="eastAsia" w:ascii="宋体" w:hAnsi="宋体" w:eastAsia="宋体" w:cs="宋体"/>
                <w:b w:val="0"/>
                <w:bCs w:val="0"/>
                <w:color w:val="auto"/>
                <w:sz w:val="24"/>
                <w:szCs w:val="24"/>
                <w:highlight w:val="none"/>
              </w:rPr>
              <w:t>提供2个可调电阻，可调范围0～999kΩ，电阻功率2W，电阻精度为±1%</w:t>
            </w:r>
            <w:r>
              <w:rPr>
                <w:rFonts w:hint="eastAsia" w:ascii="宋体" w:hAnsi="宋体" w:eastAsia="宋体" w:cs="宋体"/>
                <w:b w:val="0"/>
                <w:bCs w:val="0"/>
                <w:color w:val="auto"/>
                <w:sz w:val="24"/>
                <w:szCs w:val="24"/>
                <w:highlight w:val="none"/>
                <w:lang w:eastAsia="zh-CN"/>
              </w:rPr>
              <w:t>。</w:t>
            </w:r>
          </w:p>
          <w:p w14:paraId="59396C1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电源同步模块</w:t>
            </w:r>
            <w:r>
              <w:rPr>
                <w:rFonts w:hint="eastAsia" w:ascii="宋体" w:hAnsi="宋体" w:eastAsia="宋体" w:cs="宋体"/>
                <w:b w:val="0"/>
                <w:bCs w:val="0"/>
                <w:color w:val="auto"/>
                <w:sz w:val="24"/>
                <w:szCs w:val="24"/>
                <w:highlight w:val="none"/>
                <w:lang w:val="en-US" w:eastAsia="zh-CN"/>
              </w:rPr>
              <w:t>1个</w:t>
            </w:r>
            <w:r>
              <w:rPr>
                <w:rFonts w:hint="eastAsia" w:ascii="宋体" w:hAnsi="宋体" w:eastAsia="宋体" w:cs="宋体"/>
                <w:b w:val="0"/>
                <w:bCs w:val="0"/>
                <w:color w:val="auto"/>
                <w:sz w:val="24"/>
                <w:szCs w:val="24"/>
                <w:highlight w:val="none"/>
                <w:lang w:eastAsia="zh-CN"/>
              </w:rPr>
              <w:t>：提供三只同步变器，△-Y型连接，输入电压380VAC，输出电压6VAC，设有</w:t>
            </w:r>
            <w:r>
              <w:rPr>
                <w:rFonts w:hint="eastAsia" w:ascii="宋体" w:hAnsi="宋体" w:eastAsia="宋体" w:cs="宋体"/>
                <w:b w:val="0"/>
                <w:bCs w:val="0"/>
                <w:color w:val="auto"/>
                <w:sz w:val="24"/>
                <w:szCs w:val="24"/>
                <w:highlight w:val="none"/>
                <w:lang w:val="en-US" w:eastAsia="zh-CN"/>
              </w:rPr>
              <w:t>同步</w:t>
            </w:r>
            <w:r>
              <w:rPr>
                <w:rFonts w:hint="eastAsia" w:ascii="宋体" w:hAnsi="宋体" w:eastAsia="宋体" w:cs="宋体"/>
                <w:b w:val="0"/>
                <w:bCs w:val="0"/>
                <w:color w:val="auto"/>
                <w:sz w:val="24"/>
                <w:szCs w:val="24"/>
                <w:highlight w:val="none"/>
                <w:lang w:eastAsia="zh-CN"/>
              </w:rPr>
              <w:t>波形观测孔。</w:t>
            </w:r>
            <w:r>
              <w:rPr>
                <w:rFonts w:hint="eastAsia" w:ascii="宋体" w:hAnsi="宋体" w:eastAsia="宋体" w:cs="宋体"/>
                <w:color w:val="auto"/>
                <w:sz w:val="24"/>
                <w:szCs w:val="24"/>
                <w:highlight w:val="none"/>
                <w:lang w:val="en-US" w:eastAsia="zh-CN"/>
              </w:rPr>
              <w:t>磁吸立柱4只、透明底盒1个</w:t>
            </w:r>
          </w:p>
          <w:p w14:paraId="39FCD59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触发电路</w:t>
            </w:r>
            <w:r>
              <w:rPr>
                <w:rFonts w:hint="eastAsia" w:ascii="宋体" w:hAnsi="宋体" w:eastAsia="宋体" w:cs="宋体"/>
                <w:b w:val="0"/>
                <w:bCs w:val="0"/>
                <w:color w:val="auto"/>
                <w:sz w:val="24"/>
                <w:szCs w:val="24"/>
                <w:highlight w:val="none"/>
                <w:lang w:val="en-US" w:eastAsia="zh-CN"/>
              </w:rPr>
              <w:t>1个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采用集成IC（TCA785P）产生6路双窄脉冲，设有波形观测孔</w:t>
            </w:r>
            <w:r>
              <w:rPr>
                <w:rFonts w:hint="eastAsia" w:ascii="宋体" w:hAnsi="宋体" w:eastAsia="宋体" w:cs="宋体"/>
                <w:b w:val="0"/>
                <w:bCs w:val="0"/>
                <w:color w:val="auto"/>
                <w:sz w:val="24"/>
                <w:szCs w:val="24"/>
                <w:highlight w:val="none"/>
                <w:lang w:val="en-US" w:eastAsia="zh-CN"/>
              </w:rPr>
              <w:t>6个</w:t>
            </w:r>
            <w:r>
              <w:rPr>
                <w:rFonts w:hint="eastAsia" w:ascii="宋体" w:hAnsi="宋体" w:eastAsia="宋体" w:cs="宋体"/>
                <w:b w:val="0"/>
                <w:bCs w:val="0"/>
                <w:color w:val="auto"/>
                <w:sz w:val="24"/>
                <w:szCs w:val="24"/>
                <w:highlight w:val="none"/>
                <w:lang w:eastAsia="zh-CN"/>
              </w:rPr>
              <w:t>，M12板端航空插</w:t>
            </w:r>
            <w:r>
              <w:rPr>
                <w:rFonts w:hint="eastAsia" w:ascii="宋体" w:hAnsi="宋体" w:eastAsia="宋体" w:cs="宋体"/>
                <w:b w:val="0"/>
                <w:bCs w:val="0"/>
                <w:color w:val="auto"/>
                <w:sz w:val="24"/>
                <w:szCs w:val="24"/>
                <w:highlight w:val="none"/>
                <w:lang w:val="en-US" w:eastAsia="zh-CN"/>
              </w:rPr>
              <w:t>座2只，磁吸立柱4只、透明底盒1个</w:t>
            </w:r>
            <w:r>
              <w:rPr>
                <w:rFonts w:hint="eastAsia" w:ascii="宋体" w:hAnsi="宋体" w:eastAsia="宋体" w:cs="宋体"/>
                <w:b w:val="0"/>
                <w:bCs w:val="0"/>
                <w:color w:val="auto"/>
                <w:sz w:val="24"/>
                <w:szCs w:val="24"/>
                <w:highlight w:val="none"/>
                <w:lang w:eastAsia="zh-CN"/>
              </w:rPr>
              <w:t>。</w:t>
            </w:r>
          </w:p>
          <w:p w14:paraId="06A7A97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功放电路</w:t>
            </w:r>
            <w:r>
              <w:rPr>
                <w:rFonts w:hint="eastAsia" w:ascii="宋体" w:hAnsi="宋体" w:eastAsia="宋体" w:cs="宋体"/>
                <w:b w:val="0"/>
                <w:bCs w:val="0"/>
                <w:color w:val="auto"/>
                <w:sz w:val="24"/>
                <w:szCs w:val="24"/>
                <w:highlight w:val="none"/>
                <w:lang w:val="en-US" w:eastAsia="zh-CN"/>
              </w:rPr>
              <w:t>1个</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提供功率放大、脉冲隔离变压器，用于晶闸管驱动脉冲的隔离</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7000BBB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eastAsia="zh-CN"/>
              </w:rPr>
              <w:t>晶闸管</w:t>
            </w:r>
            <w:r>
              <w:rPr>
                <w:rFonts w:hint="eastAsia" w:ascii="宋体" w:hAnsi="宋体" w:eastAsia="宋体" w:cs="宋体"/>
                <w:b w:val="0"/>
                <w:bCs w:val="0"/>
                <w:color w:val="auto"/>
                <w:sz w:val="24"/>
                <w:szCs w:val="24"/>
                <w:highlight w:val="none"/>
                <w:lang w:val="en-US" w:eastAsia="zh-CN"/>
              </w:rPr>
              <w:t>电路1个：</w:t>
            </w:r>
            <w:r>
              <w:rPr>
                <w:rFonts w:hint="eastAsia" w:ascii="宋体" w:hAnsi="宋体" w:eastAsia="宋体" w:cs="宋体"/>
                <w:b w:val="0"/>
                <w:bCs w:val="0"/>
                <w:color w:val="auto"/>
                <w:sz w:val="24"/>
                <w:szCs w:val="24"/>
                <w:highlight w:val="none"/>
                <w:lang w:eastAsia="zh-CN"/>
              </w:rPr>
              <w:t>提供晶闸管TYN608（600V/8A）为核心的全桥电路。</w:t>
            </w:r>
            <w:r>
              <w:rPr>
                <w:rFonts w:hint="eastAsia" w:ascii="宋体" w:hAnsi="宋体" w:eastAsia="宋体" w:cs="宋体"/>
                <w:b w:val="0"/>
                <w:bCs w:val="0"/>
                <w:color w:val="auto"/>
                <w:sz w:val="24"/>
                <w:szCs w:val="24"/>
                <w:highlight w:val="none"/>
                <w:lang w:val="en-US" w:eastAsia="zh-CN"/>
              </w:rPr>
              <w:t>不少于以下核心器件：</w:t>
            </w:r>
            <w:r>
              <w:rPr>
                <w:rFonts w:hint="eastAsia" w:ascii="宋体" w:hAnsi="宋体" w:eastAsia="宋体" w:cs="宋体"/>
                <w:b w:val="0"/>
                <w:bCs w:val="0"/>
                <w:color w:val="auto"/>
                <w:sz w:val="24"/>
                <w:szCs w:val="24"/>
                <w:highlight w:val="none"/>
                <w:lang w:eastAsia="zh-CN"/>
              </w:rPr>
              <w:t>晶闸管</w:t>
            </w:r>
            <w:r>
              <w:rPr>
                <w:rFonts w:hint="eastAsia" w:ascii="宋体" w:hAnsi="宋体" w:eastAsia="宋体" w:cs="宋体"/>
                <w:b w:val="0"/>
                <w:bCs w:val="0"/>
                <w:color w:val="auto"/>
                <w:sz w:val="24"/>
                <w:szCs w:val="24"/>
                <w:highlight w:val="none"/>
                <w:lang w:val="en-US" w:eastAsia="zh-CN"/>
              </w:rPr>
              <w:t>6个、保险丝6个、串口DP15双排针1个、CBB电容6个、电阻6个、磁吸立柱4只、透明底盒1个</w:t>
            </w:r>
          </w:p>
          <w:p w14:paraId="41624837">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给定</w:t>
            </w:r>
            <w:r>
              <w:rPr>
                <w:rFonts w:hint="eastAsia" w:ascii="宋体" w:hAnsi="宋体" w:eastAsia="宋体" w:cs="宋体"/>
                <w:b w:val="0"/>
                <w:bCs w:val="0"/>
                <w:color w:val="auto"/>
                <w:sz w:val="24"/>
                <w:szCs w:val="24"/>
                <w:highlight w:val="none"/>
                <w:lang w:val="en-US" w:eastAsia="zh-CN"/>
              </w:rPr>
              <w:t>电路1个：</w:t>
            </w:r>
            <w:r>
              <w:rPr>
                <w:rFonts w:hint="eastAsia" w:ascii="宋体" w:hAnsi="宋体" w:eastAsia="宋体" w:cs="宋体"/>
                <w:b w:val="0"/>
                <w:bCs w:val="0"/>
                <w:color w:val="auto"/>
                <w:sz w:val="24"/>
                <w:szCs w:val="24"/>
                <w:highlight w:val="none"/>
              </w:rPr>
              <w:t>输出给定电压0～±15V连续可调，有电压输出开关，±电压切换开关。</w:t>
            </w:r>
            <w:r>
              <w:rPr>
                <w:rFonts w:hint="eastAsia" w:ascii="宋体" w:hAnsi="宋体" w:eastAsia="宋体" w:cs="宋体"/>
                <w:b w:val="0"/>
                <w:bCs w:val="0"/>
                <w:color w:val="auto"/>
                <w:sz w:val="24"/>
                <w:szCs w:val="24"/>
                <w:highlight w:val="none"/>
                <w:lang w:val="en-US" w:eastAsia="zh-CN"/>
              </w:rPr>
              <w:t>不少于以下核心器件：DCDC隔离电源模块1个、500Ω电位器2个、18.5×17.3mm-黑色电位器帽2个、三位半直流电压表1个、钮子开关2个、贴片电阻1个、贴片二极管1个、贴片电容6个、磁吸立柱4只、透明底盒1个。</w:t>
            </w:r>
          </w:p>
          <w:p w14:paraId="0D3EF31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8）调节器一1个：</w:t>
            </w:r>
            <w:r>
              <w:rPr>
                <w:rFonts w:hint="eastAsia" w:ascii="宋体" w:hAnsi="宋体" w:eastAsia="宋体" w:cs="宋体"/>
                <w:b w:val="0"/>
                <w:bCs w:val="0"/>
                <w:color w:val="auto"/>
                <w:sz w:val="24"/>
                <w:szCs w:val="24"/>
                <w:highlight w:val="none"/>
              </w:rPr>
              <w:t>对给定和反馈两个输入量进行加法、减法、比例、积分和微分等运算</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线路板采用贴片器件焊接工艺，不少于以下核心器件：4.7K电位器2个、10K电位器1个、18.5×17.3mm-黑色电位器帽3个、UA741贴片芯片1个、电源模块1个、磁吸立柱4只、透明底盒1个</w:t>
            </w:r>
          </w:p>
          <w:p w14:paraId="538A846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9）调节器二1个：</w:t>
            </w:r>
            <w:r>
              <w:rPr>
                <w:rFonts w:hint="eastAsia" w:ascii="宋体" w:hAnsi="宋体" w:eastAsia="宋体" w:cs="宋体"/>
                <w:b w:val="0"/>
                <w:bCs w:val="0"/>
                <w:color w:val="auto"/>
                <w:sz w:val="24"/>
                <w:szCs w:val="24"/>
                <w:highlight w:val="none"/>
              </w:rPr>
              <w:t>对给定和反馈两个输入量进行加法、减法、比例、积分和微分等运算</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线路板采用贴片器件焊接工艺，不少于以下核心器件：4.7K电位器2个、10K电位器1个、18.5×17.3mm-黑色电位器帽3个、UA741贴片芯片1个、电源模块1个、磁吸立柱4只、透明底盒1个</w:t>
            </w:r>
          </w:p>
          <w:p w14:paraId="466772D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反馈与过流保护</w:t>
            </w:r>
            <w:r>
              <w:rPr>
                <w:rFonts w:hint="eastAsia" w:ascii="宋体" w:hAnsi="宋体" w:eastAsia="宋体" w:cs="宋体"/>
                <w:b w:val="0"/>
                <w:bCs w:val="0"/>
                <w:color w:val="auto"/>
                <w:sz w:val="24"/>
                <w:szCs w:val="24"/>
                <w:highlight w:val="none"/>
                <w:lang w:val="en-US" w:eastAsia="zh-CN"/>
              </w:rPr>
              <w:t>电路1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检测主电源输出的电流反馈信号，整流后输出相应的电压信号</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线路板采用贴片器件焊接工艺，</w:t>
            </w:r>
            <w:r>
              <w:rPr>
                <w:rFonts w:hint="eastAsia" w:ascii="宋体" w:hAnsi="宋体" w:eastAsia="宋体" w:cs="宋体"/>
                <w:b w:val="0"/>
                <w:bCs w:val="0"/>
                <w:color w:val="auto"/>
                <w:sz w:val="24"/>
                <w:szCs w:val="24"/>
                <w:highlight w:val="none"/>
                <w:lang w:val="en-US" w:eastAsia="zh-CN"/>
              </w:rPr>
              <w:t>不少于以下核心器件：12V通讯继电器1个、1K多圈电位器2个、18.5×17.3mm-黑色电位器帽2个、电源隔离模块1个、复位按钮1个、发光二极管1个、磁吸立柱4只、透明底盒1个。</w:t>
            </w:r>
          </w:p>
          <w:p w14:paraId="0C93766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11）信号变换电路1个：</w:t>
            </w:r>
            <w:r>
              <w:rPr>
                <w:rFonts w:hint="eastAsia" w:ascii="宋体" w:hAnsi="宋体" w:eastAsia="宋体" w:cs="宋体"/>
                <w:b w:val="0"/>
                <w:bCs w:val="0"/>
                <w:color w:val="auto"/>
                <w:sz w:val="24"/>
                <w:szCs w:val="24"/>
                <w:highlight w:val="none"/>
              </w:rPr>
              <w:t>输入电压0～300V，</w:t>
            </w:r>
            <w:r>
              <w:rPr>
                <w:rFonts w:hint="eastAsia" w:ascii="宋体" w:hAnsi="宋体" w:eastAsia="宋体" w:cs="宋体"/>
                <w:b w:val="0"/>
                <w:bCs w:val="0"/>
                <w:color w:val="auto"/>
                <w:sz w:val="24"/>
                <w:szCs w:val="24"/>
                <w:highlight w:val="none"/>
                <w:lang w:val="en-US" w:eastAsia="zh-CN"/>
              </w:rPr>
              <w:t>变换</w:t>
            </w:r>
            <w:r>
              <w:rPr>
                <w:rFonts w:hint="eastAsia" w:ascii="宋体" w:hAnsi="宋体" w:eastAsia="宋体" w:cs="宋体"/>
                <w:b w:val="0"/>
                <w:bCs w:val="0"/>
                <w:color w:val="auto"/>
                <w:sz w:val="24"/>
                <w:szCs w:val="24"/>
                <w:highlight w:val="none"/>
              </w:rPr>
              <w:t>输出电压0～10V，测量精度0.2级</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电阻分压器对输出的转速信号按比例调节输出，可输出同相或反相信号</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磁吸立柱4只、透明底盒1个。</w:t>
            </w:r>
          </w:p>
          <w:p w14:paraId="0E53FF9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12）新</w:t>
            </w:r>
            <w:r>
              <w:rPr>
                <w:rFonts w:hint="eastAsia" w:ascii="宋体" w:hAnsi="宋体" w:eastAsia="宋体" w:cs="宋体"/>
                <w:b w:val="0"/>
                <w:bCs w:val="0"/>
                <w:color w:val="auto"/>
                <w:sz w:val="24"/>
                <w:szCs w:val="24"/>
                <w:highlight w:val="none"/>
              </w:rPr>
              <w:t>器件特性</w:t>
            </w:r>
            <w:r>
              <w:rPr>
                <w:rFonts w:hint="eastAsia" w:ascii="宋体" w:hAnsi="宋体" w:eastAsia="宋体" w:cs="宋体"/>
                <w:b w:val="0"/>
                <w:bCs w:val="0"/>
                <w:color w:val="auto"/>
                <w:sz w:val="24"/>
                <w:szCs w:val="24"/>
                <w:highlight w:val="none"/>
                <w:lang w:val="en-US" w:eastAsia="zh-CN"/>
              </w:rPr>
              <w:t>1个：由SCR(单向晶闸管 ) 、 MOSFET(功率场效应晶体管、IGBT( 绝缘双极性晶体管）GTO(门极可关断晶闸管 )、GTR(大功率晶体管 ) 五种功率器件组成。磁吸立柱4只、透明底盒1个。</w:t>
            </w:r>
          </w:p>
          <w:p w14:paraId="3E7DCFA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13）</w:t>
            </w:r>
            <w:r>
              <w:rPr>
                <w:rFonts w:hint="eastAsia" w:ascii="宋体" w:hAnsi="宋体" w:eastAsia="宋体" w:cs="宋体"/>
                <w:b w:val="0"/>
                <w:bCs w:val="0"/>
                <w:color w:val="auto"/>
                <w:sz w:val="24"/>
                <w:szCs w:val="24"/>
                <w:highlight w:val="none"/>
              </w:rPr>
              <w:t>单相</w:t>
            </w:r>
            <w:r>
              <w:rPr>
                <w:rFonts w:hint="eastAsia" w:ascii="宋体" w:hAnsi="宋体" w:eastAsia="宋体" w:cs="宋体"/>
                <w:b w:val="0"/>
                <w:bCs w:val="0"/>
                <w:color w:val="auto"/>
                <w:sz w:val="24"/>
                <w:szCs w:val="24"/>
                <w:highlight w:val="none"/>
                <w:lang w:val="en-US" w:eastAsia="zh-CN"/>
              </w:rPr>
              <w:t>交直交</w:t>
            </w:r>
            <w:r>
              <w:rPr>
                <w:rFonts w:hint="eastAsia" w:ascii="宋体" w:hAnsi="宋体" w:eastAsia="宋体" w:cs="宋体"/>
                <w:b w:val="0"/>
                <w:bCs w:val="0"/>
                <w:color w:val="auto"/>
                <w:sz w:val="24"/>
                <w:szCs w:val="24"/>
                <w:highlight w:val="none"/>
              </w:rPr>
              <w:t>控制电路</w:t>
            </w:r>
            <w:r>
              <w:rPr>
                <w:rFonts w:hint="eastAsia" w:ascii="宋体" w:hAnsi="宋体" w:eastAsia="宋体" w:cs="宋体"/>
                <w:b w:val="0"/>
                <w:bCs w:val="0"/>
                <w:color w:val="auto"/>
                <w:sz w:val="24"/>
                <w:szCs w:val="24"/>
                <w:highlight w:val="none"/>
                <w:lang w:val="en-US" w:eastAsia="zh-CN"/>
              </w:rPr>
              <w:t>1个</w:t>
            </w:r>
            <w:r>
              <w:rPr>
                <w:rFonts w:hint="eastAsia" w:ascii="宋体" w:hAnsi="宋体" w:eastAsia="宋体" w:cs="宋体"/>
                <w:b w:val="0"/>
                <w:bCs w:val="0"/>
                <w:color w:val="auto"/>
                <w:sz w:val="24"/>
                <w:szCs w:val="24"/>
                <w:highlight w:val="none"/>
                <w:lang w:eastAsia="zh-CN"/>
              </w:rPr>
              <w:t>：控制电路由两片XR2206及外围元器件等组成，其中一片XR2206产生一路三角波，另一片产生一路频率可调的正弦波，调节“正弦波频率调节电位器”可调节正弦波的频率，调节范围≈5～60Hz。三角波输出频率为≈10kHz，可减少输出谐波分量，输出各点波形可观测。</w:t>
            </w:r>
            <w:r>
              <w:rPr>
                <w:rFonts w:hint="eastAsia" w:ascii="宋体" w:hAnsi="宋体" w:eastAsia="宋体" w:cs="宋体"/>
                <w:b w:val="0"/>
                <w:bCs w:val="0"/>
                <w:color w:val="auto"/>
                <w:sz w:val="24"/>
                <w:szCs w:val="24"/>
                <w:highlight w:val="none"/>
                <w:lang w:val="en-US" w:eastAsia="zh-CN"/>
              </w:rPr>
              <w:t>磁吸立柱4只、透明底盒1个</w:t>
            </w:r>
            <w:r>
              <w:rPr>
                <w:rFonts w:hint="eastAsia" w:ascii="宋体" w:hAnsi="宋体" w:eastAsia="宋体" w:cs="宋体"/>
                <w:b w:val="0"/>
                <w:bCs w:val="0"/>
                <w:color w:val="auto"/>
                <w:sz w:val="24"/>
                <w:szCs w:val="24"/>
                <w:highlight w:val="none"/>
              </w:rPr>
              <w:t>。</w:t>
            </w:r>
          </w:p>
          <w:p w14:paraId="3EC2574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14）</w:t>
            </w:r>
            <w:r>
              <w:rPr>
                <w:rFonts w:hint="eastAsia" w:ascii="宋体" w:hAnsi="宋体" w:eastAsia="宋体" w:cs="宋体"/>
                <w:b w:val="0"/>
                <w:bCs w:val="0"/>
                <w:color w:val="auto"/>
                <w:sz w:val="24"/>
                <w:szCs w:val="24"/>
                <w:highlight w:val="none"/>
              </w:rPr>
              <w:t>三相交直交控制电路</w:t>
            </w:r>
            <w:r>
              <w:rPr>
                <w:rFonts w:hint="eastAsia" w:ascii="宋体" w:hAnsi="宋体" w:eastAsia="宋体" w:cs="宋体"/>
                <w:b w:val="0"/>
                <w:bCs w:val="0"/>
                <w:color w:val="auto"/>
                <w:sz w:val="24"/>
                <w:szCs w:val="24"/>
                <w:highlight w:val="none"/>
                <w:lang w:val="en-US" w:eastAsia="zh-CN"/>
              </w:rPr>
              <w:t>1个：</w:t>
            </w:r>
            <w:r>
              <w:rPr>
                <w:rFonts w:hint="eastAsia" w:ascii="宋体" w:hAnsi="宋体" w:eastAsia="宋体" w:cs="宋体"/>
                <w:b w:val="0"/>
                <w:bCs w:val="0"/>
                <w:color w:val="auto"/>
                <w:sz w:val="24"/>
                <w:szCs w:val="24"/>
                <w:highlight w:val="none"/>
              </w:rPr>
              <w:t>控制电路由数字芯片组成，输出6路SPWM波，输出各点波形可观测。</w:t>
            </w:r>
            <w:r>
              <w:rPr>
                <w:rFonts w:hint="eastAsia" w:ascii="宋体" w:hAnsi="宋体" w:eastAsia="宋体" w:cs="宋体"/>
                <w:color w:val="auto"/>
                <w:sz w:val="24"/>
                <w:szCs w:val="24"/>
                <w:highlight w:val="none"/>
                <w:lang w:val="en-US" w:eastAsia="zh-CN"/>
              </w:rPr>
              <w:t>磁吸立柱4只、透明底盒1个。</w:t>
            </w:r>
          </w:p>
          <w:p w14:paraId="44C9E3B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15）</w:t>
            </w:r>
            <w:r>
              <w:rPr>
                <w:rFonts w:hint="eastAsia" w:ascii="宋体" w:hAnsi="宋体" w:eastAsia="宋体" w:cs="宋体"/>
                <w:b w:val="0"/>
                <w:bCs w:val="0"/>
                <w:color w:val="auto"/>
                <w:sz w:val="24"/>
                <w:szCs w:val="24"/>
                <w:highlight w:val="none"/>
              </w:rPr>
              <w:t>IGBT驱动与保护电路</w:t>
            </w:r>
            <w:r>
              <w:rPr>
                <w:rFonts w:hint="eastAsia" w:ascii="宋体" w:hAnsi="宋体" w:eastAsia="宋体" w:cs="宋体"/>
                <w:b w:val="0"/>
                <w:bCs w:val="0"/>
                <w:color w:val="auto"/>
                <w:sz w:val="24"/>
                <w:szCs w:val="24"/>
                <w:highlight w:val="none"/>
                <w:lang w:val="en-US" w:eastAsia="zh-CN"/>
              </w:rPr>
              <w:t>3个：</w:t>
            </w:r>
            <w:r>
              <w:rPr>
                <w:rFonts w:hint="eastAsia" w:ascii="宋体" w:hAnsi="宋体" w:eastAsia="宋体" w:cs="宋体"/>
                <w:b w:val="0"/>
                <w:bCs w:val="0"/>
                <w:color w:val="auto"/>
                <w:sz w:val="24"/>
                <w:szCs w:val="24"/>
                <w:highlight w:val="none"/>
              </w:rPr>
              <w:t>由CPLD保护电路，光耦隔离电路，IGBT管组成，一共提供3路IGBT驱动和保护电路模块，可组成半桥、全桥逆变输出。</w:t>
            </w:r>
            <w:r>
              <w:rPr>
                <w:rFonts w:hint="eastAsia" w:ascii="宋体" w:hAnsi="宋体" w:eastAsia="宋体" w:cs="宋体"/>
                <w:color w:val="auto"/>
                <w:sz w:val="24"/>
                <w:szCs w:val="24"/>
                <w:highlight w:val="none"/>
                <w:lang w:val="en-US" w:eastAsia="zh-CN"/>
              </w:rPr>
              <w:t>磁吸立柱4只、透明底盒1个。</w:t>
            </w:r>
          </w:p>
          <w:p w14:paraId="0023570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16）</w:t>
            </w:r>
            <w:r>
              <w:rPr>
                <w:rFonts w:hint="eastAsia" w:ascii="宋体" w:hAnsi="宋体" w:eastAsia="宋体" w:cs="宋体"/>
                <w:b w:val="0"/>
                <w:bCs w:val="0"/>
                <w:color w:val="auto"/>
                <w:sz w:val="24"/>
                <w:szCs w:val="24"/>
                <w:highlight w:val="none"/>
              </w:rPr>
              <w:t>PWM</w:t>
            </w:r>
            <w:r>
              <w:rPr>
                <w:rFonts w:hint="eastAsia" w:ascii="宋体" w:hAnsi="宋体" w:eastAsia="宋体" w:cs="宋体"/>
                <w:b w:val="0"/>
                <w:bCs w:val="0"/>
                <w:color w:val="auto"/>
                <w:sz w:val="24"/>
                <w:szCs w:val="24"/>
                <w:highlight w:val="none"/>
                <w:lang w:val="en-US" w:eastAsia="zh-CN"/>
              </w:rPr>
              <w:t>输出电路1个：由CPLD保护电路、SG3525PWM输出电路组成，半波、全波脉冲输出可切换，脉冲频率档位可切换，低档≈5KHz，高档≈10KHz。</w:t>
            </w:r>
          </w:p>
          <w:p w14:paraId="4CB0A23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17）</w:t>
            </w:r>
            <w:r>
              <w:rPr>
                <w:rFonts w:hint="eastAsia" w:ascii="宋体" w:hAnsi="宋体" w:eastAsia="宋体" w:cs="宋体"/>
                <w:b w:val="0"/>
                <w:bCs w:val="0"/>
                <w:color w:val="auto"/>
                <w:sz w:val="24"/>
                <w:szCs w:val="24"/>
                <w:highlight w:val="none"/>
              </w:rPr>
              <w:t>斩波电路</w:t>
            </w:r>
            <w:r>
              <w:rPr>
                <w:rFonts w:hint="eastAsia" w:ascii="宋体" w:hAnsi="宋体" w:eastAsia="宋体" w:cs="宋体"/>
                <w:b w:val="0"/>
                <w:bCs w:val="0"/>
                <w:color w:val="auto"/>
                <w:sz w:val="24"/>
                <w:szCs w:val="24"/>
                <w:highlight w:val="none"/>
                <w:lang w:val="en-US" w:eastAsia="zh-CN"/>
              </w:rPr>
              <w:t>6个：包含</w:t>
            </w:r>
            <w:r>
              <w:rPr>
                <w:rFonts w:hint="eastAsia" w:ascii="宋体" w:hAnsi="宋体" w:eastAsia="宋体" w:cs="宋体"/>
                <w:b w:val="0"/>
                <w:bCs w:val="0"/>
                <w:color w:val="auto"/>
                <w:sz w:val="24"/>
                <w:szCs w:val="24"/>
                <w:highlight w:val="none"/>
              </w:rPr>
              <w:t>升压斩波电路、降压斩波电路、升降压斩波电路、cuk斩波电路、sepic斩波电路、zeta斩波电路</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7EAA625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18）</w:t>
            </w:r>
            <w:r>
              <w:rPr>
                <w:rFonts w:hint="eastAsia" w:ascii="宋体" w:hAnsi="宋体" w:eastAsia="宋体" w:cs="宋体"/>
                <w:b w:val="0"/>
                <w:bCs w:val="0"/>
                <w:color w:val="auto"/>
                <w:sz w:val="24"/>
                <w:szCs w:val="24"/>
                <w:highlight w:val="none"/>
              </w:rPr>
              <w:t>滤波电路</w:t>
            </w:r>
            <w:r>
              <w:rPr>
                <w:rFonts w:hint="eastAsia" w:ascii="宋体" w:hAnsi="宋体" w:eastAsia="宋体" w:cs="宋体"/>
                <w:b w:val="0"/>
                <w:bCs w:val="0"/>
                <w:color w:val="auto"/>
                <w:sz w:val="24"/>
                <w:szCs w:val="24"/>
                <w:highlight w:val="none"/>
                <w:lang w:val="en-US" w:eastAsia="zh-CN"/>
              </w:rPr>
              <w:t>1个：包含两个整流二极管（2A/400V）、三个功率电感、三个高压电容组成LC滤波电路，截止频率≈1KHz。</w:t>
            </w:r>
            <w:r>
              <w:rPr>
                <w:rFonts w:hint="eastAsia" w:ascii="宋体" w:hAnsi="宋体" w:eastAsia="宋体" w:cs="宋体"/>
                <w:color w:val="auto"/>
                <w:sz w:val="24"/>
                <w:szCs w:val="24"/>
                <w:highlight w:val="none"/>
                <w:lang w:val="en-US" w:eastAsia="zh-CN"/>
              </w:rPr>
              <w:t>磁吸立柱4只、透明底盒1个。</w:t>
            </w:r>
          </w:p>
          <w:p w14:paraId="15DF576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19）</w:t>
            </w:r>
            <w:r>
              <w:rPr>
                <w:rFonts w:hint="eastAsia" w:ascii="宋体" w:hAnsi="宋体" w:eastAsia="宋体" w:cs="宋体"/>
                <w:b w:val="0"/>
                <w:bCs w:val="0"/>
                <w:color w:val="auto"/>
                <w:sz w:val="24"/>
                <w:szCs w:val="24"/>
                <w:highlight w:val="none"/>
              </w:rPr>
              <w:t>三相整流滤波</w:t>
            </w:r>
            <w:r>
              <w:rPr>
                <w:rFonts w:hint="eastAsia" w:ascii="宋体" w:hAnsi="宋体" w:eastAsia="宋体" w:cs="宋体"/>
                <w:b w:val="0"/>
                <w:bCs w:val="0"/>
                <w:color w:val="auto"/>
                <w:sz w:val="24"/>
                <w:szCs w:val="24"/>
                <w:highlight w:val="none"/>
                <w:lang w:val="en-US" w:eastAsia="zh-CN"/>
              </w:rPr>
              <w:t>电路1个：</w:t>
            </w:r>
            <w:r>
              <w:rPr>
                <w:rFonts w:hint="eastAsia" w:ascii="宋体" w:hAnsi="宋体" w:eastAsia="宋体" w:cs="宋体"/>
                <w:b w:val="0"/>
                <w:bCs w:val="0"/>
                <w:color w:val="auto"/>
                <w:sz w:val="24"/>
                <w:szCs w:val="24"/>
                <w:highlight w:val="none"/>
              </w:rPr>
              <w:t>包含6个整流二极管，滤波电容，最大输出电流200V/2A</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6943C1E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20）</w:t>
            </w:r>
            <w:r>
              <w:rPr>
                <w:rFonts w:hint="eastAsia" w:ascii="宋体" w:hAnsi="宋体" w:eastAsia="宋体" w:cs="宋体"/>
                <w:b w:val="0"/>
                <w:bCs w:val="0"/>
                <w:color w:val="auto"/>
                <w:sz w:val="24"/>
                <w:szCs w:val="24"/>
                <w:highlight w:val="none"/>
              </w:rPr>
              <w:t>负载</w:t>
            </w:r>
            <w:r>
              <w:rPr>
                <w:rFonts w:hint="eastAsia" w:ascii="宋体" w:hAnsi="宋体" w:eastAsia="宋体" w:cs="宋体"/>
                <w:b w:val="0"/>
                <w:bCs w:val="0"/>
                <w:color w:val="auto"/>
                <w:sz w:val="24"/>
                <w:szCs w:val="24"/>
                <w:highlight w:val="none"/>
                <w:lang w:val="en-US" w:eastAsia="zh-CN"/>
              </w:rPr>
              <w:t>电路1个：</w:t>
            </w:r>
            <w:r>
              <w:rPr>
                <w:rFonts w:hint="eastAsia" w:ascii="宋体" w:hAnsi="宋体" w:eastAsia="宋体" w:cs="宋体"/>
                <w:b w:val="0"/>
                <w:bCs w:val="0"/>
                <w:color w:val="auto"/>
                <w:sz w:val="24"/>
                <w:szCs w:val="24"/>
                <w:highlight w:val="none"/>
              </w:rPr>
              <w:t>包含220V/25W灯泡，功率电感</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04A2FED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21）触发电路一1个：由</w:t>
            </w:r>
            <w:r>
              <w:rPr>
                <w:rFonts w:hint="eastAsia" w:ascii="宋体" w:hAnsi="宋体" w:eastAsia="宋体" w:cs="宋体"/>
                <w:b w:val="0"/>
                <w:bCs w:val="0"/>
                <w:color w:val="auto"/>
                <w:sz w:val="24"/>
                <w:szCs w:val="24"/>
                <w:highlight w:val="none"/>
              </w:rPr>
              <w:t>同步变压器、稳压电路、BT35振荡电路，驱动电路和脉冲变压器组成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7C44151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22）触发电路二1个：由</w:t>
            </w:r>
            <w:r>
              <w:rPr>
                <w:rFonts w:hint="eastAsia" w:ascii="宋体" w:hAnsi="宋体" w:eastAsia="宋体" w:cs="宋体"/>
                <w:b w:val="0"/>
                <w:bCs w:val="0"/>
                <w:color w:val="auto"/>
                <w:sz w:val="24"/>
                <w:szCs w:val="24"/>
                <w:highlight w:val="none"/>
              </w:rPr>
              <w:t>同步变压器，同步移相、脉冲放大环节，脉冲脉冲输出组成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364C86E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23）触发电路三1个：由同步变压器、同步检测、锯齿波形成、移相控制、脉冲形成、脉冲放大等环节组成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235A1D9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24）</w:t>
            </w:r>
            <w:r>
              <w:rPr>
                <w:rFonts w:hint="eastAsia" w:ascii="宋体" w:hAnsi="宋体" w:eastAsia="宋体" w:cs="宋体"/>
                <w:b w:val="0"/>
                <w:bCs w:val="0"/>
                <w:color w:val="auto"/>
                <w:sz w:val="24"/>
                <w:szCs w:val="24"/>
                <w:highlight w:val="none"/>
              </w:rPr>
              <w:t>单相交流调压</w:t>
            </w:r>
            <w:r>
              <w:rPr>
                <w:rFonts w:hint="eastAsia" w:ascii="宋体" w:hAnsi="宋体" w:eastAsia="宋体" w:cs="宋体"/>
                <w:b w:val="0"/>
                <w:bCs w:val="0"/>
                <w:color w:val="auto"/>
                <w:sz w:val="24"/>
                <w:szCs w:val="24"/>
                <w:highlight w:val="none"/>
                <w:lang w:val="en-US" w:eastAsia="zh-CN"/>
              </w:rPr>
              <w:t>电路1个：由</w:t>
            </w:r>
            <w:r>
              <w:rPr>
                <w:rFonts w:hint="eastAsia" w:ascii="宋体" w:hAnsi="宋体" w:eastAsia="宋体" w:cs="宋体"/>
                <w:b w:val="0"/>
                <w:bCs w:val="0"/>
                <w:color w:val="auto"/>
                <w:sz w:val="24"/>
                <w:szCs w:val="24"/>
                <w:highlight w:val="none"/>
              </w:rPr>
              <w:t>同步变压器、稳压电路、KC05集成电路，驱动电路和脉冲变压器组成</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532EBFC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rPr>
              <w:t>单相交流调功</w:t>
            </w:r>
            <w:r>
              <w:rPr>
                <w:rFonts w:hint="eastAsia" w:ascii="宋体" w:hAnsi="宋体" w:eastAsia="宋体" w:cs="宋体"/>
                <w:b w:val="0"/>
                <w:bCs w:val="0"/>
                <w:color w:val="auto"/>
                <w:sz w:val="24"/>
                <w:szCs w:val="24"/>
                <w:highlight w:val="none"/>
                <w:lang w:val="en-US" w:eastAsia="zh-CN"/>
              </w:rPr>
              <w:t>电路1个：交流调压电路由双向触发二极管构成触发电路，触发双向晶闸管，触发角度由移相控制电位器控制；电路由555时基电路构成触发电路。</w:t>
            </w:r>
            <w:r>
              <w:rPr>
                <w:rFonts w:hint="eastAsia" w:ascii="宋体" w:hAnsi="宋体" w:eastAsia="宋体" w:cs="宋体"/>
                <w:color w:val="auto"/>
                <w:sz w:val="24"/>
                <w:szCs w:val="24"/>
                <w:highlight w:val="none"/>
                <w:lang w:val="en-US" w:eastAsia="zh-CN"/>
              </w:rPr>
              <w:t>磁吸立柱4只、透明底盒1个。</w:t>
            </w:r>
          </w:p>
          <w:p w14:paraId="335346F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26）</w:t>
            </w:r>
            <w:r>
              <w:rPr>
                <w:rFonts w:hint="eastAsia" w:ascii="宋体" w:hAnsi="宋体" w:eastAsia="宋体" w:cs="宋体"/>
                <w:color w:val="auto"/>
                <w:sz w:val="24"/>
                <w:szCs w:val="24"/>
                <w:highlight w:val="none"/>
              </w:rPr>
              <w:t>DSP控制模块</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lang w:eastAsia="zh-CN"/>
              </w:rPr>
              <w:t>：由DSP28335芯片、CPLD保护电路、接口电路组成，可完成逆变实验、电机调速等实验。</w:t>
            </w:r>
            <w:r>
              <w:rPr>
                <w:rFonts w:hint="eastAsia" w:ascii="宋体" w:hAnsi="宋体" w:eastAsia="宋体" w:cs="宋体"/>
                <w:color w:val="auto"/>
                <w:sz w:val="24"/>
                <w:szCs w:val="24"/>
                <w:highlight w:val="none"/>
                <w:lang w:val="en-US" w:eastAsia="zh-CN"/>
              </w:rPr>
              <w:t>磁吸立柱4只、透明底盒1个</w:t>
            </w:r>
          </w:p>
          <w:p w14:paraId="2C58B1E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27）</w:t>
            </w:r>
            <w:r>
              <w:rPr>
                <w:rFonts w:hint="eastAsia" w:ascii="宋体" w:hAnsi="宋体" w:eastAsia="宋体" w:cs="宋体"/>
                <w:color w:val="auto"/>
                <w:sz w:val="24"/>
                <w:szCs w:val="24"/>
                <w:highlight w:val="none"/>
              </w:rPr>
              <w:t>电流检测模块</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由电流检测隔离电路、单片机测量电路、电流显示电路、保护电路组成，可测量直流/交流电流，测量范围±2.5A，测量精度0.5级，±2.5A电流模拟量按0～3VDC，提供2路电流检测模块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0BE94DA0">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color w:val="auto"/>
                <w:sz w:val="24"/>
                <w:szCs w:val="24"/>
                <w:highlight w:val="none"/>
              </w:rPr>
              <w:t>电压检测模块</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电由压检测隔离电路、单片机测量电路、电压显示电路、保护电路组成，可测量直流/交流电压，测量范围±400V，测量精度0.5级，±400V电流模拟量按0～3VDC</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磁吸立柱4只、透明底盒1个</w:t>
            </w:r>
          </w:p>
          <w:p w14:paraId="1996B1D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4.电机调速系统</w:t>
            </w:r>
          </w:p>
          <w:p w14:paraId="79CFBE4B">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安装导轨1个：不锈钢导轨平整度好，无应力变形，保证电机与电机、电机与测功机之间连接的同心度不超过±5丝。采用高精度1024增量式光电编码器；显示电机转速，显示范围±1500r/min，显示精度0.5级；转速模拟量输出范围±0～7.5V，对应转速0～±1500r/min，线性度为100r/min/0.5V。</w:t>
            </w:r>
          </w:p>
          <w:p w14:paraId="696F405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（2）直流发电机1个：DC220V供电，额定电流≧1.0A，额定转速≧1500 r/min，额定功率功率≧200W。</w:t>
            </w:r>
          </w:p>
          <w:p w14:paraId="37BE514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（3）直流并励电动机1个：DC220V供电，额定电流≧1.0A，额定转速≧1500 r/min，额定功率功率≧185W。</w:t>
            </w:r>
          </w:p>
          <w:p w14:paraId="39F47E3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（4）三相线绕式异步电动机1个：AC220V供电，额定电流≧0.5A，额定转速≧1300 r/min，额定功率功率≧100W。</w:t>
            </w:r>
          </w:p>
          <w:p w14:paraId="4222773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spacing w:val="-2"/>
                <w:sz w:val="24"/>
                <w:szCs w:val="24"/>
                <w:highlight w:val="none"/>
                <w:lang w:val="en-US" w:eastAsia="zh-CN"/>
              </w:rPr>
              <w:t>5.</w:t>
            </w:r>
            <w:r>
              <w:rPr>
                <w:rFonts w:hint="eastAsia" w:ascii="宋体" w:hAnsi="宋体" w:eastAsia="宋体" w:cs="宋体"/>
                <w:b/>
                <w:color w:val="auto"/>
                <w:kern w:val="0"/>
                <w:sz w:val="24"/>
                <w:szCs w:val="24"/>
                <w:highlight w:val="none"/>
                <w:lang w:val="en-US" w:eastAsia="zh-CN"/>
              </w:rPr>
              <w:t>虚拟仪器及数采集系统（实验室配1套）</w:t>
            </w:r>
          </w:p>
          <w:p w14:paraId="5EA688EB">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val="0"/>
                <w:color w:val="auto"/>
                <w:kern w:val="0"/>
                <w:sz w:val="24"/>
                <w:szCs w:val="24"/>
                <w:highlight w:val="none"/>
                <w:lang w:val="en-US" w:eastAsia="zh-CN"/>
              </w:rPr>
              <w:t>（1）磁吸式示教模块应由透明元件盒及PCB板构成，元件盒应由透明有机工程塑料注塑而成，面板采用PCB板制作而成，要求白底黑字。元件盒体需一次性成型，外形尺寸200 mm×120 mm×25mm（±5mm），通过磁吸式可快速固定到示教系统板上，带宽≥35MHz，不少于2通道，标配总线触发/解码功能（IIC，SPI，UART，LIN，CAN），每通道有独立电压档位旋钮，模拟输入端过压保护：±60.0v (x1), ±600.0v(x10).(DC+AC peak)。（投标时提供技术佐证材料）。</w:t>
            </w:r>
          </w:p>
          <w:p w14:paraId="3B881E4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（2）垂直灵敏度：≥20mV/div～2V/div，时基挡位：≥20ns/div～72min/div；</w:t>
            </w:r>
          </w:p>
          <w:p w14:paraId="24678E7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（3）显示：正常显示和全屏显示可切换，自适应电脑显示器的分辨率，波形缓冲、缩略图显示、PC缓存功能，PC 缓存帧数量最大支持500帧，在高级页中进行设置，有屏幕截图功能，图片可以支持保存为Jpg,Bmp,GIF 三种格式；</w:t>
            </w:r>
          </w:p>
          <w:p w14:paraId="526BB65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（4）智能触发功能：常规触发和单次触发，边沿、脉宽、预设等；</w:t>
            </w:r>
          </w:p>
          <w:p w14:paraId="0F1F6E0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val="0"/>
                <w:color w:val="auto"/>
                <w:kern w:val="0"/>
                <w:sz w:val="24"/>
                <w:szCs w:val="24"/>
                <w:highlight w:val="none"/>
                <w:lang w:val="en-US" w:eastAsia="zh-CN"/>
              </w:rPr>
              <w:t>（5）具有快速傅里叶FFT分析功能，可以打开多条频域 FFT 的测量线，方便观察谐波频率值,可以将测量数据导出，导出数据格式为CSV、TXT，具有FIR数字滤波功能；（投标时提供技术佐证材料）。</w:t>
            </w:r>
          </w:p>
          <w:p w14:paraId="1AB8DD4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（6）连接的打印机,对采集信号数据进行打印功能；</w:t>
            </w:r>
          </w:p>
          <w:p w14:paraId="5FAFE64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val="0"/>
                <w:color w:val="auto"/>
                <w:kern w:val="0"/>
                <w:sz w:val="24"/>
                <w:szCs w:val="24"/>
                <w:highlight w:val="none"/>
                <w:lang w:val="en-US" w:eastAsia="zh-CN"/>
              </w:rPr>
              <w:t>（7）无纸记录仪为软件可扩展功能，具有实时波形记录功能，记录时长≥72H；（投标时提供技术佐证材料）。</w:t>
            </w:r>
          </w:p>
          <w:p w14:paraId="2578C61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（8）数学运算功能：A+B,A-B,A×B,X-Y，波形反向；</w:t>
            </w:r>
          </w:p>
          <w:p w14:paraId="704CA65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val="0"/>
                <w:color w:val="auto"/>
                <w:kern w:val="0"/>
                <w:sz w:val="24"/>
                <w:szCs w:val="24"/>
                <w:highlight w:val="none"/>
                <w:lang w:val="en-US" w:eastAsia="zh-CN"/>
              </w:rPr>
              <w:t>（9）自动测量功能：能自动测量频率、平均值、周期、正负脉宽、占空比、上升时间、有效值等；（投标时提供技术佐证材料）。</w:t>
            </w:r>
          </w:p>
          <w:p w14:paraId="53BCBA7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（10）高级选项里的突出显示功能，可对自动测量的参量进行突出显示，和自动测量功能不冲突；</w:t>
            </w:r>
          </w:p>
          <w:p w14:paraId="6DEF100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val="0"/>
                <w:bCs w:val="0"/>
                <w:color w:val="auto"/>
                <w:kern w:val="0"/>
                <w:sz w:val="24"/>
                <w:szCs w:val="24"/>
                <w:highlight w:val="none"/>
                <w:lang w:val="en-US" w:eastAsia="zh-CN"/>
              </w:rPr>
              <w:t>（11）参考波形对比功能，参考波形对比功能允许用户从 PC 中选择图片文件，导入到波形绘图区作为采集波形绘制的背景，用于将实时采集的波形与导入的图片做参考或者比对。（投标时提供技术佐证材料）。</w:t>
            </w:r>
          </w:p>
          <w:p w14:paraId="4306E55E">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（12）标准配置接口：标准USB接口；可扩展RS232、LAN接口。</w:t>
            </w:r>
          </w:p>
          <w:p w14:paraId="7511B89C">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（13）时间、电压显示可通过鼠标滚轮连续调节。</w:t>
            </w:r>
          </w:p>
          <w:p w14:paraId="39D04D9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rPr>
              <w:t>（14）可选配逻辑分析仪、信号发生器、隔离差分模块、电流差分探头、小信号放大模块、电流互感模块、EMC检测模块等来满足不同学科的实验需求。</w:t>
            </w:r>
          </w:p>
          <w:p w14:paraId="5785047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spacing w:val="-2"/>
                <w:sz w:val="24"/>
                <w:szCs w:val="24"/>
                <w:highlight w:val="none"/>
                <w:lang w:val="en-US" w:eastAsia="zh-CN"/>
              </w:rPr>
            </w:pPr>
            <w:r>
              <w:rPr>
                <w:rFonts w:hint="eastAsia" w:ascii="宋体" w:hAnsi="宋体" w:eastAsia="宋体" w:cs="宋体"/>
                <w:b/>
                <w:color w:val="auto"/>
                <w:spacing w:val="-2"/>
                <w:sz w:val="24"/>
                <w:szCs w:val="24"/>
                <w:highlight w:val="none"/>
                <w:lang w:val="en-US" w:eastAsia="zh-CN"/>
              </w:rPr>
              <w:t>6.智能3D电子开发仿真平台</w:t>
            </w:r>
          </w:p>
          <w:p w14:paraId="72AB849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仿真软件采用Unity3D实时交互引擎开发，提供多常用的电子元件库，为方便使用并将齐归类，至少包含结构元件、被动元件、主动元件、输入元件、输出元件、嵌入式元件、标签元件等，能够根据需求自由拖拽电子元件搭建电路，支持2D模式和3D模式自由切换。</w:t>
            </w:r>
          </w:p>
          <w:p w14:paraId="01325EB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接导线可任意链接，运行时可切换显示当前导线的电压或电流，颜色可随电压或电流大小变化而变化；电路调试中超过电子元件的电压、电流等参数上线均会报警，可以查看电气元件的实时电压、电流、波形等参数，能够模拟真实的调试过程。</w:t>
            </w:r>
          </w:p>
          <w:p w14:paraId="688DC8A9">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导线预设不少于10种颜色可选，电阻元件支持阻值和功率设置；设置完成后电阻元件上的色环随之改变；电容元件支持设置容量，可选陶瓷电容和电解电容；电感元件电感值支持修改；二极管可设置正向导通电压和漏电流、三极管可设置导通极性。</w:t>
            </w:r>
          </w:p>
          <w:p w14:paraId="20A66D2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rPr>
              <w:t>(4)数码管可设置电压、最大电流和工作极性；发光二极管预设不少于7种颜色可选，可设置电压和最大电流；可调电源DC 0-12V可调，信号发生器至少支持正弦波、方波、三角波以及锯齿波，电压和频率均可调。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rPr>
              <w:t>提供软件界面截图不少于</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张</w:t>
            </w:r>
            <w:r>
              <w:rPr>
                <w:rFonts w:hint="eastAsia" w:ascii="宋体" w:hAnsi="宋体" w:eastAsia="宋体" w:cs="宋体"/>
                <w:color w:val="auto"/>
                <w:sz w:val="24"/>
                <w:szCs w:val="24"/>
                <w:highlight w:val="none"/>
                <w:lang w:eastAsia="zh-CN"/>
              </w:rPr>
              <w:t>）</w:t>
            </w:r>
          </w:p>
          <w:p w14:paraId="26BCCFF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(5)集成芯片预设有计时、计数、逻辑、储存、运算放大器不少于5种类型芯片，不同型号数量不少于20种；至少配置Arduino开发版可进行DIY电子仿真，仿真程序可储存为C格式，能够直接下载到实物上应用。</w:t>
            </w:r>
          </w:p>
          <w:p w14:paraId="2AF043E7">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color w:val="auto"/>
                <w:sz w:val="24"/>
                <w:szCs w:val="24"/>
                <w:highlight w:val="none"/>
              </w:rPr>
              <w:t>(6)软件提供了电阻器电路、电容器和电感器电路、电池电平指示电路、晶体管逻辑电路、数字显示电路、LCD显示电路、LM555合音电路、移位存储器电路、SR门极电路、4位寄存器电路、EEPROM程序电路、二进制解码电路、Arduino音频编程、Arduino小游戏编程等不少于14个应用实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rPr>
              <w:t>提供软件界面截图不少于</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张</w:t>
            </w:r>
            <w:r>
              <w:rPr>
                <w:rFonts w:hint="eastAsia" w:ascii="宋体" w:hAnsi="宋体" w:eastAsia="宋体" w:cs="宋体"/>
                <w:color w:val="auto"/>
                <w:sz w:val="24"/>
                <w:szCs w:val="24"/>
                <w:highlight w:val="none"/>
                <w:lang w:eastAsia="zh-CN"/>
              </w:rPr>
              <w:t>）</w:t>
            </w:r>
          </w:p>
          <w:p w14:paraId="15CC3E7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spacing w:val="-2"/>
                <w:sz w:val="24"/>
                <w:szCs w:val="24"/>
                <w:highlight w:val="none"/>
                <w:lang w:val="en-US" w:eastAsia="zh-CN"/>
              </w:rPr>
            </w:pPr>
            <w:r>
              <w:rPr>
                <w:rFonts w:hint="eastAsia" w:ascii="宋体" w:hAnsi="宋体" w:eastAsia="宋体" w:cs="宋体"/>
                <w:b/>
                <w:color w:val="auto"/>
                <w:spacing w:val="-2"/>
                <w:sz w:val="24"/>
                <w:szCs w:val="24"/>
                <w:highlight w:val="none"/>
                <w:lang w:val="en-US" w:eastAsia="zh-CN"/>
              </w:rPr>
              <w:t>7.DSP监控采集上位机软件</w:t>
            </w:r>
          </w:p>
          <w:p w14:paraId="79570D1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提供实验项目中设计性实验配套的上位机软件，对电机的运行状态进行控制，对实验必要的数据进行实时监控反馈。能同时监控两个通道的数据曲线，能监控的数据有“A、B、C相电流波形；比较器1、2、3的波形；A、B、C相调制信号”。</w:t>
            </w:r>
          </w:p>
          <w:p w14:paraId="49DB069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具有“曲线暂停”、“曲线显示”；“网格显示”、“网格清除”；“波形保存”、“波形打印”等功能。时间量程可调节，幅度量程±3V，有波形缩放功能，缩放比是0～2倍。</w:t>
            </w:r>
          </w:p>
          <w:p w14:paraId="1B852E9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spacing w:val="-2"/>
                <w:sz w:val="24"/>
                <w:szCs w:val="24"/>
                <w:highlight w:val="none"/>
                <w:lang w:val="en-US" w:eastAsia="zh-CN"/>
              </w:rPr>
            </w:pPr>
            <w:r>
              <w:rPr>
                <w:rFonts w:hint="eastAsia" w:ascii="宋体" w:hAnsi="宋体" w:eastAsia="宋体" w:cs="宋体"/>
                <w:b/>
                <w:color w:val="auto"/>
                <w:spacing w:val="-2"/>
                <w:sz w:val="24"/>
                <w:szCs w:val="24"/>
                <w:highlight w:val="none"/>
                <w:lang w:val="en-US" w:eastAsia="zh-CN"/>
              </w:rPr>
              <w:t>8.数字示波器</w:t>
            </w:r>
          </w:p>
          <w:p w14:paraId="75EB7B8E">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1）不少于</w:t>
            </w:r>
            <w:r>
              <w:rPr>
                <w:rFonts w:hint="eastAsia" w:ascii="宋体" w:hAnsi="宋体" w:eastAsia="宋体" w:cs="宋体"/>
                <w:color w:val="auto"/>
                <w:sz w:val="24"/>
                <w:szCs w:val="24"/>
                <w:highlight w:val="none"/>
                <w:lang w:eastAsia="zh-CN"/>
              </w:rPr>
              <w:t>100MHz带宽，双通道同时打开时每通道最高实时采样率不低于1GSa/s；</w:t>
            </w:r>
          </w:p>
          <w:p w14:paraId="06C66565">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2个模拟通道；</w:t>
            </w:r>
          </w:p>
          <w:p w14:paraId="7B48BFB1">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存储深度：64kpts；</w:t>
            </w:r>
          </w:p>
          <w:p w14:paraId="0B01605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波形捕获率高达：8,000 wfms/s；</w:t>
            </w:r>
          </w:p>
          <w:p w14:paraId="21D792A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时基范围：2ns/div~50s/div，时基模式Y-T、X-Y、Roll，水平显示16div；</w:t>
            </w:r>
          </w:p>
          <w:p w14:paraId="5140A11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垂直档位:1 mV/div~ 20 V/div ；</w:t>
            </w:r>
          </w:p>
          <w:p w14:paraId="619424DA">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触发类型标配：边沿触发、脉宽触发、斜率触发、视频触发；</w:t>
            </w:r>
          </w:p>
          <w:p w14:paraId="5B4A211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交替模式，通道全部打开，每通道时基独立可调；</w:t>
            </w:r>
          </w:p>
          <w:p w14:paraId="5AE7F50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测量模式:追踪，手动，自动，可测量34种参数，同时显示5种；</w:t>
            </w:r>
          </w:p>
          <w:p w14:paraId="2242627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存储：设置20组设置(内部)、200组设置(U盘)，波形20组波形(内部)、普通/深存储200组波形(U盘)、深存储CSV(U盘)，位图支持一键拷屏至U盘；</w:t>
            </w:r>
          </w:p>
          <w:p w14:paraId="3F690E8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频率计硬件6位频率计；</w:t>
            </w:r>
          </w:p>
          <w:p w14:paraId="274FE9CD">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数学运算：加，减，乘，除，FFT，数字滤波：低通、高通、带通、带阻；</w:t>
            </w:r>
          </w:p>
          <w:p w14:paraId="3A422524">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lang w:eastAsia="zh-CN"/>
              </w:rPr>
              <w:t>多种校准信号输出：10Hz、100Hz、1kHz(默认)、10kHz；</w:t>
            </w:r>
          </w:p>
          <w:p w14:paraId="2DF2194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7英寸TFT LCD，WVGA（800×480），余辉时间：自动/短余辉/长余辉/无限；</w:t>
            </w:r>
          </w:p>
          <w:p w14:paraId="6986C7C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bidi="ar-SA"/>
              </w:rPr>
              <w:t>（15）</w:t>
            </w:r>
            <w:r>
              <w:rPr>
                <w:rFonts w:hint="eastAsia" w:ascii="宋体" w:hAnsi="宋体" w:eastAsia="宋体" w:cs="宋体"/>
                <w:color w:val="auto"/>
                <w:sz w:val="24"/>
                <w:szCs w:val="24"/>
                <w:highlight w:val="none"/>
                <w:lang w:eastAsia="zh-CN"/>
              </w:rPr>
              <w:t>自定义AUTO功能：可对通道设置/采样设置/触发设置/信号识别状态等功能开放或锁定，提高自动设置速度。</w:t>
            </w:r>
          </w:p>
          <w:p w14:paraId="4354354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jc w:val="left"/>
              <w:textAlignment w:val="auto"/>
              <w:outlineLvl w:val="9"/>
              <w:rPr>
                <w:rFonts w:hint="eastAsia" w:ascii="宋体" w:hAnsi="宋体" w:eastAsia="宋体" w:cs="宋体"/>
                <w:b/>
                <w:color w:val="auto"/>
                <w:spacing w:val="-2"/>
                <w:sz w:val="24"/>
                <w:szCs w:val="24"/>
                <w:highlight w:val="none"/>
                <w:lang w:val="en-US" w:eastAsia="zh-CN"/>
              </w:rPr>
            </w:pPr>
            <w:r>
              <w:rPr>
                <w:rFonts w:hint="eastAsia" w:ascii="宋体" w:hAnsi="宋体" w:eastAsia="宋体" w:cs="宋体"/>
                <w:b/>
                <w:color w:val="auto"/>
                <w:spacing w:val="-2"/>
                <w:sz w:val="24"/>
                <w:szCs w:val="24"/>
                <w:highlight w:val="none"/>
                <w:lang w:val="en-US" w:eastAsia="zh-CN"/>
              </w:rPr>
              <w:t>9.编程工作站</w:t>
            </w:r>
          </w:p>
          <w:p w14:paraId="0377AD38">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主体框架采用铝合金型材、冷轧钢板成型件组装结构，外形尺寸：（L×W×H）：605×600×1005mm（±10mm）。</w:t>
            </w:r>
          </w:p>
          <w:p w14:paraId="5BB1A083">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桌面板采用15mmMDF吸塑板，具有抗冲击性能、阻燃性和防静电性能，结合现代人体工程学审美要求，桌面靠人侧采用斜面30°圆弧边设计，呈几字形，</w:t>
            </w:r>
            <w:bookmarkStart w:id="79" w:name="OLE_LINK26"/>
            <w:bookmarkStart w:id="80" w:name="OLE_LINK25"/>
            <w:r>
              <w:rPr>
                <w:rFonts w:hint="eastAsia" w:ascii="宋体" w:hAnsi="宋体" w:eastAsia="宋体" w:cs="宋体"/>
                <w:color w:val="auto"/>
                <w:sz w:val="24"/>
                <w:szCs w:val="24"/>
                <w:highlight w:val="none"/>
                <w:lang w:eastAsia="zh-CN"/>
              </w:rPr>
              <w:t>四边角倒圆R30</w:t>
            </w:r>
            <w:bookmarkEnd w:id="79"/>
            <w:bookmarkEnd w:id="80"/>
            <w:r>
              <w:rPr>
                <w:rFonts w:hint="eastAsia" w:ascii="宋体" w:hAnsi="宋体" w:eastAsia="宋体" w:cs="宋体"/>
                <w:color w:val="auto"/>
                <w:sz w:val="24"/>
                <w:szCs w:val="24"/>
                <w:highlight w:val="none"/>
                <w:lang w:eastAsia="zh-CN"/>
              </w:rPr>
              <w:t>。</w:t>
            </w:r>
          </w:p>
          <w:p w14:paraId="04E18952">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立柱采用3060双面封铝型材，左、右采用L型冷轧钢板一次性成型加固件支撑。</w:t>
            </w:r>
          </w:p>
          <w:p w14:paraId="3DE1745F">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桌面后方设有冷轧钢板冲压成型的围板，避免显示器滑落；桌面下配有冷轧钢板一次成型工艺的键盘托，上方有一次成型凹槽，可收纳笔或小型工具，下方设有可360°旋转收纳的鼠标托板，两侧采用静音导轨，可承重≥10kg。底盘采用冷轧钢板冷冲压成型工艺，设有定位夹，可根据主机宽度大小自由调节定位，底部装四只2寸静音带刹车聚氨酯胶边脚轮，具备减震和缓冲性能。</w:t>
            </w:r>
          </w:p>
          <w:p w14:paraId="03BE798E">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▲（5）金属喷漆(塑)涂层冲击强度（400mm）无剥落、裂纹、皱纹。人造板件封边条表面胶合强度≥0.4MPa。甲醛释放量≤0.05mg/m3。（</w:t>
            </w:r>
            <w:r>
              <w:rPr>
                <w:rFonts w:hint="eastAsia" w:ascii="宋体" w:hAnsi="宋体" w:eastAsia="宋体" w:cs="宋体"/>
                <w:b w:val="0"/>
                <w:bCs w:val="0"/>
                <w:color w:val="auto"/>
                <w:sz w:val="24"/>
                <w:szCs w:val="24"/>
                <w:highlight w:val="none"/>
                <w:vertAlign w:val="baseline"/>
                <w:lang w:val="en-US" w:eastAsia="zh-CN"/>
              </w:rPr>
              <w:t>投标文件中需提供第三方检测机构出具的封面有“CMA”标识的检测报告原件的影印件或扫描件</w:t>
            </w:r>
            <w:r>
              <w:rPr>
                <w:rFonts w:hint="eastAsia" w:ascii="宋体" w:hAnsi="宋体" w:eastAsia="宋体" w:cs="宋体"/>
                <w:color w:val="auto"/>
                <w:sz w:val="24"/>
                <w:szCs w:val="24"/>
                <w:highlight w:val="none"/>
                <w:lang w:val="en-US" w:eastAsia="zh-CN"/>
              </w:rPr>
              <w:t>）</w:t>
            </w:r>
          </w:p>
          <w:p w14:paraId="63DB68F6">
            <w:pPr>
              <w:keepNext w:val="0"/>
              <w:keepLines w:val="0"/>
              <w:pageBreakBefore w:val="0"/>
              <w:widowControl w:val="0"/>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6）编程控制系统：</w:t>
            </w:r>
            <w:r>
              <w:rPr>
                <w:rFonts w:hint="eastAsia" w:ascii="宋体" w:hAnsi="宋体" w:eastAsia="宋体" w:cs="宋体"/>
                <w:color w:val="auto"/>
                <w:sz w:val="24"/>
                <w:szCs w:val="24"/>
                <w:highlight w:val="none"/>
                <w:lang w:eastAsia="zh-CN"/>
              </w:rPr>
              <w:t>CPU：不低于I5；显示器尺寸：≥23英寸；内存：≥8GB；机械硬盘：≥1TB；</w:t>
            </w:r>
          </w:p>
          <w:p w14:paraId="39108D48">
            <w:pPr>
              <w:pStyle w:val="18"/>
              <w:keepNext w:val="0"/>
              <w:keepLines w:val="0"/>
              <w:pageBreakBefore w:val="0"/>
              <w:widowControl w:val="0"/>
              <w:kinsoku/>
              <w:wordWrap/>
              <w:overflowPunct/>
              <w:topLinePunct w:val="0"/>
              <w:bidi w:val="0"/>
              <w:adjustRightInd w:val="0"/>
              <w:snapToGrid w:val="0"/>
              <w:spacing w:before="0" w:line="240" w:lineRule="auto"/>
              <w:ind w:leftChars="0" w:firstLine="0" w:firstLineChars="0"/>
              <w:jc w:val="both"/>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、实验项目</w:t>
            </w:r>
            <w:r>
              <w:rPr>
                <w:rFonts w:hint="eastAsia" w:ascii="宋体" w:hAnsi="宋体" w:eastAsia="宋体" w:cs="宋体"/>
                <w:b/>
                <w:bCs/>
                <w:color w:val="auto"/>
                <w:sz w:val="24"/>
                <w:szCs w:val="24"/>
                <w:highlight w:val="none"/>
                <w:lang w:val="en-US" w:eastAsia="zh-CN"/>
              </w:rPr>
              <w:t>需满足以下：</w:t>
            </w:r>
          </w:p>
          <w:p w14:paraId="538998F7">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电力电子技术实验项目</w:t>
            </w:r>
          </w:p>
          <w:p w14:paraId="56329CF3">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单结晶体管触发电路</w:t>
            </w:r>
          </w:p>
          <w:p w14:paraId="04D99738">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正弦波同步移相触发电路实验</w:t>
            </w:r>
          </w:p>
          <w:p w14:paraId="1466EC5B">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锯齿波同步移相触发电路实验</w:t>
            </w:r>
          </w:p>
          <w:p w14:paraId="681D3FA9">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西门子TCA785集成触发电路实验</w:t>
            </w:r>
          </w:p>
          <w:p w14:paraId="107915CB">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单相半波可控整流电路实验</w:t>
            </w:r>
          </w:p>
          <w:p w14:paraId="6068F5DC">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单相桥式半控整流电路实验</w:t>
            </w:r>
          </w:p>
          <w:p w14:paraId="63FDFC01">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单相桥式全控整流及有源逆变电路实验</w:t>
            </w:r>
          </w:p>
          <w:p w14:paraId="084D5DCE">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三相半波可控整流电路实验</w:t>
            </w:r>
          </w:p>
          <w:p w14:paraId="171DEF02">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三相桥式半控整流电路实验</w:t>
            </w:r>
          </w:p>
          <w:p w14:paraId="1BE23D12">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三相半波有源逆变电路实验</w:t>
            </w:r>
          </w:p>
          <w:p w14:paraId="25013F17">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三相桥式全控整流及有源逆变电路实验</w:t>
            </w:r>
          </w:p>
          <w:p w14:paraId="6FC96289">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单相交流调压电路实验</w:t>
            </w:r>
          </w:p>
          <w:p w14:paraId="213AE2C8">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单相交流调功电路实验</w:t>
            </w:r>
          </w:p>
          <w:p w14:paraId="7BC271C1">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三相交流调压电路实验</w:t>
            </w:r>
          </w:p>
          <w:p w14:paraId="0771D1F9">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单向晶闸管(SCR)特性实验</w:t>
            </w:r>
          </w:p>
          <w:p w14:paraId="71B1F65E">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可关断晶闸管(GTO)特性实验</w:t>
            </w:r>
          </w:p>
          <w:p w14:paraId="1B838E4F">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功率场效应管(MOSFET)特性实验</w:t>
            </w:r>
          </w:p>
          <w:p w14:paraId="391C610D">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电力晶体管(GTR)特性实验</w:t>
            </w:r>
          </w:p>
          <w:p w14:paraId="49FBE0C0">
            <w:pPr>
              <w:keepNext w:val="0"/>
              <w:keepLines w:val="0"/>
              <w:pageBreakBefore w:val="0"/>
              <w:widowControl w:val="0"/>
              <w:numPr>
                <w:ilvl w:val="0"/>
                <w:numId w:val="6"/>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绝缘双极型晶体管(IGBT)特性实验</w:t>
            </w:r>
          </w:p>
          <w:p w14:paraId="5CB71990">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2.典型电力电子器件线路实验</w:t>
            </w:r>
          </w:p>
          <w:p w14:paraId="2CAABF5D">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PWM控制实验</w:t>
            </w:r>
          </w:p>
          <w:p w14:paraId="0E280273">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降压斩波电路（Buck Chopper）实验</w:t>
            </w:r>
          </w:p>
          <w:p w14:paraId="43D89B62">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升压斩波电路（Boost Chopper）实验</w:t>
            </w:r>
          </w:p>
          <w:p w14:paraId="11EE4CA1">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升降压斩波电路（Boost-Buck Chopper）实验</w:t>
            </w:r>
          </w:p>
          <w:p w14:paraId="5413180C">
            <w:pPr>
              <w:keepNext w:val="0"/>
              <w:keepLines w:val="0"/>
              <w:pageBreakBefore w:val="0"/>
              <w:widowControl w:val="0"/>
              <w:numPr>
                <w:ilvl w:val="0"/>
                <w:numId w:val="7"/>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直流斩波电路（Cuk、Sepic、Zeta）实验</w:t>
            </w:r>
          </w:p>
          <w:p w14:paraId="5FBE61D9">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3.单相全桥逆变电路实验</w:t>
            </w:r>
          </w:p>
          <w:p w14:paraId="7DF556B6">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三相桥式逆变电路实验</w:t>
            </w:r>
          </w:p>
          <w:p w14:paraId="1EA2C711">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直流电机调速实验</w:t>
            </w:r>
          </w:p>
          <w:p w14:paraId="13C7F84D">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晶闸管直流调速系统参数和环节特性的测定实验(SCR)</w:t>
            </w:r>
          </w:p>
          <w:p w14:paraId="4FA494DA">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晶闸管直流调速系统主要单元的调试(SCR)</w:t>
            </w:r>
          </w:p>
          <w:p w14:paraId="1E499322">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单闭环(电压单闭环、转速单闭环、电流单闭环)不可逆直流调速系统实验(SCR)</w:t>
            </w:r>
          </w:p>
          <w:p w14:paraId="749403B2">
            <w:pPr>
              <w:keepNext w:val="0"/>
              <w:keepLines w:val="0"/>
              <w:pageBreakBefore w:val="0"/>
              <w:widowControl w:val="0"/>
              <w:numPr>
                <w:ilvl w:val="0"/>
                <w:numId w:val="8"/>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双闭环不可逆直流调速系统实验(SCR)</w:t>
            </w:r>
          </w:p>
          <w:p w14:paraId="6B796B64">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交流电机调速系统实验</w:t>
            </w:r>
          </w:p>
          <w:p w14:paraId="7EA720C6">
            <w:pPr>
              <w:keepNext w:val="0"/>
              <w:keepLines w:val="0"/>
              <w:pageBreakBefore w:val="0"/>
              <w:widowControl w:val="0"/>
              <w:numPr>
                <w:ilvl w:val="0"/>
                <w:numId w:val="9"/>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双闭环三相异步电机调压调速系统实验(SCR)</w:t>
            </w:r>
          </w:p>
          <w:p w14:paraId="1BF0FE06">
            <w:pPr>
              <w:keepNext w:val="0"/>
              <w:keepLines w:val="0"/>
              <w:pageBreakBefore w:val="0"/>
              <w:widowControl w:val="0"/>
              <w:numPr>
                <w:ilvl w:val="0"/>
                <w:numId w:val="9"/>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双闭环三相异步电机串极调速系统实验(SCR)</w:t>
            </w:r>
          </w:p>
          <w:p w14:paraId="525C96A6">
            <w:pPr>
              <w:keepNext w:val="0"/>
              <w:keepLines w:val="0"/>
              <w:pageBreakBefore w:val="0"/>
              <w:widowControl w:val="0"/>
              <w:kinsoku/>
              <w:wordWrap/>
              <w:overflowPunct/>
              <w:topLinePunct w:val="0"/>
              <w:bidi w:val="0"/>
              <w:adjustRightInd w:val="0"/>
              <w:snapToGrid w:val="0"/>
              <w:spacing w:line="240" w:lineRule="auto"/>
              <w:ind w:leftChars="0" w:firstLine="0" w:firstLineChars="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5.设计性实验</w:t>
            </w:r>
          </w:p>
          <w:p w14:paraId="1379A4DF">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bidi="ar-SA"/>
              </w:rPr>
              <w:t>(1)</w:t>
            </w:r>
            <w:r>
              <w:rPr>
                <w:rFonts w:hint="eastAsia" w:ascii="宋体" w:hAnsi="宋体" w:eastAsia="宋体" w:cs="宋体"/>
                <w:color w:val="auto"/>
                <w:sz w:val="24"/>
                <w:szCs w:val="24"/>
                <w:highlight w:val="none"/>
              </w:rPr>
              <w:t>光伏逆变电路设计</w:t>
            </w:r>
          </w:p>
          <w:p w14:paraId="0EC6467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textAlignment w:val="auto"/>
              <w:outlineLvl w:val="9"/>
              <w:rPr>
                <w:rFonts w:hint="eastAsia" w:ascii="宋体" w:hAnsi="宋体" w:eastAsia="宋体" w:cs="宋体"/>
                <w:b/>
                <w:bCs w:val="0"/>
                <w:color w:val="auto"/>
                <w:sz w:val="24"/>
                <w:szCs w:val="24"/>
                <w:highlight w:val="none"/>
                <w:vertAlign w:val="baseline"/>
                <w:lang w:val="en-US" w:eastAsia="zh-CN"/>
              </w:rPr>
            </w:pPr>
            <w:r>
              <w:rPr>
                <w:rFonts w:hint="default" w:ascii="宋体" w:hAnsi="宋体" w:eastAsia="宋体" w:cs="宋体"/>
                <w:b w:val="0"/>
                <w:bCs/>
                <w:color w:val="auto"/>
                <w:sz w:val="24"/>
                <w:szCs w:val="24"/>
                <w:highlight w:val="none"/>
                <w:vertAlign w:val="baseline"/>
                <w:lang w:val="en-US" w:eastAsia="zh-CN" w:bidi="ar-SA"/>
              </w:rPr>
              <w:t>(2)</w:t>
            </w:r>
            <w:r>
              <w:rPr>
                <w:rFonts w:hint="eastAsia" w:ascii="宋体" w:hAnsi="宋体" w:eastAsia="宋体" w:cs="宋体"/>
                <w:color w:val="auto"/>
                <w:sz w:val="24"/>
                <w:szCs w:val="24"/>
                <w:highlight w:val="none"/>
              </w:rPr>
              <w:t>基于DSP的DC/DC变换器电路设计</w:t>
            </w:r>
          </w:p>
        </w:tc>
        <w:tc>
          <w:tcPr>
            <w:tcW w:w="483" w:type="dxa"/>
            <w:shd w:val="clear" w:color="auto" w:fill="auto"/>
            <w:noWrap w:val="0"/>
            <w:vAlign w:val="center"/>
          </w:tcPr>
          <w:p w14:paraId="7876158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sz w:val="24"/>
                <w:szCs w:val="24"/>
                <w:highlight w:val="none"/>
                <w:vertAlign w:val="baseline"/>
                <w:lang w:val="en-US" w:eastAsia="zh-CN"/>
              </w:rPr>
              <w:t>2</w:t>
            </w:r>
          </w:p>
        </w:tc>
        <w:tc>
          <w:tcPr>
            <w:tcW w:w="500" w:type="dxa"/>
            <w:shd w:val="clear" w:color="auto" w:fill="auto"/>
            <w:noWrap w:val="0"/>
            <w:vAlign w:val="center"/>
          </w:tcPr>
          <w:p w14:paraId="467D3399">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kern w:val="2"/>
                <w:sz w:val="24"/>
                <w:szCs w:val="24"/>
                <w:highlight w:val="none"/>
                <w:vertAlign w:val="baseline"/>
                <w:lang w:val="en-US" w:eastAsia="zh-CN" w:bidi="ar-SA"/>
              </w:rPr>
            </w:pPr>
            <w:r>
              <w:rPr>
                <w:rFonts w:hint="eastAsia" w:ascii="宋体" w:hAnsi="宋体" w:eastAsia="宋体" w:cs="宋体"/>
                <w:b w:val="0"/>
                <w:bCs/>
                <w:color w:val="auto"/>
                <w:sz w:val="24"/>
                <w:szCs w:val="24"/>
                <w:highlight w:val="none"/>
                <w:vertAlign w:val="baseline"/>
                <w:lang w:val="en-US" w:eastAsia="zh-CN"/>
              </w:rPr>
              <w:t>套</w:t>
            </w:r>
          </w:p>
        </w:tc>
      </w:tr>
      <w:tr w14:paraId="3051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noWrap w:val="0"/>
            <w:vAlign w:val="center"/>
          </w:tcPr>
          <w:p w14:paraId="76078962">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4</w:t>
            </w:r>
          </w:p>
        </w:tc>
        <w:tc>
          <w:tcPr>
            <w:tcW w:w="1325" w:type="dxa"/>
            <w:noWrap w:val="0"/>
            <w:vAlign w:val="center"/>
          </w:tcPr>
          <w:p w14:paraId="2057F255">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left"/>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color w:val="auto"/>
                <w:kern w:val="0"/>
                <w:sz w:val="24"/>
                <w:szCs w:val="24"/>
                <w:highlight w:val="none"/>
                <w:lang w:val="en-US" w:eastAsia="zh-CN"/>
              </w:rPr>
              <w:t>场地文化装饰建设</w:t>
            </w:r>
          </w:p>
        </w:tc>
        <w:tc>
          <w:tcPr>
            <w:tcW w:w="6872" w:type="dxa"/>
            <w:noWrap w:val="0"/>
            <w:vAlign w:val="center"/>
          </w:tcPr>
          <w:p w14:paraId="4754AD7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vertAlign w:val="baseline"/>
                <w:lang w:val="en-US" w:eastAsia="zh-CN"/>
              </w:rPr>
              <w:t>根据实训功能需求制作实训展板、实训室简介、操作规程、管理制度牌等；满足实训室氛围营造。</w:t>
            </w:r>
          </w:p>
        </w:tc>
        <w:tc>
          <w:tcPr>
            <w:tcW w:w="483" w:type="dxa"/>
            <w:shd w:val="clear" w:color="auto" w:fill="auto"/>
            <w:noWrap w:val="0"/>
            <w:vAlign w:val="center"/>
          </w:tcPr>
          <w:p w14:paraId="5E7592D1">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w:t>
            </w:r>
          </w:p>
        </w:tc>
        <w:tc>
          <w:tcPr>
            <w:tcW w:w="500" w:type="dxa"/>
            <w:shd w:val="clear" w:color="auto" w:fill="auto"/>
            <w:noWrap w:val="0"/>
            <w:vAlign w:val="center"/>
          </w:tcPr>
          <w:p w14:paraId="19DEF77E">
            <w:pPr>
              <w:keepNext w:val="0"/>
              <w:keepLines w:val="0"/>
              <w:pageBreakBefore w:val="0"/>
              <w:widowControl w:val="0"/>
              <w:numPr>
                <w:ilvl w:val="0"/>
                <w:numId w:val="0"/>
              </w:numPr>
              <w:tabs>
                <w:tab w:val="left" w:pos="360"/>
              </w:tabs>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项</w:t>
            </w:r>
          </w:p>
        </w:tc>
      </w:tr>
    </w:tbl>
    <w:p w14:paraId="62425385">
      <w:pPr>
        <w:adjustRightInd w:val="0"/>
        <w:snapToGrid w:val="0"/>
        <w:spacing w:line="360" w:lineRule="auto"/>
        <w:rPr>
          <w:rFonts w:hint="eastAsia"/>
          <w:bCs/>
          <w:color w:val="auto"/>
          <w:highlight w:val="none"/>
        </w:rPr>
      </w:pPr>
      <w:r>
        <w:rPr>
          <w:rFonts w:hint="eastAsia"/>
          <w:bCs/>
          <w:color w:val="auto"/>
          <w:highlight w:val="none"/>
        </w:rPr>
        <w:t>说明：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5F67334B">
      <w:pPr>
        <w:widowControl w:val="0"/>
        <w:autoSpaceDE w:val="0"/>
        <w:autoSpaceDN w:val="0"/>
        <w:adjustRightInd w:val="0"/>
        <w:spacing w:line="360" w:lineRule="auto"/>
        <w:ind w:firstLine="482" w:firstLineChars="200"/>
        <w:rPr>
          <w:rFonts w:hint="eastAsia"/>
          <w:b/>
          <w:color w:val="auto"/>
          <w:highlight w:val="none"/>
        </w:rPr>
      </w:pPr>
      <w:r>
        <w:rPr>
          <w:rFonts w:hint="eastAsia"/>
          <w:b/>
          <w:color w:val="auto"/>
          <w:highlight w:val="none"/>
        </w:rPr>
        <w:t>（</w:t>
      </w:r>
      <w:r>
        <w:rPr>
          <w:rFonts w:hint="eastAsia"/>
          <w:b/>
          <w:color w:val="auto"/>
          <w:highlight w:val="none"/>
          <w:lang w:val="en-US" w:eastAsia="zh-CN"/>
        </w:rPr>
        <w:t>三</w:t>
      </w:r>
      <w:r>
        <w:rPr>
          <w:rFonts w:hint="eastAsia"/>
          <w:b/>
          <w:color w:val="auto"/>
          <w:highlight w:val="none"/>
        </w:rPr>
        <w:t>）质量保证</w:t>
      </w:r>
    </w:p>
    <w:p w14:paraId="1527BBD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305DB053">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2.中标人应保证所供服务或开发的标的没有设计、质量或工艺上的缺陷。</w:t>
      </w:r>
    </w:p>
    <w:p w14:paraId="154220BE">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24EEE288">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四</w:t>
      </w:r>
      <w:r>
        <w:rPr>
          <w:rFonts w:hint="eastAsia" w:ascii="宋体" w:hAnsi="宋体" w:cs="宋体"/>
          <w:b/>
          <w:bCs/>
          <w:color w:val="auto"/>
          <w:sz w:val="24"/>
          <w:szCs w:val="24"/>
          <w:highlight w:val="none"/>
        </w:rPr>
        <w:t>）售后服务及要求</w:t>
      </w:r>
    </w:p>
    <w:p w14:paraId="7B75362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5AAB393A">
      <w:pPr>
        <w:adjustRightInd w:val="0"/>
        <w:snapToGrid w:val="0"/>
        <w:spacing w:line="360" w:lineRule="auto"/>
        <w:ind w:firstLine="480" w:firstLineChars="200"/>
        <w:rPr>
          <w:rFonts w:hint="eastAsia"/>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75BF55C9">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w:t>
      </w:r>
      <w:r>
        <w:rPr>
          <w:rFonts w:hint="eastAsia"/>
          <w:b/>
          <w:bCs/>
          <w:color w:val="auto"/>
          <w:highlight w:val="none"/>
          <w:lang w:val="en-US" w:eastAsia="zh-CN"/>
        </w:rPr>
        <w:t>五</w:t>
      </w:r>
      <w:r>
        <w:rPr>
          <w:rFonts w:hint="eastAsia"/>
          <w:b/>
          <w:bCs/>
          <w:color w:val="auto"/>
          <w:highlight w:val="none"/>
        </w:rPr>
        <w:t>）其他要求</w:t>
      </w:r>
    </w:p>
    <w:p w14:paraId="484AF9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投标人需对文件的真实性负责，如果与投标文件中承诺或提供的资料不符，采购人将提请评标委员会认定该行为属于提供虚假材料谋取中标（成交）。同时，采购人将按照《中华人民共和国政府采购法》及其实施条例的规定，将该情况报送财政部门处理，由财政部门依法对其进行行政处罚。</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8F3BE19">
      <w:pPr>
        <w:pStyle w:val="3"/>
        <w:snapToGrid w:val="0"/>
        <w:ind w:firstLine="482" w:firstLineChars="200"/>
        <w:rPr>
          <w:rFonts w:hint="eastAsia"/>
          <w:color w:val="auto"/>
          <w:sz w:val="24"/>
          <w:szCs w:val="24"/>
          <w:highlight w:val="none"/>
        </w:rPr>
      </w:pPr>
      <w:bookmarkStart w:id="81" w:name="_Toc26617"/>
      <w:r>
        <w:rPr>
          <w:rFonts w:hint="eastAsia"/>
          <w:color w:val="auto"/>
          <w:sz w:val="24"/>
          <w:szCs w:val="24"/>
          <w:highlight w:val="none"/>
        </w:rPr>
        <w:t>四、采购标的的数量、采购项目服务期限及交货地点</w:t>
      </w:r>
      <w:bookmarkEnd w:id="81"/>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玉溪职业技术学院（云南省玉溪工业财贸学校）“双优”专业建设（2包）机电技术应用优质专业电工电子技术实训室建设项目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3.服务地点：采购人指定地点。</w:t>
      </w:r>
    </w:p>
    <w:p w14:paraId="176A7BF2">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5.质保期：自验收合格之日起，不低于3年</w:t>
      </w:r>
      <w:r>
        <w:rPr>
          <w:rFonts w:hint="eastAsia"/>
          <w:bCs/>
          <w:color w:val="auto"/>
          <w:highlight w:val="none"/>
          <w:lang w:eastAsia="zh-CN"/>
        </w:rPr>
        <w:t>。</w:t>
      </w:r>
    </w:p>
    <w:p w14:paraId="15A0D9FA">
      <w:pPr>
        <w:pStyle w:val="3"/>
        <w:snapToGrid w:val="0"/>
        <w:ind w:firstLine="482" w:firstLineChars="200"/>
        <w:rPr>
          <w:rFonts w:hint="eastAsia"/>
          <w:color w:val="auto"/>
          <w:sz w:val="24"/>
          <w:szCs w:val="24"/>
          <w:highlight w:val="none"/>
        </w:rPr>
      </w:pPr>
      <w:bookmarkStart w:id="82" w:name="_Toc20203"/>
      <w:r>
        <w:rPr>
          <w:rFonts w:hint="eastAsia"/>
          <w:color w:val="auto"/>
          <w:sz w:val="24"/>
          <w:szCs w:val="24"/>
          <w:highlight w:val="none"/>
        </w:rPr>
        <w:t>五、验收标准</w:t>
      </w:r>
      <w:bookmarkEnd w:id="82"/>
    </w:p>
    <w:p w14:paraId="56D6FBED">
      <w:pPr>
        <w:adjustRightInd w:val="0"/>
        <w:snapToGrid w:val="0"/>
        <w:spacing w:line="360" w:lineRule="auto"/>
        <w:ind w:firstLine="480" w:firstLineChars="200"/>
        <w:rPr>
          <w:rFonts w:hint="eastAsia"/>
          <w:bCs/>
          <w:color w:val="auto"/>
          <w:highlight w:val="none"/>
        </w:rPr>
      </w:pPr>
      <w:r>
        <w:rPr>
          <w:rFonts w:hint="eastAsia"/>
          <w:bCs/>
          <w:color w:val="auto"/>
          <w:highlight w:val="none"/>
        </w:rPr>
        <w:t>1.项目内部验收（即初验）：本项目完成项目建设后根据国家以及相关规定进行内部验收，内部验收合格后进入试运行阶段，试运行一段时间后根据甲方的使用情况和国家以及相关规定进行综合验收。</w:t>
      </w:r>
    </w:p>
    <w:p w14:paraId="108B951B">
      <w:pPr>
        <w:adjustRightInd w:val="0"/>
        <w:snapToGrid w:val="0"/>
        <w:spacing w:line="360" w:lineRule="auto"/>
        <w:ind w:firstLine="480" w:firstLineChars="200"/>
        <w:rPr>
          <w:rFonts w:hint="eastAsia"/>
          <w:bCs/>
          <w:color w:val="auto"/>
          <w:highlight w:val="none"/>
        </w:rPr>
      </w:pPr>
      <w:r>
        <w:rPr>
          <w:rFonts w:hint="eastAsia"/>
          <w:bCs/>
          <w:color w:val="auto"/>
          <w:highlight w:val="none"/>
        </w:rPr>
        <w:t>2.试运行：项目通过内部验收后，经甲方同意，系统将进入为期60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55E3F6C3">
      <w:pPr>
        <w:adjustRightInd w:val="0"/>
        <w:snapToGrid w:val="0"/>
        <w:spacing w:line="360" w:lineRule="auto"/>
        <w:ind w:firstLine="480" w:firstLineChars="200"/>
        <w:rPr>
          <w:rFonts w:hint="eastAsia"/>
          <w:bCs/>
          <w:color w:val="auto"/>
          <w:highlight w:val="none"/>
        </w:rPr>
      </w:pPr>
      <w:r>
        <w:rPr>
          <w:rFonts w:hint="eastAsia"/>
          <w:bCs/>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2"/>
        <w:spacing w:before="0"/>
        <w:ind w:left="0" w:firstLine="602"/>
        <w:jc w:val="center"/>
        <w:rPr>
          <w:rFonts w:hint="eastAsia" w:ascii="宋体" w:hAnsi="宋体" w:eastAsia="宋体"/>
          <w:bCs/>
          <w:color w:val="auto"/>
          <w:sz w:val="30"/>
          <w:szCs w:val="30"/>
          <w:highlight w:val="none"/>
        </w:rPr>
      </w:pPr>
      <w:bookmarkStart w:id="83" w:name="_Toc10648"/>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83"/>
    </w:p>
    <w:bookmarkEnd w:id="58"/>
    <w:tbl>
      <w:tblPr>
        <w:tblStyle w:val="44"/>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9"/>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84" w:name="_Toc449081295"/>
      <w:bookmarkStart w:id="85" w:name="_Toc449081308"/>
      <w:bookmarkStart w:id="86" w:name="_Toc433100714"/>
      <w:bookmarkStart w:id="87" w:name="_Toc433100727"/>
      <w:bookmarkStart w:id="88" w:name="_Toc449081309"/>
      <w:bookmarkStart w:id="89" w:name="_Toc433100728"/>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90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4"/>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214E2A8E">
      <w:pPr>
        <w:spacing w:line="360" w:lineRule="auto"/>
        <w:ind w:firstLine="480" w:firstLineChars="200"/>
        <w:jc w:val="both"/>
        <w:rPr>
          <w:rFonts w:hint="eastAsia"/>
          <w:color w:val="auto"/>
          <w:highlight w:val="none"/>
        </w:rPr>
      </w:pPr>
      <w:r>
        <w:rPr>
          <w:rFonts w:hint="eastAsia"/>
          <w:color w:val="auto"/>
          <w:highlight w:val="none"/>
        </w:rPr>
        <w:t>（1）项目内部验收（即初验）：本项目完成项目建设后根据国家以及相关规定进行内部验收，内部验收合格后进入试运行阶段，试运行一段时间后根据甲方的使用情况和国家以及相关规定进行综合验收。</w:t>
      </w:r>
    </w:p>
    <w:p w14:paraId="4EC3417B">
      <w:pPr>
        <w:spacing w:line="360" w:lineRule="auto"/>
        <w:ind w:firstLine="480" w:firstLineChars="200"/>
        <w:jc w:val="both"/>
        <w:rPr>
          <w:rFonts w:hint="eastAsia"/>
          <w:color w:val="auto"/>
          <w:highlight w:val="none"/>
        </w:rPr>
      </w:pPr>
      <w:r>
        <w:rPr>
          <w:rFonts w:hint="eastAsia"/>
          <w:color w:val="auto"/>
          <w:highlight w:val="none"/>
        </w:rPr>
        <w:t>（2）试运行：项目通过内部验收后，经甲方同意，系统将进入为期60日的试运行阶段，以检验其是否达到本合同约定功能符合运行要求的项目活动。乙方应解决项目内部验收遗留问题及试运行期间所反映出的问题，若系统达不到合同规定要求，试运行期将继续顺延，直到系统完善。</w:t>
      </w:r>
    </w:p>
    <w:p w14:paraId="33B3F8DB">
      <w:pPr>
        <w:spacing w:line="360" w:lineRule="auto"/>
        <w:ind w:firstLine="480" w:firstLineChars="200"/>
        <w:jc w:val="both"/>
        <w:rPr>
          <w:rFonts w:hint="eastAsia"/>
          <w:color w:val="auto"/>
          <w:highlight w:val="none"/>
        </w:rPr>
      </w:pPr>
      <w:r>
        <w:rPr>
          <w:rFonts w:hint="eastAsia"/>
          <w:color w:val="auto"/>
          <w:highlight w:val="none"/>
        </w:rPr>
        <w:t>（3）项目综合验收（即终验）：项目试运行结束，功能达到符合运行要求后，经过本合同约定的试运行，检验系统是否能够完全交付的项目活动。乙方应负责完成内部验收遗留问题的整改，解决所有试运行期间的问题，使系统具备正式上线使用的条件。</w:t>
      </w:r>
    </w:p>
    <w:p w14:paraId="1A5EB5FD">
      <w:pPr>
        <w:spacing w:line="360" w:lineRule="auto"/>
        <w:ind w:firstLine="480" w:firstLineChars="200"/>
        <w:jc w:val="both"/>
        <w:rPr>
          <w:rFonts w:hint="eastAsia"/>
          <w:b/>
          <w:bCs/>
          <w:color w:val="auto"/>
          <w:highlight w:val="none"/>
        </w:rPr>
      </w:pPr>
      <w:r>
        <w:rPr>
          <w:rFonts w:hint="eastAsia"/>
          <w:color w:val="auto"/>
          <w:highlight w:val="none"/>
        </w:rPr>
        <w:t>（4）甲方组成验收小组，按国家有关规定规范进行验收，若无国家标准按行业标准验收，必要时邀请相关专业人员或机构参与验收，评审通过后由甲方出具相应的验收意见书。因质量问题发生争议时，由甲方当地质量技术监督部门鉴定。符合质量技术标准的，鉴定费由甲方承担；否则鉴定费由乙方承担。</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84"/>
    <w:bookmarkEnd w:id="85"/>
    <w:bookmarkEnd w:id="86"/>
    <w:bookmarkEnd w:id="87"/>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88"/>
      <w:bookmarkEnd w:id="89"/>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2"/>
        <w:spacing w:before="0"/>
        <w:ind w:left="0" w:firstLine="0"/>
        <w:jc w:val="center"/>
        <w:rPr>
          <w:rFonts w:hint="eastAsia" w:ascii="宋体" w:hAnsi="宋体" w:eastAsia="宋体"/>
          <w:bCs/>
          <w:color w:val="auto"/>
          <w:sz w:val="36"/>
          <w:highlight w:val="none"/>
        </w:rPr>
      </w:pPr>
      <w:r>
        <w:rPr>
          <w:color w:val="auto"/>
          <w:highlight w:val="none"/>
        </w:rPr>
        <w:br w:type="page"/>
      </w:r>
      <w:bookmarkStart w:id="90" w:name="_Toc26106"/>
      <w:r>
        <w:rPr>
          <w:rFonts w:hint="eastAsia" w:ascii="宋体" w:hAnsi="宋体" w:eastAsia="宋体"/>
          <w:bCs/>
          <w:color w:val="auto"/>
          <w:sz w:val="36"/>
          <w:highlight w:val="none"/>
        </w:rPr>
        <w:t>第六章  投标文件格式</w:t>
      </w:r>
      <w:bookmarkEnd w:id="90"/>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0"/>
          <w:szCs w:val="30"/>
          <w:highlight w:val="none"/>
          <w:u w:val="single"/>
          <w:lang w:eastAsia="zh-CN"/>
        </w:rPr>
      </w:pPr>
      <w:r>
        <w:rPr>
          <w:rFonts w:hint="eastAsia"/>
          <w:b/>
          <w:color w:val="auto"/>
          <w:sz w:val="30"/>
          <w:szCs w:val="30"/>
          <w:highlight w:val="none"/>
          <w:shd w:val="clear" w:color="auto" w:fill="FFFFFF"/>
          <w:lang w:eastAsia="zh-CN"/>
        </w:rPr>
        <w:t>玉溪职业技术学院（云南省玉溪工业财贸学校）“双优”专业建设（2包）机电技术应用优质专业电工电子技术实训室建设项目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ZZGL-2026068H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91" w:name="_Toc5522"/>
      <w:bookmarkStart w:id="92" w:name="_Toc13820"/>
      <w:bookmarkStart w:id="93" w:name="_Toc23946"/>
      <w:bookmarkStart w:id="94" w:name="_Toc217446082"/>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95" w:name="_Toc352783562"/>
      <w:bookmarkStart w:id="96" w:name="_Toc355054077"/>
      <w:bookmarkStart w:id="97" w:name="_Toc350930019"/>
      <w:bookmarkStart w:id="98" w:name="_Toc350330519"/>
      <w:bookmarkStart w:id="99" w:name="_Toc277679098"/>
      <w:bookmarkStart w:id="100" w:name="_Toc350930234"/>
      <w:bookmarkStart w:id="101" w:name="_Toc354231820"/>
      <w:bookmarkStart w:id="102" w:name="_Toc351117903"/>
      <w:bookmarkStart w:id="103" w:name="_Toc74301071"/>
      <w:bookmarkStart w:id="104" w:name="_Toc76476014"/>
      <w:bookmarkStart w:id="105" w:name="_Toc114836186"/>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玉溪职业技术学院（云南省玉溪工业财贸学校）“双优”专业建设（2包）机电技术应用优质专业电工电子技术实训室建设项目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ZZGL-2026068H</w:t>
      </w:r>
    </w:p>
    <w:tbl>
      <w:tblPr>
        <w:tblStyle w:val="45"/>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7A30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F8F7BB9">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0E39E905">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95"/>
    <w:bookmarkEnd w:id="96"/>
    <w:bookmarkEnd w:id="97"/>
    <w:bookmarkEnd w:id="98"/>
    <w:bookmarkEnd w:id="99"/>
    <w:bookmarkEnd w:id="100"/>
    <w:bookmarkEnd w:id="101"/>
    <w:bookmarkEnd w:id="102"/>
    <w:p w14:paraId="26895612">
      <w:pPr>
        <w:numPr>
          <w:ilvl w:val="0"/>
          <w:numId w:val="10"/>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106" w:name="_Toc6852"/>
      <w:r>
        <w:rPr>
          <w:rFonts w:hint="eastAsia" w:ascii="仿宋_BG2312"/>
          <w:b/>
          <w:color w:val="auto"/>
          <w:sz w:val="36"/>
          <w:highlight w:val="none"/>
          <w:shd w:val="clear" w:color="auto" w:fill="FFFFFF"/>
        </w:rPr>
        <w:t>资格审查部分</w:t>
      </w:r>
      <w:bookmarkEnd w:id="103"/>
      <w:bookmarkEnd w:id="104"/>
      <w:bookmarkEnd w:id="105"/>
      <w:bookmarkEnd w:id="106"/>
    </w:p>
    <w:p w14:paraId="7DB7A882">
      <w:pPr>
        <w:snapToGrid w:val="0"/>
        <w:spacing w:line="360" w:lineRule="auto"/>
        <w:contextualSpacing/>
        <w:jc w:val="center"/>
        <w:rPr>
          <w:rFonts w:hint="eastAsia"/>
          <w:b/>
          <w:bCs/>
          <w:color w:val="auto"/>
          <w:sz w:val="32"/>
          <w:szCs w:val="32"/>
          <w:highlight w:val="none"/>
        </w:rPr>
      </w:pPr>
      <w:bookmarkStart w:id="107" w:name="_Toc124784412"/>
      <w:r>
        <w:rPr>
          <w:rFonts w:hint="eastAsia"/>
          <w:b/>
          <w:bCs/>
          <w:color w:val="auto"/>
          <w:sz w:val="32"/>
          <w:szCs w:val="32"/>
          <w:highlight w:val="none"/>
        </w:rPr>
        <w:t>（一）</w:t>
      </w:r>
      <w:r>
        <w:rPr>
          <w:b/>
          <w:bCs/>
          <w:color w:val="auto"/>
          <w:sz w:val="32"/>
          <w:szCs w:val="32"/>
          <w:highlight w:val="none"/>
        </w:rPr>
        <w:t>投标人基本情况表</w:t>
      </w:r>
    </w:p>
    <w:tbl>
      <w:tblPr>
        <w:tblStyle w:val="44"/>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108" w:name="_Toc27162"/>
      <w:bookmarkStart w:id="109" w:name="_Toc3346"/>
      <w:bookmarkStart w:id="110" w:name="_Toc124784413"/>
      <w:bookmarkStart w:id="111" w:name="_Toc15676"/>
      <w:r>
        <w:rPr>
          <w:rFonts w:hint="eastAsia"/>
          <w:b/>
          <w:bCs/>
          <w:color w:val="auto"/>
          <w:sz w:val="32"/>
          <w:szCs w:val="32"/>
          <w:highlight w:val="none"/>
        </w:rPr>
        <w:t>（二）法定代表人身份证明书</w:t>
      </w:r>
      <w:bookmarkEnd w:id="108"/>
      <w:bookmarkEnd w:id="109"/>
      <w:bookmarkEnd w:id="110"/>
      <w:bookmarkEnd w:id="111"/>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12" w:name="_Toc124784424"/>
      <w:r>
        <w:rPr>
          <w:rFonts w:hint="eastAsia"/>
          <w:b/>
          <w:bCs/>
          <w:color w:val="auto"/>
          <w:sz w:val="32"/>
          <w:szCs w:val="32"/>
          <w:highlight w:val="none"/>
        </w:rPr>
        <w:t>（四）投标人资格声明/承诺函</w:t>
      </w:r>
      <w:bookmarkEnd w:id="112"/>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4"/>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4"/>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13" w:name="_Toc29442"/>
      <w:bookmarkStart w:id="114" w:name="_Toc6445"/>
    </w:p>
    <w:bookmarkEnd w:id="113"/>
    <w:bookmarkEnd w:id="114"/>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15" w:name="_Toc4353"/>
      <w:r>
        <w:rPr>
          <w:rFonts w:hint="eastAsia"/>
          <w:b/>
          <w:color w:val="auto"/>
          <w:sz w:val="36"/>
          <w:highlight w:val="none"/>
        </w:rPr>
        <w:t>二、投标文件商务部分</w:t>
      </w:r>
      <w:bookmarkEnd w:id="115"/>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91"/>
      <w:bookmarkEnd w:id="92"/>
      <w:bookmarkEnd w:id="93"/>
      <w:bookmarkEnd w:id="94"/>
      <w:bookmarkEnd w:id="107"/>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16" w:name="_Toc217446083"/>
      <w:r>
        <w:rPr>
          <w:rFonts w:ascii="仿宋_BG2312"/>
          <w:b/>
          <w:color w:val="auto"/>
          <w:sz w:val="36"/>
          <w:highlight w:val="none"/>
          <w:shd w:val="clear" w:color="auto" w:fill="FFFFFF"/>
        </w:rPr>
        <w:t xml:space="preserve"> </w:t>
      </w:r>
      <w:bookmarkEnd w:id="116"/>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17" w:name="_Toc29093"/>
      <w:bookmarkStart w:id="118" w:name="_Toc124784415"/>
      <w:bookmarkStart w:id="119" w:name="_Toc19814"/>
      <w:bookmarkStart w:id="120" w:name="_Toc13188"/>
      <w:r>
        <w:rPr>
          <w:rFonts w:hint="eastAsia"/>
          <w:b/>
          <w:bCs/>
          <w:color w:val="auto"/>
          <w:sz w:val="32"/>
          <w:szCs w:val="32"/>
          <w:highlight w:val="none"/>
        </w:rPr>
        <w:t>（二）投标保证金交纳凭证</w:t>
      </w:r>
      <w:bookmarkEnd w:id="117"/>
      <w:bookmarkEnd w:id="118"/>
      <w:bookmarkEnd w:id="119"/>
      <w:bookmarkEnd w:id="120"/>
    </w:p>
    <w:p w14:paraId="7D50D79D">
      <w:pPr>
        <w:pStyle w:val="128"/>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8"/>
        <w:spacing w:before="0" w:after="0" w:line="360" w:lineRule="auto"/>
        <w:ind w:firstLine="520" w:firstLineChars="200"/>
        <w:rPr>
          <w:rFonts w:hint="eastAsia"/>
          <w:color w:val="auto"/>
          <w:szCs w:val="24"/>
          <w:highlight w:val="none"/>
        </w:rPr>
      </w:pPr>
    </w:p>
    <w:p w14:paraId="5DD58449">
      <w:pPr>
        <w:pStyle w:val="128"/>
        <w:spacing w:before="0" w:after="0" w:line="360" w:lineRule="auto"/>
        <w:ind w:firstLine="520" w:firstLineChars="200"/>
        <w:rPr>
          <w:rFonts w:hint="eastAsia"/>
          <w:color w:val="auto"/>
          <w:szCs w:val="24"/>
          <w:highlight w:val="none"/>
        </w:rPr>
      </w:pPr>
    </w:p>
    <w:p w14:paraId="6340C6AC">
      <w:pPr>
        <w:pStyle w:val="128"/>
        <w:spacing w:before="0" w:after="0" w:line="360" w:lineRule="auto"/>
        <w:ind w:firstLine="520" w:firstLineChars="200"/>
        <w:rPr>
          <w:rFonts w:hint="eastAsia"/>
          <w:color w:val="auto"/>
          <w:szCs w:val="24"/>
          <w:highlight w:val="none"/>
        </w:rPr>
      </w:pPr>
    </w:p>
    <w:p w14:paraId="4712B2BD">
      <w:pPr>
        <w:pStyle w:val="128"/>
        <w:spacing w:before="0" w:after="0" w:line="360" w:lineRule="auto"/>
        <w:ind w:firstLine="520" w:firstLineChars="200"/>
        <w:rPr>
          <w:rFonts w:hint="eastAsia"/>
          <w:color w:val="auto"/>
          <w:szCs w:val="24"/>
          <w:highlight w:val="none"/>
        </w:rPr>
      </w:pPr>
    </w:p>
    <w:p w14:paraId="335FD8F9">
      <w:pPr>
        <w:pStyle w:val="128"/>
        <w:spacing w:before="0" w:after="0" w:line="360" w:lineRule="auto"/>
        <w:ind w:firstLine="520" w:firstLineChars="200"/>
        <w:rPr>
          <w:rFonts w:hint="eastAsia"/>
          <w:color w:val="auto"/>
          <w:szCs w:val="24"/>
          <w:highlight w:val="none"/>
        </w:rPr>
      </w:pPr>
    </w:p>
    <w:p w14:paraId="7F1399E7">
      <w:pPr>
        <w:pStyle w:val="128"/>
        <w:spacing w:before="0" w:after="0" w:line="360" w:lineRule="auto"/>
        <w:ind w:firstLine="520" w:firstLineChars="200"/>
        <w:rPr>
          <w:rFonts w:hint="eastAsia"/>
          <w:color w:val="auto"/>
          <w:szCs w:val="24"/>
          <w:highlight w:val="none"/>
        </w:rPr>
      </w:pPr>
    </w:p>
    <w:p w14:paraId="2E041DC4">
      <w:pPr>
        <w:pStyle w:val="128"/>
        <w:spacing w:before="0" w:after="0" w:line="360" w:lineRule="auto"/>
        <w:ind w:firstLine="520" w:firstLineChars="200"/>
        <w:rPr>
          <w:rFonts w:hint="eastAsia"/>
          <w:color w:val="auto"/>
          <w:szCs w:val="24"/>
          <w:highlight w:val="none"/>
        </w:rPr>
      </w:pPr>
    </w:p>
    <w:p w14:paraId="6EF6C2F0">
      <w:pPr>
        <w:pStyle w:val="128"/>
        <w:spacing w:before="0" w:after="0" w:line="360" w:lineRule="auto"/>
        <w:ind w:firstLine="520" w:firstLineChars="200"/>
        <w:rPr>
          <w:rFonts w:hint="eastAsia"/>
          <w:color w:val="auto"/>
          <w:szCs w:val="24"/>
          <w:highlight w:val="none"/>
        </w:rPr>
      </w:pPr>
    </w:p>
    <w:p w14:paraId="0BA1701F">
      <w:pPr>
        <w:pStyle w:val="128"/>
        <w:spacing w:before="0" w:after="0" w:line="360" w:lineRule="auto"/>
        <w:ind w:firstLine="520" w:firstLineChars="200"/>
        <w:rPr>
          <w:rFonts w:hint="eastAsia"/>
          <w:color w:val="auto"/>
          <w:szCs w:val="24"/>
          <w:highlight w:val="none"/>
        </w:rPr>
      </w:pPr>
    </w:p>
    <w:p w14:paraId="4B56FD59">
      <w:pPr>
        <w:pStyle w:val="128"/>
        <w:spacing w:before="0" w:after="0" w:line="360" w:lineRule="auto"/>
        <w:ind w:firstLine="520" w:firstLineChars="200"/>
        <w:rPr>
          <w:rFonts w:hint="eastAsia"/>
          <w:color w:val="auto"/>
          <w:szCs w:val="24"/>
          <w:highlight w:val="none"/>
        </w:rPr>
      </w:pPr>
    </w:p>
    <w:p w14:paraId="63421FFD">
      <w:pPr>
        <w:pStyle w:val="128"/>
        <w:spacing w:before="0" w:after="0" w:line="360" w:lineRule="auto"/>
        <w:ind w:firstLine="520" w:firstLineChars="200"/>
        <w:rPr>
          <w:rFonts w:hint="eastAsia"/>
          <w:color w:val="auto"/>
          <w:szCs w:val="24"/>
          <w:highlight w:val="none"/>
        </w:rPr>
      </w:pPr>
    </w:p>
    <w:p w14:paraId="7AD212E2">
      <w:pPr>
        <w:pStyle w:val="128"/>
        <w:spacing w:before="0" w:after="0" w:line="360" w:lineRule="auto"/>
        <w:ind w:firstLine="520" w:firstLineChars="200"/>
        <w:rPr>
          <w:rFonts w:hint="eastAsia"/>
          <w:color w:val="auto"/>
          <w:szCs w:val="24"/>
          <w:highlight w:val="none"/>
        </w:rPr>
      </w:pPr>
    </w:p>
    <w:p w14:paraId="682B7078">
      <w:pPr>
        <w:pStyle w:val="128"/>
        <w:spacing w:before="0" w:after="0" w:line="360" w:lineRule="auto"/>
        <w:ind w:firstLine="520" w:firstLineChars="200"/>
        <w:rPr>
          <w:rFonts w:hint="eastAsia"/>
          <w:color w:val="auto"/>
          <w:szCs w:val="24"/>
          <w:highlight w:val="none"/>
        </w:rPr>
      </w:pPr>
    </w:p>
    <w:p w14:paraId="65869BE9">
      <w:pPr>
        <w:pStyle w:val="128"/>
        <w:spacing w:before="0" w:after="0" w:line="360" w:lineRule="auto"/>
        <w:ind w:firstLine="520" w:firstLineChars="200"/>
        <w:rPr>
          <w:rFonts w:hint="eastAsia"/>
          <w:color w:val="auto"/>
          <w:szCs w:val="24"/>
          <w:highlight w:val="none"/>
        </w:rPr>
      </w:pPr>
    </w:p>
    <w:p w14:paraId="78181E32">
      <w:pPr>
        <w:pStyle w:val="128"/>
        <w:spacing w:before="0" w:after="0" w:line="360" w:lineRule="auto"/>
        <w:ind w:firstLine="520" w:firstLineChars="200"/>
        <w:rPr>
          <w:rFonts w:hint="eastAsia"/>
          <w:color w:val="auto"/>
          <w:szCs w:val="24"/>
          <w:highlight w:val="none"/>
        </w:rPr>
      </w:pPr>
    </w:p>
    <w:p w14:paraId="504B5B39">
      <w:pPr>
        <w:pStyle w:val="128"/>
        <w:spacing w:before="0" w:after="0" w:line="360" w:lineRule="auto"/>
        <w:ind w:firstLine="520" w:firstLineChars="200"/>
        <w:rPr>
          <w:rFonts w:hint="eastAsia"/>
          <w:color w:val="auto"/>
          <w:szCs w:val="24"/>
          <w:highlight w:val="none"/>
        </w:rPr>
      </w:pPr>
    </w:p>
    <w:p w14:paraId="75F78BAC">
      <w:pPr>
        <w:pStyle w:val="128"/>
        <w:spacing w:before="0" w:after="0" w:line="360" w:lineRule="auto"/>
        <w:ind w:firstLine="520" w:firstLineChars="200"/>
        <w:rPr>
          <w:rFonts w:hint="eastAsia"/>
          <w:color w:val="auto"/>
          <w:szCs w:val="24"/>
          <w:highlight w:val="none"/>
        </w:rPr>
      </w:pPr>
    </w:p>
    <w:p w14:paraId="34B629E4">
      <w:pPr>
        <w:pStyle w:val="128"/>
        <w:spacing w:before="0" w:after="0" w:line="360" w:lineRule="auto"/>
        <w:ind w:firstLine="520" w:firstLineChars="200"/>
        <w:rPr>
          <w:rFonts w:hint="eastAsia"/>
          <w:color w:val="auto"/>
          <w:szCs w:val="24"/>
          <w:highlight w:val="none"/>
        </w:rPr>
      </w:pPr>
    </w:p>
    <w:p w14:paraId="4B71D297">
      <w:pPr>
        <w:pStyle w:val="128"/>
        <w:spacing w:before="0" w:after="0" w:line="360" w:lineRule="auto"/>
        <w:ind w:firstLine="520" w:firstLineChars="200"/>
        <w:rPr>
          <w:rFonts w:hint="eastAsia"/>
          <w:color w:val="auto"/>
          <w:szCs w:val="24"/>
          <w:highlight w:val="none"/>
        </w:rPr>
      </w:pPr>
    </w:p>
    <w:p w14:paraId="68A8BEA0">
      <w:pPr>
        <w:pStyle w:val="128"/>
        <w:spacing w:before="0" w:after="0" w:line="360" w:lineRule="auto"/>
        <w:ind w:firstLine="520" w:firstLineChars="200"/>
        <w:rPr>
          <w:rFonts w:hint="eastAsia"/>
          <w:color w:val="auto"/>
          <w:szCs w:val="24"/>
          <w:highlight w:val="none"/>
        </w:rPr>
      </w:pPr>
    </w:p>
    <w:p w14:paraId="2CA5DCD0">
      <w:pPr>
        <w:pStyle w:val="128"/>
        <w:spacing w:before="0" w:after="0" w:line="360" w:lineRule="auto"/>
        <w:ind w:firstLine="520" w:firstLineChars="200"/>
        <w:rPr>
          <w:rFonts w:hint="eastAsia"/>
          <w:color w:val="auto"/>
          <w:szCs w:val="24"/>
          <w:highlight w:val="none"/>
        </w:rPr>
      </w:pPr>
    </w:p>
    <w:p w14:paraId="7214E57C">
      <w:pPr>
        <w:pStyle w:val="128"/>
        <w:spacing w:before="0" w:after="0" w:line="360" w:lineRule="auto"/>
        <w:ind w:firstLine="520" w:firstLineChars="200"/>
        <w:rPr>
          <w:rFonts w:hint="eastAsia"/>
          <w:color w:val="auto"/>
          <w:szCs w:val="24"/>
          <w:highlight w:val="none"/>
        </w:rPr>
      </w:pPr>
    </w:p>
    <w:p w14:paraId="26B4C2A8">
      <w:pPr>
        <w:pStyle w:val="128"/>
        <w:spacing w:before="0" w:after="0" w:line="360" w:lineRule="auto"/>
        <w:ind w:firstLine="520" w:firstLineChars="200"/>
        <w:rPr>
          <w:rFonts w:hint="eastAsia"/>
          <w:color w:val="auto"/>
          <w:szCs w:val="24"/>
          <w:highlight w:val="none"/>
        </w:rPr>
      </w:pPr>
    </w:p>
    <w:p w14:paraId="7F9C5D33">
      <w:pPr>
        <w:pStyle w:val="128"/>
        <w:spacing w:before="0" w:after="0" w:line="360" w:lineRule="auto"/>
        <w:ind w:firstLine="520" w:firstLineChars="200"/>
        <w:rPr>
          <w:rFonts w:hint="eastAsia"/>
          <w:color w:val="auto"/>
          <w:szCs w:val="24"/>
          <w:highlight w:val="none"/>
        </w:rPr>
      </w:pPr>
    </w:p>
    <w:p w14:paraId="2CB07A3F">
      <w:pPr>
        <w:pStyle w:val="128"/>
        <w:spacing w:before="0" w:after="0" w:line="360" w:lineRule="auto"/>
        <w:ind w:firstLine="520" w:firstLineChars="200"/>
        <w:rPr>
          <w:rFonts w:hint="eastAsia"/>
          <w:color w:val="auto"/>
          <w:szCs w:val="24"/>
          <w:highlight w:val="none"/>
        </w:rPr>
      </w:pPr>
    </w:p>
    <w:p w14:paraId="094E7B29">
      <w:pPr>
        <w:pStyle w:val="128"/>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21" w:name="_Toc124784416"/>
      <w:bookmarkStart w:id="122" w:name="_Toc2719"/>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玉溪职业技术学院（云南省玉溪工业财贸学校）“双优”专业建设（2包）机电技术应用优质专业电工电子技术实训室建设项目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21"/>
    <w:bookmarkEnd w:id="122"/>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23" w:name="_Toc14634"/>
      <w:bookmarkStart w:id="124" w:name="_Toc24809"/>
      <w:bookmarkStart w:id="125" w:name="_Toc15535"/>
      <w:bookmarkStart w:id="126" w:name="_Toc124784417"/>
      <w:bookmarkStart w:id="127" w:name="_Toc217446086"/>
      <w:bookmarkStart w:id="128" w:name="_Toc14503"/>
      <w:r>
        <w:rPr>
          <w:rFonts w:hint="eastAsia" w:ascii="仿宋_BG2312"/>
          <w:b/>
          <w:color w:val="auto"/>
          <w:sz w:val="36"/>
          <w:highlight w:val="none"/>
          <w:shd w:val="clear" w:color="auto" w:fill="FFFFFF"/>
        </w:rPr>
        <w:t>三、投标报价部分</w:t>
      </w:r>
      <w:bookmarkEnd w:id="123"/>
    </w:p>
    <w:bookmarkEnd w:id="124"/>
    <w:bookmarkEnd w:id="125"/>
    <w:bookmarkEnd w:id="126"/>
    <w:bookmarkEnd w:id="127"/>
    <w:bookmarkEnd w:id="128"/>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玉溪职业技术学院（云南省玉溪工业财贸学校）“双优”专业建设（2包）机电技术应用优质专业电工电子技术实训室建设项目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6"/>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6"/>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6"/>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6"/>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6"/>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6"/>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6"/>
              <w:jc w:val="center"/>
              <w:rPr>
                <w:b/>
                <w:bCs/>
                <w:snapToGrid w:val="0"/>
                <w:color w:val="auto"/>
                <w:highlight w:val="none"/>
              </w:rPr>
            </w:pPr>
          </w:p>
        </w:tc>
      </w:tr>
    </w:tbl>
    <w:p w14:paraId="50C0B7E3">
      <w:pPr>
        <w:pStyle w:val="106"/>
        <w:spacing w:line="360" w:lineRule="auto"/>
        <w:jc w:val="center"/>
        <w:rPr>
          <w:rFonts w:hint="eastAsia" w:hAnsi="宋体"/>
          <w:bCs/>
          <w:snapToGrid w:val="0"/>
          <w:color w:val="auto"/>
          <w:szCs w:val="24"/>
          <w:highlight w:val="none"/>
        </w:rPr>
      </w:pPr>
    </w:p>
    <w:p w14:paraId="0C5B68E4">
      <w:pPr>
        <w:pStyle w:val="106"/>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29" w:name="_Toc15581"/>
      <w:bookmarkStart w:id="130" w:name="_Toc3147"/>
      <w:bookmarkStart w:id="131" w:name="_Toc12423"/>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28"/>
          <w:szCs w:val="28"/>
          <w:highlight w:val="none"/>
        </w:rPr>
      </w:pPr>
      <w:r>
        <w:rPr>
          <w:rFonts w:hint="eastAsia"/>
          <w:b/>
          <w:bCs/>
          <w:color w:val="auto"/>
          <w:sz w:val="28"/>
          <w:szCs w:val="28"/>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9"/>
        <w:ind w:firstLine="260"/>
        <w:rPr>
          <w:rFonts w:hint="eastAsia"/>
          <w:color w:val="auto"/>
          <w:sz w:val="24"/>
          <w:szCs w:val="24"/>
          <w:highlight w:val="none"/>
        </w:rPr>
      </w:pPr>
    </w:p>
    <w:p w14:paraId="4F0AB3A5">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9"/>
        <w:adjustRightInd w:val="0"/>
        <w:snapToGrid w:val="0"/>
        <w:spacing w:line="360" w:lineRule="auto"/>
        <w:ind w:firstLine="480" w:firstLineChars="200"/>
        <w:rPr>
          <w:rFonts w:hint="eastAsia" w:cs="仿宋"/>
          <w:color w:val="auto"/>
          <w:sz w:val="24"/>
          <w:szCs w:val="24"/>
          <w:highlight w:val="none"/>
        </w:rPr>
      </w:pPr>
    </w:p>
    <w:p w14:paraId="0C729A1E">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9"/>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9"/>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32" w:name="_Toc1534"/>
      <w:bookmarkStart w:id="133" w:name="_Toc124784418"/>
      <w:r>
        <w:rPr>
          <w:rFonts w:hint="eastAsia" w:ascii="仿宋_BG2312"/>
          <w:b/>
          <w:color w:val="auto"/>
          <w:sz w:val="36"/>
          <w:highlight w:val="none"/>
          <w:shd w:val="clear" w:color="auto" w:fill="FFFFFF"/>
        </w:rPr>
        <w:t>四、投标文件技术部分</w:t>
      </w:r>
      <w:bookmarkEnd w:id="132"/>
    </w:p>
    <w:bookmarkEnd w:id="129"/>
    <w:bookmarkEnd w:id="130"/>
    <w:bookmarkEnd w:id="131"/>
    <w:bookmarkEnd w:id="133"/>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34A503A9">
      <w:pPr>
        <w:spacing w:line="360" w:lineRule="auto"/>
        <w:ind w:firstLine="562"/>
        <w:rPr>
          <w:rFonts w:hint="eastAsia"/>
          <w:b/>
          <w:bCs/>
          <w:color w:val="auto"/>
          <w:sz w:val="28"/>
          <w:szCs w:val="28"/>
          <w:highlight w:val="none"/>
        </w:rPr>
      </w:pPr>
      <w:r>
        <w:rPr>
          <w:rFonts w:hint="eastAsia"/>
          <w:b/>
          <w:bCs/>
          <w:color w:val="auto"/>
          <w:sz w:val="28"/>
          <w:szCs w:val="28"/>
          <w:highlight w:val="none"/>
        </w:rPr>
        <w:t>（二）项目技术整体实施方案</w:t>
      </w:r>
    </w:p>
    <w:p w14:paraId="7B99E741">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质量保证方案</w:t>
      </w:r>
    </w:p>
    <w:p w14:paraId="002D5CC2">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售后服务方案</w:t>
      </w:r>
    </w:p>
    <w:p w14:paraId="62F88B58">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节能产品</w:t>
      </w:r>
    </w:p>
    <w:p w14:paraId="551299CB">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4"/>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2819D91">
      <w:pPr>
        <w:spacing w:line="360" w:lineRule="auto"/>
        <w:ind w:firstLine="480" w:firstLineChars="200"/>
        <w:rPr>
          <w:rFonts w:hint="eastAsia"/>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4AF2204">
      <w:pPr>
        <w:spacing w:line="360" w:lineRule="auto"/>
        <w:ind w:firstLine="560"/>
        <w:rPr>
          <w:rFonts w:hint="eastAsia"/>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4"/>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536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DB8D0BE">
            <w:pPr>
              <w:spacing w:line="360" w:lineRule="auto"/>
              <w:jc w:val="center"/>
              <w:rPr>
                <w:rFonts w:hint="eastAsia"/>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262CC1F9">
            <w:pPr>
              <w:spacing w:line="360" w:lineRule="auto"/>
              <w:jc w:val="center"/>
              <w:rPr>
                <w:rFonts w:hint="eastAsia"/>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1E1A22BC">
            <w:pPr>
              <w:spacing w:line="360" w:lineRule="auto"/>
              <w:jc w:val="center"/>
              <w:rPr>
                <w:rFonts w:hint="eastAsia"/>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6BB33F64">
            <w:pPr>
              <w:spacing w:line="360" w:lineRule="auto"/>
              <w:jc w:val="center"/>
              <w:rPr>
                <w:rFonts w:hint="eastAsia"/>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5693C8E7">
            <w:pPr>
              <w:spacing w:line="360" w:lineRule="auto"/>
              <w:rPr>
                <w:rFonts w:hint="eastAsia"/>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E8F1D35">
            <w:pPr>
              <w:spacing w:line="360" w:lineRule="auto"/>
              <w:jc w:val="center"/>
              <w:rPr>
                <w:rFonts w:hint="eastAsia"/>
                <w:bCs/>
                <w:color w:val="auto"/>
                <w:highlight w:val="none"/>
              </w:rPr>
            </w:pPr>
            <w:r>
              <w:rPr>
                <w:rFonts w:hint="eastAsia"/>
                <w:bCs/>
                <w:color w:val="auto"/>
                <w:highlight w:val="none"/>
              </w:rPr>
              <w:t>备注</w:t>
            </w:r>
          </w:p>
        </w:tc>
      </w:tr>
      <w:tr w14:paraId="184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350AA5EA">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48BC37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0D7AF89">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5D75F0D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0A61CD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4FAC18D3">
            <w:pPr>
              <w:spacing w:line="360" w:lineRule="auto"/>
              <w:ind w:firstLine="602" w:firstLineChars="250"/>
              <w:rPr>
                <w:rFonts w:hint="eastAsia"/>
                <w:b/>
                <w:bCs/>
                <w:color w:val="auto"/>
                <w:highlight w:val="none"/>
              </w:rPr>
            </w:pPr>
          </w:p>
        </w:tc>
      </w:tr>
      <w:tr w14:paraId="1E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1921B59C">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40E81B">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7E1523C1">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C099C0D">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7B458CA">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CBF34D2">
            <w:pPr>
              <w:spacing w:line="360" w:lineRule="auto"/>
              <w:ind w:firstLine="602" w:firstLineChars="250"/>
              <w:rPr>
                <w:rFonts w:hint="eastAsia"/>
                <w:b/>
                <w:bCs/>
                <w:color w:val="auto"/>
                <w:highlight w:val="none"/>
              </w:rPr>
            </w:pPr>
          </w:p>
        </w:tc>
      </w:tr>
      <w:tr w14:paraId="3539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32F407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6C7F7C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07A81FE">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6D9A3D1">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66E922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AE884C2">
            <w:pPr>
              <w:spacing w:line="360" w:lineRule="auto"/>
              <w:ind w:firstLine="602" w:firstLineChars="250"/>
              <w:rPr>
                <w:rFonts w:hint="eastAsia"/>
                <w:b/>
                <w:bCs/>
                <w:color w:val="auto"/>
                <w:highlight w:val="none"/>
              </w:rPr>
            </w:pPr>
          </w:p>
        </w:tc>
      </w:tr>
      <w:tr w14:paraId="68F4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41266A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50F80D59">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5724E78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3DD2D180">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BBC02D3">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56C544FF">
            <w:pPr>
              <w:spacing w:line="360" w:lineRule="auto"/>
              <w:ind w:firstLine="602" w:firstLineChars="250"/>
              <w:rPr>
                <w:rFonts w:hint="eastAsia"/>
                <w:b/>
                <w:bCs/>
                <w:color w:val="auto"/>
                <w:highlight w:val="none"/>
              </w:rPr>
            </w:pPr>
          </w:p>
        </w:tc>
      </w:tr>
      <w:tr w14:paraId="34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14E262CD">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BF50A25">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29305B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D4EC98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296BCB4">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BD20BC0">
            <w:pPr>
              <w:spacing w:line="360" w:lineRule="auto"/>
              <w:ind w:firstLine="602" w:firstLineChars="250"/>
              <w:rPr>
                <w:rFonts w:hint="eastAsia"/>
                <w:b/>
                <w:bCs/>
                <w:color w:val="auto"/>
                <w:highlight w:val="none"/>
              </w:rPr>
            </w:pPr>
          </w:p>
        </w:tc>
      </w:tr>
    </w:tbl>
    <w:p w14:paraId="535F15A0">
      <w:pPr>
        <w:spacing w:line="360" w:lineRule="auto"/>
        <w:ind w:firstLine="480" w:firstLineChars="200"/>
        <w:rPr>
          <w:rFonts w:hint="eastAsia" w:cs="Times New Roman"/>
          <w:color w:val="auto"/>
          <w:kern w:val="2"/>
          <w:highlight w:val="none"/>
        </w:rPr>
      </w:pPr>
      <w:r>
        <w:rPr>
          <w:rFonts w:hint="eastAsia"/>
          <w:color w:val="auto"/>
          <w:highlight w:val="none"/>
        </w:rPr>
        <w:t>后附中标通知书或合同书加盖公章</w:t>
      </w:r>
    </w:p>
    <w:p w14:paraId="01CD7B0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2F5CEE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B103EF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4B4815B5">
      <w:pPr>
        <w:rPr>
          <w:rFonts w:hint="eastAsia"/>
          <w:color w:val="auto"/>
          <w:highlight w:val="none"/>
        </w:rPr>
      </w:pP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4"/>
        <w:tblW w:w="86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2538"/>
        <w:gridCol w:w="2958"/>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2538"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2958"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6F426047">
            <w:pPr>
              <w:pStyle w:val="27"/>
              <w:ind w:firstLine="480" w:firstLineChars="200"/>
              <w:jc w:val="center"/>
              <w:rPr>
                <w:rFonts w:hint="eastAsia"/>
                <w:color w:val="auto"/>
                <w:szCs w:val="24"/>
                <w:highlight w:val="none"/>
              </w:rPr>
            </w:pPr>
          </w:p>
        </w:tc>
        <w:tc>
          <w:tcPr>
            <w:tcW w:w="2958"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2538"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2958"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7F" w:usb3="00000000" w:csb0="203F01FF" w:csb1="DFFF0000"/>
  </w:font>
  <w:font w:name="方正楷体简体">
    <w:altName w:val="宋体"/>
    <w:panose1 w:val="03000509000000000000"/>
    <w:charset w:val="86"/>
    <w:family w:val="auto"/>
    <w:pitch w:val="default"/>
    <w:sig w:usb0="00000000" w:usb1="00000000" w:usb2="0000000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30"/>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30"/>
      <w:framePr w:wrap="around" w:vAnchor="text" w:hAnchor="margin" w:xAlign="center" w:y="1"/>
      <w:rPr>
        <w:rStyle w:val="48"/>
      </w:rPr>
    </w:pPr>
    <w:r>
      <w:fldChar w:fldCharType="begin"/>
    </w:r>
    <w:r>
      <w:rPr>
        <w:rStyle w:val="48"/>
      </w:rPr>
      <w:instrText xml:space="preserve">PAGE  </w:instrText>
    </w:r>
    <w:r>
      <w:fldChar w:fldCharType="separate"/>
    </w:r>
    <w:r>
      <w:rPr>
        <w:rStyle w:val="48"/>
      </w:rPr>
      <w:t>38</w:t>
    </w:r>
    <w:r>
      <w:fldChar w:fldCharType="end"/>
    </w:r>
  </w:p>
  <w:p w14:paraId="174803B5">
    <w:pPr>
      <w:pStyle w:val="30"/>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30"/>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31"/>
      <w:pBdr>
        <w:bottom w:val="single" w:color="auto" w:sz="4" w:space="1"/>
      </w:pBdr>
      <w:rPr>
        <w:sz w:val="15"/>
        <w:szCs w:val="15"/>
      </w:rPr>
    </w:pPr>
    <w:r>
      <w:rPr>
        <w:rFonts w:hint="eastAsia"/>
        <w:sz w:val="15"/>
        <w:szCs w:val="15"/>
        <w:lang w:eastAsia="zh-CN"/>
      </w:rPr>
      <w:t>玉溪职业技术学院（云南省玉溪工业财贸学校）“双优”专业建设（2包）机电技术应用优质专业电工电子技术实训室建设</w:t>
    </w:r>
    <w:r>
      <w:rPr>
        <w:rFonts w:hint="eastAsia"/>
        <w:sz w:val="15"/>
        <w:szCs w:val="15"/>
        <w:lang w:val="en-US" w:eastAsia="zh-CN"/>
      </w:rPr>
      <w:t xml:space="preserve">            </w:t>
    </w:r>
    <w:r>
      <w:rPr>
        <w:rFonts w:hint="eastAsia"/>
        <w:sz w:val="15"/>
        <w:szCs w:val="15"/>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F470C"/>
    <w:multiLevelType w:val="singleLevel"/>
    <w:tmpl w:val="8AFF470C"/>
    <w:lvl w:ilvl="0" w:tentative="0">
      <w:start w:val="1"/>
      <w:numFmt w:val="decimal"/>
      <w:suff w:val="nothing"/>
      <w:lvlText w:val="(%1)"/>
      <w:lvlJc w:val="left"/>
      <w:pPr>
        <w:ind w:left="454" w:hanging="454"/>
      </w:pPr>
      <w:rPr>
        <w:rFonts w:hint="default"/>
      </w:rPr>
    </w:lvl>
  </w:abstractNum>
  <w:abstractNum w:abstractNumId="1">
    <w:nsid w:val="96596E1F"/>
    <w:multiLevelType w:val="multilevel"/>
    <w:tmpl w:val="96596E1F"/>
    <w:lvl w:ilvl="0" w:tentative="0">
      <w:start w:val="1"/>
      <w:numFmt w:val="decimal"/>
      <w:suff w:val="nothing"/>
      <w:lvlText w:val="%1"/>
      <w:lvlJc w:val="left"/>
      <w:pPr>
        <w:tabs>
          <w:tab w:val="left" w:pos="0"/>
        </w:tabs>
        <w:ind w:left="0" w:firstLine="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9C0E3AAD"/>
    <w:multiLevelType w:val="singleLevel"/>
    <w:tmpl w:val="9C0E3AAD"/>
    <w:lvl w:ilvl="0" w:tentative="0">
      <w:start w:val="1"/>
      <w:numFmt w:val="decimal"/>
      <w:suff w:val="nothing"/>
      <w:lvlText w:val="(%1)"/>
      <w:lvlJc w:val="left"/>
      <w:pPr>
        <w:ind w:left="454" w:hanging="454"/>
      </w:pPr>
      <w:rPr>
        <w:rFonts w:hint="default"/>
      </w:rPr>
    </w:lvl>
  </w:abstractNum>
  <w:abstractNum w:abstractNumId="3">
    <w:nsid w:val="AD12A469"/>
    <w:multiLevelType w:val="singleLevel"/>
    <w:tmpl w:val="AD12A469"/>
    <w:lvl w:ilvl="0" w:tentative="0">
      <w:start w:val="1"/>
      <w:numFmt w:val="chineseCounting"/>
      <w:suff w:val="nothing"/>
      <w:lvlText w:val="%1、"/>
      <w:lvlJc w:val="left"/>
      <w:rPr>
        <w:rFonts w:hint="eastAsia"/>
      </w:rPr>
    </w:lvl>
  </w:abstractNum>
  <w:abstractNum w:abstractNumId="4">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8314ADC"/>
    <w:multiLevelType w:val="singleLevel"/>
    <w:tmpl w:val="18314ADC"/>
    <w:lvl w:ilvl="0" w:tentative="0">
      <w:start w:val="1"/>
      <w:numFmt w:val="decimal"/>
      <w:suff w:val="nothing"/>
      <w:lvlText w:val="(%1)"/>
      <w:lvlJc w:val="left"/>
      <w:pPr>
        <w:ind w:left="454" w:hanging="454"/>
      </w:pPr>
      <w:rPr>
        <w:rFonts w:hint="default"/>
      </w:rPr>
    </w:lvl>
  </w:abstractNum>
  <w:abstractNum w:abstractNumId="6">
    <w:nsid w:val="194D3052"/>
    <w:multiLevelType w:val="multilevel"/>
    <w:tmpl w:val="194D3052"/>
    <w:lvl w:ilvl="0" w:tentative="0">
      <w:start w:val="1"/>
      <w:numFmt w:val="decimal"/>
      <w:suff w:val="nothing"/>
      <w:lvlText w:val="%1"/>
      <w:lvlJc w:val="left"/>
      <w:pPr>
        <w:tabs>
          <w:tab w:val="left" w:pos="0"/>
        </w:tabs>
        <w:ind w:left="0" w:firstLine="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2A82108"/>
    <w:multiLevelType w:val="multilevel"/>
    <w:tmpl w:val="52A82108"/>
    <w:lvl w:ilvl="0" w:tentative="0">
      <w:start w:val="1"/>
      <w:numFmt w:val="decimal"/>
      <w:suff w:val="nothing"/>
      <w:lvlText w:val="%1"/>
      <w:lvlJc w:val="left"/>
      <w:pPr>
        <w:tabs>
          <w:tab w:val="left" w:pos="0"/>
        </w:tabs>
        <w:ind w:left="0" w:firstLine="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99C3393"/>
    <w:multiLevelType w:val="multilevel"/>
    <w:tmpl w:val="599C3393"/>
    <w:lvl w:ilvl="0" w:tentative="0">
      <w:start w:val="1"/>
      <w:numFmt w:val="none"/>
      <w:pStyle w:val="22"/>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abstractNum w:abstractNumId="9">
    <w:nsid w:val="6B54C471"/>
    <w:multiLevelType w:val="singleLevel"/>
    <w:tmpl w:val="6B54C471"/>
    <w:lvl w:ilvl="0" w:tentative="0">
      <w:start w:val="1"/>
      <w:numFmt w:val="decimal"/>
      <w:suff w:val="nothing"/>
      <w:lvlText w:val="(%1)"/>
      <w:lvlJc w:val="left"/>
      <w:pPr>
        <w:ind w:left="454" w:hanging="454"/>
      </w:pPr>
      <w:rPr>
        <w:rFonts w:hint="default"/>
      </w:rPr>
    </w:lvl>
  </w:abstractNum>
  <w:num w:numId="1">
    <w:abstractNumId w:val="8"/>
  </w:num>
  <w:num w:numId="2">
    <w:abstractNumId w:val="4"/>
  </w:num>
  <w:num w:numId="3">
    <w:abstractNumId w:val="1"/>
  </w:num>
  <w:num w:numId="4">
    <w:abstractNumId w:val="6"/>
  </w:num>
  <w:num w:numId="5">
    <w:abstractNumId w:val="7"/>
  </w:num>
  <w:num w:numId="6">
    <w:abstractNumId w:val="0"/>
  </w:num>
  <w:num w:numId="7">
    <w:abstractNumId w:val="2"/>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21639E"/>
    <w:rsid w:val="06327CFF"/>
    <w:rsid w:val="063475BD"/>
    <w:rsid w:val="06755150"/>
    <w:rsid w:val="06BB17CD"/>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10467EF2"/>
    <w:rsid w:val="104C60DD"/>
    <w:rsid w:val="105E54B6"/>
    <w:rsid w:val="109127D2"/>
    <w:rsid w:val="10945A92"/>
    <w:rsid w:val="10B61C33"/>
    <w:rsid w:val="10BE3E04"/>
    <w:rsid w:val="10DE4055"/>
    <w:rsid w:val="10E24DDC"/>
    <w:rsid w:val="1111070F"/>
    <w:rsid w:val="11212105"/>
    <w:rsid w:val="112B38BA"/>
    <w:rsid w:val="11447845"/>
    <w:rsid w:val="11495E71"/>
    <w:rsid w:val="1154735C"/>
    <w:rsid w:val="116274A3"/>
    <w:rsid w:val="116F23E8"/>
    <w:rsid w:val="1173545B"/>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A71130"/>
    <w:rsid w:val="15BB5BFB"/>
    <w:rsid w:val="160C28FB"/>
    <w:rsid w:val="16135A37"/>
    <w:rsid w:val="161916A5"/>
    <w:rsid w:val="16210154"/>
    <w:rsid w:val="164E39A8"/>
    <w:rsid w:val="1666200B"/>
    <w:rsid w:val="16812F1E"/>
    <w:rsid w:val="16933E39"/>
    <w:rsid w:val="16972B79"/>
    <w:rsid w:val="16C66EA7"/>
    <w:rsid w:val="16F50155"/>
    <w:rsid w:val="17063D1F"/>
    <w:rsid w:val="174662BC"/>
    <w:rsid w:val="17930A6E"/>
    <w:rsid w:val="179BF24D"/>
    <w:rsid w:val="17C13E6F"/>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53D60"/>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C38B5"/>
    <w:rsid w:val="2331574F"/>
    <w:rsid w:val="23353491"/>
    <w:rsid w:val="233742EF"/>
    <w:rsid w:val="233B28BD"/>
    <w:rsid w:val="23734944"/>
    <w:rsid w:val="237C6F57"/>
    <w:rsid w:val="239B12E1"/>
    <w:rsid w:val="23A15E53"/>
    <w:rsid w:val="23BF2D5B"/>
    <w:rsid w:val="23C93B55"/>
    <w:rsid w:val="23DA1943"/>
    <w:rsid w:val="23F22B88"/>
    <w:rsid w:val="23F724F4"/>
    <w:rsid w:val="23F81101"/>
    <w:rsid w:val="24183AA4"/>
    <w:rsid w:val="24183C32"/>
    <w:rsid w:val="244D1012"/>
    <w:rsid w:val="246E6CA0"/>
    <w:rsid w:val="24806EFC"/>
    <w:rsid w:val="24A2420E"/>
    <w:rsid w:val="24AD02DB"/>
    <w:rsid w:val="24B3176D"/>
    <w:rsid w:val="24C3669D"/>
    <w:rsid w:val="24CE7C0E"/>
    <w:rsid w:val="24FA538D"/>
    <w:rsid w:val="254C46D1"/>
    <w:rsid w:val="25787F06"/>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81371BB"/>
    <w:rsid w:val="2846729E"/>
    <w:rsid w:val="284C7C69"/>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7936F3"/>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CC660C"/>
    <w:rsid w:val="30D930C3"/>
    <w:rsid w:val="312149A9"/>
    <w:rsid w:val="317119AA"/>
    <w:rsid w:val="31713D26"/>
    <w:rsid w:val="318254C8"/>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291F6A"/>
    <w:rsid w:val="38392FC7"/>
    <w:rsid w:val="3857047B"/>
    <w:rsid w:val="386A4B2B"/>
    <w:rsid w:val="386D57C3"/>
    <w:rsid w:val="387F572F"/>
    <w:rsid w:val="38864AC9"/>
    <w:rsid w:val="388D1D44"/>
    <w:rsid w:val="38992830"/>
    <w:rsid w:val="389D428C"/>
    <w:rsid w:val="38E23DE0"/>
    <w:rsid w:val="38F31085"/>
    <w:rsid w:val="38F44DFD"/>
    <w:rsid w:val="38FE4B0D"/>
    <w:rsid w:val="390E2362"/>
    <w:rsid w:val="39194863"/>
    <w:rsid w:val="39243934"/>
    <w:rsid w:val="39247B5B"/>
    <w:rsid w:val="393873DF"/>
    <w:rsid w:val="39460EFB"/>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094EC2"/>
    <w:rsid w:val="432664FB"/>
    <w:rsid w:val="432E715D"/>
    <w:rsid w:val="433517D1"/>
    <w:rsid w:val="435979DC"/>
    <w:rsid w:val="437518F0"/>
    <w:rsid w:val="437A51DB"/>
    <w:rsid w:val="43BC6902"/>
    <w:rsid w:val="43C7687A"/>
    <w:rsid w:val="43CC5E1B"/>
    <w:rsid w:val="440A08B0"/>
    <w:rsid w:val="44533E25"/>
    <w:rsid w:val="44647CC4"/>
    <w:rsid w:val="449A0F4E"/>
    <w:rsid w:val="449E56C4"/>
    <w:rsid w:val="44AF173A"/>
    <w:rsid w:val="44BE2808"/>
    <w:rsid w:val="44D12877"/>
    <w:rsid w:val="44D30B3E"/>
    <w:rsid w:val="44F1066F"/>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9131272"/>
    <w:rsid w:val="49175104"/>
    <w:rsid w:val="492C0860"/>
    <w:rsid w:val="493D0932"/>
    <w:rsid w:val="496559DC"/>
    <w:rsid w:val="49720597"/>
    <w:rsid w:val="497D0CA1"/>
    <w:rsid w:val="49B760FE"/>
    <w:rsid w:val="49DA7102"/>
    <w:rsid w:val="4A084BAC"/>
    <w:rsid w:val="4A1D3462"/>
    <w:rsid w:val="4A96711A"/>
    <w:rsid w:val="4A987CDE"/>
    <w:rsid w:val="4ABF69DE"/>
    <w:rsid w:val="4AD056CA"/>
    <w:rsid w:val="4AEC2AA6"/>
    <w:rsid w:val="4B0B5BC5"/>
    <w:rsid w:val="4B1C7647"/>
    <w:rsid w:val="4B756271"/>
    <w:rsid w:val="4B9D671D"/>
    <w:rsid w:val="4BAF1EBA"/>
    <w:rsid w:val="4BE647E3"/>
    <w:rsid w:val="4BEA27BB"/>
    <w:rsid w:val="4C5329C8"/>
    <w:rsid w:val="4C6B0FD5"/>
    <w:rsid w:val="4C6F0F12"/>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A454C"/>
    <w:rsid w:val="4E800AB3"/>
    <w:rsid w:val="4EA12ED9"/>
    <w:rsid w:val="4EB66985"/>
    <w:rsid w:val="4EC35BF5"/>
    <w:rsid w:val="4F7D6B68"/>
    <w:rsid w:val="4FA57E39"/>
    <w:rsid w:val="4FA9271B"/>
    <w:rsid w:val="4FAB0141"/>
    <w:rsid w:val="4FAB4C4B"/>
    <w:rsid w:val="4FAE095D"/>
    <w:rsid w:val="4FB545DB"/>
    <w:rsid w:val="4FB82BD0"/>
    <w:rsid w:val="4FC122E5"/>
    <w:rsid w:val="4FCE7CFE"/>
    <w:rsid w:val="4FD035BF"/>
    <w:rsid w:val="4FFC486B"/>
    <w:rsid w:val="4FFD05E3"/>
    <w:rsid w:val="502B32DA"/>
    <w:rsid w:val="503404A9"/>
    <w:rsid w:val="50370250"/>
    <w:rsid w:val="50397832"/>
    <w:rsid w:val="504428BE"/>
    <w:rsid w:val="50623EEF"/>
    <w:rsid w:val="507FAE89"/>
    <w:rsid w:val="509129BD"/>
    <w:rsid w:val="509B4EE0"/>
    <w:rsid w:val="50D55F02"/>
    <w:rsid w:val="51081306"/>
    <w:rsid w:val="51144AB2"/>
    <w:rsid w:val="51234423"/>
    <w:rsid w:val="513A1E07"/>
    <w:rsid w:val="516F0EB8"/>
    <w:rsid w:val="51714F59"/>
    <w:rsid w:val="517D5E7F"/>
    <w:rsid w:val="5196726A"/>
    <w:rsid w:val="51CF7816"/>
    <w:rsid w:val="51E26E67"/>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F65A75"/>
    <w:rsid w:val="53FF60E1"/>
    <w:rsid w:val="540944D1"/>
    <w:rsid w:val="54224974"/>
    <w:rsid w:val="54256BA0"/>
    <w:rsid w:val="54260108"/>
    <w:rsid w:val="54576BED"/>
    <w:rsid w:val="546358C8"/>
    <w:rsid w:val="546926EB"/>
    <w:rsid w:val="54AC459A"/>
    <w:rsid w:val="54C65448"/>
    <w:rsid w:val="54CC77F2"/>
    <w:rsid w:val="54D949F1"/>
    <w:rsid w:val="54E219D3"/>
    <w:rsid w:val="54E876E2"/>
    <w:rsid w:val="54FB77E7"/>
    <w:rsid w:val="553C751B"/>
    <w:rsid w:val="554448A3"/>
    <w:rsid w:val="554D2CF0"/>
    <w:rsid w:val="554E22D3"/>
    <w:rsid w:val="556744AB"/>
    <w:rsid w:val="55703C60"/>
    <w:rsid w:val="55777BA0"/>
    <w:rsid w:val="5590350E"/>
    <w:rsid w:val="55BE0F68"/>
    <w:rsid w:val="55E24442"/>
    <w:rsid w:val="562A4684"/>
    <w:rsid w:val="56301712"/>
    <w:rsid w:val="564A5AA2"/>
    <w:rsid w:val="5696590F"/>
    <w:rsid w:val="56971AA4"/>
    <w:rsid w:val="56CB46AD"/>
    <w:rsid w:val="570C7680"/>
    <w:rsid w:val="571D213F"/>
    <w:rsid w:val="573F2900"/>
    <w:rsid w:val="5770733F"/>
    <w:rsid w:val="57877110"/>
    <w:rsid w:val="578C4726"/>
    <w:rsid w:val="57923D07"/>
    <w:rsid w:val="57B97E77"/>
    <w:rsid w:val="57C318E1"/>
    <w:rsid w:val="57C96E2D"/>
    <w:rsid w:val="57DE5EB8"/>
    <w:rsid w:val="57EB6DD2"/>
    <w:rsid w:val="57EF0CA9"/>
    <w:rsid w:val="58240E03"/>
    <w:rsid w:val="58256BC2"/>
    <w:rsid w:val="584C384B"/>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5A392B"/>
    <w:rsid w:val="63730681"/>
    <w:rsid w:val="637D4ECB"/>
    <w:rsid w:val="639C1066"/>
    <w:rsid w:val="639C3F43"/>
    <w:rsid w:val="639E6557"/>
    <w:rsid w:val="63AC2B49"/>
    <w:rsid w:val="63BB2B83"/>
    <w:rsid w:val="63E10EDB"/>
    <w:rsid w:val="63F26F27"/>
    <w:rsid w:val="640C617F"/>
    <w:rsid w:val="64480A16"/>
    <w:rsid w:val="644D32A0"/>
    <w:rsid w:val="648B1196"/>
    <w:rsid w:val="64E01E8E"/>
    <w:rsid w:val="651A0D6E"/>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CD6B09"/>
    <w:rsid w:val="66E962DB"/>
    <w:rsid w:val="673D3C4E"/>
    <w:rsid w:val="675363F3"/>
    <w:rsid w:val="67601C72"/>
    <w:rsid w:val="67790849"/>
    <w:rsid w:val="67827569"/>
    <w:rsid w:val="6787202D"/>
    <w:rsid w:val="67D76336"/>
    <w:rsid w:val="67DC5685"/>
    <w:rsid w:val="68006923"/>
    <w:rsid w:val="68037C35"/>
    <w:rsid w:val="68161E62"/>
    <w:rsid w:val="685272B7"/>
    <w:rsid w:val="68577B6F"/>
    <w:rsid w:val="687B329F"/>
    <w:rsid w:val="68816696"/>
    <w:rsid w:val="68A2033A"/>
    <w:rsid w:val="68A80B56"/>
    <w:rsid w:val="68BC67C9"/>
    <w:rsid w:val="68DD74D8"/>
    <w:rsid w:val="68DF11F7"/>
    <w:rsid w:val="68FD6097"/>
    <w:rsid w:val="68FF541F"/>
    <w:rsid w:val="691B6CFF"/>
    <w:rsid w:val="6956014B"/>
    <w:rsid w:val="6957654C"/>
    <w:rsid w:val="6957A84B"/>
    <w:rsid w:val="697531CB"/>
    <w:rsid w:val="698B1596"/>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91F24"/>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F755A4"/>
    <w:rsid w:val="71324EF7"/>
    <w:rsid w:val="71737A58"/>
    <w:rsid w:val="718A65D1"/>
    <w:rsid w:val="71922E29"/>
    <w:rsid w:val="71A32AFB"/>
    <w:rsid w:val="71F75E09"/>
    <w:rsid w:val="72455590"/>
    <w:rsid w:val="7251199A"/>
    <w:rsid w:val="729F5AC3"/>
    <w:rsid w:val="72AF8909"/>
    <w:rsid w:val="72D40C50"/>
    <w:rsid w:val="72E15E16"/>
    <w:rsid w:val="72FA2A34"/>
    <w:rsid w:val="72FE7982"/>
    <w:rsid w:val="73096F4B"/>
    <w:rsid w:val="73163C38"/>
    <w:rsid w:val="731C0BFD"/>
    <w:rsid w:val="733C0C54"/>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DB2B7D"/>
    <w:rsid w:val="76E11454"/>
    <w:rsid w:val="76E94B74"/>
    <w:rsid w:val="770E6AAE"/>
    <w:rsid w:val="773B2BD1"/>
    <w:rsid w:val="774C7428"/>
    <w:rsid w:val="776B6C5F"/>
    <w:rsid w:val="77796312"/>
    <w:rsid w:val="777A3CCE"/>
    <w:rsid w:val="777E3EB8"/>
    <w:rsid w:val="777F80B3"/>
    <w:rsid w:val="77815E20"/>
    <w:rsid w:val="77832A4C"/>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B935FA"/>
    <w:rsid w:val="78D366C6"/>
    <w:rsid w:val="78E21D6D"/>
    <w:rsid w:val="78E57CE3"/>
    <w:rsid w:val="78FA49CF"/>
    <w:rsid w:val="792B7DEB"/>
    <w:rsid w:val="79490272"/>
    <w:rsid w:val="795C0BA9"/>
    <w:rsid w:val="797319EC"/>
    <w:rsid w:val="798557B2"/>
    <w:rsid w:val="7985C1CB"/>
    <w:rsid w:val="798600A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F1A24"/>
    <w:rsid w:val="7E775881"/>
    <w:rsid w:val="7E8A6E19"/>
    <w:rsid w:val="7EB20D47"/>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3">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81"/>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5"/>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8"/>
    <w:link w:val="103"/>
    <w:qFormat/>
    <w:uiPriority w:val="99"/>
    <w:rPr>
      <w:rFonts w:ascii="金山简黑体" w:hAnsi="金山简黑体" w:eastAsia="金山简黑体"/>
      <w:b/>
      <w:spacing w:val="-8"/>
      <w:sz w:val="44"/>
      <w:szCs w:val="20"/>
    </w:rPr>
  </w:style>
  <w:style w:type="paragraph" w:customStyle="1" w:styleId="18">
    <w:name w:val="Default"/>
    <w:basedOn w:val="19"/>
    <w:next w:val="20"/>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9">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0">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1">
    <w:name w:val="Body Text Indent"/>
    <w:basedOn w:val="1"/>
    <w:next w:val="22"/>
    <w:qFormat/>
    <w:uiPriority w:val="0"/>
    <w:pPr>
      <w:spacing w:line="200" w:lineRule="exact"/>
      <w:ind w:firstLine="301"/>
    </w:pPr>
    <w:rPr>
      <w:spacing w:val="-4"/>
      <w:sz w:val="18"/>
      <w:szCs w:val="20"/>
    </w:rPr>
  </w:style>
  <w:style w:type="paragraph" w:customStyle="1" w:styleId="22">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3">
    <w:name w:val="toc 5"/>
    <w:basedOn w:val="1"/>
    <w:next w:val="1"/>
    <w:semiHidden/>
    <w:qFormat/>
    <w:uiPriority w:val="0"/>
    <w:pPr>
      <w:ind w:left="840"/>
    </w:pPr>
    <w:rPr>
      <w:sz w:val="18"/>
      <w:szCs w:val="18"/>
    </w:rPr>
  </w:style>
  <w:style w:type="paragraph" w:styleId="24">
    <w:name w:val="toc 3"/>
    <w:basedOn w:val="1"/>
    <w:next w:val="1"/>
    <w:semiHidden/>
    <w:qFormat/>
    <w:uiPriority w:val="0"/>
    <w:pPr>
      <w:ind w:left="420"/>
    </w:pPr>
    <w:rPr>
      <w:i/>
      <w:iCs/>
      <w:sz w:val="20"/>
      <w:szCs w:val="20"/>
    </w:rPr>
  </w:style>
  <w:style w:type="paragraph" w:styleId="25">
    <w:name w:val="Plain Text"/>
    <w:basedOn w:val="1"/>
    <w:next w:val="12"/>
    <w:link w:val="64"/>
    <w:qFormat/>
    <w:uiPriority w:val="99"/>
    <w:pPr>
      <w:adjustRightInd w:val="0"/>
      <w:snapToGrid w:val="0"/>
      <w:spacing w:line="360" w:lineRule="auto"/>
      <w:jc w:val="center"/>
    </w:pPr>
    <w:rPr>
      <w:sz w:val="21"/>
      <w:szCs w:val="21"/>
    </w:rPr>
  </w:style>
  <w:style w:type="paragraph" w:styleId="26">
    <w:name w:val="toc 8"/>
    <w:basedOn w:val="1"/>
    <w:next w:val="1"/>
    <w:semiHidden/>
    <w:qFormat/>
    <w:uiPriority w:val="0"/>
    <w:pPr>
      <w:ind w:left="1470"/>
    </w:pPr>
    <w:rPr>
      <w:sz w:val="18"/>
      <w:szCs w:val="18"/>
    </w:rPr>
  </w:style>
  <w:style w:type="paragraph" w:styleId="27">
    <w:name w:val="Date"/>
    <w:basedOn w:val="1"/>
    <w:next w:val="1"/>
    <w:link w:val="142"/>
    <w:qFormat/>
    <w:uiPriority w:val="99"/>
    <w:rPr>
      <w:szCs w:val="20"/>
    </w:rPr>
  </w:style>
  <w:style w:type="paragraph" w:styleId="28">
    <w:name w:val="Body Text Indent 2"/>
    <w:basedOn w:val="1"/>
    <w:qFormat/>
    <w:uiPriority w:val="0"/>
    <w:pPr>
      <w:spacing w:after="120" w:line="480" w:lineRule="auto"/>
      <w:ind w:left="200" w:leftChars="200"/>
    </w:pPr>
  </w:style>
  <w:style w:type="paragraph" w:styleId="29">
    <w:name w:val="Balloon Text"/>
    <w:basedOn w:val="1"/>
    <w:qFormat/>
    <w:uiPriority w:val="0"/>
    <w:rPr>
      <w:sz w:val="18"/>
      <w:szCs w:val="18"/>
    </w:rPr>
  </w:style>
  <w:style w:type="paragraph" w:styleId="30">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1">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2">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3">
    <w:name w:val="toc 4"/>
    <w:basedOn w:val="1"/>
    <w:next w:val="1"/>
    <w:semiHidden/>
    <w:qFormat/>
    <w:uiPriority w:val="0"/>
    <w:pPr>
      <w:ind w:left="630"/>
    </w:pPr>
    <w:rPr>
      <w:sz w:val="18"/>
      <w:szCs w:val="18"/>
    </w:rPr>
  </w:style>
  <w:style w:type="paragraph" w:styleId="34">
    <w:name w:val="Subtitle"/>
    <w:basedOn w:val="1"/>
    <w:qFormat/>
    <w:uiPriority w:val="0"/>
    <w:rPr>
      <w:rFonts w:cs="Century"/>
      <w:lang w:eastAsia="en-US" w:bidi="he-IL"/>
    </w:rPr>
  </w:style>
  <w:style w:type="paragraph" w:styleId="35">
    <w:name w:val="toc 6"/>
    <w:basedOn w:val="1"/>
    <w:next w:val="1"/>
    <w:semiHidden/>
    <w:qFormat/>
    <w:uiPriority w:val="0"/>
    <w:pPr>
      <w:ind w:left="1050"/>
    </w:pPr>
    <w:rPr>
      <w:sz w:val="18"/>
      <w:szCs w:val="18"/>
    </w:rPr>
  </w:style>
  <w:style w:type="paragraph" w:styleId="36">
    <w:name w:val="Body Text Indent 3"/>
    <w:basedOn w:val="1"/>
    <w:qFormat/>
    <w:uiPriority w:val="0"/>
    <w:pPr>
      <w:spacing w:line="400" w:lineRule="exact"/>
      <w:ind w:left="360"/>
    </w:pPr>
  </w:style>
  <w:style w:type="paragraph" w:styleId="37">
    <w:name w:val="toc 2"/>
    <w:basedOn w:val="1"/>
    <w:next w:val="1"/>
    <w:qFormat/>
    <w:uiPriority w:val="39"/>
    <w:pPr>
      <w:ind w:left="210"/>
    </w:pPr>
    <w:rPr>
      <w:smallCaps/>
      <w:sz w:val="20"/>
      <w:szCs w:val="20"/>
    </w:rPr>
  </w:style>
  <w:style w:type="paragraph" w:styleId="38">
    <w:name w:val="toc 9"/>
    <w:basedOn w:val="1"/>
    <w:next w:val="1"/>
    <w:semiHidden/>
    <w:qFormat/>
    <w:uiPriority w:val="0"/>
    <w:pPr>
      <w:ind w:left="1680"/>
    </w:pPr>
    <w:rPr>
      <w:sz w:val="18"/>
      <w:szCs w:val="18"/>
    </w:rPr>
  </w:style>
  <w:style w:type="paragraph" w:styleId="39">
    <w:name w:val="Body Text 2"/>
    <w:basedOn w:val="1"/>
    <w:qFormat/>
    <w:uiPriority w:val="0"/>
    <w:rPr>
      <w:sz w:val="13"/>
      <w:szCs w:val="20"/>
    </w:rPr>
  </w:style>
  <w:style w:type="paragraph" w:styleId="40">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1">
    <w:name w:val="Normal (Web)"/>
    <w:basedOn w:val="1"/>
    <w:qFormat/>
    <w:uiPriority w:val="99"/>
    <w:pPr>
      <w:spacing w:before="100" w:beforeAutospacing="1" w:after="100" w:afterAutospacing="1"/>
    </w:pPr>
  </w:style>
  <w:style w:type="paragraph" w:styleId="42">
    <w:name w:val="annotation subject"/>
    <w:basedOn w:val="15"/>
    <w:next w:val="15"/>
    <w:link w:val="66"/>
    <w:qFormat/>
    <w:uiPriority w:val="0"/>
    <w:rPr>
      <w:b/>
      <w:bCs/>
    </w:rPr>
  </w:style>
  <w:style w:type="paragraph" w:styleId="43">
    <w:name w:val="Body Text First Indent 2"/>
    <w:basedOn w:val="21"/>
    <w:next w:val="1"/>
    <w:qFormat/>
    <w:uiPriority w:val="99"/>
    <w:pPr>
      <w:spacing w:after="120" w:line="240" w:lineRule="auto"/>
      <w:ind w:left="420" w:leftChars="200" w:firstLine="420" w:firstLineChars="200"/>
    </w:pPr>
    <w:rPr>
      <w:szCs w:val="24"/>
    </w:rPr>
  </w:style>
  <w:style w:type="table" w:styleId="45">
    <w:name w:val="Table Grid"/>
    <w:basedOn w:val="4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rPr>
  </w:style>
  <w:style w:type="character" w:styleId="48">
    <w:name w:val="page number"/>
    <w:qFormat/>
    <w:uiPriority w:val="0"/>
  </w:style>
  <w:style w:type="character" w:styleId="49">
    <w:name w:val="FollowedHyperlink"/>
    <w:qFormat/>
    <w:uiPriority w:val="99"/>
    <w:rPr>
      <w:color w:val="555555"/>
      <w:u w:val="none"/>
    </w:rPr>
  </w:style>
  <w:style w:type="character" w:styleId="50">
    <w:name w:val="Emphasis"/>
    <w:qFormat/>
    <w:uiPriority w:val="20"/>
    <w:rPr>
      <w:i/>
    </w:rPr>
  </w:style>
  <w:style w:type="character" w:styleId="51">
    <w:name w:val="HTML Definition"/>
    <w:qFormat/>
    <w:uiPriority w:val="0"/>
  </w:style>
  <w:style w:type="character" w:styleId="52">
    <w:name w:val="HTML Acronym"/>
    <w:qFormat/>
    <w:uiPriority w:val="0"/>
  </w:style>
  <w:style w:type="character" w:styleId="53">
    <w:name w:val="HTML Variable"/>
    <w:qFormat/>
    <w:uiPriority w:val="0"/>
  </w:style>
  <w:style w:type="character" w:styleId="54">
    <w:name w:val="Hyperlink"/>
    <w:qFormat/>
    <w:uiPriority w:val="99"/>
    <w:rPr>
      <w:color w:val="000000"/>
      <w:sz w:val="18"/>
      <w:szCs w:val="18"/>
      <w:u w:val="none"/>
    </w:rPr>
  </w:style>
  <w:style w:type="character" w:styleId="55">
    <w:name w:val="HTML Code"/>
    <w:qFormat/>
    <w:uiPriority w:val="0"/>
    <w:rPr>
      <w:rFonts w:ascii="monospace" w:hAnsi="monospace" w:eastAsia="monospace" w:cs="monospace"/>
      <w:sz w:val="24"/>
      <w:szCs w:val="24"/>
    </w:rPr>
  </w:style>
  <w:style w:type="character" w:styleId="56">
    <w:name w:val="annotation reference"/>
    <w:qFormat/>
    <w:uiPriority w:val="0"/>
    <w:rPr>
      <w:sz w:val="21"/>
      <w:szCs w:val="21"/>
    </w:rPr>
  </w:style>
  <w:style w:type="character" w:styleId="57">
    <w:name w:val="HTML Cite"/>
    <w:qFormat/>
    <w:uiPriority w:val="0"/>
  </w:style>
  <w:style w:type="character" w:styleId="58">
    <w:name w:val="HTML Keyboard"/>
    <w:qFormat/>
    <w:uiPriority w:val="0"/>
    <w:rPr>
      <w:rFonts w:hint="default" w:ascii="monospace" w:hAnsi="monospace" w:eastAsia="monospace" w:cs="monospace"/>
      <w:sz w:val="24"/>
      <w:szCs w:val="24"/>
    </w:rPr>
  </w:style>
  <w:style w:type="character" w:styleId="59">
    <w:name w:val="HTML Sample"/>
    <w:qFormat/>
    <w:uiPriority w:val="0"/>
    <w:rPr>
      <w:rFonts w:hint="default" w:ascii="monospace" w:hAnsi="monospace" w:eastAsia="monospace" w:cs="monospace"/>
      <w:sz w:val="24"/>
      <w:szCs w:val="24"/>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5"/>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2"/>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2"/>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3"/>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30"/>
    <w:qFormat/>
    <w:uiPriority w:val="99"/>
    <w:rPr>
      <w:rFonts w:ascii="宋体"/>
      <w:kern w:val="2"/>
      <w:sz w:val="18"/>
    </w:rPr>
  </w:style>
  <w:style w:type="character" w:customStyle="1" w:styleId="80">
    <w:name w:val="top-icon"/>
    <w:qFormat/>
    <w:uiPriority w:val="0"/>
  </w:style>
  <w:style w:type="character" w:customStyle="1" w:styleId="81">
    <w:name w:val="正文缩进 字符"/>
    <w:link w:val="13"/>
    <w:qFormat/>
    <w:uiPriority w:val="0"/>
    <w:rPr>
      <w:kern w:val="2"/>
      <w:sz w:val="21"/>
    </w:rPr>
  </w:style>
  <w:style w:type="character" w:customStyle="1" w:styleId="82">
    <w:name w:val="页眉 字符"/>
    <w:link w:val="31"/>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5"/>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7"/>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5"/>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3"/>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4"/>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3"/>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6"/>
    <w:link w:val="27"/>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6"/>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6"/>
    <w:qFormat/>
    <w:uiPriority w:val="0"/>
    <w:rPr>
      <w:rFonts w:hint="default" w:ascii="Times New Roman" w:hAnsi="Times New Roman" w:cs="Times New Roman"/>
      <w:color w:val="000000"/>
      <w:sz w:val="24"/>
      <w:szCs w:val="24"/>
      <w:u w:val="none"/>
    </w:rPr>
  </w:style>
  <w:style w:type="character" w:customStyle="1" w:styleId="146">
    <w:name w:val="font01"/>
    <w:basedOn w:val="46"/>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6"/>
    <w:qFormat/>
    <w:uiPriority w:val="0"/>
    <w:rPr>
      <w:rFonts w:hint="default" w:ascii="Times New Roman" w:hAnsi="Times New Roman" w:cs="Times New Roman"/>
      <w:color w:val="000000"/>
      <w:sz w:val="22"/>
      <w:szCs w:val="22"/>
      <w:u w:val="none"/>
    </w:rPr>
  </w:style>
  <w:style w:type="character" w:customStyle="1" w:styleId="148">
    <w:name w:val="font11"/>
    <w:basedOn w:val="46"/>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6"/>
    <w:qFormat/>
    <w:uiPriority w:val="0"/>
    <w:rPr>
      <w:rFonts w:hint="eastAsia" w:ascii="宋体" w:hAnsi="宋体" w:eastAsia="宋体"/>
      <w:color w:val="000000"/>
      <w:sz w:val="20"/>
      <w:szCs w:val="20"/>
      <w:u w:val="none"/>
    </w:rPr>
  </w:style>
  <w:style w:type="character" w:customStyle="1" w:styleId="151">
    <w:name w:val="font41"/>
    <w:basedOn w:val="46"/>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4"/>
    <w:qFormat/>
    <w:uiPriority w:val="0"/>
    <w:rPr>
      <w:rFonts w:eastAsia="Times New Roman"/>
    </w:rPr>
    <w:tblPr>
      <w:tblCellMar>
        <w:left w:w="0" w:type="dxa"/>
        <w:right w:w="0" w:type="dxa"/>
      </w:tblCellMar>
    </w:tblPr>
  </w:style>
  <w:style w:type="character" w:customStyle="1" w:styleId="195">
    <w:name w:val="标题 4 字符"/>
    <w:basedOn w:val="46"/>
    <w:link w:val="5"/>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6"/>
    <w:link w:val="40"/>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2"/>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6"/>
    <w:qFormat/>
    <w:uiPriority w:val="0"/>
    <w:rPr>
      <w:rFonts w:hint="eastAsia" w:ascii="宋体" w:hAnsi="宋体" w:eastAsia="宋体"/>
      <w:b/>
      <w:bCs/>
      <w:color w:val="000000"/>
      <w:sz w:val="20"/>
      <w:szCs w:val="20"/>
      <w:u w:val="none"/>
    </w:rPr>
  </w:style>
  <w:style w:type="character" w:customStyle="1" w:styleId="208">
    <w:name w:val="font81"/>
    <w:basedOn w:val="46"/>
    <w:qFormat/>
    <w:uiPriority w:val="0"/>
    <w:rPr>
      <w:rFonts w:hint="default" w:ascii="Calibri" w:hAnsi="Calibri" w:cs="Calibri"/>
      <w:color w:val="000000"/>
      <w:sz w:val="22"/>
      <w:szCs w:val="22"/>
      <w:u w:val="none"/>
    </w:rPr>
  </w:style>
  <w:style w:type="character" w:customStyle="1" w:styleId="209">
    <w:name w:val="font91"/>
    <w:basedOn w:val="46"/>
    <w:qFormat/>
    <w:uiPriority w:val="0"/>
    <w:rPr>
      <w:rFonts w:ascii="Calibri" w:hAnsi="Calibri" w:cs="Calibri"/>
      <w:color w:val="000000"/>
      <w:sz w:val="20"/>
      <w:szCs w:val="20"/>
      <w:u w:val="none"/>
    </w:rPr>
  </w:style>
  <w:style w:type="character" w:customStyle="1" w:styleId="210">
    <w:name w:val="10"/>
    <w:basedOn w:val="46"/>
    <w:qFormat/>
    <w:uiPriority w:val="0"/>
    <w:rPr>
      <w:rFonts w:hint="default" w:ascii="Times New Roman" w:hAnsi="Times New Roman" w:cs="Times New Roman"/>
    </w:rPr>
  </w:style>
  <w:style w:type="character" w:customStyle="1" w:styleId="211">
    <w:name w:val="15"/>
    <w:basedOn w:val="46"/>
    <w:qFormat/>
    <w:uiPriority w:val="0"/>
    <w:rPr>
      <w:rFonts w:hint="default" w:ascii="Calibri" w:hAnsi="Calibri" w:cs="Calibri"/>
      <w:color w:val="000000"/>
      <w:sz w:val="20"/>
      <w:szCs w:val="20"/>
    </w:rPr>
  </w:style>
  <w:style w:type="character" w:customStyle="1" w:styleId="212">
    <w:name w:val="font161"/>
    <w:basedOn w:val="46"/>
    <w:qFormat/>
    <w:uiPriority w:val="0"/>
    <w:rPr>
      <w:rFonts w:hint="eastAsia" w:ascii="微软雅黑" w:hAnsi="微软雅黑" w:eastAsia="微软雅黑" w:cs="微软雅黑"/>
      <w:color w:val="FF0000"/>
      <w:sz w:val="16"/>
      <w:szCs w:val="16"/>
      <w:u w:val="none"/>
    </w:rPr>
  </w:style>
  <w:style w:type="character" w:customStyle="1" w:styleId="213">
    <w:name w:val="font171"/>
    <w:basedOn w:val="46"/>
    <w:qFormat/>
    <w:uiPriority w:val="0"/>
    <w:rPr>
      <w:rFonts w:hint="eastAsia" w:ascii="微软雅黑" w:hAnsi="微软雅黑" w:eastAsia="微软雅黑" w:cs="微软雅黑"/>
      <w:color w:val="4EA72E"/>
      <w:sz w:val="16"/>
      <w:szCs w:val="16"/>
      <w:u w:val="none"/>
    </w:rPr>
  </w:style>
  <w:style w:type="character" w:customStyle="1" w:styleId="214">
    <w:name w:val="font181"/>
    <w:basedOn w:val="46"/>
    <w:qFormat/>
    <w:uiPriority w:val="0"/>
    <w:rPr>
      <w:rFonts w:hint="eastAsia" w:ascii="微软雅黑" w:hAnsi="微软雅黑" w:eastAsia="微软雅黑" w:cs="微软雅黑"/>
      <w:color w:val="D86DCD"/>
      <w:sz w:val="16"/>
      <w:szCs w:val="16"/>
      <w:u w:val="none"/>
    </w:rPr>
  </w:style>
  <w:style w:type="character" w:customStyle="1" w:styleId="215">
    <w:name w:val="font101"/>
    <w:basedOn w:val="46"/>
    <w:qFormat/>
    <w:uiPriority w:val="0"/>
    <w:rPr>
      <w:rFonts w:hint="default" w:ascii="Times New Roman" w:hAnsi="Times New Roman" w:cs="Times New Roman"/>
      <w:color w:val="000000"/>
      <w:sz w:val="16"/>
      <w:szCs w:val="16"/>
      <w:u w:val="none"/>
    </w:rPr>
  </w:style>
  <w:style w:type="character" w:customStyle="1" w:styleId="216">
    <w:name w:val="font191"/>
    <w:basedOn w:val="46"/>
    <w:qFormat/>
    <w:uiPriority w:val="0"/>
    <w:rPr>
      <w:rFonts w:hint="eastAsia" w:ascii="宋体" w:hAnsi="宋体" w:eastAsia="宋体" w:cs="宋体"/>
      <w:color w:val="D86DCD"/>
      <w:sz w:val="16"/>
      <w:szCs w:val="16"/>
      <w:u w:val="none"/>
    </w:rPr>
  </w:style>
  <w:style w:type="character" w:customStyle="1" w:styleId="217">
    <w:name w:val="font201"/>
    <w:basedOn w:val="46"/>
    <w:qFormat/>
    <w:uiPriority w:val="0"/>
    <w:rPr>
      <w:rFonts w:hint="default" w:ascii="Times New Roman" w:hAnsi="Times New Roman" w:cs="Times New Roman"/>
      <w:color w:val="4EA72E"/>
      <w:sz w:val="16"/>
      <w:szCs w:val="16"/>
      <w:u w:val="none"/>
    </w:rPr>
  </w:style>
  <w:style w:type="character" w:customStyle="1" w:styleId="218">
    <w:name w:val="font212"/>
    <w:basedOn w:val="46"/>
    <w:qFormat/>
    <w:uiPriority w:val="0"/>
    <w:rPr>
      <w:rFonts w:hint="eastAsia" w:ascii="宋体" w:hAnsi="宋体" w:eastAsia="宋体" w:cs="宋体"/>
      <w:color w:val="FF0000"/>
      <w:sz w:val="16"/>
      <w:szCs w:val="16"/>
      <w:u w:val="none"/>
    </w:rPr>
  </w:style>
  <w:style w:type="character" w:customStyle="1" w:styleId="219">
    <w:name w:val="font221"/>
    <w:basedOn w:val="46"/>
    <w:qFormat/>
    <w:uiPriority w:val="0"/>
    <w:rPr>
      <w:rFonts w:hint="eastAsia" w:ascii="宋体" w:hAnsi="宋体" w:eastAsia="宋体" w:cs="宋体"/>
      <w:color w:val="4EA72E"/>
      <w:sz w:val="16"/>
      <w:szCs w:val="16"/>
      <w:u w:val="none"/>
    </w:rPr>
  </w:style>
  <w:style w:type="character" w:customStyle="1" w:styleId="220">
    <w:name w:val="font231"/>
    <w:basedOn w:val="46"/>
    <w:qFormat/>
    <w:uiPriority w:val="0"/>
    <w:rPr>
      <w:rFonts w:ascii="Cambria Math" w:hAnsi="Cambria Math" w:eastAsia="Cambria Math" w:cs="Cambria Math"/>
      <w:color w:val="4EA72E"/>
      <w:sz w:val="16"/>
      <w:szCs w:val="16"/>
      <w:u w:val="none"/>
    </w:rPr>
  </w:style>
  <w:style w:type="character" w:customStyle="1" w:styleId="221">
    <w:name w:val="font241"/>
    <w:basedOn w:val="46"/>
    <w:qFormat/>
    <w:uiPriority w:val="0"/>
    <w:rPr>
      <w:rFonts w:hint="default" w:ascii="Cambria Math" w:hAnsi="Cambria Math" w:eastAsia="Cambria Math" w:cs="Cambria Math"/>
      <w:color w:val="000000"/>
      <w:sz w:val="16"/>
      <w:szCs w:val="16"/>
      <w:u w:val="none"/>
    </w:rPr>
  </w:style>
  <w:style w:type="character" w:customStyle="1" w:styleId="222">
    <w:name w:val="font251"/>
    <w:basedOn w:val="46"/>
    <w:qFormat/>
    <w:uiPriority w:val="0"/>
    <w:rPr>
      <w:rFonts w:ascii="Segoe UI Symbol" w:hAnsi="Segoe UI Symbol" w:eastAsia="Segoe UI Symbol" w:cs="Segoe UI Symbol"/>
      <w:color w:val="000000"/>
      <w:sz w:val="16"/>
      <w:szCs w:val="16"/>
      <w:u w:val="none"/>
    </w:rPr>
  </w:style>
  <w:style w:type="character" w:customStyle="1" w:styleId="223">
    <w:name w:val="font261"/>
    <w:basedOn w:val="46"/>
    <w:qFormat/>
    <w:uiPriority w:val="0"/>
    <w:rPr>
      <w:rFonts w:hint="eastAsia" w:ascii="微软雅黑" w:hAnsi="微软雅黑" w:eastAsia="微软雅黑" w:cs="微软雅黑"/>
      <w:color w:val="00B050"/>
      <w:sz w:val="16"/>
      <w:szCs w:val="16"/>
      <w:u w:val="none"/>
    </w:rPr>
  </w:style>
  <w:style w:type="character" w:customStyle="1" w:styleId="224">
    <w:name w:val="font271"/>
    <w:basedOn w:val="46"/>
    <w:qFormat/>
    <w:uiPriority w:val="0"/>
    <w:rPr>
      <w:rFonts w:hint="eastAsia" w:ascii="微软雅黑" w:hAnsi="微软雅黑" w:eastAsia="微软雅黑" w:cs="微软雅黑"/>
      <w:color w:val="000000"/>
      <w:sz w:val="16"/>
      <w:szCs w:val="16"/>
      <w:u w:val="none"/>
    </w:rPr>
  </w:style>
  <w:style w:type="character" w:customStyle="1" w:styleId="225">
    <w:name w:val="font281"/>
    <w:basedOn w:val="46"/>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80</Pages>
  <Words>15168</Words>
  <Characters>16667</Characters>
  <Lines>1324</Lines>
  <Paragraphs>1188</Paragraphs>
  <TotalTime>0</TotalTime>
  <ScaleCrop>false</ScaleCrop>
  <LinksUpToDate>false</LinksUpToDate>
  <CharactersWithSpaces>16821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2026-05-08T12:14:28Z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FB7DBE0AB2C848A99A780F4FE2444EAC_13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