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B427DB">
      <w:pPr>
        <w:jc w:val="center"/>
        <w:rPr>
          <w:b/>
          <w:spacing w:val="57"/>
          <w:sz w:val="44"/>
          <w:szCs w:val="44"/>
        </w:rPr>
      </w:pPr>
      <w:r>
        <w:rPr>
          <w:rFonts w:hint="eastAsia"/>
          <w:b/>
          <w:spacing w:val="57"/>
          <w:sz w:val="44"/>
          <w:szCs w:val="44"/>
        </w:rPr>
        <w:t>编制说明</w:t>
      </w:r>
    </w:p>
    <w:p w14:paraId="69800B78">
      <w:pPr>
        <w:spacing w:line="500" w:lineRule="exact"/>
        <w:rPr>
          <w:sz w:val="28"/>
          <w:szCs w:val="28"/>
        </w:rPr>
      </w:pPr>
      <w:r>
        <w:rPr>
          <w:rFonts w:hint="eastAsia"/>
          <w:sz w:val="28"/>
          <w:szCs w:val="28"/>
        </w:rPr>
        <w:t xml:space="preserve">工程名称: </w:t>
      </w:r>
      <w:r>
        <w:rPr>
          <w:rFonts w:hint="eastAsia" w:eastAsia="宋体"/>
          <w:sz w:val="28"/>
          <w:szCs w:val="28"/>
          <w:lang w:val="en-US" w:eastAsia="zh-CN"/>
        </w:rPr>
        <w:t>仙人乡政府沿街人居环境综合整治项目</w:t>
      </w:r>
    </w:p>
    <w:p w14:paraId="51CF01DD">
      <w:pPr>
        <w:spacing w:line="500" w:lineRule="exact"/>
        <w:jc w:val="right"/>
        <w:rPr>
          <w:b/>
          <w:sz w:val="44"/>
          <w:szCs w:val="44"/>
        </w:rPr>
      </w:pPr>
      <w:r>
        <w:rPr>
          <w:rFonts w:hint="eastAsia"/>
          <w:sz w:val="28"/>
          <w:szCs w:val="28"/>
        </w:rPr>
        <w:t xml:space="preserve"> 第1页 共1页</w:t>
      </w:r>
    </w:p>
    <w:tbl>
      <w:tblPr>
        <w:tblStyle w:val="6"/>
        <w:tblpPr w:leftFromText="180" w:rightFromText="180" w:vertAnchor="text" w:horzAnchor="page" w:tblpX="1303" w:tblpY="39"/>
        <w:tblOverlap w:val="never"/>
        <w:tblW w:w="9271"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271"/>
      </w:tblGrid>
      <w:tr w14:paraId="4814C2F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1648" w:hRule="atLeast"/>
        </w:trPr>
        <w:tc>
          <w:tcPr>
            <w:tcW w:w="9271" w:type="dxa"/>
          </w:tcPr>
          <w:p w14:paraId="221D35EA">
            <w:pPr>
              <w:tabs>
                <w:tab w:val="left" w:pos="5079"/>
              </w:tabs>
              <w:spacing w:line="500" w:lineRule="exact"/>
              <w:jc w:val="left"/>
              <w:rPr>
                <w:sz w:val="28"/>
                <w:szCs w:val="28"/>
              </w:rPr>
            </w:pPr>
            <w:r>
              <w:rPr>
                <w:rFonts w:hint="eastAsia"/>
                <w:sz w:val="28"/>
                <w:szCs w:val="28"/>
              </w:rPr>
              <w:t>一、工程概况：</w:t>
            </w:r>
          </w:p>
          <w:p w14:paraId="03DCACCE">
            <w:pPr>
              <w:spacing w:line="500" w:lineRule="exact"/>
              <w:ind w:firstLine="560" w:firstLineChars="200"/>
              <w:jc w:val="left"/>
              <w:rPr>
                <w:sz w:val="28"/>
                <w:szCs w:val="28"/>
              </w:rPr>
            </w:pPr>
            <w:r>
              <w:rPr>
                <w:rFonts w:hint="eastAsia"/>
                <w:sz w:val="28"/>
                <w:szCs w:val="28"/>
              </w:rPr>
              <w:t>本工程为</w:t>
            </w:r>
            <w:r>
              <w:rPr>
                <w:rFonts w:hint="eastAsia" w:eastAsia="宋体"/>
                <w:sz w:val="28"/>
                <w:szCs w:val="28"/>
                <w:lang w:val="en-US" w:eastAsia="zh-CN"/>
              </w:rPr>
              <w:t>仙人乡政府沿街人居环境综合整治项目</w:t>
            </w:r>
            <w:r>
              <w:rPr>
                <w:rFonts w:hint="eastAsia"/>
                <w:sz w:val="28"/>
                <w:szCs w:val="28"/>
              </w:rPr>
              <w:t>。该工程主要内容为：</w:t>
            </w:r>
            <w:r>
              <w:rPr>
                <w:rFonts w:hint="eastAsia"/>
                <w:sz w:val="28"/>
                <w:szCs w:val="28"/>
                <w:lang w:val="en-US" w:eastAsia="zh-CN"/>
              </w:rPr>
              <w:t>平整场地、加铺沥青混凝土面层、新铺设沥青混凝土面层、加铺混凝土路面、新铺设混凝土路面、铺设透水砖、修补台阶、矮墙勾缝</w:t>
            </w:r>
            <w:r>
              <w:rPr>
                <w:rFonts w:hint="eastAsia"/>
                <w:sz w:val="28"/>
                <w:szCs w:val="28"/>
              </w:rPr>
              <w:t>等。</w:t>
            </w:r>
          </w:p>
          <w:p w14:paraId="26593276">
            <w:pPr>
              <w:tabs>
                <w:tab w:val="left" w:pos="5079"/>
              </w:tabs>
              <w:spacing w:line="500" w:lineRule="exact"/>
              <w:jc w:val="left"/>
              <w:rPr>
                <w:sz w:val="28"/>
                <w:szCs w:val="28"/>
              </w:rPr>
            </w:pPr>
            <w:r>
              <w:rPr>
                <w:rFonts w:hint="eastAsia"/>
                <w:sz w:val="28"/>
                <w:szCs w:val="28"/>
              </w:rPr>
              <w:t>二、编制范围：</w:t>
            </w:r>
            <w:r>
              <w:rPr>
                <w:rFonts w:hint="eastAsia" w:eastAsia="宋体"/>
                <w:sz w:val="28"/>
                <w:szCs w:val="28"/>
                <w:lang w:val="en-US" w:eastAsia="zh-CN"/>
              </w:rPr>
              <w:t>由中泰辉腾工程设计有限公司朔城区分公司设计的仙人乡政府沿街人居环境综合整治项目图纸</w:t>
            </w:r>
            <w:r>
              <w:rPr>
                <w:rFonts w:hint="eastAsia"/>
                <w:sz w:val="28"/>
                <w:szCs w:val="28"/>
              </w:rPr>
              <w:t>范围内的全部工程内容。</w:t>
            </w:r>
          </w:p>
          <w:p w14:paraId="0445604F">
            <w:pPr>
              <w:tabs>
                <w:tab w:val="left" w:pos="5079"/>
              </w:tabs>
              <w:spacing w:line="500" w:lineRule="exact"/>
              <w:jc w:val="left"/>
              <w:rPr>
                <w:sz w:val="28"/>
                <w:szCs w:val="28"/>
              </w:rPr>
            </w:pPr>
            <w:r>
              <w:rPr>
                <w:rFonts w:hint="eastAsia"/>
                <w:sz w:val="28"/>
                <w:szCs w:val="28"/>
              </w:rPr>
              <w:t>三、编制依据：</w:t>
            </w:r>
          </w:p>
          <w:p w14:paraId="41CEECB4">
            <w:pPr>
              <w:tabs>
                <w:tab w:val="left" w:pos="5079"/>
              </w:tabs>
              <w:spacing w:line="500" w:lineRule="exact"/>
              <w:ind w:firstLine="560" w:firstLineChars="200"/>
              <w:jc w:val="left"/>
              <w:rPr>
                <w:sz w:val="28"/>
                <w:szCs w:val="28"/>
              </w:rPr>
            </w:pPr>
            <w:r>
              <w:rPr>
                <w:sz w:val="28"/>
                <w:szCs w:val="28"/>
              </w:rPr>
              <w:t>1</w:t>
            </w:r>
            <w:r>
              <w:rPr>
                <w:rFonts w:hint="eastAsia"/>
                <w:sz w:val="28"/>
                <w:szCs w:val="28"/>
              </w:rPr>
              <w:t>、</w:t>
            </w:r>
            <w:r>
              <w:rPr>
                <w:rFonts w:hint="eastAsia" w:eastAsia="宋体"/>
                <w:sz w:val="28"/>
                <w:szCs w:val="28"/>
                <w:lang w:val="en-US" w:eastAsia="zh-CN"/>
              </w:rPr>
              <w:t>由建设单位及中泰辉腾工程设计有限公司朔城区分公司</w:t>
            </w:r>
            <w:r>
              <w:rPr>
                <w:rFonts w:hint="eastAsia" w:ascii="宋体" w:hAnsi="宋体" w:cs="宋体"/>
                <w:sz w:val="28"/>
                <w:szCs w:val="28"/>
              </w:rPr>
              <w:t>提供的</w:t>
            </w:r>
            <w:r>
              <w:rPr>
                <w:rFonts w:hint="eastAsia" w:eastAsia="宋体"/>
                <w:sz w:val="28"/>
                <w:szCs w:val="28"/>
                <w:lang w:val="en-US" w:eastAsia="zh-CN"/>
              </w:rPr>
              <w:t>仙人乡政府沿街人居环境综合整治项目</w:t>
            </w:r>
            <w:r>
              <w:rPr>
                <w:rFonts w:hint="eastAsia" w:ascii="宋体" w:hAnsi="宋体" w:cs="宋体"/>
                <w:sz w:val="28"/>
                <w:szCs w:val="28"/>
              </w:rPr>
              <w:t>图纸</w:t>
            </w:r>
            <w:r>
              <w:rPr>
                <w:rFonts w:hint="eastAsia"/>
                <w:sz w:val="28"/>
                <w:szCs w:val="28"/>
              </w:rPr>
              <w:t>。</w:t>
            </w:r>
          </w:p>
          <w:p w14:paraId="7EDEDFB2">
            <w:pPr>
              <w:tabs>
                <w:tab w:val="left" w:pos="5079"/>
              </w:tabs>
              <w:spacing w:line="500" w:lineRule="exact"/>
              <w:ind w:firstLine="560" w:firstLineChars="200"/>
              <w:jc w:val="left"/>
              <w:rPr>
                <w:sz w:val="28"/>
                <w:szCs w:val="28"/>
              </w:rPr>
            </w:pPr>
            <w:r>
              <w:rPr>
                <w:rFonts w:hint="eastAsia"/>
                <w:sz w:val="28"/>
                <w:szCs w:val="28"/>
              </w:rPr>
              <w:t>2、清单采用</w:t>
            </w:r>
            <w:r>
              <w:rPr>
                <w:sz w:val="28"/>
                <w:szCs w:val="28"/>
              </w:rPr>
              <w:t>GB50500-2013</w:t>
            </w:r>
            <w:r>
              <w:rPr>
                <w:rFonts w:hint="eastAsia"/>
                <w:sz w:val="28"/>
                <w:szCs w:val="28"/>
              </w:rPr>
              <w:t>《建设工程量清单计价规范》（</w:t>
            </w:r>
            <w:r>
              <w:rPr>
                <w:sz w:val="28"/>
                <w:szCs w:val="28"/>
              </w:rPr>
              <w:t>GB50500</w:t>
            </w:r>
            <w:r>
              <w:rPr>
                <w:rFonts w:hint="eastAsia"/>
                <w:sz w:val="28"/>
                <w:szCs w:val="28"/>
              </w:rPr>
              <w:t>——</w:t>
            </w:r>
            <w:r>
              <w:rPr>
                <w:sz w:val="28"/>
                <w:szCs w:val="28"/>
              </w:rPr>
              <w:t>2013</w:t>
            </w:r>
            <w:r>
              <w:rPr>
                <w:rFonts w:hint="eastAsia"/>
                <w:sz w:val="28"/>
                <w:szCs w:val="28"/>
              </w:rPr>
              <w:t>）、《山西省建设工程工程量清单计价补充规定》及相关工程量计算规范。</w:t>
            </w:r>
          </w:p>
          <w:p w14:paraId="2CD4D078">
            <w:pPr>
              <w:tabs>
                <w:tab w:val="left" w:pos="5079"/>
              </w:tabs>
              <w:spacing w:line="500" w:lineRule="exact"/>
              <w:jc w:val="left"/>
              <w:rPr>
                <w:sz w:val="28"/>
                <w:szCs w:val="28"/>
              </w:rPr>
            </w:pPr>
            <w:r>
              <w:rPr>
                <w:rFonts w:hint="eastAsia"/>
                <w:sz w:val="28"/>
                <w:szCs w:val="28"/>
              </w:rPr>
              <w:t>四、有关材料、设备、参数和费用的说明：《阳泉工程造价信息》没有的价格采用市场价。</w:t>
            </w:r>
          </w:p>
          <w:p w14:paraId="2C0C012F">
            <w:pPr>
              <w:tabs>
                <w:tab w:val="left" w:pos="5079"/>
              </w:tabs>
              <w:spacing w:line="500" w:lineRule="exact"/>
              <w:jc w:val="left"/>
              <w:rPr>
                <w:sz w:val="28"/>
                <w:szCs w:val="28"/>
              </w:rPr>
            </w:pPr>
            <w:r>
              <w:rPr>
                <w:rFonts w:hint="eastAsia"/>
                <w:sz w:val="28"/>
                <w:szCs w:val="28"/>
              </w:rPr>
              <w:t>五、其他有关问题的说明：</w:t>
            </w:r>
          </w:p>
          <w:p w14:paraId="353DD000">
            <w:pPr>
              <w:tabs>
                <w:tab w:val="left" w:pos="5079"/>
              </w:tabs>
              <w:spacing w:line="500" w:lineRule="exact"/>
              <w:ind w:firstLine="560" w:firstLineChars="20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1、土方外运暂按3km考虑。</w:t>
            </w:r>
          </w:p>
          <w:p w14:paraId="1889CE95">
            <w:pPr>
              <w:tabs>
                <w:tab w:val="left" w:pos="5079"/>
              </w:tabs>
              <w:spacing w:line="500" w:lineRule="exact"/>
              <w:ind w:firstLine="560" w:firstLineChars="200"/>
              <w:jc w:val="left"/>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2、矮墙修补、局部硬化拆除、污土外运、新铺混凝土面层专业工程暂估70000元。</w:t>
            </w:r>
            <w:bookmarkStart w:id="0" w:name="_GoBack"/>
            <w:bookmarkEnd w:id="0"/>
          </w:p>
          <w:p w14:paraId="553E36E2">
            <w:pPr>
              <w:tabs>
                <w:tab w:val="left" w:pos="5079"/>
              </w:tabs>
              <w:spacing w:line="500" w:lineRule="exact"/>
              <w:ind w:firstLine="560" w:firstLineChars="200"/>
              <w:jc w:val="left"/>
              <w:rPr>
                <w:rFonts w:asciiTheme="minorEastAsia" w:hAnsiTheme="minorEastAsia" w:eastAsiaTheme="minorEastAsia" w:cstheme="minorEastAsia"/>
                <w:sz w:val="28"/>
                <w:szCs w:val="28"/>
              </w:rPr>
            </w:pPr>
          </w:p>
          <w:p w14:paraId="0F28C341">
            <w:pPr>
              <w:tabs>
                <w:tab w:val="left" w:pos="5079"/>
              </w:tabs>
              <w:spacing w:line="500" w:lineRule="exact"/>
              <w:ind w:firstLine="560" w:firstLineChars="200"/>
              <w:jc w:val="left"/>
              <w:rPr>
                <w:rFonts w:asciiTheme="minorEastAsia" w:hAnsiTheme="minorEastAsia" w:eastAsiaTheme="minorEastAsia" w:cstheme="minorEastAsia"/>
                <w:sz w:val="28"/>
                <w:szCs w:val="28"/>
              </w:rPr>
            </w:pPr>
          </w:p>
          <w:p w14:paraId="4FADD6FB">
            <w:pPr>
              <w:tabs>
                <w:tab w:val="left" w:pos="5079"/>
              </w:tabs>
              <w:spacing w:line="500" w:lineRule="exact"/>
              <w:ind w:firstLine="560" w:firstLineChars="200"/>
              <w:jc w:val="left"/>
              <w:rPr>
                <w:rFonts w:asciiTheme="minorEastAsia" w:hAnsiTheme="minorEastAsia" w:eastAsiaTheme="minorEastAsia" w:cstheme="minorEastAsia"/>
                <w:sz w:val="28"/>
                <w:szCs w:val="28"/>
              </w:rPr>
            </w:pPr>
          </w:p>
          <w:p w14:paraId="4F12EB85">
            <w:pPr>
              <w:tabs>
                <w:tab w:val="left" w:pos="5079"/>
              </w:tabs>
              <w:spacing w:line="500" w:lineRule="exact"/>
              <w:ind w:firstLine="560" w:firstLineChars="200"/>
              <w:jc w:val="left"/>
              <w:rPr>
                <w:rFonts w:asciiTheme="minorEastAsia" w:hAnsiTheme="minorEastAsia" w:eastAsiaTheme="minorEastAsia" w:cstheme="minorEastAsia"/>
                <w:sz w:val="28"/>
                <w:szCs w:val="28"/>
              </w:rPr>
            </w:pPr>
          </w:p>
          <w:p w14:paraId="1FE47795">
            <w:pPr>
              <w:tabs>
                <w:tab w:val="left" w:pos="5079"/>
              </w:tabs>
              <w:spacing w:line="500" w:lineRule="exact"/>
              <w:jc w:val="left"/>
              <w:rPr>
                <w:rFonts w:asciiTheme="minorEastAsia" w:hAnsiTheme="minorEastAsia" w:eastAsiaTheme="minorEastAsia" w:cstheme="minorEastAsia"/>
                <w:sz w:val="28"/>
                <w:szCs w:val="28"/>
              </w:rPr>
            </w:pPr>
          </w:p>
        </w:tc>
      </w:tr>
    </w:tbl>
    <w:p w14:paraId="4D7D999B">
      <w:pPr>
        <w:spacing w:line="440" w:lineRule="exact"/>
        <w:rPr>
          <w:sz w:val="28"/>
          <w:szCs w:val="28"/>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hjZGI4NWY3OTQwNDJmYjc5YzgwOTU1ZDA4OWVkODEifQ=="/>
  </w:docVars>
  <w:rsids>
    <w:rsidRoot w:val="0D2E68C7"/>
    <w:rsid w:val="000028D7"/>
    <w:rsid w:val="000326D3"/>
    <w:rsid w:val="00071272"/>
    <w:rsid w:val="000A5474"/>
    <w:rsid w:val="000C54EF"/>
    <w:rsid w:val="000F3689"/>
    <w:rsid w:val="000F5CE2"/>
    <w:rsid w:val="0012675C"/>
    <w:rsid w:val="00133381"/>
    <w:rsid w:val="00151B3D"/>
    <w:rsid w:val="00156554"/>
    <w:rsid w:val="0019665A"/>
    <w:rsid w:val="001A4251"/>
    <w:rsid w:val="001A5492"/>
    <w:rsid w:val="001A5C4A"/>
    <w:rsid w:val="001E494E"/>
    <w:rsid w:val="001F5E43"/>
    <w:rsid w:val="00222523"/>
    <w:rsid w:val="002317C5"/>
    <w:rsid w:val="002B2906"/>
    <w:rsid w:val="002F147F"/>
    <w:rsid w:val="002F5856"/>
    <w:rsid w:val="0031530B"/>
    <w:rsid w:val="00354DCD"/>
    <w:rsid w:val="00386EEB"/>
    <w:rsid w:val="003C0531"/>
    <w:rsid w:val="003D2457"/>
    <w:rsid w:val="003F5DC4"/>
    <w:rsid w:val="00402C6D"/>
    <w:rsid w:val="0045780E"/>
    <w:rsid w:val="00471A68"/>
    <w:rsid w:val="00476FDB"/>
    <w:rsid w:val="00485D1B"/>
    <w:rsid w:val="004A471C"/>
    <w:rsid w:val="004E6A9B"/>
    <w:rsid w:val="004F29C6"/>
    <w:rsid w:val="00527784"/>
    <w:rsid w:val="00532B84"/>
    <w:rsid w:val="00533E7E"/>
    <w:rsid w:val="005921BC"/>
    <w:rsid w:val="005C7DB9"/>
    <w:rsid w:val="005E4D8C"/>
    <w:rsid w:val="00627241"/>
    <w:rsid w:val="00640D4B"/>
    <w:rsid w:val="00643CDE"/>
    <w:rsid w:val="006613A0"/>
    <w:rsid w:val="00665F79"/>
    <w:rsid w:val="006668C1"/>
    <w:rsid w:val="006A42D9"/>
    <w:rsid w:val="006B2DB5"/>
    <w:rsid w:val="006B5FA5"/>
    <w:rsid w:val="006B7C7A"/>
    <w:rsid w:val="006E5259"/>
    <w:rsid w:val="006F25B3"/>
    <w:rsid w:val="00703A4C"/>
    <w:rsid w:val="00704E34"/>
    <w:rsid w:val="00723A29"/>
    <w:rsid w:val="00734EDB"/>
    <w:rsid w:val="00786DCA"/>
    <w:rsid w:val="00793703"/>
    <w:rsid w:val="007A693A"/>
    <w:rsid w:val="007C1B49"/>
    <w:rsid w:val="007D2D40"/>
    <w:rsid w:val="00840914"/>
    <w:rsid w:val="00840C93"/>
    <w:rsid w:val="008426EC"/>
    <w:rsid w:val="008427E6"/>
    <w:rsid w:val="00853A49"/>
    <w:rsid w:val="0086417D"/>
    <w:rsid w:val="008814E9"/>
    <w:rsid w:val="0089777A"/>
    <w:rsid w:val="008D4F2B"/>
    <w:rsid w:val="008F271C"/>
    <w:rsid w:val="00927A99"/>
    <w:rsid w:val="00935A13"/>
    <w:rsid w:val="00975A08"/>
    <w:rsid w:val="0097767C"/>
    <w:rsid w:val="009C1DFC"/>
    <w:rsid w:val="009C713C"/>
    <w:rsid w:val="009E00C4"/>
    <w:rsid w:val="009F2911"/>
    <w:rsid w:val="00A34D5A"/>
    <w:rsid w:val="00A54E62"/>
    <w:rsid w:val="00A73763"/>
    <w:rsid w:val="00B55F86"/>
    <w:rsid w:val="00B8785F"/>
    <w:rsid w:val="00BD73C4"/>
    <w:rsid w:val="00BE7A91"/>
    <w:rsid w:val="00BF5B26"/>
    <w:rsid w:val="00C0531D"/>
    <w:rsid w:val="00C2520D"/>
    <w:rsid w:val="00C52836"/>
    <w:rsid w:val="00C704FA"/>
    <w:rsid w:val="00CD16C0"/>
    <w:rsid w:val="00CD5DAB"/>
    <w:rsid w:val="00CE6891"/>
    <w:rsid w:val="00D04232"/>
    <w:rsid w:val="00D22382"/>
    <w:rsid w:val="00D40B0C"/>
    <w:rsid w:val="00D531B3"/>
    <w:rsid w:val="00D90161"/>
    <w:rsid w:val="00D9077C"/>
    <w:rsid w:val="00DB6211"/>
    <w:rsid w:val="00DD40F2"/>
    <w:rsid w:val="00DD4E72"/>
    <w:rsid w:val="00DD7A82"/>
    <w:rsid w:val="00DD7BE3"/>
    <w:rsid w:val="00DE06B4"/>
    <w:rsid w:val="00DE7814"/>
    <w:rsid w:val="00E12841"/>
    <w:rsid w:val="00E6010E"/>
    <w:rsid w:val="00EA073F"/>
    <w:rsid w:val="00EE0BB0"/>
    <w:rsid w:val="00F37C31"/>
    <w:rsid w:val="00F479BD"/>
    <w:rsid w:val="00FA5EFE"/>
    <w:rsid w:val="00FC3AB2"/>
    <w:rsid w:val="00FF4B0D"/>
    <w:rsid w:val="011062C6"/>
    <w:rsid w:val="016708A9"/>
    <w:rsid w:val="02F74B2D"/>
    <w:rsid w:val="0CCB1DC4"/>
    <w:rsid w:val="0D2E68C7"/>
    <w:rsid w:val="0D611BD6"/>
    <w:rsid w:val="105F7771"/>
    <w:rsid w:val="16852585"/>
    <w:rsid w:val="18CF28F7"/>
    <w:rsid w:val="1F042AE9"/>
    <w:rsid w:val="298211D9"/>
    <w:rsid w:val="29DB6794"/>
    <w:rsid w:val="2B075CC5"/>
    <w:rsid w:val="2F876806"/>
    <w:rsid w:val="30425BF7"/>
    <w:rsid w:val="3A1D75D9"/>
    <w:rsid w:val="3E3C2F19"/>
    <w:rsid w:val="3E784486"/>
    <w:rsid w:val="3F3C0924"/>
    <w:rsid w:val="40E63BC5"/>
    <w:rsid w:val="423268D4"/>
    <w:rsid w:val="451E6DB8"/>
    <w:rsid w:val="49B45EF7"/>
    <w:rsid w:val="4C912264"/>
    <w:rsid w:val="4D4034FF"/>
    <w:rsid w:val="4FD54FC1"/>
    <w:rsid w:val="55FC211D"/>
    <w:rsid w:val="58765238"/>
    <w:rsid w:val="60637803"/>
    <w:rsid w:val="62BA284A"/>
    <w:rsid w:val="654051F2"/>
    <w:rsid w:val="6B066F4C"/>
    <w:rsid w:val="6B604183"/>
    <w:rsid w:val="6EF933F8"/>
    <w:rsid w:val="6F5950A5"/>
    <w:rsid w:val="70E873A0"/>
    <w:rsid w:val="7338391B"/>
    <w:rsid w:val="790840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paragraph" w:styleId="2">
    <w:name w:val="heading 1"/>
    <w:basedOn w:val="1"/>
    <w:next w:val="1"/>
    <w:qFormat/>
    <w:uiPriority w:val="0"/>
    <w:pPr>
      <w:jc w:val="left"/>
      <w:outlineLvl w:val="0"/>
    </w:pPr>
    <w:rPr>
      <w:rFonts w:hint="eastAsia" w:ascii="宋体" w:hAnsi="宋体" w:cs="Times New Roman"/>
      <w:b/>
      <w:kern w:val="44"/>
      <w:sz w:val="48"/>
      <w:szCs w:val="48"/>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22"/>
    <w:qFormat/>
    <w:uiPriority w:val="0"/>
    <w:pPr>
      <w:tabs>
        <w:tab w:val="center" w:pos="4153"/>
        <w:tab w:val="right" w:pos="8306"/>
      </w:tabs>
      <w:snapToGrid w:val="0"/>
      <w:jc w:val="left"/>
    </w:pPr>
    <w:rPr>
      <w:sz w:val="18"/>
      <w:szCs w:val="18"/>
    </w:rPr>
  </w:style>
  <w:style w:type="paragraph" w:styleId="4">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jc w:val="left"/>
    </w:pPr>
    <w:rPr>
      <w:rFonts w:cs="Times New Roman"/>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0"/>
    <w:rPr>
      <w:b/>
    </w:rPr>
  </w:style>
  <w:style w:type="character" w:styleId="10">
    <w:name w:val="FollowedHyperlink"/>
    <w:basedOn w:val="8"/>
    <w:qFormat/>
    <w:uiPriority w:val="0"/>
    <w:rPr>
      <w:color w:val="333333"/>
      <w:u w:val="none"/>
      <w:bdr w:val="single" w:color="CCCCCC" w:sz="6" w:space="0"/>
    </w:rPr>
  </w:style>
  <w:style w:type="character" w:styleId="11">
    <w:name w:val="Emphasis"/>
    <w:basedOn w:val="8"/>
    <w:qFormat/>
    <w:uiPriority w:val="0"/>
  </w:style>
  <w:style w:type="character" w:styleId="12">
    <w:name w:val="HTML Definition"/>
    <w:basedOn w:val="8"/>
    <w:qFormat/>
    <w:uiPriority w:val="0"/>
    <w:rPr>
      <w:color w:val="FF6600"/>
      <w:u w:val="single"/>
    </w:rPr>
  </w:style>
  <w:style w:type="character" w:styleId="13">
    <w:name w:val="HTML Typewriter"/>
    <w:basedOn w:val="8"/>
    <w:qFormat/>
    <w:uiPriority w:val="0"/>
    <w:rPr>
      <w:rFonts w:ascii="Courier New" w:hAnsi="Courier New"/>
      <w:sz w:val="20"/>
    </w:rPr>
  </w:style>
  <w:style w:type="character" w:styleId="14">
    <w:name w:val="HTML Acronym"/>
    <w:basedOn w:val="8"/>
    <w:qFormat/>
    <w:uiPriority w:val="0"/>
  </w:style>
  <w:style w:type="character" w:styleId="15">
    <w:name w:val="HTML Variable"/>
    <w:basedOn w:val="8"/>
    <w:qFormat/>
    <w:uiPriority w:val="0"/>
  </w:style>
  <w:style w:type="character" w:styleId="16">
    <w:name w:val="Hyperlink"/>
    <w:basedOn w:val="8"/>
    <w:qFormat/>
    <w:uiPriority w:val="0"/>
    <w:rPr>
      <w:color w:val="333333"/>
      <w:u w:val="none"/>
    </w:rPr>
  </w:style>
  <w:style w:type="character" w:styleId="17">
    <w:name w:val="HTML Code"/>
    <w:basedOn w:val="8"/>
    <w:qFormat/>
    <w:uiPriority w:val="0"/>
    <w:rPr>
      <w:rFonts w:ascii="Courier New" w:hAnsi="Courier New"/>
      <w:sz w:val="20"/>
    </w:rPr>
  </w:style>
  <w:style w:type="character" w:styleId="18">
    <w:name w:val="HTML Cite"/>
    <w:basedOn w:val="8"/>
    <w:qFormat/>
    <w:uiPriority w:val="0"/>
  </w:style>
  <w:style w:type="character" w:styleId="19">
    <w:name w:val="HTML Keyboard"/>
    <w:basedOn w:val="8"/>
    <w:qFormat/>
    <w:uiPriority w:val="0"/>
    <w:rPr>
      <w:rFonts w:ascii="Courier New" w:hAnsi="Courier New"/>
      <w:sz w:val="20"/>
    </w:rPr>
  </w:style>
  <w:style w:type="character" w:styleId="20">
    <w:name w:val="HTML Sample"/>
    <w:basedOn w:val="8"/>
    <w:qFormat/>
    <w:uiPriority w:val="0"/>
    <w:rPr>
      <w:rFonts w:ascii="Courier New" w:hAnsi="Courier New"/>
    </w:rPr>
  </w:style>
  <w:style w:type="character" w:customStyle="1" w:styleId="21">
    <w:name w:val="页眉 Char"/>
    <w:basedOn w:val="8"/>
    <w:link w:val="4"/>
    <w:qFormat/>
    <w:uiPriority w:val="0"/>
    <w:rPr>
      <w:rFonts w:eastAsia="宋体"/>
      <w:kern w:val="2"/>
      <w:sz w:val="18"/>
      <w:szCs w:val="18"/>
    </w:rPr>
  </w:style>
  <w:style w:type="character" w:customStyle="1" w:styleId="22">
    <w:name w:val="页脚 Char"/>
    <w:basedOn w:val="8"/>
    <w:link w:val="3"/>
    <w:qFormat/>
    <w:uiPriority w:val="0"/>
    <w:rPr>
      <w:rFonts w:eastAsia="宋体"/>
      <w:kern w:val="2"/>
      <w:sz w:val="18"/>
      <w:szCs w:val="18"/>
    </w:rPr>
  </w:style>
  <w:style w:type="character" w:customStyle="1" w:styleId="23">
    <w:name w:val="missing_data"/>
    <w:basedOn w:val="8"/>
    <w:qFormat/>
    <w:uiPriority w:val="0"/>
    <w:rPr>
      <w:color w:val="FF0000"/>
    </w:rPr>
  </w:style>
  <w:style w:type="character" w:customStyle="1" w:styleId="24">
    <w:name w:val="datetime"/>
    <w:basedOn w:val="8"/>
    <w:qFormat/>
    <w:uiPriority w:val="0"/>
  </w:style>
  <w:style w:type="character" w:customStyle="1" w:styleId="25">
    <w:name w:val="onlinepl_replay1"/>
    <w:basedOn w:val="8"/>
    <w:qFormat/>
    <w:uiPriority w:val="0"/>
  </w:style>
  <w:style w:type="character" w:customStyle="1" w:styleId="26">
    <w:name w:val="onlinepl_replay11"/>
    <w:basedOn w:val="8"/>
    <w:qFormat/>
    <w:uiPriority w:val="0"/>
  </w:style>
  <w:style w:type="character" w:customStyle="1" w:styleId="27">
    <w:name w:val="onlinepl_replay12"/>
    <w:basedOn w:val="8"/>
    <w:qFormat/>
    <w:uiPriority w:val="0"/>
    <w:rPr>
      <w:vanish/>
    </w:rPr>
  </w:style>
  <w:style w:type="character" w:customStyle="1" w:styleId="28">
    <w:name w:val="onlinepl_replay2"/>
    <w:basedOn w:val="8"/>
    <w:qFormat/>
    <w:uiPriority w:val="0"/>
  </w:style>
  <w:style w:type="character" w:customStyle="1" w:styleId="29">
    <w:name w:val="onlinepl_replay21"/>
    <w:basedOn w:val="8"/>
    <w:qFormat/>
    <w:uiPriority w:val="0"/>
  </w:style>
  <w:style w:type="character" w:customStyle="1" w:styleId="30">
    <w:name w:val="onlinepl_replay22"/>
    <w:basedOn w:val="8"/>
    <w:qFormat/>
    <w:uiPriority w:val="0"/>
  </w:style>
  <w:style w:type="character" w:customStyle="1" w:styleId="31">
    <w:name w:val="onlinepl_replay3"/>
    <w:basedOn w:val="8"/>
    <w:qFormat/>
    <w:uiPriority w:val="0"/>
  </w:style>
  <w:style w:type="paragraph" w:styleId="3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Pages>
  <Words>405</Words>
  <Characters>439</Characters>
  <Lines>2</Lines>
  <Paragraphs>1</Paragraphs>
  <TotalTime>5</TotalTime>
  <ScaleCrop>false</ScaleCrop>
  <LinksUpToDate>false</LinksUpToDate>
  <CharactersWithSpaces>442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2019-01-16T11:38:00Z</dcterms:created>
  <dc:creator>茉莉清茶1419067438</dc:creator>
  <cp:lastModifiedBy>不怕天黑</cp:lastModifiedBy>
  <cp:lastPrinted>2021-03-05T03:41:00Z</cp:lastPrinted>
  <dcterms:modified xsi:type="dcterms:W3CDTF">2025-01-09T08:54:31Z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948702121C4D40F2966A7F377C8C0591</vt:lpwstr>
  </property>
  <property fmtid="{D5CDD505-2E9C-101B-9397-08002B2CF9AE}" pid="4" name="KSOTemplateDocerSaveRecord">
    <vt:lpwstr>eyJoZGlkIjoiZTBlNTkyZGQzYWIwNzY0ZjNmNWE0NDNlNGJmNmY4ZTEiLCJ1c2VySWQiOiI0MTU0OTY2ODAifQ==</vt:lpwstr>
  </property>
</Properties>
</file>